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440" w:rsidRDefault="007C6440">
      <w:pPr>
        <w:widowControl w:val="0"/>
        <w:pBdr>
          <w:top w:val="nil"/>
          <w:left w:val="nil"/>
          <w:bottom w:val="nil"/>
          <w:right w:val="nil"/>
          <w:between w:val="nil"/>
        </w:pBdr>
        <w:spacing w:line="276" w:lineRule="auto"/>
      </w:pPr>
      <w:bookmarkStart w:id="0" w:name="_GoBack"/>
      <w:bookmarkEnd w:id="0"/>
    </w:p>
    <w:p w:rsidR="007C6440" w:rsidRDefault="003E543A">
      <w:pPr>
        <w:spacing w:line="360" w:lineRule="auto"/>
        <w:ind w:right="332"/>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eastAsia="Palatino Linotype" w:hAnsi="Palatino Linotype" w:cs="Palatino Linotype"/>
          <w:b/>
        </w:rPr>
        <w:t>dieciséis de marzo de dos mil veintidós</w:t>
      </w:r>
      <w:r>
        <w:rPr>
          <w:rFonts w:ascii="Palatino Linotype" w:eastAsia="Palatino Linotype" w:hAnsi="Palatino Linotype" w:cs="Palatino Linotype"/>
        </w:rPr>
        <w:t>.</w:t>
      </w:r>
    </w:p>
    <w:p w:rsidR="007C6440" w:rsidRDefault="007C6440">
      <w:pPr>
        <w:spacing w:line="360" w:lineRule="auto"/>
        <w:ind w:right="332"/>
        <w:rPr>
          <w:rFonts w:ascii="Palatino Linotype" w:eastAsia="Palatino Linotype" w:hAnsi="Palatino Linotype" w:cs="Palatino Linotype"/>
        </w:rPr>
      </w:pPr>
    </w:p>
    <w:p w:rsidR="007C6440" w:rsidRDefault="003E543A">
      <w:pPr>
        <w:spacing w:line="360" w:lineRule="auto"/>
        <w:ind w:right="332"/>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conformado con motivo del Recurso de Revisión              </w:t>
      </w:r>
      <w:r>
        <w:rPr>
          <w:rFonts w:ascii="Palatino Linotype" w:eastAsia="Palatino Linotype" w:hAnsi="Palatino Linotype" w:cs="Palatino Linotype"/>
          <w:b/>
        </w:rPr>
        <w:t>04679/INFOEM/ICR-01/IP/RR/2021</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un particular de manera anónima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Pr>
          <w:rFonts w:ascii="Palatino Linotype" w:eastAsia="Palatino Linotype" w:hAnsi="Palatino Linotype" w:cs="Palatino Linotype"/>
          <w:b/>
        </w:rPr>
        <w:t>Ayuntamiento de Chicoloapan</w:t>
      </w:r>
      <w:r>
        <w:rPr>
          <w:rFonts w:ascii="Palatino Linotype" w:eastAsia="Palatino Linotype" w:hAnsi="Palatino Linotype" w:cs="Palatino Linotype"/>
        </w:rPr>
        <w:t xml:space="preserve">, a la solicitud de información con número </w:t>
      </w:r>
      <w:r>
        <w:rPr>
          <w:rFonts w:ascii="Palatino Linotype" w:eastAsia="Palatino Linotype" w:hAnsi="Palatino Linotype" w:cs="Palatino Linotype"/>
          <w:b/>
        </w:rPr>
        <w:t>00158/CHICOLOA/IP/2021</w:t>
      </w:r>
      <w:r>
        <w:rPr>
          <w:rFonts w:ascii="Palatino Linotype" w:eastAsia="Palatino Linotype" w:hAnsi="Palatino Linotype" w:cs="Palatino Linotype"/>
        </w:rPr>
        <w:t xml:space="preserve"> se emite la presente Resolución, con base en los Antecedentes y Considerandos que se exponen a continuación:</w:t>
      </w:r>
    </w:p>
    <w:p w:rsidR="007C6440" w:rsidRDefault="007C6440">
      <w:pPr>
        <w:spacing w:line="360" w:lineRule="auto"/>
        <w:ind w:right="332"/>
        <w:jc w:val="both"/>
        <w:rPr>
          <w:rFonts w:ascii="Palatino Linotype" w:eastAsia="Palatino Linotype" w:hAnsi="Palatino Linotype" w:cs="Palatino Linotype"/>
        </w:rPr>
      </w:pPr>
    </w:p>
    <w:p w:rsidR="007C6440" w:rsidRDefault="003E543A">
      <w:pPr>
        <w:spacing w:line="360" w:lineRule="auto"/>
        <w:ind w:right="332"/>
        <w:jc w:val="center"/>
        <w:rPr>
          <w:rFonts w:ascii="Palatino Linotype" w:eastAsia="Palatino Linotype" w:hAnsi="Palatino Linotype" w:cs="Palatino Linotype"/>
          <w:b/>
        </w:rPr>
      </w:pPr>
      <w:r>
        <w:rPr>
          <w:rFonts w:ascii="Palatino Linotype" w:eastAsia="Palatino Linotype" w:hAnsi="Palatino Linotype" w:cs="Palatino Linotype"/>
          <w:b/>
        </w:rPr>
        <w:t>A N T E C E D E N T E S:</w:t>
      </w:r>
    </w:p>
    <w:p w:rsidR="007C6440" w:rsidRDefault="003E543A">
      <w:pPr>
        <w:spacing w:before="240" w:after="240" w:line="360" w:lineRule="auto"/>
        <w:ind w:right="332"/>
        <w:jc w:val="both"/>
        <w:rPr>
          <w:rFonts w:ascii="Palatino Linotype" w:eastAsia="Palatino Linotype" w:hAnsi="Palatino Linotype" w:cs="Palatino Linotype"/>
          <w:b/>
        </w:rPr>
      </w:pPr>
      <w:r>
        <w:rPr>
          <w:rFonts w:ascii="Palatino Linotype" w:eastAsia="Palatino Linotype" w:hAnsi="Palatino Linotype" w:cs="Palatino Linotype"/>
          <w:b/>
        </w:rPr>
        <w:t xml:space="preserve">1. </w:t>
      </w:r>
      <w:r>
        <w:rPr>
          <w:rFonts w:ascii="Palatino Linotype" w:eastAsia="Palatino Linotype" w:hAnsi="Palatino Linotype" w:cs="Palatino Linotype"/>
        </w:rPr>
        <w:t xml:space="preserve">Con fecha dieciocho de agosto de dos mil veintiuno,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la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requiriendo lo siguiente:</w:t>
      </w:r>
    </w:p>
    <w:p w:rsidR="007C6440" w:rsidRDefault="003E543A">
      <w:pPr>
        <w:spacing w:before="240" w:after="240"/>
        <w:ind w:left="851" w:right="1580"/>
        <w:jc w:val="both"/>
        <w:rPr>
          <w:rFonts w:ascii="Palatino Linotype" w:eastAsia="Palatino Linotype" w:hAnsi="Palatino Linotype" w:cs="Palatino Linotype"/>
          <w:i/>
        </w:rPr>
      </w:pPr>
      <w:r>
        <w:rPr>
          <w:rFonts w:ascii="Palatino Linotype" w:eastAsia="Palatino Linotype" w:hAnsi="Palatino Linotype" w:cs="Palatino Linotype"/>
          <w:i/>
        </w:rPr>
        <w:t>“En el periodo comprendido entre el 01 de enero del año 2021 al 26 de febrero de 2021, requiero la versión pública de todos y cada uno de los expedientes derivados del concepto de traslado de dominio; En caso de no existir literalmente un expediente, en el mismo periodo (01 de enero del año 2021 al 26 de febrero de 2021) requiero la versión pública de los traslados de dominio concluidos por concepto de adquisición de inmuebles en todas sus modalidades.” (sic)</w:t>
      </w:r>
    </w:p>
    <w:p w:rsidR="007C6440" w:rsidRDefault="007C6440">
      <w:pPr>
        <w:spacing w:before="240" w:after="240"/>
        <w:ind w:left="851" w:right="332"/>
        <w:jc w:val="both"/>
        <w:rPr>
          <w:rFonts w:ascii="Palatino Linotype" w:eastAsia="Palatino Linotype" w:hAnsi="Palatino Linotype" w:cs="Palatino Linotype"/>
          <w:b/>
          <w:i/>
        </w:rPr>
      </w:pPr>
    </w:p>
    <w:p w:rsidR="007C6440" w:rsidRDefault="003E543A">
      <w:pPr>
        <w:spacing w:before="240" w:after="240" w:line="360" w:lineRule="auto"/>
        <w:ind w:right="332"/>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de la información: </w:t>
      </w:r>
      <w:r>
        <w:rPr>
          <w:rFonts w:ascii="Palatino Linotype" w:eastAsia="Palatino Linotype" w:hAnsi="Palatino Linotype" w:cs="Palatino Linotype"/>
        </w:rPr>
        <w:t>A través del</w:t>
      </w:r>
      <w:r>
        <w:rPr>
          <w:rFonts w:ascii="Palatino Linotype" w:eastAsia="Palatino Linotype" w:hAnsi="Palatino Linotype" w:cs="Palatino Linotype"/>
          <w:b/>
        </w:rPr>
        <w:t xml:space="preserve"> SAIMEX.</w:t>
      </w:r>
    </w:p>
    <w:p w:rsidR="007C6440" w:rsidRDefault="003E543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Con base en el detalle de seguimiento que obra en 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omitió dar contestación a la solicitud de acceso a la información pública, tal y como se aprecia a continuación:</w:t>
      </w:r>
      <w:r>
        <w:rPr>
          <w:rFonts w:ascii="Palatino Linotype" w:eastAsia="Palatino Linotype" w:hAnsi="Palatino Linotype" w:cs="Palatino Linotype"/>
          <w:b/>
        </w:rPr>
        <w:t xml:space="preserve"> </w:t>
      </w:r>
    </w:p>
    <w:p w:rsidR="007C6440" w:rsidRDefault="003E543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extent cx="6038850" cy="714375"/>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038850" cy="714375"/>
                    </a:xfrm>
                    <a:prstGeom prst="rect">
                      <a:avLst/>
                    </a:prstGeom>
                    <a:ln/>
                  </pic:spPr>
                </pic:pic>
              </a:graphicData>
            </a:graphic>
          </wp:inline>
        </w:drawing>
      </w:r>
    </w:p>
    <w:p w:rsidR="007C6440" w:rsidRDefault="003E543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Recurso de revisión. </w:t>
      </w:r>
      <w:r>
        <w:rPr>
          <w:rFonts w:ascii="Palatino Linotype" w:eastAsia="Palatino Linotype" w:hAnsi="Palatino Linotype" w:cs="Palatino Linotype"/>
        </w:rPr>
        <w:t>El recurso de revisión se interpuso a través del SAIMEX, en fecha trece de septiembre del año dos mil veintiuno, por parte del solicitante de información, quien expresó las siguientes manifestaciones:</w:t>
      </w:r>
    </w:p>
    <w:p w:rsidR="007C6440" w:rsidRDefault="003E543A">
      <w:pPr>
        <w:spacing w:before="240" w:after="240" w:line="360" w:lineRule="auto"/>
        <w:ind w:left="567"/>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7C6440" w:rsidRDefault="003E543A">
      <w:pPr>
        <w:spacing w:before="240" w:after="240"/>
        <w:ind w:left="567" w:right="1183"/>
        <w:jc w:val="both"/>
        <w:rPr>
          <w:rFonts w:ascii="Palatino Linotype" w:eastAsia="Palatino Linotype" w:hAnsi="Palatino Linotype" w:cs="Palatino Linotype"/>
        </w:rPr>
      </w:pPr>
      <w:r>
        <w:rPr>
          <w:rFonts w:ascii="Palatino Linotype" w:eastAsia="Palatino Linotype" w:hAnsi="Palatino Linotype" w:cs="Palatino Linotype"/>
          <w:i/>
        </w:rPr>
        <w:t xml:space="preserve">“Ante la negativa del sujeto obligado se interpone recurso de revisión siendo esto violatorio a derechos humanos” </w:t>
      </w:r>
      <w:r>
        <w:rPr>
          <w:rFonts w:ascii="Palatino Linotype" w:eastAsia="Palatino Linotype" w:hAnsi="Palatino Linotype" w:cs="Palatino Linotype"/>
          <w:i/>
          <w:sz w:val="22"/>
          <w:szCs w:val="22"/>
        </w:rPr>
        <w:t>(sic)</w:t>
      </w:r>
    </w:p>
    <w:p w:rsidR="007C6440" w:rsidRDefault="003E543A">
      <w:pPr>
        <w:spacing w:before="240" w:after="240" w:line="360" w:lineRule="auto"/>
        <w:ind w:left="567"/>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7C6440" w:rsidRDefault="003E543A">
      <w:pPr>
        <w:spacing w:before="240" w:after="240"/>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“Se viola un derecho humano como lo es la información pública consagrada en la constitución federal” (sic)</w:t>
      </w:r>
    </w:p>
    <w:p w:rsidR="007C6440" w:rsidRDefault="003E543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4. Trámite del Recurso de Revisión ante el Instituto.</w:t>
      </w:r>
    </w:p>
    <w:p w:rsidR="007C6440" w:rsidRDefault="003E543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a.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Pr>
          <w:rFonts w:ascii="Palatino Linotype" w:eastAsia="Palatino Linotype" w:hAnsi="Palatino Linotype" w:cs="Palatino Linotype"/>
          <w:b/>
        </w:rPr>
        <w:t>Comisionada</w:t>
      </w:r>
      <w:r>
        <w:rPr>
          <w:rFonts w:ascii="Palatino Linotype" w:eastAsia="Palatino Linotype" w:hAnsi="Palatino Linotype" w:cs="Palatino Linotype"/>
        </w:rPr>
        <w:t xml:space="preserv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para su análisis, estudio, elaboración del proyecto y presentación ante el Pleno de este Instituto.</w:t>
      </w:r>
    </w:p>
    <w:p w:rsidR="007C6440" w:rsidRDefault="003E543A">
      <w:pPr>
        <w:spacing w:before="240" w:after="240" w:line="360" w:lineRule="auto"/>
        <w:jc w:val="both"/>
      </w:pPr>
      <w:r>
        <w:rPr>
          <w:rFonts w:ascii="Palatino Linotype" w:eastAsia="Palatino Linotype" w:hAnsi="Palatino Linotype" w:cs="Palatino Linotype"/>
          <w:b/>
        </w:rPr>
        <w:lastRenderedPageBreak/>
        <w:t xml:space="preserve">b. Admisión. </w:t>
      </w:r>
      <w:r>
        <w:rPr>
          <w:rFonts w:ascii="Palatino Linotype" w:eastAsia="Palatino Linotype" w:hAnsi="Palatino Linotype" w:cs="Palatino Linotype"/>
        </w:rPr>
        <w:t xml:space="preserve">Mediante auto de fecha diecisiete de septiembre de dos mil veintiuno, este Órgano Garante, admitió a trámite el recurso de revisión respectivo, poniéndose a disposición de las partes, para que un plazo no mayor a siete días hábiles manifestaran lo que a su derecho corresponda, a efecto de ofrecer pruebas, informe justificado y alegatos, lo anterior con fundamento en el artículo 185 fracciones I, II y IV de la Ley de Transparencia y Acceso a la Información Pública del Estado de México y Municipios. </w:t>
      </w:r>
    </w:p>
    <w:p w:rsidR="007C6440" w:rsidRDefault="003E543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 Manifestaciones.</w:t>
      </w:r>
      <w:r>
        <w:t xml:space="preserve"> </w:t>
      </w:r>
      <w:r>
        <w:rPr>
          <w:rFonts w:ascii="Palatino Linotype" w:eastAsia="Palatino Linotype" w:hAnsi="Palatino Linotype" w:cs="Palatino Linotype"/>
        </w:rPr>
        <w:t>De las constancias del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se observa que las partes</w:t>
      </w:r>
      <w:r>
        <w:rPr>
          <w:rFonts w:ascii="Palatino Linotype" w:eastAsia="Palatino Linotype" w:hAnsi="Palatino Linotype" w:cs="Palatino Linotype"/>
          <w:b/>
          <w:i/>
        </w:rPr>
        <w:t xml:space="preserve"> </w:t>
      </w:r>
      <w:r>
        <w:rPr>
          <w:rFonts w:ascii="Palatino Linotype" w:eastAsia="Palatino Linotype" w:hAnsi="Palatino Linotype" w:cs="Palatino Linotype"/>
        </w:rPr>
        <w:t>fueron omisas en presentar sus alegatos o manifestaciones que a su derecho correspondieran, en plazo previsto para ello.</w:t>
      </w:r>
    </w:p>
    <w:p w:rsidR="007C6440" w:rsidRDefault="003E543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extent cx="6038850" cy="1571625"/>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6038850" cy="1571625"/>
                    </a:xfrm>
                    <a:prstGeom prst="rect">
                      <a:avLst/>
                    </a:prstGeom>
                    <a:ln/>
                  </pic:spPr>
                </pic:pic>
              </a:graphicData>
            </a:graphic>
          </wp:inline>
        </w:drawing>
      </w:r>
    </w:p>
    <w:p w:rsidR="007C6440" w:rsidRDefault="003E543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d. Cierre de Instrucción. </w:t>
      </w:r>
      <w:r>
        <w:rPr>
          <w:rFonts w:ascii="Palatino Linotype" w:eastAsia="Palatino Linotype" w:hAnsi="Palatino Linotype" w:cs="Palatino Linotype"/>
        </w:rPr>
        <w:t>Una vez transcurrido el plazo otorgado para que las partes manifestaran lo que a su derecho conviniera, y siguiendo los trámites correspondientes con fundamento en el artículo 185 fracción VI de la Ley de Transparencia y Acceso a la Información Pública del Estado de México y Municipios, el día veintinueve de diciembre de dos mil veintiuno, se procedió a decretar el cierre de instrucción respectivo y no existiendo diligencia pendiente de desahogo, se ordenó emitir la resolución que conforme a derecho proceda.</w:t>
      </w:r>
    </w:p>
    <w:p w:rsidR="007C6440" w:rsidRDefault="003E543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e. Resolución del Recurso de Revisión.  04679/INFOEM/IP/RR/2021</w:t>
      </w:r>
    </w:p>
    <w:p w:rsidR="007C6440" w:rsidRDefault="003E543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El veintisiete de octubre de dos mil veintiuno, el Pleno del Instituto de Transparencia, Accesos la Información Pública y Protección de Datos Personales del Estado de México y Municipios, durante la Trigésima Octava Sesión Ordinaria, aprobó por unanimidad de votos, la Resolución del Recurso de Revisión, en la cual se determinó lo siguiente:</w:t>
      </w:r>
    </w:p>
    <w:p w:rsidR="007C6440" w:rsidRDefault="003E543A">
      <w:pPr>
        <w:spacing w:before="240" w:after="240"/>
        <w:ind w:left="426"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“Primero. Resultan fundados los motivos de inconformidad que arguye el recurrente, en términos del Considerando Cuarto de la presente resolución. </w:t>
      </w:r>
    </w:p>
    <w:p w:rsidR="007C6440" w:rsidRDefault="003E543A">
      <w:pPr>
        <w:spacing w:before="240" w:after="240"/>
        <w:ind w:left="426"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Segundo. Se ORDENA al SUJETO OBLIGADO dé trámite a la solicitud de acceso a la información pública 00158/CHICOLOA/IP/2021, que dio origen al recurso de revisión, vía Sistema de Acceso a la Información Mexiquense (SAIMEX), en términos del Considerando Cuarto de esta resolución y emita respuesta, debiendo observar las excepciones contenidas en la Ley de Transparencia y Acceso a la Información Pública del Estado de México y Municipios.</w:t>
      </w:r>
    </w:p>
    <w:p w:rsidR="007C6440" w:rsidRDefault="003E543A">
      <w:pPr>
        <w:spacing w:before="240" w:after="240"/>
        <w:ind w:left="426"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Tercero. Notifíquese al Titular de la Unidad de Transparencia del SUJETO OBLIGADO,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7C6440" w:rsidRDefault="003E543A">
      <w:pPr>
        <w:spacing w:before="240" w:after="240"/>
        <w:ind w:left="426"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Cuarto. Hágase del conocimiento del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7C6440" w:rsidRDefault="003E543A">
      <w:pPr>
        <w:spacing w:before="240" w:after="240"/>
        <w:ind w:left="426"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Quinto. Hágase del conocimiento del RECURRENTE 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7C6440" w:rsidRDefault="003E543A">
      <w:pPr>
        <w:spacing w:before="240" w:after="240"/>
        <w:ind w:left="426"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Sexto. Gírese oficio al Contralor Interno de este Instituto para que actúe en razón de su competencia, en términos de lo expuesto en el Considerando Cuarto de la presente resolución.</w:t>
      </w:r>
    </w:p>
    <w:p w:rsidR="007C6440" w:rsidRDefault="003E543A">
      <w:pPr>
        <w:spacing w:before="240" w:after="240"/>
        <w:ind w:left="426"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Séptimo.- 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 (Sic)</w:t>
      </w:r>
    </w:p>
    <w:p w:rsidR="007C6440" w:rsidRDefault="003E543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f) Notificación de la Resolución del Recurso de Revisión 04679/INFOEM/IP/RR/2021. </w:t>
      </w:r>
    </w:p>
    <w:p w:rsidR="007C6440" w:rsidRDefault="003E54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veintinueve de octubre de dos mil veintiuno, se notificó por medio del Sistema de Acceso a la Información Mexiquense (SAIMEX), a las partes, la resolución del Medio de Impugnación previamente referido.</w:t>
      </w:r>
    </w:p>
    <w:p w:rsidR="007C6440" w:rsidRDefault="007C6440">
      <w:pPr>
        <w:spacing w:line="360" w:lineRule="auto"/>
        <w:jc w:val="both"/>
        <w:rPr>
          <w:rFonts w:ascii="Palatino Linotype" w:eastAsia="Palatino Linotype" w:hAnsi="Palatino Linotype" w:cs="Palatino Linotype"/>
          <w:b/>
        </w:rPr>
      </w:pPr>
    </w:p>
    <w:p w:rsidR="007C6440" w:rsidRDefault="003E543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 Cumplimiento la Resolución del Recurso de Revisión 04679/INFOEM/IP/RR/2021.</w:t>
      </w:r>
    </w:p>
    <w:p w:rsidR="007C6440" w:rsidRDefault="007C6440">
      <w:pPr>
        <w:spacing w:line="360" w:lineRule="auto"/>
        <w:jc w:val="both"/>
        <w:rPr>
          <w:rFonts w:ascii="Palatino Linotype" w:eastAsia="Palatino Linotype" w:hAnsi="Palatino Linotype" w:cs="Palatino Linotype"/>
          <w:b/>
        </w:rPr>
      </w:pPr>
    </w:p>
    <w:p w:rsidR="007C6440" w:rsidRDefault="003E54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diecisiete de noviembre de dos mil veintiuno, el Director de Cumplimientos emitió el acuerdo de incumplimiento al Recurso de Revisión </w:t>
      </w:r>
      <w:r>
        <w:rPr>
          <w:rFonts w:ascii="Palatino Linotype" w:eastAsia="Palatino Linotype" w:hAnsi="Palatino Linotype" w:cs="Palatino Linotype"/>
          <w:b/>
        </w:rPr>
        <w:t>04679/INFOEM/IP/RR/2021</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Ayuntamiento de Chicoloapan, mismo que fue notificado a las partes, el día dieciocho de noviembre de dos mil veintiuno, a través del Sistema de Acceso a la Información Mexiquense (SAIMEX).</w:t>
      </w:r>
    </w:p>
    <w:p w:rsidR="007C6440" w:rsidRDefault="007C6440">
      <w:pPr>
        <w:spacing w:line="360" w:lineRule="auto"/>
        <w:jc w:val="both"/>
        <w:rPr>
          <w:rFonts w:ascii="Palatino Linotype" w:eastAsia="Palatino Linotype" w:hAnsi="Palatino Linotype" w:cs="Palatino Linotype"/>
        </w:rPr>
      </w:pPr>
    </w:p>
    <w:p w:rsidR="007C6440" w:rsidRDefault="003E54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el artículo 186, último párrafo de la Ley de Transparencia y Acceso a la Información Pública del Estado de México y Municipios,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debió dar cumplimiento a la Resolución del Recurso de Revisión </w:t>
      </w:r>
      <w:r>
        <w:rPr>
          <w:rFonts w:ascii="Palatino Linotype" w:eastAsia="Palatino Linotype" w:hAnsi="Palatino Linotype" w:cs="Palatino Linotype"/>
          <w:b/>
        </w:rPr>
        <w:t>04679/INFOEM/IP/RR/2021</w:t>
      </w:r>
      <w:r>
        <w:rPr>
          <w:rFonts w:ascii="Palatino Linotype" w:eastAsia="Palatino Linotype" w:hAnsi="Palatino Linotype" w:cs="Palatino Linotype"/>
        </w:rPr>
        <w:t>; sin embargo, de las constancias que obran en el expediente electrónico del Sistema de Acceso a la Información Mexiquense (SAIMEX), se advierte que el Ayuntamiento de Chicoloapan, omitió realizar dicha acción.</w:t>
      </w:r>
    </w:p>
    <w:p w:rsidR="007C6440" w:rsidRDefault="003E543A">
      <w:pPr>
        <w:tabs>
          <w:tab w:val="center" w:pos="4560"/>
          <w:tab w:val="left" w:pos="8207"/>
        </w:tabs>
        <w:spacing w:line="360" w:lineRule="auto"/>
        <w:rPr>
          <w:rFonts w:ascii="Palatino Linotype" w:eastAsia="Palatino Linotype" w:hAnsi="Palatino Linotype" w:cs="Palatino Linotype"/>
        </w:rPr>
      </w:pPr>
      <w:r>
        <w:rPr>
          <w:rFonts w:ascii="Palatino Linotype" w:eastAsia="Palatino Linotype" w:hAnsi="Palatino Linotype" w:cs="Palatino Linotype"/>
        </w:rPr>
        <w:tab/>
      </w:r>
      <w:r>
        <w:rPr>
          <w:rFonts w:ascii="Palatino Linotype" w:eastAsia="Palatino Linotype" w:hAnsi="Palatino Linotype" w:cs="Palatino Linotype"/>
        </w:rPr>
        <w:tab/>
      </w:r>
    </w:p>
    <w:p w:rsidR="007C6440" w:rsidRDefault="003E54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6. Turno a la contraloría. </w:t>
      </w:r>
      <w:r>
        <w:rPr>
          <w:rFonts w:ascii="Palatino Linotype" w:eastAsia="Palatino Linotype" w:hAnsi="Palatino Linotype" w:cs="Palatino Linotype"/>
        </w:rPr>
        <w:t>A través del</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Oficio número </w:t>
      </w:r>
      <w:r>
        <w:rPr>
          <w:rFonts w:ascii="Palatino Linotype" w:eastAsia="Palatino Linotype" w:hAnsi="Palatino Linotype" w:cs="Palatino Linotype"/>
          <w:b/>
        </w:rPr>
        <w:t xml:space="preserve">INFOEM/STP/DC/03294/2021 </w:t>
      </w:r>
      <w:r>
        <w:rPr>
          <w:rFonts w:ascii="Palatino Linotype" w:eastAsia="Palatino Linotype" w:hAnsi="Palatino Linotype" w:cs="Palatino Linotype"/>
        </w:rPr>
        <w:t xml:space="preserve">de fecha dieciocho de noviembre del dos mil veintiuno, suscrito por el Director de Cumplimientos, donde se señala que en términos del Acuerdo de fecha diecisiete de noviembre de dos mil veintiuno, en el expediente formado con motivo del seguimiento al cumplimiento de la Resolución dictada por el Pleno de este Instituto, en el Recurso de Revisión número </w:t>
      </w:r>
      <w:r>
        <w:rPr>
          <w:rFonts w:ascii="Palatino Linotype" w:eastAsia="Palatino Linotype" w:hAnsi="Palatino Linotype" w:cs="Palatino Linotype"/>
          <w:b/>
        </w:rPr>
        <w:t>04679/INFOEM/IP/RR/2021</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Pr>
          <w:rFonts w:ascii="Palatino Linotype" w:eastAsia="Palatino Linotype" w:hAnsi="Palatino Linotype" w:cs="Palatino Linotype"/>
          <w:b/>
        </w:rPr>
        <w:t>Ayuntamiento de Chicoloapan</w:t>
      </w:r>
      <w:r>
        <w:rPr>
          <w:rFonts w:ascii="Palatino Linotype" w:eastAsia="Palatino Linotype" w:hAnsi="Palatino Linotype" w:cs="Palatino Linotype"/>
        </w:rPr>
        <w:t xml:space="preserve"> se remiten las constancias documentales del expediente, a efecto de que, se impongan las medidas de apremio a que haya lugar, y para que de esa manera se asegure la entrega de la información al </w:t>
      </w:r>
      <w:r>
        <w:rPr>
          <w:rFonts w:ascii="Palatino Linotype" w:eastAsia="Palatino Linotype" w:hAnsi="Palatino Linotype" w:cs="Palatino Linotype"/>
          <w:b/>
        </w:rPr>
        <w:t>Recurrente</w:t>
      </w:r>
    </w:p>
    <w:p w:rsidR="007C6440" w:rsidRDefault="007C6440">
      <w:pPr>
        <w:spacing w:line="360" w:lineRule="auto"/>
        <w:jc w:val="both"/>
        <w:rPr>
          <w:rFonts w:ascii="Palatino Linotype" w:eastAsia="Palatino Linotype" w:hAnsi="Palatino Linotype" w:cs="Palatino Linotype"/>
          <w:b/>
        </w:rPr>
      </w:pPr>
    </w:p>
    <w:p w:rsidR="007C6440" w:rsidRDefault="003E543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7.  Interposición del Segundo Recurso de Revisión 04679/INFOEM/ICR-01/IP/RR/2021.</w:t>
      </w:r>
    </w:p>
    <w:p w:rsidR="007C6440" w:rsidRDefault="003E543A">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Con fecha diez de enero de dos mil veintidós, el Particular interpuso Recurso de Revisión en este Instituto, a través del Sistema de Acceso a la Información Mexiquense (SAIMEX), en contra de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cumplimiento a la Resolución referida en el Antecedente 4, inciso e)</w:t>
      </w:r>
      <w:r>
        <w:rPr>
          <w:rFonts w:ascii="Palatino Linotype" w:eastAsia="Palatino Linotype" w:hAnsi="Palatino Linotype" w:cs="Palatino Linotype"/>
          <w:b/>
        </w:rPr>
        <w:t xml:space="preserve">; </w:t>
      </w:r>
      <w:r>
        <w:rPr>
          <w:rFonts w:ascii="Palatino Linotype" w:eastAsia="Palatino Linotype" w:hAnsi="Palatino Linotype" w:cs="Palatino Linotype"/>
        </w:rPr>
        <w:t>en donde se agravió de lo siguiente</w:t>
      </w:r>
      <w:r>
        <w:rPr>
          <w:rFonts w:ascii="Palatino Linotype" w:eastAsia="Palatino Linotype" w:hAnsi="Palatino Linotype" w:cs="Palatino Linotype"/>
          <w:b/>
        </w:rPr>
        <w:t>:</w:t>
      </w:r>
    </w:p>
    <w:p w:rsidR="007C6440" w:rsidRDefault="007C6440">
      <w:pPr>
        <w:widowControl w:val="0"/>
        <w:spacing w:line="360" w:lineRule="auto"/>
        <w:jc w:val="both"/>
        <w:rPr>
          <w:rFonts w:ascii="Palatino Linotype" w:eastAsia="Palatino Linotype" w:hAnsi="Palatino Linotype" w:cs="Palatino Linotype"/>
          <w:b/>
        </w:rPr>
      </w:pPr>
    </w:p>
    <w:p w:rsidR="007C6440" w:rsidRDefault="003E543A">
      <w:pPr>
        <w:numPr>
          <w:ilvl w:val="0"/>
          <w:numId w:val="1"/>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Acto Impugnado</w:t>
      </w:r>
    </w:p>
    <w:p w:rsidR="007C6440" w:rsidRDefault="003E543A">
      <w:pPr>
        <w:ind w:left="567" w:right="101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negativa de no entregar la información requerida” (Sic.)</w:t>
      </w:r>
    </w:p>
    <w:p w:rsidR="007C6440" w:rsidRDefault="007C6440">
      <w:pPr>
        <w:spacing w:line="360" w:lineRule="auto"/>
        <w:ind w:left="567" w:right="567"/>
        <w:jc w:val="both"/>
        <w:rPr>
          <w:rFonts w:ascii="Palatino Linotype" w:eastAsia="Palatino Linotype" w:hAnsi="Palatino Linotype" w:cs="Palatino Linotype"/>
          <w:i/>
        </w:rPr>
      </w:pPr>
    </w:p>
    <w:p w:rsidR="007C6440" w:rsidRDefault="003E543A">
      <w:pPr>
        <w:numPr>
          <w:ilvl w:val="0"/>
          <w:numId w:val="1"/>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Razones o Motivos de la Inconformidad</w:t>
      </w:r>
    </w:p>
    <w:p w:rsidR="007C6440" w:rsidRDefault="003E543A">
      <w:pPr>
        <w:spacing w:line="360"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“se viola mi derecho humano al acceso a la información” (Sic)</w:t>
      </w:r>
    </w:p>
    <w:p w:rsidR="007C6440" w:rsidRDefault="007C6440">
      <w:pPr>
        <w:widowControl w:val="0"/>
        <w:spacing w:line="360" w:lineRule="auto"/>
        <w:jc w:val="both"/>
        <w:rPr>
          <w:rFonts w:ascii="Palatino Linotype" w:eastAsia="Palatino Linotype" w:hAnsi="Palatino Linotype" w:cs="Palatino Linotype"/>
          <w:b/>
        </w:rPr>
      </w:pPr>
    </w:p>
    <w:p w:rsidR="007C6440" w:rsidRDefault="003E543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8. Trámite del Recurso de Revisión con número 04679/INFOEM/ICR-01/IP/RR/2021 ante el Instituto.</w:t>
      </w:r>
    </w:p>
    <w:p w:rsidR="007C6440" w:rsidRDefault="007C6440">
      <w:pPr>
        <w:spacing w:line="360" w:lineRule="auto"/>
        <w:jc w:val="both"/>
        <w:rPr>
          <w:rFonts w:ascii="Palatino Linotype" w:eastAsia="Palatino Linotype" w:hAnsi="Palatino Linotype" w:cs="Palatino Linotype"/>
          <w:b/>
        </w:rPr>
      </w:pPr>
    </w:p>
    <w:p w:rsidR="007C6440" w:rsidRDefault="003E54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a) Turno del Recurso de Revisión. </w:t>
      </w:r>
      <w:r>
        <w:rPr>
          <w:rFonts w:ascii="Palatino Linotype" w:eastAsia="Palatino Linotype" w:hAnsi="Palatino Linotype" w:cs="Palatino Linotype"/>
        </w:rPr>
        <w:t xml:space="preserve">El recurso </w:t>
      </w:r>
      <w:r>
        <w:rPr>
          <w:rFonts w:ascii="Palatino Linotype" w:eastAsia="Palatino Linotype" w:hAnsi="Palatino Linotype" w:cs="Palatino Linotype"/>
          <w:b/>
        </w:rPr>
        <w:t xml:space="preserve">04679/INFOEM/ICR-01/IP/RR/2021, </w:t>
      </w:r>
      <w:r>
        <w:rPr>
          <w:rFonts w:ascii="Palatino Linotype" w:eastAsia="Palatino Linotype" w:hAnsi="Palatino Linotype" w:cs="Palatino Linotype"/>
        </w:rPr>
        <w:t xml:space="preserve">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w:t>
      </w:r>
      <w:r>
        <w:rPr>
          <w:rFonts w:ascii="Palatino Linotype" w:eastAsia="Palatino Linotype" w:hAnsi="Palatino Linotype" w:cs="Palatino Linotype"/>
          <w:b/>
        </w:rPr>
        <w:t>Comisionada Guadalupe Ramírez Peña</w:t>
      </w:r>
      <w:r>
        <w:rPr>
          <w:rFonts w:ascii="Palatino Linotype" w:eastAsia="Palatino Linotype" w:hAnsi="Palatino Linotype" w:cs="Palatino Linotype"/>
        </w:rPr>
        <w:t>, a efecto de decretar su admisión o desechamiento.</w:t>
      </w:r>
    </w:p>
    <w:p w:rsidR="007C6440" w:rsidRDefault="007C6440">
      <w:pPr>
        <w:spacing w:line="360" w:lineRule="auto"/>
        <w:jc w:val="both"/>
        <w:rPr>
          <w:rFonts w:ascii="Palatino Linotype" w:eastAsia="Palatino Linotype" w:hAnsi="Palatino Linotype" w:cs="Palatino Linotype"/>
        </w:rPr>
      </w:pPr>
    </w:p>
    <w:p w:rsidR="007C6440" w:rsidRDefault="003E543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b) Admisión del Recurso de Revisión. </w:t>
      </w:r>
      <w:r>
        <w:rPr>
          <w:rFonts w:ascii="Palatino Linotype" w:eastAsia="Palatino Linotype" w:hAnsi="Palatino Linotype" w:cs="Palatino Linotype"/>
        </w:rPr>
        <w:t xml:space="preserve">El trece de enero de dos mil veintidós, se acordó la admisión del Recurso de Revisión interpuesto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del </w:t>
      </w:r>
      <w:r>
        <w:rPr>
          <w:rFonts w:ascii="Palatino Linotype" w:eastAsia="Palatino Linotype" w:hAnsi="Palatino Linotype" w:cs="Palatino Linotype"/>
          <w:b/>
        </w:rPr>
        <w:t>Sujeto Obligado</w:t>
      </w:r>
      <w:r>
        <w:rPr>
          <w:rFonts w:ascii="Palatino Linotype" w:eastAsia="Palatino Linotype" w:hAnsi="Palatino Linotype" w:cs="Palatino Linotype"/>
        </w:rPr>
        <w:t>, en términos del artículo 185, fracciones I, II y IV de la Ley de Transparencia y Acceso a la Información Pública del Estado de México y Municipios, el cual fue notificado a las partes el catorce de enero de dos mil veintidós, a través del Sistema de Acceso a la Información Mexiquense (SAIMEX), en el que se les otorgó un plazo de siete días hábiles posteriores a la misma, para que manifestaran lo que a su derecho conviniera y formularan alegatos.</w:t>
      </w:r>
      <w:r>
        <w:rPr>
          <w:rFonts w:ascii="Palatino Linotype" w:eastAsia="Palatino Linotype" w:hAnsi="Palatino Linotype" w:cs="Palatino Linotype"/>
          <w:b/>
        </w:rPr>
        <w:t xml:space="preserve"> </w:t>
      </w:r>
    </w:p>
    <w:p w:rsidR="007C6440" w:rsidRDefault="007C6440">
      <w:pPr>
        <w:spacing w:line="360" w:lineRule="auto"/>
        <w:jc w:val="both"/>
        <w:rPr>
          <w:rFonts w:ascii="Palatino Linotype" w:eastAsia="Palatino Linotype" w:hAnsi="Palatino Linotype" w:cs="Palatino Linotype"/>
          <w:b/>
        </w:rPr>
      </w:pPr>
    </w:p>
    <w:p w:rsidR="007C6440" w:rsidRDefault="003E54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 Manifestaciones o Informe Justificado. </w:t>
      </w:r>
      <w:r>
        <w:rPr>
          <w:rFonts w:ascii="Palatino Linotype" w:eastAsia="Palatino Linotype" w:hAnsi="Palatino Linotype" w:cs="Palatino Linotype"/>
        </w:rPr>
        <w:t>De las constancias del expediente electrónico del SAIMEX, se observa que las partes fueron omisas en presentar sus alegatos o manifestaciones que a su derecho correspondieran, en plazo previsto para ello.</w:t>
      </w:r>
    </w:p>
    <w:p w:rsidR="007C6440" w:rsidRDefault="003E543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noProof/>
        </w:rPr>
        <w:drawing>
          <wp:inline distT="0" distB="0" distL="0" distR="0">
            <wp:extent cx="6038850" cy="1552575"/>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6038850" cy="1552575"/>
                    </a:xfrm>
                    <a:prstGeom prst="rect">
                      <a:avLst/>
                    </a:prstGeom>
                    <a:ln/>
                  </pic:spPr>
                </pic:pic>
              </a:graphicData>
            </a:graphic>
          </wp:inline>
        </w:drawing>
      </w:r>
    </w:p>
    <w:p w:rsidR="007C6440" w:rsidRDefault="007C6440">
      <w:pPr>
        <w:spacing w:line="360" w:lineRule="auto"/>
        <w:jc w:val="both"/>
        <w:rPr>
          <w:rFonts w:ascii="Palatino Linotype" w:eastAsia="Palatino Linotype" w:hAnsi="Palatino Linotype" w:cs="Palatino Linotype"/>
          <w:b/>
        </w:rPr>
      </w:pPr>
    </w:p>
    <w:p w:rsidR="007C6440" w:rsidRDefault="003E54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d) Ampliación del plazo para emitir resolución. </w:t>
      </w:r>
      <w:r>
        <w:rPr>
          <w:rFonts w:ascii="Palatino Linotype" w:eastAsia="Palatino Linotype" w:hAnsi="Palatino Linotype" w:cs="Palatino Linotype"/>
        </w:rPr>
        <w:t>El veinticinco de febrero de dos mil veintidós, se notificó a las partes el Acuerdo de Ampliación de Plazo para resolver el medio de impugnación que nos ocupa, en términos de lo dispuesto por el artículo 181, párrafo tercero de la Ley de Transparencia y Acceso a la Información Pública del Estado de México y Municipios; lo anterior, dado el incremento en el número de recursos de revisión promovidos ante este Instituto de Transparencia, Acceso a la Información Pública y Protección de Datos Personales del Estado de México y Municipios y con la finalidad de realizar un análisis exhaustivo de las constancias que obran en el expediente electrónico, adoptando las medidas pertinentes, a fin de aminorar los efectos que conlleva.</w:t>
      </w:r>
    </w:p>
    <w:p w:rsidR="007C6440" w:rsidRDefault="007C6440">
      <w:pPr>
        <w:spacing w:line="360" w:lineRule="auto"/>
        <w:jc w:val="both"/>
        <w:rPr>
          <w:rFonts w:ascii="Palatino Linotype" w:eastAsia="Palatino Linotype" w:hAnsi="Palatino Linotype" w:cs="Palatino Linotype"/>
          <w:b/>
        </w:rPr>
      </w:pPr>
    </w:p>
    <w:p w:rsidR="007C6440" w:rsidRDefault="003E54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e) Cierre de instrucción.</w:t>
      </w:r>
      <w:r>
        <w:rPr>
          <w:rFonts w:ascii="Palatino Linotype" w:eastAsia="Palatino Linotype" w:hAnsi="Palatino Linotype" w:cs="Palatino Linotype"/>
        </w:rPr>
        <w:t xml:space="preserve"> El tres de marzo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(SAIMEX). </w:t>
      </w:r>
    </w:p>
    <w:p w:rsidR="007C6440" w:rsidRDefault="007C6440">
      <w:pPr>
        <w:spacing w:line="360" w:lineRule="auto"/>
        <w:jc w:val="both"/>
        <w:rPr>
          <w:rFonts w:ascii="Palatino Linotype" w:eastAsia="Palatino Linotype" w:hAnsi="Palatino Linotype" w:cs="Palatino Linotype"/>
          <w:b/>
        </w:rPr>
      </w:pPr>
    </w:p>
    <w:p w:rsidR="007C6440" w:rsidRDefault="003E54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a los siguientes: </w:t>
      </w:r>
    </w:p>
    <w:p w:rsidR="007C6440" w:rsidRDefault="007C6440">
      <w:pPr>
        <w:spacing w:line="360" w:lineRule="auto"/>
        <w:jc w:val="both"/>
        <w:rPr>
          <w:rFonts w:ascii="Palatino Linotype" w:eastAsia="Palatino Linotype" w:hAnsi="Palatino Linotype" w:cs="Palatino Linotype"/>
        </w:rPr>
      </w:pPr>
    </w:p>
    <w:p w:rsidR="007C6440" w:rsidRDefault="003E543A">
      <w:pPr>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C O N S I D E R A N D O S:</w:t>
      </w:r>
    </w:p>
    <w:p w:rsidR="007C6440" w:rsidRDefault="007C6440">
      <w:pPr>
        <w:spacing w:line="360" w:lineRule="auto"/>
        <w:jc w:val="both"/>
        <w:rPr>
          <w:rFonts w:ascii="Palatino Linotype" w:eastAsia="Palatino Linotype" w:hAnsi="Palatino Linotype" w:cs="Palatino Linotype"/>
          <w:b/>
        </w:rPr>
      </w:pPr>
    </w:p>
    <w:p w:rsidR="007C6440" w:rsidRDefault="003E54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Primero. De la competencia</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7C6440" w:rsidRDefault="007C6440">
      <w:pPr>
        <w:spacing w:line="360" w:lineRule="auto"/>
        <w:jc w:val="both"/>
        <w:rPr>
          <w:rFonts w:ascii="Palatino Linotype" w:eastAsia="Palatino Linotype" w:hAnsi="Palatino Linotype" w:cs="Palatino Linotype"/>
        </w:rPr>
      </w:pPr>
    </w:p>
    <w:p w:rsidR="007C6440" w:rsidRDefault="003E543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Segundo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 xml:space="preserve"> De los alcances del Recurso de Revisión. </w:t>
      </w:r>
      <w:r>
        <w:rPr>
          <w:rFonts w:ascii="Palatino Linotype" w:eastAsia="Palatino Linotype" w:hAnsi="Palatino Linotype" w:cs="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C6440" w:rsidRDefault="007C6440">
      <w:pPr>
        <w:spacing w:line="360" w:lineRule="auto"/>
        <w:jc w:val="both"/>
        <w:rPr>
          <w:rFonts w:ascii="Palatino Linotype" w:eastAsia="Palatino Linotype" w:hAnsi="Palatino Linotype" w:cs="Palatino Linotype"/>
          <w:b/>
        </w:rPr>
      </w:pPr>
    </w:p>
    <w:p w:rsidR="007C6440" w:rsidRDefault="003E543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Del estudio de las causas de improcedencia. </w:t>
      </w:r>
      <w:r>
        <w:rPr>
          <w:rFonts w:ascii="Palatino Linotype" w:eastAsia="Palatino Linotype" w:hAnsi="Palatino Linotype" w:cs="Palatino Linotype"/>
        </w:rPr>
        <w:t xml:space="preserve">El estudio de las causas de improcedencia que se hagan valer por las partes o que se advierta de oficio por este Instituto deben ser objeto de análisis previo al estudio de fondo del asunto ya que el estudio de los presupuestos procesales sobre el inicio o trámite de un proceso genera eficacia </w:t>
      </w:r>
      <w:r>
        <w:rPr>
          <w:rFonts w:ascii="Palatino Linotype" w:eastAsia="Palatino Linotype" w:hAnsi="Palatino Linotype" w:cs="Palatino Linotype"/>
        </w:rPr>
        <w:lastRenderedPageBreak/>
        <w:t>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7C6440" w:rsidRDefault="003E543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Una vez realizado el estudio de las constancias que integran el expediente en que se actúa, se desprende lo siguiente:</w:t>
      </w:r>
    </w:p>
    <w:p w:rsidR="007C6440" w:rsidRDefault="003E543A">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ahora Recurrente, a través de su solicitud de acceso a la información, requirió:</w:t>
      </w:r>
    </w:p>
    <w:p w:rsidR="007C6440" w:rsidRDefault="007C6440">
      <w:pPr>
        <w:spacing w:line="360" w:lineRule="auto"/>
        <w:jc w:val="both"/>
        <w:rPr>
          <w:rFonts w:ascii="Palatino Linotype" w:eastAsia="Palatino Linotype" w:hAnsi="Palatino Linotype" w:cs="Palatino Linotype"/>
          <w:b/>
        </w:rPr>
      </w:pPr>
    </w:p>
    <w:p w:rsidR="007C6440" w:rsidRDefault="003E543A">
      <w:pPr>
        <w:tabs>
          <w:tab w:val="left" w:pos="4962"/>
        </w:tabs>
        <w:spacing w:line="360" w:lineRule="auto"/>
        <w:ind w:left="567" w:right="1154"/>
        <w:jc w:val="both"/>
        <w:rPr>
          <w:rFonts w:ascii="Palatino Linotype" w:eastAsia="Palatino Linotype" w:hAnsi="Palatino Linotype" w:cs="Palatino Linotype"/>
        </w:rPr>
      </w:pPr>
      <w:r>
        <w:rPr>
          <w:rFonts w:ascii="Palatino Linotype" w:eastAsia="Palatino Linotype" w:hAnsi="Palatino Linotype" w:cs="Palatino Linotype"/>
        </w:rPr>
        <w:t xml:space="preserve">En el periodo comprendido entre el 01 de enero del año 2021 al 26 de febrero de 2021, requiero </w:t>
      </w:r>
      <w:r>
        <w:rPr>
          <w:rFonts w:ascii="Palatino Linotype" w:eastAsia="Palatino Linotype" w:hAnsi="Palatino Linotype" w:cs="Palatino Linotype"/>
          <w:b/>
          <w:u w:val="single"/>
        </w:rPr>
        <w:t>la versión pública de todos y cada uno de los expedientes derivados del concepto de traslado de dominio</w:t>
      </w:r>
      <w:r>
        <w:rPr>
          <w:rFonts w:ascii="Palatino Linotype" w:eastAsia="Palatino Linotype" w:hAnsi="Palatino Linotype" w:cs="Palatino Linotype"/>
        </w:rPr>
        <w:t>; En caso de no existir literalmente un expediente, en el mismo periodo (01 de enero del año 2021 al 26 de febrero de 2021) requiero la versión pública de los traslados de dominio concluidos por concepto de adquisición de inmuebles en todas sus modalidades.</w:t>
      </w:r>
    </w:p>
    <w:p w:rsidR="007C6440" w:rsidRDefault="007C6440">
      <w:pPr>
        <w:tabs>
          <w:tab w:val="left" w:pos="4962"/>
        </w:tabs>
        <w:spacing w:line="360" w:lineRule="auto"/>
        <w:jc w:val="both"/>
        <w:rPr>
          <w:rFonts w:ascii="Palatino Linotype" w:eastAsia="Palatino Linotype" w:hAnsi="Palatino Linotype" w:cs="Palatino Linotype"/>
          <w:sz w:val="22"/>
          <w:szCs w:val="22"/>
        </w:rPr>
      </w:pPr>
    </w:p>
    <w:p w:rsidR="007C6440" w:rsidRDefault="003E543A">
      <w:pPr>
        <w:tabs>
          <w:tab w:val="left" w:pos="4962"/>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Ante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justamente se inconformó por la negativa de no entregar la información requerida, lo cual actualiza el supuesto previsto en el artículo 179, fracción VII, de la Ley de Transparencia y Acceso a la Información Pública del Estado de México y Municipios. Así las cosas, una vez admitido y notificado el Recurso de Revisión a las partes, </w:t>
      </w:r>
      <w:r>
        <w:rPr>
          <w:rFonts w:ascii="Palatino Linotype" w:eastAsia="Palatino Linotype" w:hAnsi="Palatino Linotype" w:cs="Palatino Linotype"/>
          <w:b/>
        </w:rPr>
        <w:t>estas fueron omisas en emitir manifestaciones o alegatos.</w:t>
      </w:r>
    </w:p>
    <w:p w:rsidR="007C6440" w:rsidRDefault="007C6440">
      <w:pPr>
        <w:tabs>
          <w:tab w:val="left" w:pos="4962"/>
        </w:tabs>
        <w:spacing w:line="360" w:lineRule="auto"/>
        <w:jc w:val="both"/>
        <w:rPr>
          <w:rFonts w:ascii="Palatino Linotype" w:eastAsia="Palatino Linotype" w:hAnsi="Palatino Linotype" w:cs="Palatino Linotype"/>
          <w:b/>
        </w:rPr>
      </w:pPr>
    </w:p>
    <w:p w:rsidR="007C6440" w:rsidRDefault="003E543A">
      <w:pPr>
        <w:spacing w:line="360" w:lineRule="auto"/>
        <w:ind w:right="-93"/>
        <w:jc w:val="both"/>
        <w:rPr>
          <w:rFonts w:ascii="Palatino Linotype" w:eastAsia="Palatino Linotype" w:hAnsi="Palatino Linotype" w:cs="Palatino Linotype"/>
          <w:b/>
        </w:rPr>
      </w:pPr>
      <w:r>
        <w:rPr>
          <w:rFonts w:ascii="Palatino Linotype" w:eastAsia="Palatino Linotype" w:hAnsi="Palatino Linotype" w:cs="Palatino Linotype"/>
          <w:b/>
        </w:rPr>
        <w:t xml:space="preserve">Agotado lo anterior,  </w:t>
      </w:r>
      <w:r>
        <w:rPr>
          <w:rFonts w:ascii="Palatino Linotype" w:eastAsia="Palatino Linotype" w:hAnsi="Palatino Linotype" w:cs="Palatino Linotype"/>
        </w:rPr>
        <w:t xml:space="preserve">tenemos que  el artículo 6°, Apartado A), fracción I de la Constitución Política de los Estados Unidos Mexicanos, establece que toda la información en posesión de cualquier autoridad es pública y sólo podrá ser reservada temporalmente por razones de interés público. </w:t>
      </w:r>
    </w:p>
    <w:p w:rsidR="007C6440" w:rsidRDefault="007C6440">
      <w:pPr>
        <w:spacing w:line="360" w:lineRule="auto"/>
        <w:jc w:val="both"/>
        <w:rPr>
          <w:rFonts w:ascii="Palatino Linotype" w:eastAsia="Palatino Linotype" w:hAnsi="Palatino Linotype" w:cs="Palatino Linotype"/>
        </w:rPr>
      </w:pPr>
    </w:p>
    <w:p w:rsidR="007C6440" w:rsidRDefault="003E54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7C6440" w:rsidRDefault="007C6440">
      <w:pPr>
        <w:spacing w:line="360" w:lineRule="auto"/>
        <w:jc w:val="both"/>
        <w:rPr>
          <w:rFonts w:ascii="Palatino Linotype" w:eastAsia="Palatino Linotype" w:hAnsi="Palatino Linotype" w:cs="Palatino Linotype"/>
        </w:rPr>
      </w:pPr>
    </w:p>
    <w:p w:rsidR="007C6440" w:rsidRDefault="003E54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la Ley de Transparencia y Acceso a la Información Pública del Estado de México y Municipios (Reglamentaria del artículo 5° de la Constitución Local), establece lo siguiente:</w:t>
      </w:r>
    </w:p>
    <w:p w:rsidR="007C6440" w:rsidRDefault="007C6440">
      <w:pPr>
        <w:spacing w:line="360" w:lineRule="auto"/>
        <w:jc w:val="both"/>
        <w:rPr>
          <w:rFonts w:ascii="Palatino Linotype" w:eastAsia="Palatino Linotype" w:hAnsi="Palatino Linotype" w:cs="Palatino Linotype"/>
        </w:rPr>
      </w:pPr>
    </w:p>
    <w:p w:rsidR="007C6440" w:rsidRDefault="003E543A">
      <w:pPr>
        <w:numPr>
          <w:ilvl w:val="0"/>
          <w:numId w:val="11"/>
        </w:numPr>
        <w:pBdr>
          <w:top w:val="nil"/>
          <w:left w:val="nil"/>
          <w:bottom w:val="nil"/>
          <w:right w:val="nil"/>
          <w:between w:val="nil"/>
        </w:pBdr>
        <w:spacing w:line="360" w:lineRule="auto"/>
        <w:ind w:left="567" w:right="101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artículo </w:t>
      </w:r>
      <w:r>
        <w:rPr>
          <w:rFonts w:ascii="Palatino Linotype" w:eastAsia="Palatino Linotype" w:hAnsi="Palatino Linotype" w:cs="Palatino Linotype"/>
        </w:rPr>
        <w:t>12 dice que</w:t>
      </w:r>
      <w:r>
        <w:rPr>
          <w:rFonts w:ascii="Palatino Linotype" w:eastAsia="Palatino Linotype" w:hAnsi="Palatino Linotype" w:cs="Palatino Linotype"/>
          <w:color w:val="000000"/>
        </w:rPr>
        <w:t>, quienes generen, recopilen, administren, manejen, procesen, archiven o conserven información pública serán responsables de la misma.</w:t>
      </w:r>
    </w:p>
    <w:p w:rsidR="007C6440" w:rsidRDefault="007C6440">
      <w:pPr>
        <w:spacing w:line="360" w:lineRule="auto"/>
        <w:ind w:left="567" w:right="1013"/>
        <w:jc w:val="both"/>
        <w:rPr>
          <w:rFonts w:ascii="Palatino Linotype" w:eastAsia="Palatino Linotype" w:hAnsi="Palatino Linotype" w:cs="Palatino Linotype"/>
        </w:rPr>
      </w:pPr>
    </w:p>
    <w:p w:rsidR="007C6440" w:rsidRDefault="003E543A">
      <w:pPr>
        <w:numPr>
          <w:ilvl w:val="0"/>
          <w:numId w:val="11"/>
        </w:numPr>
        <w:pBdr>
          <w:top w:val="nil"/>
          <w:left w:val="nil"/>
          <w:bottom w:val="nil"/>
          <w:right w:val="nil"/>
          <w:between w:val="nil"/>
        </w:pBdr>
        <w:spacing w:line="360" w:lineRule="auto"/>
        <w:ind w:left="567" w:right="101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artículo 18, que, los Sujetos Obligados deberán documentar todo acto que derive del ejercicio de sus facultades, competencias o funciones, considerando desde su origen la eventual publicidad y reutilización de la información que generen.</w:t>
      </w:r>
    </w:p>
    <w:p w:rsidR="007C6440" w:rsidRDefault="007C6440">
      <w:pPr>
        <w:spacing w:line="360" w:lineRule="auto"/>
        <w:jc w:val="both"/>
        <w:rPr>
          <w:rFonts w:ascii="Palatino Linotype" w:eastAsia="Palatino Linotype" w:hAnsi="Palatino Linotype" w:cs="Palatino Linotype"/>
        </w:rPr>
      </w:pPr>
    </w:p>
    <w:p w:rsidR="007C6440" w:rsidRDefault="003E543A">
      <w:pPr>
        <w:numPr>
          <w:ilvl w:val="0"/>
          <w:numId w:val="11"/>
        </w:numPr>
        <w:pBdr>
          <w:top w:val="nil"/>
          <w:left w:val="nil"/>
          <w:bottom w:val="nil"/>
          <w:right w:val="nil"/>
          <w:between w:val="nil"/>
        </w:pBdr>
        <w:spacing w:line="360" w:lineRule="auto"/>
        <w:ind w:left="567" w:right="101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C6440" w:rsidRDefault="003E543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resulta claro, que al no existir pronunciamiento y/o entrega de la información solicitada, se tiene certeza de que el</w:t>
      </w:r>
      <w:r>
        <w:rPr>
          <w:rFonts w:ascii="Verdana" w:eastAsia="Verdana" w:hAnsi="Verdana" w:cs="Verdana"/>
          <w:sz w:val="14"/>
          <w:szCs w:val="14"/>
        </w:rPr>
        <w:t xml:space="preserve">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no cumplió con el deber de dar acceso a la información pública resultando fundado el motivo de inconformidad.</w:t>
      </w:r>
    </w:p>
    <w:p w:rsidR="007C6440" w:rsidRDefault="003E543A">
      <w:pPr>
        <w:spacing w:before="280" w:after="28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ante la omisión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es necesario estudiar la competencia de la Unidad Administrativa que por sus funciones, genere, posea o administre la información que le fue solicitada.</w:t>
      </w:r>
    </w:p>
    <w:p w:rsidR="007C6440" w:rsidRDefault="003E543A">
      <w:pPr>
        <w:spacing w:before="280" w:after="28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En primera instancia debe destacarse que el Código Financiero del Estado de México y Municipios, establece en su artículo 9, fracción I, de la clasificación de las contribuciones entre las que se encuentran los impuestos, los cuales deben pagar las personas físicas y jurídicas colectivas, que se encuentren en la situación jurídica o de hecho prevista por el citado ordenamiento.</w:t>
      </w:r>
    </w:p>
    <w:p w:rsidR="007C6440" w:rsidRDefault="003E543A">
      <w:pPr>
        <w:spacing w:before="280" w:after="28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 xml:space="preserve">Así tenemos, que dicho ordenamiento establece dentro de los impuestos se encuentra el que deriva de las operaciones traslativas de dominio, el cual se encuentra regulado en la Sección Segunda denominada “DEL IMPUESTO SOBRE ADQUISICIÓN DE INMUEBLES Y OTRAS OPERACIONES TRASLATIVAS DE DOMINIO DE INMUEBLES”, y que en específico en su artículo 113 prevé que están obligadas al pago de este impuesto las personas </w:t>
      </w:r>
      <w:r>
        <w:rPr>
          <w:rFonts w:ascii="Palatino Linotype" w:eastAsia="Palatino Linotype" w:hAnsi="Palatino Linotype" w:cs="Palatino Linotype"/>
        </w:rPr>
        <w:lastRenderedPageBreak/>
        <w:t>físicas y jurídicas colectivas que adquieran inmuebles ubicados en el Estado de México, así como los derechos relacionados con los mismos.</w:t>
      </w:r>
    </w:p>
    <w:p w:rsidR="007C6440" w:rsidRDefault="003E543A">
      <w:pPr>
        <w:spacing w:before="280" w:after="280" w:line="360" w:lineRule="auto"/>
        <w:ind w:right="-91"/>
        <w:jc w:val="both"/>
      </w:pPr>
      <w:r>
        <w:rPr>
          <w:rFonts w:ascii="Palatino Linotype" w:eastAsia="Palatino Linotype" w:hAnsi="Palatino Linotype" w:cs="Palatino Linotype"/>
        </w:rPr>
        <w:t>Por su parte el artículo 116 del mismo instrumento legal, contiene el plazo, supuestos y requisitos relacionados con dicho trámite:</w:t>
      </w:r>
      <w:r>
        <w:t xml:space="preserve"> </w:t>
      </w:r>
    </w:p>
    <w:p w:rsidR="007C6440" w:rsidRDefault="003E543A">
      <w:pPr>
        <w:spacing w:before="280" w:after="28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116.- El pago del impuesto deberá hacerse dentro de los diecisiete días siguientes a aquél en que se realice cualesquiera de los supuestos de adquisición, mediante declaración, que se presente en la forma oficial autorizada; y en todo caso</w:t>
      </w:r>
      <w:r>
        <w:rPr>
          <w:rFonts w:ascii="Palatino Linotype" w:eastAsia="Palatino Linotype" w:hAnsi="Palatino Linotype" w:cs="Palatino Linotype"/>
          <w:i/>
          <w:sz w:val="22"/>
          <w:szCs w:val="22"/>
        </w:rPr>
        <w:t xml:space="preserve">: </w:t>
      </w:r>
    </w:p>
    <w:p w:rsidR="007C6440" w:rsidRDefault="003E543A">
      <w:pPr>
        <w:numPr>
          <w:ilvl w:val="0"/>
          <w:numId w:val="2"/>
        </w:numPr>
        <w:pBdr>
          <w:top w:val="nil"/>
          <w:left w:val="nil"/>
          <w:bottom w:val="nil"/>
          <w:right w:val="nil"/>
          <w:between w:val="nil"/>
        </w:pBdr>
        <w:spacing w:before="280" w:after="280"/>
        <w:ind w:left="567" w:right="1580" w:hanging="1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Cuando se constituya o adquiera el usufructo o la nuda propiedad, así como, cuando se extinga. </w:t>
      </w:r>
    </w:p>
    <w:p w:rsidR="007C6440" w:rsidRDefault="003E543A">
      <w:pPr>
        <w:numPr>
          <w:ilvl w:val="0"/>
          <w:numId w:val="2"/>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Cuando se trate de bienes de la sucesión a partir de la fecha en que se firme preventivamente la escritura de adjudicación. Al cederse los derechos hereditarios o al enajenarse bienes de la sucesión, el impuesto se causará en el momento en el que se realice la cesión o la enajenación, independientemente del que se cause por el cesionario o por el adquirente. </w:t>
      </w:r>
    </w:p>
    <w:p w:rsidR="007C6440" w:rsidRDefault="003E543A">
      <w:pPr>
        <w:numPr>
          <w:ilvl w:val="0"/>
          <w:numId w:val="2"/>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Cuando se realicen los supuestos de enajenación a través de fideicomiso. </w:t>
      </w:r>
    </w:p>
    <w:p w:rsidR="007C6440" w:rsidRDefault="003E543A">
      <w:pPr>
        <w:numPr>
          <w:ilvl w:val="0"/>
          <w:numId w:val="2"/>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 la fecha en que cause ejecutoria la sentencia de la prescripción positiva, a la de la resolución correspondiente, en los casos de información de dominio y de la resolución judicial o administrativa que apruebe el remate y la adjudicación correspondiente. </w:t>
      </w:r>
    </w:p>
    <w:p w:rsidR="007C6440" w:rsidRDefault="003E543A">
      <w:pPr>
        <w:numPr>
          <w:ilvl w:val="0"/>
          <w:numId w:val="2"/>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En los contratos de compraventa con reserva de dominio y promesa de venta, cuando se celebre el contrato respectivo. </w:t>
      </w:r>
    </w:p>
    <w:p w:rsidR="007C6440" w:rsidRDefault="003E543A">
      <w:pPr>
        <w:numPr>
          <w:ilvl w:val="0"/>
          <w:numId w:val="2"/>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En los contratos de arrendamiento financiero de bienes inmuebles, cuando se cedan los derechos respectivos o cuando la adquisición de los bienes materia del mismo la realice una persona distinta del arrendatario, o bien los arrendatarios financieros al ejercer la opción de compra en los términos del contrato. </w:t>
      </w:r>
    </w:p>
    <w:p w:rsidR="007C6440" w:rsidRDefault="003E543A">
      <w:pPr>
        <w:numPr>
          <w:ilvl w:val="0"/>
          <w:numId w:val="2"/>
        </w:numPr>
        <w:pBdr>
          <w:top w:val="nil"/>
          <w:left w:val="nil"/>
          <w:bottom w:val="nil"/>
          <w:right w:val="nil"/>
          <w:between w:val="nil"/>
        </w:pBdr>
        <w:spacing w:before="280" w:after="280"/>
        <w:ind w:left="567" w:right="1580" w:hanging="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En los casos no previstos en las fracciones anteriores, cuando los actos de que se trate se eleven a escritura pública o se inscriban en el Registro Público de la Propiedad, o si se trata de documentos privados, cuando se adquiera el dominio del bien conforme a las leyes. </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Tratándose de actos jurídicos traslativos de dominio que no son considerados como adquisición para efectos de este impuesto, los particulares deberán de cumplir con la presentación de declaración, cumpliendo con todas sus formalidades.</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forma oficial única autorizada en el marco del Sistema de Coordinación Hacendaria del Estado de México y Municipios para la declaración de este impuesto, será de libre reproducción, para lo cual deberá publicarse en el Periódico Oficial y a través del portal electrónico del gobierno municipal.</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A la declaración a que se refiere este artículo, deberá acompañarse de copia certificada de la escritura pública expedida por notario o de la resolución de autoridad judicial o administrativa, en la que conste el acto o contrato traslativo de dominio, así como certificaciones de pago del Impuesto Predial; de clave y valor catastral; de pago de derechos de agua o constancia de no servicio y de no adeudo de aportaciones de mejoras, actualizadas al momento de realizar el pago.</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Los requisitos, así como el procedimiento y los plazos para obtener las certificaciones referidas en el párrafo anterior, deberán ser establecidos y autorizados en el marco del Sistema de Coordinación Hacendaria del Estado de México y Municipios y publicarse en el Periódico Oficial y a través del portal electrónico del gobierno municipal.</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el supuesto previsto en el inciso H) de la fracción X del artículo 114, los sujetos del impuesto están obligados a acompañar además, un informe respecto del avance de las construcciones que en su caso se hubieren edificado en el inmueble fideicomitido con posterioridad a la constitución del fideicomiso en cuestión, a través de constancia emitida por el fiduciario correspondiente, que deberá indicar también la fecha a partir de la cual dichos sujetos adquirieron sus derechos. Cuando no se presente dicho informe, o bien, éste se presente sin la constancia emitida por el fiduciario, se considera como fecha de adquisición la de presentación de la declaración a que se refiere el presente artículo.</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Las personas físicas o jurídicas colectivas cuya actividad sea la enajenación de bienes inmuebles o la intermediación de operaciones inmobiliarias, estarán obligadas a dar aviso a la tesorería municipal correspondiente, dentro de los 17 días siguientes, a aquél en que tuvieron conocimiento del hecho o hayan intervenido en el mismo, mediante el cual se genere la adquisición.”</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(Énfasis añadido)</w:t>
      </w:r>
    </w:p>
    <w:p w:rsidR="007C6440" w:rsidRDefault="003E543A">
      <w:pPr>
        <w:pBdr>
          <w:top w:val="nil"/>
          <w:left w:val="nil"/>
          <w:bottom w:val="nil"/>
          <w:right w:val="nil"/>
          <w:between w:val="nil"/>
        </w:pBdr>
        <w:spacing w:before="280" w:after="280" w:line="360" w:lineRule="auto"/>
        <w:ind w:right="2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De manera que como se aprecia de lo anteriormente citado, los particulares que adquieran un inmueble dentro del territorio del Estado de México deberán cubrir el pago del impuesto por el traslado de dominio, adicionalmente deberán acompañar este monto con soportes documentales, los cuales consisten en copia certificada de la escritura pública expedida por notario o de la resolución de autoridad judicial o administrativa, en la que conste el acto o contrato traslativo de dominio, así como certificaciones de pago del Impuesto Predial; de clave y valor catastral; de pago de derechos de agua o constancia de no servicio y de no adeudo de aportaciones de mejoras, actualizadas al momento de realizar el pago; mismos que conformarán el expediente que obrará en los archivos de la unidad competente al interior de la administración pública municipal, que en este caso es la Tesorería Municipal, esto encuentra sustento en lo siguiente: </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“Artículo 87. El Ayuntamiento, a través de la Tesorería Municipal, tendrá las siguientes facultades y obligaciones en materia catastral: </w:t>
      </w:r>
    </w:p>
    <w:p w:rsidR="007C6440" w:rsidRDefault="003E543A">
      <w:pPr>
        <w:numPr>
          <w:ilvl w:val="0"/>
          <w:numId w:val="3"/>
        </w:numPr>
        <w:pBdr>
          <w:top w:val="nil"/>
          <w:left w:val="nil"/>
          <w:bottom w:val="nil"/>
          <w:right w:val="nil"/>
          <w:between w:val="nil"/>
        </w:pBdr>
        <w:spacing w:before="280" w:after="280"/>
        <w:ind w:left="567" w:right="1580" w:hanging="14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Llevar a cabo la inscripción, control, actualización e identificación en el padrón catastral de forma precisa de los inmuebles localizados dentro del territorio municipal; </w:t>
      </w:r>
    </w:p>
    <w:p w:rsidR="007C6440" w:rsidRDefault="003E543A">
      <w:pPr>
        <w:numPr>
          <w:ilvl w:val="0"/>
          <w:numId w:val="3"/>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Integrar, conservar y mantener actualizados los registros gráfico y alfanumérico de los inmuebles ubicados en el territorio del municipio; </w:t>
      </w:r>
    </w:p>
    <w:p w:rsidR="007C6440" w:rsidRDefault="003E543A">
      <w:pPr>
        <w:numPr>
          <w:ilvl w:val="0"/>
          <w:numId w:val="3"/>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Realizar acciones en coordinación con el IGECEM para la consolidación, conservación y buen funcionamiento del catastro municipal; </w:t>
      </w:r>
    </w:p>
    <w:p w:rsidR="007C6440" w:rsidRDefault="003E543A">
      <w:pPr>
        <w:numPr>
          <w:ilvl w:val="0"/>
          <w:numId w:val="3"/>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Cumplir con la normatividad y los procedimientos técnicos y administrativos; y proporcionar al IGECEM las propuestas, reportes, informes y documentos, para integrar, conservar y mantener actualizada la información catastral del municipio, así como solicitar su opinión técnica sobre el proyecto de Tablas de Valores Unitarios de Suelo y Construcciones, que se propongan a la Legislatura para su aprobación, dentro de los plazos que señale el IGECEM, este Título, su reglamento, el Manual Catastral y demás disposiciones aplicables en la materia; </w:t>
      </w:r>
    </w:p>
    <w:p w:rsidR="007C6440" w:rsidRDefault="003E543A">
      <w:pPr>
        <w:numPr>
          <w:ilvl w:val="0"/>
          <w:numId w:val="3"/>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 Aplicar las Tablas de Valores Unitarios de Suelo y Construcciones aprobadas por la Legislatura, en la determinación del valor catastral de los inmuebles; </w:t>
      </w:r>
    </w:p>
    <w:p w:rsidR="007C6440" w:rsidRDefault="003E543A">
      <w:pPr>
        <w:numPr>
          <w:ilvl w:val="0"/>
          <w:numId w:val="3"/>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Verificar y registrar oportunamente los cambios que se operen en los inmuebles que por cualquier concepto alteren los datos contenidos en el Padrón Catastral Municipal; </w:t>
      </w:r>
    </w:p>
    <w:p w:rsidR="007C6440" w:rsidRDefault="003E543A">
      <w:pPr>
        <w:numPr>
          <w:ilvl w:val="0"/>
          <w:numId w:val="3"/>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Mantener actualizada la vinculación de los registros alfanuméricos y grafico del Padrón Catastral Municipal; </w:t>
      </w:r>
    </w:p>
    <w:p w:rsidR="007C6440" w:rsidRDefault="003E543A">
      <w:pPr>
        <w:numPr>
          <w:ilvl w:val="0"/>
          <w:numId w:val="3"/>
        </w:numPr>
        <w:pBdr>
          <w:top w:val="nil"/>
          <w:left w:val="nil"/>
          <w:bottom w:val="nil"/>
          <w:right w:val="nil"/>
          <w:between w:val="nil"/>
        </w:pBdr>
        <w:spacing w:before="280" w:after="280"/>
        <w:ind w:left="567" w:right="1580" w:hanging="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Practicar levantamientos topográficos catastrales y verificación de linderos, en los términos de los ordenamientos correspondientes; y </w:t>
      </w:r>
    </w:p>
    <w:p w:rsidR="007C6440" w:rsidRDefault="003E543A">
      <w:pPr>
        <w:numPr>
          <w:ilvl w:val="0"/>
          <w:numId w:val="3"/>
        </w:numPr>
        <w:pBdr>
          <w:top w:val="nil"/>
          <w:left w:val="nil"/>
          <w:bottom w:val="nil"/>
          <w:right w:val="nil"/>
          <w:between w:val="nil"/>
        </w:pBdr>
        <w:spacing w:before="280" w:after="280"/>
        <w:ind w:left="567" w:right="1580" w:hanging="425"/>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Expedir las constancias o certificaciones catastrales en el ámbito de su competencia. </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Artículo 88. Las acciones que conforman la actividad catastral municipal, son las siguientes: </w:t>
      </w:r>
    </w:p>
    <w:p w:rsidR="007C6440" w:rsidRDefault="003E543A">
      <w:pPr>
        <w:numPr>
          <w:ilvl w:val="0"/>
          <w:numId w:val="5"/>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Atención al público y control de gestión para la prestación de servicios y expedición de certificaciones y constancias en la materia;</w:t>
      </w:r>
    </w:p>
    <w:p w:rsidR="007C6440" w:rsidRDefault="003E543A">
      <w:pPr>
        <w:numPr>
          <w:ilvl w:val="0"/>
          <w:numId w:val="5"/>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Asignación, baja y reasignación de la clave catastral; </w:t>
      </w:r>
    </w:p>
    <w:p w:rsidR="007C6440" w:rsidRDefault="003E543A">
      <w:pPr>
        <w:numPr>
          <w:ilvl w:val="0"/>
          <w:numId w:val="5"/>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Levantamientos topográficos catastrales y verificación de linderos; </w:t>
      </w:r>
    </w:p>
    <w:p w:rsidR="007C6440" w:rsidRDefault="003E543A">
      <w:pPr>
        <w:numPr>
          <w:ilvl w:val="0"/>
          <w:numId w:val="5"/>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Valuación catastral y actualización de áreas homogéneas, bandas de valor, manzanas, códigos de clave de calle, nomenclatura y valores unitarios de suelo y construcciones.</w:t>
      </w:r>
    </w:p>
    <w:p w:rsidR="007C6440" w:rsidRDefault="003E543A">
      <w:pPr>
        <w:numPr>
          <w:ilvl w:val="0"/>
          <w:numId w:val="5"/>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Actualización del registro grafico en medio digital; </w:t>
      </w:r>
    </w:p>
    <w:p w:rsidR="007C6440" w:rsidRDefault="003E543A">
      <w:pPr>
        <w:numPr>
          <w:ilvl w:val="0"/>
          <w:numId w:val="5"/>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Actualización y depuración del registro alfanumérico de los bienes inmuebles; y </w:t>
      </w:r>
    </w:p>
    <w:p w:rsidR="007C6440" w:rsidRDefault="003E543A">
      <w:pPr>
        <w:numPr>
          <w:ilvl w:val="0"/>
          <w:numId w:val="5"/>
        </w:numPr>
        <w:pBdr>
          <w:top w:val="nil"/>
          <w:left w:val="nil"/>
          <w:bottom w:val="nil"/>
          <w:right w:val="nil"/>
          <w:between w:val="nil"/>
        </w:pBdr>
        <w:spacing w:before="280" w:after="280"/>
        <w:ind w:left="567" w:right="1580" w:hanging="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Operación del Sistema de Información Catastral. </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Artículo 89. Los propietarios o poseedores de inmuebles, independientemente del régimen jurídico de propiedad, ubicados en el territorio municipal, incluyendo las Dependencias y Entidades Públicas, </w:t>
      </w:r>
      <w:r>
        <w:rPr>
          <w:rFonts w:ascii="Palatino Linotype" w:eastAsia="Palatino Linotype" w:hAnsi="Palatino Linotype" w:cs="Palatino Linotype"/>
          <w:b/>
          <w:i/>
          <w:color w:val="000000"/>
          <w:sz w:val="22"/>
          <w:szCs w:val="22"/>
        </w:rPr>
        <w:lastRenderedPageBreak/>
        <w:t xml:space="preserve">están obligados a inscribirlos ante el catastro municipal, mediante la manifestación catastral. </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Artículo 90. Los servicios y productos catastrales que presta la Tesorería Municipal son los siguientes: </w:t>
      </w:r>
    </w:p>
    <w:p w:rsidR="007C6440" w:rsidRDefault="003E543A">
      <w:pPr>
        <w:numPr>
          <w:ilvl w:val="0"/>
          <w:numId w:val="7"/>
        </w:numPr>
        <w:pBdr>
          <w:top w:val="nil"/>
          <w:left w:val="nil"/>
          <w:bottom w:val="nil"/>
          <w:right w:val="nil"/>
          <w:between w:val="nil"/>
        </w:pBdr>
        <w:spacing w:before="280" w:after="280"/>
        <w:ind w:left="567" w:right="1580" w:hanging="14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Inscripción de inmuebles en el padrón catastral municipal; </w:t>
      </w:r>
    </w:p>
    <w:p w:rsidR="007C6440" w:rsidRDefault="003E543A">
      <w:pPr>
        <w:numPr>
          <w:ilvl w:val="0"/>
          <w:numId w:val="7"/>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Registro de altas, bajas y modificaciones de construcciones; </w:t>
      </w:r>
    </w:p>
    <w:p w:rsidR="007C6440" w:rsidRDefault="003E543A">
      <w:pPr>
        <w:numPr>
          <w:ilvl w:val="0"/>
          <w:numId w:val="7"/>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Actualización del padrón catastral derivada de subdivisión, fusión, lotificación, relotificación, conjuntos urbanos, afectaciones y modificación de linderos, previa autorización emitida por la autoridad competente; </w:t>
      </w:r>
    </w:p>
    <w:p w:rsidR="007C6440" w:rsidRDefault="003E543A">
      <w:pPr>
        <w:numPr>
          <w:ilvl w:val="0"/>
          <w:numId w:val="7"/>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Actualización al padrón catastral derivada de cambios técnicos y administrativos; </w:t>
      </w:r>
    </w:p>
    <w:p w:rsidR="007C6440" w:rsidRDefault="003E543A">
      <w:pPr>
        <w:numPr>
          <w:ilvl w:val="0"/>
          <w:numId w:val="7"/>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Asignación, baja y reasignación de clave catastral; </w:t>
      </w:r>
    </w:p>
    <w:p w:rsidR="007C6440" w:rsidRDefault="003E543A">
      <w:pPr>
        <w:numPr>
          <w:ilvl w:val="0"/>
          <w:numId w:val="7"/>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Certificaciones de clave y valor catastral y plano manzanero y no adeudo predial. </w:t>
      </w:r>
    </w:p>
    <w:p w:rsidR="007C6440" w:rsidRDefault="003E543A">
      <w:pPr>
        <w:numPr>
          <w:ilvl w:val="0"/>
          <w:numId w:val="7"/>
        </w:numPr>
        <w:pBdr>
          <w:top w:val="nil"/>
          <w:left w:val="nil"/>
          <w:bottom w:val="nil"/>
          <w:right w:val="nil"/>
          <w:between w:val="nil"/>
        </w:pBdr>
        <w:spacing w:before="280" w:after="280"/>
        <w:ind w:left="567" w:right="1580" w:hanging="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Constancia de identificación catastral; </w:t>
      </w:r>
    </w:p>
    <w:p w:rsidR="007C6440" w:rsidRDefault="003E543A">
      <w:pPr>
        <w:numPr>
          <w:ilvl w:val="0"/>
          <w:numId w:val="7"/>
        </w:numPr>
        <w:pBdr>
          <w:top w:val="nil"/>
          <w:left w:val="nil"/>
          <w:bottom w:val="nil"/>
          <w:right w:val="nil"/>
          <w:between w:val="nil"/>
        </w:pBdr>
        <w:spacing w:before="280" w:after="280"/>
        <w:ind w:left="567" w:right="1580" w:hanging="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Levantamiento topográfico catastral en los casos previstos por las disposiciones jurídicas aplicables; y </w:t>
      </w:r>
    </w:p>
    <w:p w:rsidR="007C6440" w:rsidRDefault="003E543A">
      <w:pPr>
        <w:numPr>
          <w:ilvl w:val="0"/>
          <w:numId w:val="7"/>
        </w:numPr>
        <w:pBdr>
          <w:top w:val="nil"/>
          <w:left w:val="nil"/>
          <w:bottom w:val="nil"/>
          <w:right w:val="nil"/>
          <w:between w:val="nil"/>
        </w:pBdr>
        <w:spacing w:before="280" w:after="280"/>
        <w:ind w:left="567" w:right="1580" w:hanging="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Verificación de linderos. </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El importe de los derechos a pagar por los servicios y productos será de conformidad con lo establecido en el Código. </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Artículo 91. Solamente se expedirán certificaciones y constancias de la información catastral que obre en los registros gráficos y alfanuméricos de la Tesorería Municipal. </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Artículo 92. En las solicitudes de cualquier servicio catastral relacionados con inmuebles en los que se acredite por escrito, que existe algún litigio o inconformidad por parte de los colindantes o propietarios o poseedores del predio, no se prestará el servicio solicitado, hasta en tanto la autoridad competente resuelva en definitiva la controversia”</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(Énfasis añadido)</w:t>
      </w:r>
    </w:p>
    <w:p w:rsidR="007C6440" w:rsidRDefault="007C6440">
      <w:pPr>
        <w:spacing w:before="280" w:after="280" w:line="360" w:lineRule="auto"/>
        <w:ind w:right="-121"/>
        <w:jc w:val="both"/>
        <w:rPr>
          <w:rFonts w:ascii="Palatino Linotype" w:eastAsia="Palatino Linotype" w:hAnsi="Palatino Linotype" w:cs="Palatino Linotype"/>
        </w:rPr>
      </w:pPr>
    </w:p>
    <w:p w:rsidR="007C6440" w:rsidRDefault="003E543A">
      <w:pPr>
        <w:spacing w:before="280" w:after="280" w:line="360" w:lineRule="auto"/>
        <w:ind w:right="-121"/>
        <w:jc w:val="both"/>
        <w:rPr>
          <w:rFonts w:ascii="Palatino Linotype" w:eastAsia="Palatino Linotype" w:hAnsi="Palatino Linotype" w:cs="Palatino Linotype"/>
        </w:rPr>
      </w:pPr>
      <w:r>
        <w:rPr>
          <w:rFonts w:ascii="Palatino Linotype" w:eastAsia="Palatino Linotype" w:hAnsi="Palatino Linotype" w:cs="Palatino Linotype"/>
        </w:rPr>
        <w:t xml:space="preserve">Adicionalmente, en el portal electrónico </w:t>
      </w:r>
      <w:hyperlink r:id="rId11">
        <w:r>
          <w:rPr>
            <w:rFonts w:ascii="Palatino Linotype" w:eastAsia="Palatino Linotype" w:hAnsi="Palatino Linotype" w:cs="Palatino Linotype"/>
            <w:color w:val="035899"/>
          </w:rPr>
          <w:t>https://sistemas2.edomex.gob.mx/TramitesyServicios/Tramite?tram=8498&amp;cont=0</w:t>
        </w:r>
      </w:hyperlink>
      <w:r>
        <w:rPr>
          <w:rFonts w:ascii="Palatino Linotype" w:eastAsia="Palatino Linotype" w:hAnsi="Palatino Linotype" w:cs="Palatino Linotype"/>
        </w:rPr>
        <w:t xml:space="preserve">, se vislumbra que el trámite de traslado de dominio deberá realizarse ante la Tesorería Municipal del Sujeto Obligado, sirven de referencia las siguientes capturas de pantalla: </w:t>
      </w:r>
    </w:p>
    <w:p w:rsidR="007C6440" w:rsidRDefault="003E543A">
      <w:pPr>
        <w:spacing w:before="280" w:after="280" w:line="360" w:lineRule="auto"/>
        <w:ind w:right="-121"/>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extent cx="6038850" cy="2133600"/>
            <wp:effectExtent l="0" t="0" r="0" b="0"/>
            <wp:docPr id="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6038850" cy="2133600"/>
                    </a:xfrm>
                    <a:prstGeom prst="rect">
                      <a:avLst/>
                    </a:prstGeom>
                    <a:ln/>
                  </pic:spPr>
                </pic:pic>
              </a:graphicData>
            </a:graphic>
          </wp:inline>
        </w:drawing>
      </w:r>
    </w:p>
    <w:p w:rsidR="007C6440" w:rsidRDefault="003E543A">
      <w:pPr>
        <w:spacing w:before="280" w:after="280" w:line="360" w:lineRule="auto"/>
        <w:ind w:right="-121"/>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extent cx="6038850" cy="2009775"/>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6038850" cy="2009775"/>
                    </a:xfrm>
                    <a:prstGeom prst="rect">
                      <a:avLst/>
                    </a:prstGeom>
                    <a:ln/>
                  </pic:spPr>
                </pic:pic>
              </a:graphicData>
            </a:graphic>
          </wp:inline>
        </w:drawing>
      </w:r>
    </w:p>
    <w:p w:rsidR="007C6440" w:rsidRDefault="007C6440">
      <w:pPr>
        <w:spacing w:before="280" w:after="280" w:line="360" w:lineRule="auto"/>
        <w:ind w:right="-121"/>
        <w:jc w:val="both"/>
        <w:rPr>
          <w:rFonts w:ascii="Palatino Linotype" w:eastAsia="Palatino Linotype" w:hAnsi="Palatino Linotype" w:cs="Palatino Linotype"/>
        </w:rPr>
      </w:pPr>
    </w:p>
    <w:p w:rsidR="007C6440" w:rsidRDefault="003E543A">
      <w:pPr>
        <w:spacing w:before="280" w:after="280" w:line="360" w:lineRule="auto"/>
        <w:ind w:right="20"/>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lo citado con antelación, se advierte que la Tesorería Municipal es la unidad administrativa competente al interior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para conocer de la presente solicitud, toda vez que es la encargada de desarrollar las funciones en materia catastral, por lo que se debió turnar la solicitud a esta área competente para efecto de que se realizara una búsqueda exhaustiva y razonable. </w:t>
      </w:r>
    </w:p>
    <w:p w:rsidR="007C6440" w:rsidRDefault="003E543A">
      <w:pPr>
        <w:spacing w:before="280" w:after="280" w:line="360" w:lineRule="auto"/>
        <w:ind w:right="20"/>
        <w:jc w:val="both"/>
        <w:rPr>
          <w:rFonts w:ascii="Palatino Linotype" w:eastAsia="Palatino Linotype" w:hAnsi="Palatino Linotype" w:cs="Palatino Linotype"/>
        </w:rPr>
      </w:pPr>
      <w:r>
        <w:rPr>
          <w:rFonts w:ascii="Palatino Linotype" w:eastAsia="Palatino Linotype" w:hAnsi="Palatino Linotype" w:cs="Palatino Linotype"/>
        </w:rPr>
        <w:t xml:space="preserve">Hasta este punto, se tiene que los particulares deberán realizar este trámite  para regularizar la propiedad de los bienes inmuebles ante la Tesorería Municipal, no obstante, no debe perderse de vista que las instituciones públicas también pudieran efectuar este trámite, por lo que resulta pertinente abordar lo siguiente: </w:t>
      </w:r>
    </w:p>
    <w:p w:rsidR="007C6440" w:rsidRDefault="003E543A">
      <w:pPr>
        <w:spacing w:before="280" w:after="280" w:line="360" w:lineRule="auto"/>
        <w:ind w:right="20"/>
        <w:jc w:val="both"/>
        <w:rPr>
          <w:rFonts w:ascii="Palatino Linotype" w:eastAsia="Palatino Linotype" w:hAnsi="Palatino Linotype" w:cs="Palatino Linotype"/>
        </w:rPr>
      </w:pPr>
      <w:r>
        <w:rPr>
          <w:rFonts w:ascii="Palatino Linotype" w:eastAsia="Palatino Linotype" w:hAnsi="Palatino Linotype" w:cs="Palatino Linotype"/>
        </w:rPr>
        <w:t xml:space="preserve">En primera instancia, la Ley de Bienes del Estado de México y Municipios, en su artículo 5 delega una serie de facultades al Ejecutivo del Estado y a los ayuntamientos, mismas que conviene referir para mejor proveer del presente estudio: </w:t>
      </w:r>
    </w:p>
    <w:p w:rsidR="007C6440" w:rsidRDefault="003E543A">
      <w:pPr>
        <w:spacing w:before="280" w:after="280"/>
        <w:ind w:left="567" w:right="1580"/>
        <w:jc w:val="both"/>
        <w:rPr>
          <w:rFonts w:ascii="Palatino Linotype" w:eastAsia="Palatino Linotype" w:hAnsi="Palatino Linotype" w:cs="Palatino Linotype"/>
          <w:b/>
          <w:i/>
          <w:sz w:val="22"/>
          <w:szCs w:val="22"/>
        </w:rPr>
      </w:pPr>
      <w:r>
        <w:rPr>
          <w:rFonts w:ascii="Palatino Linotype" w:eastAsia="Palatino Linotype" w:hAnsi="Palatino Linotype" w:cs="Palatino Linotype"/>
        </w:rPr>
        <w:t xml:space="preserve"> “</w:t>
      </w:r>
      <w:r>
        <w:rPr>
          <w:rFonts w:ascii="Palatino Linotype" w:eastAsia="Palatino Linotype" w:hAnsi="Palatino Linotype" w:cs="Palatino Linotype"/>
          <w:b/>
          <w:i/>
          <w:sz w:val="22"/>
          <w:szCs w:val="22"/>
        </w:rPr>
        <w:t>Artículo 5.- Corresponde</w:t>
      </w:r>
      <w:r>
        <w:rPr>
          <w:rFonts w:ascii="Palatino Linotype" w:eastAsia="Palatino Linotype" w:hAnsi="Palatino Linotype" w:cs="Palatino Linotype"/>
          <w:i/>
          <w:sz w:val="22"/>
          <w:szCs w:val="22"/>
        </w:rPr>
        <w:t xml:space="preserve"> al Ejecutivo del Estado por conducto de la Secretaría de Finanzas y </w:t>
      </w:r>
      <w:r>
        <w:rPr>
          <w:rFonts w:ascii="Palatino Linotype" w:eastAsia="Palatino Linotype" w:hAnsi="Palatino Linotype" w:cs="Palatino Linotype"/>
          <w:b/>
          <w:i/>
          <w:sz w:val="22"/>
          <w:szCs w:val="22"/>
        </w:rPr>
        <w:t xml:space="preserve">a los ayuntamientos: </w:t>
      </w:r>
    </w:p>
    <w:p w:rsidR="007C6440" w:rsidRDefault="003E543A">
      <w:pPr>
        <w:numPr>
          <w:ilvl w:val="0"/>
          <w:numId w:val="9"/>
        </w:numPr>
        <w:pBdr>
          <w:top w:val="nil"/>
          <w:left w:val="nil"/>
          <w:bottom w:val="nil"/>
          <w:right w:val="nil"/>
          <w:between w:val="nil"/>
        </w:pBdr>
        <w:spacing w:before="280" w:after="280"/>
        <w:ind w:left="567" w:right="1580" w:hanging="14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La elaboración del padrón de bienes del dominio público y privado del Estado y de los ayuntamientos; </w:t>
      </w:r>
    </w:p>
    <w:p w:rsidR="007C6440" w:rsidRDefault="003E543A">
      <w:pPr>
        <w:numPr>
          <w:ilvl w:val="0"/>
          <w:numId w:val="9"/>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Declarar cuando un bien determinado forma parte del dominio público; </w:t>
      </w:r>
    </w:p>
    <w:p w:rsidR="007C6440" w:rsidRDefault="003E543A">
      <w:pPr>
        <w:numPr>
          <w:ilvl w:val="0"/>
          <w:numId w:val="9"/>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Determinar cuando un bien del domino privado se incorpora al dominio público; </w:t>
      </w:r>
    </w:p>
    <w:p w:rsidR="007C6440" w:rsidRDefault="003E543A">
      <w:pPr>
        <w:numPr>
          <w:ilvl w:val="0"/>
          <w:numId w:val="9"/>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Afectar los bienes al dominio público del Estado o municipios; </w:t>
      </w:r>
    </w:p>
    <w:p w:rsidR="007C6440" w:rsidRDefault="003E543A">
      <w:pPr>
        <w:numPr>
          <w:ilvl w:val="0"/>
          <w:numId w:val="9"/>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Desafectar del dominio público los bienes cuando éstos no sean necesarios, conforme a lo dispuesto por el artículo 61 fracción XXXVI de la Constitución Política Local; </w:t>
      </w:r>
    </w:p>
    <w:p w:rsidR="007C6440" w:rsidRDefault="003E543A">
      <w:pPr>
        <w:numPr>
          <w:ilvl w:val="0"/>
          <w:numId w:val="9"/>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Desincorporar bienes del patrimonio estatal o municipal, conforme a lo dispuesto por el artículo 61 fracción XXXVI de la Constitución Política del Estado Libre y Soberano de México; </w:t>
      </w:r>
    </w:p>
    <w:p w:rsidR="007C6440" w:rsidRDefault="003E543A">
      <w:pPr>
        <w:numPr>
          <w:ilvl w:val="0"/>
          <w:numId w:val="9"/>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Incorporar al dominio público, los bienes de los organismos auxiliares cuando éstos se encuentren en liquidación, o no sean necesarios para el cumplimiento del objetivo social que aquéllos tengan asignado; </w:t>
      </w:r>
    </w:p>
    <w:p w:rsidR="007C6440" w:rsidRDefault="003E543A">
      <w:pPr>
        <w:numPr>
          <w:ilvl w:val="0"/>
          <w:numId w:val="9"/>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Autorizar el cambio de uso o destino de los bienes de dominio público, así como la sustitución de los usuarios cuando así convenga a las necesidades de la administración pública estatal o municipal; </w:t>
      </w:r>
    </w:p>
    <w:p w:rsidR="007C6440" w:rsidRDefault="003E543A">
      <w:pPr>
        <w:numPr>
          <w:ilvl w:val="0"/>
          <w:numId w:val="9"/>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Adquirir bienes inmuebles o celebrar los actos jurídicos que impliquen la transmisión a título oneroso o gratuito de los bienes del dominio privado, conforme a lo dispuesto por el artículo 61 fracción XXXVI de la Constitución Política del Estado;</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XIII. Llevar el Registro Administrativo de la Propiedad Pública Estatal o Municipal, respectivamente;”</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(Énfasis añadido)</w:t>
      </w:r>
    </w:p>
    <w:p w:rsidR="007C6440" w:rsidRDefault="003E543A">
      <w:pPr>
        <w:spacing w:before="280" w:after="280" w:line="360" w:lineRule="auto"/>
        <w:ind w:right="20"/>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anteriormente citado, se advierte que los ayuntamientos se encuentran constreñidos a elaborar el padrón de bienes del dominio público, así como declarar cuando un bien determinado forma parte del dominio público, asimismo les corresponde llevar el Registro Administrativo de la Propiedad Pública Estatal o Municipal según sea el caso. </w:t>
      </w:r>
    </w:p>
    <w:p w:rsidR="007C6440" w:rsidRDefault="003E543A">
      <w:pPr>
        <w:spacing w:before="280" w:after="280" w:line="360" w:lineRule="auto"/>
        <w:ind w:right="20"/>
        <w:jc w:val="both"/>
        <w:rPr>
          <w:rFonts w:ascii="Palatino Linotype" w:eastAsia="Palatino Linotype" w:hAnsi="Palatino Linotype" w:cs="Palatino Linotype"/>
        </w:rPr>
      </w:pPr>
      <w:r>
        <w:rPr>
          <w:rFonts w:ascii="Palatino Linotype" w:eastAsia="Palatino Linotype" w:hAnsi="Palatino Linotype" w:cs="Palatino Linotype"/>
        </w:rPr>
        <w:t xml:space="preserve">En este orden de ideas, derivado de una adquisición de bienes inmuebles, deberá atenderse a lo dispuesto por los Lineamientos para el Registro y Control del Inventario y la Conciliación y Desincorporación de Bienes Muebles e Inmuebles para las Entidades Fiscalizables Municipales del Estado de México, en lo concerniente a las adquisiciones de bienes inmuebles mismos que se trae a colación para mejor proveer del presente estudio: </w:t>
      </w:r>
    </w:p>
    <w:p w:rsidR="007C6440" w:rsidRDefault="003E543A">
      <w:pPr>
        <w:spacing w:before="280" w:after="28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“CAPÍTULO XX </w:t>
      </w:r>
    </w:p>
    <w:p w:rsidR="007C6440" w:rsidRDefault="003E543A">
      <w:pPr>
        <w:spacing w:before="280" w:after="28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DE LOS REQUISITOS PARA LA ADQUISICIÓN DE BIENES INMUEBLES</w:t>
      </w:r>
    </w:p>
    <w:p w:rsidR="007C6440" w:rsidRDefault="003E543A">
      <w:pPr>
        <w:spacing w:before="280" w:after="28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Sección Primera </w:t>
      </w:r>
    </w:p>
    <w:p w:rsidR="007C6440" w:rsidRDefault="003E543A">
      <w:pPr>
        <w:spacing w:before="280" w:after="28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 LOS BIENES INMUEBLES POR COMPRA </w:t>
      </w:r>
    </w:p>
    <w:p w:rsidR="007C6440" w:rsidRDefault="003E543A">
      <w:pPr>
        <w:spacing w:before="280" w:after="28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QUINCUAGÉSIMO SEXTO: Para adquirir bienes inmuebles por compra, se deberán satisfacer los siguientes requisitos: </w:t>
      </w:r>
    </w:p>
    <w:p w:rsidR="007C6440" w:rsidRDefault="003E543A">
      <w:pPr>
        <w:numPr>
          <w:ilvl w:val="0"/>
          <w:numId w:val="10"/>
        </w:numPr>
        <w:pBdr>
          <w:top w:val="nil"/>
          <w:left w:val="nil"/>
          <w:bottom w:val="nil"/>
          <w:right w:val="nil"/>
          <w:between w:val="nil"/>
        </w:pBdr>
        <w:spacing w:before="280" w:after="280"/>
        <w:ind w:left="567" w:right="1580" w:hanging="1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Observar lo establecido en el Código Civil del Estado de México, en la Ley de Bienes del Estado de México y sus Municipios, así como en el Reglamento del Registro Público de la Propiedad del Estado de México, en el Código Administrativo del Estado de México, entre otros; </w:t>
      </w:r>
    </w:p>
    <w:p w:rsidR="007C6440" w:rsidRDefault="003E543A">
      <w:pPr>
        <w:numPr>
          <w:ilvl w:val="0"/>
          <w:numId w:val="10"/>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Contar con acta del órgano máximo de gobierno, autorizando la adquisición, vía presupuesto de egresos; </w:t>
      </w:r>
    </w:p>
    <w:p w:rsidR="007C6440" w:rsidRDefault="003E543A">
      <w:pPr>
        <w:numPr>
          <w:ilvl w:val="0"/>
          <w:numId w:val="10"/>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Contar con un Comité de arrendamientos en términos de las disposiciones legales aplicables; </w:t>
      </w:r>
    </w:p>
    <w:p w:rsidR="007C6440" w:rsidRDefault="003E543A">
      <w:pPr>
        <w:numPr>
          <w:ilvl w:val="0"/>
          <w:numId w:val="10"/>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Contar con acta de fallo del Comité de arrendamientos, adquisiciones de inmuebles y enajenaciones; </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Los bienes adquiridos se destinarán a cumplir con los planes y programas previamente establecidos; </w:t>
      </w:r>
    </w:p>
    <w:p w:rsidR="007C6440" w:rsidRDefault="003E543A">
      <w:pPr>
        <w:numPr>
          <w:ilvl w:val="0"/>
          <w:numId w:val="10"/>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Constar en escritura pública; </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El secretario o en su caso el director general, elaborará la actualización administrativa del inventario de bienes inmuebles, por la adquisición de los bienes al valor de su adquisición, independientemente de su valor catastral y para ello contará con 30 días hábiles a partir de su adquisición, así mismo se deberá integrar un expediente individual por bien; </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El síndico realizará las gestiones necesarias para regularizar la propiedad de los bienes inmuebles adquiridos, tendrán para ello un plazo de ciento veinte días hábiles contados a partir de la fecha de la adquisición, rindiendo un informe trimestral al Cabildo para su conocimiento y opinión; </w:t>
      </w:r>
    </w:p>
    <w:p w:rsidR="007C6440" w:rsidRDefault="003E543A">
      <w:pPr>
        <w:pBdr>
          <w:top w:val="nil"/>
          <w:left w:val="nil"/>
          <w:bottom w:val="nil"/>
          <w:right w:val="nil"/>
          <w:between w:val="nil"/>
        </w:pBdr>
        <w:spacing w:before="280" w:after="280"/>
        <w:ind w:left="426" w:right="214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Lo propio hará en el ámbito de su respectiva competencia, el servidor público titular del organismo descentralizado y fideicomisos públicos.</w:t>
      </w:r>
    </w:p>
    <w:p w:rsidR="007C6440" w:rsidRDefault="003E543A">
      <w:pPr>
        <w:numPr>
          <w:ilvl w:val="0"/>
          <w:numId w:val="10"/>
        </w:numPr>
        <w:pBdr>
          <w:top w:val="nil"/>
          <w:left w:val="nil"/>
          <w:bottom w:val="nil"/>
          <w:right w:val="nil"/>
          <w:between w:val="nil"/>
        </w:pBdr>
        <w:spacing w:before="280" w:after="280"/>
        <w:ind w:left="426" w:right="2147" w:firstLine="28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Registrar contablemente la adquisición del bien; </w:t>
      </w:r>
    </w:p>
    <w:p w:rsidR="007C6440" w:rsidRDefault="003E543A">
      <w:pPr>
        <w:numPr>
          <w:ilvl w:val="0"/>
          <w:numId w:val="10"/>
        </w:numPr>
        <w:pBdr>
          <w:top w:val="nil"/>
          <w:left w:val="nil"/>
          <w:bottom w:val="nil"/>
          <w:right w:val="nil"/>
          <w:between w:val="nil"/>
        </w:pBdr>
        <w:spacing w:before="280" w:after="280"/>
        <w:ind w:left="426" w:right="2147" w:firstLine="28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Realizar el registro en el inventario de bienes inmuebles, libro especial y en el Sistema de Información Inmobiliaria; y </w:t>
      </w:r>
    </w:p>
    <w:p w:rsidR="007C6440" w:rsidRDefault="003E543A">
      <w:pPr>
        <w:numPr>
          <w:ilvl w:val="0"/>
          <w:numId w:val="10"/>
        </w:numPr>
        <w:pBdr>
          <w:top w:val="nil"/>
          <w:left w:val="nil"/>
          <w:bottom w:val="nil"/>
          <w:right w:val="nil"/>
          <w:between w:val="nil"/>
        </w:pBdr>
        <w:spacing w:before="280" w:after="280"/>
        <w:ind w:left="567" w:right="1580"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Póliza.</w:t>
      </w:r>
    </w:p>
    <w:p w:rsidR="007C6440" w:rsidRDefault="003E543A">
      <w:pPr>
        <w:spacing w:before="280" w:after="280"/>
        <w:ind w:left="284" w:right="1580" w:firstLine="28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Sección Segunda </w:t>
      </w:r>
    </w:p>
    <w:p w:rsidR="007C6440" w:rsidRDefault="003E543A">
      <w:pPr>
        <w:spacing w:before="280" w:after="28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 LOS BIENES INMUEBLES POR DONACIÓN </w:t>
      </w:r>
    </w:p>
    <w:p w:rsidR="007C6440" w:rsidRDefault="003E543A">
      <w:pPr>
        <w:spacing w:before="280" w:after="28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QUINCUAGÉSIMO SÉPTIMO: La adquisición por donación, es el acto mediante el cual la entidad fiscalizable recibe bienes inmuebles de forma gratuita de una o varias personas físicas o jurídicas colectivas quienes lo entregan de forma voluntaria con plena libertad y sin recibir nada a cambio. </w:t>
      </w:r>
    </w:p>
    <w:p w:rsidR="007C6440" w:rsidRDefault="003E543A">
      <w:pPr>
        <w:spacing w:before="280" w:after="28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QUINCUAGÉSIMO OCTAVO: Para adquirir bienes inmuebles por donación, se deberán satisfacer los siguientes requisitos: </w:t>
      </w:r>
    </w:p>
    <w:p w:rsidR="007C6440" w:rsidRDefault="003E543A">
      <w:pPr>
        <w:numPr>
          <w:ilvl w:val="0"/>
          <w:numId w:val="12"/>
        </w:numPr>
        <w:pBdr>
          <w:top w:val="nil"/>
          <w:left w:val="nil"/>
          <w:bottom w:val="nil"/>
          <w:right w:val="nil"/>
          <w:between w:val="nil"/>
        </w:pBdr>
        <w:spacing w:before="280" w:after="280"/>
        <w:ind w:left="567" w:right="1580" w:hanging="1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Observar lo establecido en el Código Financiero del Estado de México y Municipios, en el Código Civil del Estado de México, así como en la Ley de Bienes del Estado de México y sus Municipios; </w:t>
      </w:r>
    </w:p>
    <w:p w:rsidR="007C6440" w:rsidRDefault="003E543A">
      <w:pPr>
        <w:numPr>
          <w:ilvl w:val="0"/>
          <w:numId w:val="12"/>
        </w:numPr>
        <w:pBdr>
          <w:top w:val="nil"/>
          <w:left w:val="nil"/>
          <w:bottom w:val="nil"/>
          <w:right w:val="nil"/>
          <w:between w:val="nil"/>
        </w:pBdr>
        <w:spacing w:before="280" w:after="280"/>
        <w:ind w:left="567" w:right="1580" w:hanging="1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Contar con el convenio de donación, donde se precisen las características del donativo, su valor individual por el bien objeto y la legal procedencia así como especificar si se encuentra libre de gravamen; </w:t>
      </w:r>
    </w:p>
    <w:p w:rsidR="007C6440" w:rsidRDefault="003E543A">
      <w:pPr>
        <w:numPr>
          <w:ilvl w:val="0"/>
          <w:numId w:val="12"/>
        </w:numPr>
        <w:pBdr>
          <w:top w:val="nil"/>
          <w:left w:val="nil"/>
          <w:bottom w:val="nil"/>
          <w:right w:val="nil"/>
          <w:between w:val="nil"/>
        </w:pBdr>
        <w:spacing w:before="280" w:after="280"/>
        <w:ind w:left="567" w:right="1580" w:hanging="1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Constar en escritura pública; </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El secretario o en su caso el director general, elaborará la actualización administrativa del inventario, por la adquisición de los bienes inmuebles y para ello contará con 30 días hábiles a partir de su adquisición, así mismo se deberá integrar un expediente individual por bien. </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El síndico realizará las gestiones necesarias para regularizar la propiedad de los bienes inmuebles adquiridos, tendrá para ello un plazo de ciento veinte días hábiles </w:t>
      </w:r>
      <w:r>
        <w:rPr>
          <w:rFonts w:ascii="Palatino Linotype" w:eastAsia="Palatino Linotype" w:hAnsi="Palatino Linotype" w:cs="Palatino Linotype"/>
          <w:i/>
          <w:color w:val="000000"/>
          <w:sz w:val="22"/>
          <w:szCs w:val="22"/>
        </w:rPr>
        <w:lastRenderedPageBreak/>
        <w:t xml:space="preserve">contados a partir de la fecha de la adquisición, rindiendo un informe trimestral al Cabildo para su conocí miento y opinión. </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El tesorero del avalúo expedirá el recibo oficial de ingreso correspondiente por el valor del bien; si no se conoce se establecerá a precio por perito calificado en la materia, o en su defecto a valor catastral.</w:t>
      </w:r>
    </w:p>
    <w:p w:rsidR="007C6440" w:rsidRDefault="003E543A">
      <w:pPr>
        <w:numPr>
          <w:ilvl w:val="0"/>
          <w:numId w:val="12"/>
        </w:numPr>
        <w:pBdr>
          <w:top w:val="nil"/>
          <w:left w:val="nil"/>
          <w:bottom w:val="nil"/>
          <w:right w:val="nil"/>
          <w:between w:val="nil"/>
        </w:pBdr>
        <w:spacing w:before="280" w:after="280"/>
        <w:ind w:left="567" w:right="1580" w:hanging="1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Registrar contablemente la adquisición del bien; </w:t>
      </w:r>
    </w:p>
    <w:p w:rsidR="007C6440" w:rsidRDefault="003E543A">
      <w:pPr>
        <w:numPr>
          <w:ilvl w:val="0"/>
          <w:numId w:val="12"/>
        </w:numPr>
        <w:pBdr>
          <w:top w:val="nil"/>
          <w:left w:val="nil"/>
          <w:bottom w:val="nil"/>
          <w:right w:val="nil"/>
          <w:between w:val="nil"/>
        </w:pBdr>
        <w:spacing w:before="280" w:after="280"/>
        <w:ind w:left="567" w:right="1580" w:hanging="1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Contar con el registro en el inventario de bienes inmuebles, libro especial y en el Sistema de Información Inmobiliaria; y </w:t>
      </w:r>
    </w:p>
    <w:p w:rsidR="007C6440" w:rsidRDefault="003E543A">
      <w:pPr>
        <w:numPr>
          <w:ilvl w:val="0"/>
          <w:numId w:val="12"/>
        </w:numPr>
        <w:pBdr>
          <w:top w:val="nil"/>
          <w:left w:val="nil"/>
          <w:bottom w:val="nil"/>
          <w:right w:val="nil"/>
          <w:between w:val="nil"/>
        </w:pBdr>
        <w:spacing w:before="280" w:after="280"/>
        <w:ind w:left="567" w:right="1580" w:hanging="1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Póliza. </w:t>
      </w:r>
    </w:p>
    <w:p w:rsidR="007C6440" w:rsidRDefault="003E543A">
      <w:pPr>
        <w:spacing w:before="280" w:after="28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Sección Tercera </w:t>
      </w:r>
    </w:p>
    <w:p w:rsidR="007C6440" w:rsidRDefault="003E543A">
      <w:pPr>
        <w:spacing w:before="280" w:after="28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 LOS INMUEBLES POR DACIÓN EN PAGO </w:t>
      </w:r>
    </w:p>
    <w:p w:rsidR="007C6440" w:rsidRDefault="003E543A">
      <w:pPr>
        <w:spacing w:before="280" w:after="28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QUINCUAGÉSIMO NOVENO: La adquisición de bienes inmuebles por dación en pago, es el acto mediante el cual el Ayuntamiento, Organismo Descentralizado de Carácter Municipal, acepta recibir bienes inmuebles de una persona física o jurídica colectiva quienes lo entregan para cubrir créditos fiscales a su cargo, siempre y cuando se puedan destinar a un servicio público conforme al valor que resulte del peritaje elaborado por especialista en valuación inmobiliaria registrado ante el Instituto de Información e Investigación Geográfica, Estadística y Catastral del Estado de México. </w:t>
      </w:r>
    </w:p>
    <w:p w:rsidR="007C6440" w:rsidRDefault="003E543A">
      <w:pPr>
        <w:spacing w:before="280" w:after="28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SEXAGÉSIMO: Para adquirir bienes inmuebles por dación en pago, se deberán satisfacer los siguientes requisitos: </w:t>
      </w:r>
    </w:p>
    <w:p w:rsidR="007C6440" w:rsidRDefault="003E543A">
      <w:pPr>
        <w:numPr>
          <w:ilvl w:val="0"/>
          <w:numId w:val="13"/>
        </w:numPr>
        <w:pBdr>
          <w:top w:val="nil"/>
          <w:left w:val="nil"/>
          <w:bottom w:val="nil"/>
          <w:right w:val="nil"/>
          <w:between w:val="nil"/>
        </w:pBdr>
        <w:spacing w:before="280" w:after="280"/>
        <w:ind w:left="567" w:right="1580" w:hanging="1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Observar las disposiciones de dación en pago, previstas en lo establecido en el Código Financiero del Estado de México y Municipios, en el Código Civil del Estado de México, así como en la Ley de Bienes del Estado de México y de sus Municipios; </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Que el bien se pueda destinar a un servicio público, conforme al valor que resulte del peritaje elaborado por especialista en valuación inmobiliaria registrado ante el Instituto de Información e Investigación Geográfica, Estadística y Catastral; </w:t>
      </w:r>
    </w:p>
    <w:p w:rsidR="007C6440" w:rsidRDefault="003E543A">
      <w:pPr>
        <w:numPr>
          <w:ilvl w:val="0"/>
          <w:numId w:val="13"/>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El acta de cabildo señalando los motivos de pago (en el caso de que la dación sea por uno o varios bienes se deberá especificar el desglose del costo por bien, verificando </w:t>
      </w:r>
      <w:r>
        <w:rPr>
          <w:rFonts w:ascii="Palatino Linotype" w:eastAsia="Palatino Linotype" w:hAnsi="Palatino Linotype" w:cs="Palatino Linotype"/>
          <w:i/>
          <w:color w:val="000000"/>
          <w:sz w:val="22"/>
          <w:szCs w:val="22"/>
        </w:rPr>
        <w:lastRenderedPageBreak/>
        <w:t xml:space="preserve">que la suma de los bienes corresponda al importe de la dación), uso y destino que se le dará al bien inmueble; </w:t>
      </w:r>
    </w:p>
    <w:p w:rsidR="007C6440" w:rsidRDefault="003E543A">
      <w:pPr>
        <w:numPr>
          <w:ilvl w:val="0"/>
          <w:numId w:val="13"/>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Convenio de dación, por el pago en especie, donde se precisen las características del bien o bienes y la legal procedencia de los mismos, así como especificar si se encuentran libres de gravamen.</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El síndico realizará las gestiones necesarias para regularizar la propiedad de los bienes inmuebles adquiridos, tendrán para ello un plazo de ciento veinte días hábiles contados a partir de la fecha de la adquisición, rindiendo un informe trimestral al Cabildo para su conocimiento y opinión, así mismo se deberá integrar un expediente individual por bien.</w:t>
      </w:r>
    </w:p>
    <w:p w:rsidR="007C6440" w:rsidRDefault="003E543A">
      <w:pPr>
        <w:numPr>
          <w:ilvl w:val="0"/>
          <w:numId w:val="13"/>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Registrar contablemente la adquisición del bien; </w:t>
      </w:r>
    </w:p>
    <w:p w:rsidR="007C6440" w:rsidRDefault="003E543A">
      <w:pPr>
        <w:numPr>
          <w:ilvl w:val="0"/>
          <w:numId w:val="13"/>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Contar con el registro en el inventario de bienes inmuebles, libro especial y en Sistema de Información Inmobiliaria; y </w:t>
      </w:r>
    </w:p>
    <w:p w:rsidR="007C6440" w:rsidRDefault="003E543A">
      <w:pPr>
        <w:numPr>
          <w:ilvl w:val="0"/>
          <w:numId w:val="13"/>
        </w:numPr>
        <w:pBdr>
          <w:top w:val="nil"/>
          <w:left w:val="nil"/>
          <w:bottom w:val="nil"/>
          <w:right w:val="nil"/>
          <w:between w:val="nil"/>
        </w:pBdr>
        <w:spacing w:before="280" w:after="280"/>
        <w:ind w:left="567" w:right="158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Póliza.”</w:t>
      </w:r>
    </w:p>
    <w:p w:rsidR="007C6440" w:rsidRDefault="003E543A">
      <w:pPr>
        <w:spacing w:before="280" w:after="280" w:line="360" w:lineRule="auto"/>
        <w:ind w:right="20"/>
        <w:jc w:val="both"/>
        <w:rPr>
          <w:rFonts w:ascii="Palatino Linotype" w:eastAsia="Palatino Linotype" w:hAnsi="Palatino Linotype" w:cs="Palatino Linotype"/>
        </w:rPr>
      </w:pPr>
      <w:r>
        <w:rPr>
          <w:rFonts w:ascii="Palatino Linotype" w:eastAsia="Palatino Linotype" w:hAnsi="Palatino Linotype" w:cs="Palatino Linotype"/>
        </w:rPr>
        <w:t xml:space="preserve">Con lo citado anteriormente, se vislumbra que los entes públicos, deberán realizar el respectivo registro en el inventario de bienes inmuebles, libro especial y en el Sistema de Información Inmobiliaria, así como regularizar la propiedad de los bienes adquiridos por medio del síndico municipal, esto es, realizando el respectivo traslado de dominio entre otras operaciones. </w:t>
      </w:r>
    </w:p>
    <w:p w:rsidR="007C6440" w:rsidRDefault="003E543A">
      <w:pPr>
        <w:spacing w:before="280" w:after="280" w:line="360" w:lineRule="auto"/>
        <w:ind w:right="20"/>
        <w:jc w:val="both"/>
        <w:rPr>
          <w:rFonts w:ascii="Palatino Linotype" w:eastAsia="Palatino Linotype" w:hAnsi="Palatino Linotype" w:cs="Palatino Linotype"/>
        </w:rPr>
      </w:pPr>
      <w:r>
        <w:rPr>
          <w:rFonts w:ascii="Palatino Linotype" w:eastAsia="Palatino Linotype" w:hAnsi="Palatino Linotype" w:cs="Palatino Linotype"/>
        </w:rPr>
        <w:t xml:space="preserve">Debe precisarse que los Lineamientos en referencia regulan diversos mecanismos por los cuales deberá incorporarse la propiedad de los bienes inmuebles propiedad del ayuntamiento, revistiendo interés al presente análisis el libro especial y el inventario general de bienes inmuebles: </w:t>
      </w:r>
    </w:p>
    <w:p w:rsidR="007C6440" w:rsidRDefault="003E543A">
      <w:pPr>
        <w:spacing w:before="280" w:after="28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“CAPÍTULO X </w:t>
      </w:r>
    </w:p>
    <w:p w:rsidR="007C6440" w:rsidRDefault="003E543A">
      <w:pPr>
        <w:spacing w:before="280" w:after="28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DEL LIBRO ESPECIAL </w:t>
      </w:r>
    </w:p>
    <w:p w:rsidR="007C6440" w:rsidRDefault="003E543A">
      <w:pPr>
        <w:spacing w:before="280" w:after="280"/>
        <w:ind w:left="567" w:right="158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 xml:space="preserve">DÉCIMO OCTAVO: El libro especial, es el documento que contiene el registro histórico de los movimientos de bienes muebles e inmuebles propiedad de las entidades fiscalizables, con la expresión de sus valores, características de identificación, uso y destino de los mismos. </w:t>
      </w:r>
    </w:p>
    <w:p w:rsidR="007C6440" w:rsidRDefault="003E543A">
      <w:pPr>
        <w:spacing w:before="280" w:after="28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datos de identificación de los bienes muebles son: número de inventario, nombre del bien, marca, modelo, número de serie, estado de uso, destino, utilidad, número de factura, fecha de adquisición, costo y observaciones. </w:t>
      </w:r>
    </w:p>
    <w:p w:rsidR="007C6440" w:rsidRDefault="003E543A">
      <w:pPr>
        <w:spacing w:before="280" w:after="280"/>
        <w:ind w:left="567" w:right="158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Los datos de identificación de los bienes inmuebles son: nombre del bien, calle y número, localidad, colindancias, tipo de inmueble, destino, superficie, medio de adquisición, valor, </w:t>
      </w:r>
      <w:r>
        <w:rPr>
          <w:rFonts w:ascii="Palatino Linotype" w:eastAsia="Palatino Linotype" w:hAnsi="Palatino Linotype" w:cs="Palatino Linotype"/>
          <w:b/>
          <w:i/>
          <w:sz w:val="22"/>
          <w:szCs w:val="22"/>
          <w:u w:val="single"/>
        </w:rPr>
        <w:t>situación legal</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b/>
          <w:i/>
          <w:sz w:val="22"/>
          <w:szCs w:val="22"/>
          <w:u w:val="single"/>
        </w:rPr>
        <w:t>régimen de propiedad</w:t>
      </w:r>
      <w:r>
        <w:rPr>
          <w:rFonts w:ascii="Palatino Linotype" w:eastAsia="Palatino Linotype" w:hAnsi="Palatino Linotype" w:cs="Palatino Linotype"/>
          <w:b/>
          <w:i/>
          <w:sz w:val="22"/>
          <w:szCs w:val="22"/>
        </w:rPr>
        <w:t xml:space="preserve"> y observaciones. </w:t>
      </w:r>
    </w:p>
    <w:p w:rsidR="007C6440" w:rsidRDefault="003E543A">
      <w:pPr>
        <w:spacing w:before="280" w:after="28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DÉCIMO NOVENO: El órgano máximo de gobierno aprobará los movimientos en el libro especial y el síndico o en su caso el director general o su equivalente hará que se inscriban en el mismo</w:t>
      </w:r>
    </w:p>
    <w:p w:rsidR="007C6440" w:rsidRDefault="003E543A">
      <w:pPr>
        <w:spacing w:before="280" w:after="28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CAPÍTULO XII </w:t>
      </w:r>
    </w:p>
    <w:p w:rsidR="007C6440" w:rsidRDefault="003E543A">
      <w:pPr>
        <w:spacing w:before="280" w:after="28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DEL INVENTARIO GENERAL DE BIENES INMUEBLES </w:t>
      </w:r>
    </w:p>
    <w:p w:rsidR="007C6440" w:rsidRDefault="003E543A">
      <w:pPr>
        <w:spacing w:before="280" w:after="28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VIGÉSIMO SÉPTIMO: El inventario general de bienes, es el documento en donde se registran todos los bienes inmuebles propiedad la entidad fiscalizable, el cual deberá contener todas las características de identificación, tales como: nombre, zona,</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ubicación, medidas y colindancias, tipo de inmueble, superficie construida, uso, </w:t>
      </w:r>
      <w:r>
        <w:rPr>
          <w:rFonts w:ascii="Palatino Linotype" w:eastAsia="Palatino Linotype" w:hAnsi="Palatino Linotype" w:cs="Palatino Linotype"/>
          <w:b/>
          <w:i/>
          <w:sz w:val="22"/>
          <w:szCs w:val="22"/>
          <w:u w:val="single"/>
        </w:rPr>
        <w:t>medio de adquisición, situación legal</w:t>
      </w:r>
      <w:r>
        <w:rPr>
          <w:rFonts w:ascii="Palatino Linotype" w:eastAsia="Palatino Linotype" w:hAnsi="Palatino Linotype" w:cs="Palatino Linotype"/>
          <w:b/>
          <w:i/>
          <w:sz w:val="22"/>
          <w:szCs w:val="22"/>
        </w:rPr>
        <w:t>, valor y todos los demás datos que se solicitan en la cédula.</w:t>
      </w:r>
      <w:r>
        <w:rPr>
          <w:rFonts w:ascii="Palatino Linotype" w:eastAsia="Palatino Linotype" w:hAnsi="Palatino Linotype" w:cs="Palatino Linotype"/>
          <w:i/>
          <w:sz w:val="22"/>
          <w:szCs w:val="22"/>
        </w:rPr>
        <w:t xml:space="preserve"> (Anexo 3). </w:t>
      </w:r>
    </w:p>
    <w:p w:rsidR="007C6440" w:rsidRDefault="003E543A">
      <w:pPr>
        <w:spacing w:before="280" w:after="28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VIGÉSIMO OCTAVO: El responsable de la elaboración del inventario general de bienes inmuebles municipales, es el secretario, con la intervención del síndico, y la participación del contralor interno, previamente realizarán una revisión física de todos los bienes inmuebles; al concluirlo deberán asentar sus firmas junto con la del presidente y tesorero. Para los organismos públicos descentralizados y fideicomisos públicos de carácter municipal, el responsable de la elaboración del inventario general de bienes inmuebles corresponde al director general o su equivalente, conjuntamente con el comisario y el órgano de control interno, debiendo firmarlo simultáneamente el tesorero. Se asegurarán los bienes inmuebles, conforme al estudio de viabilidad, así como a la suficiencia presupuestaria debidamente especificada y </w:t>
      </w:r>
      <w:r>
        <w:rPr>
          <w:rFonts w:ascii="Palatino Linotype" w:eastAsia="Palatino Linotype" w:hAnsi="Palatino Linotype" w:cs="Palatino Linotype"/>
          <w:i/>
          <w:sz w:val="22"/>
          <w:szCs w:val="22"/>
        </w:rPr>
        <w:lastRenderedPageBreak/>
        <w:t>aprobada en la partida del gasto del presupuesto de egresos y dentro del programa correspondiente.</w:t>
      </w:r>
    </w:p>
    <w:p w:rsidR="007C6440" w:rsidRDefault="003E543A">
      <w:pPr>
        <w:spacing w:before="280" w:after="28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7C6440" w:rsidRDefault="003E543A">
      <w:pPr>
        <w:spacing w:before="280" w:after="280" w:line="360" w:lineRule="auto"/>
        <w:ind w:right="162"/>
        <w:jc w:val="both"/>
        <w:rPr>
          <w:rFonts w:ascii="Palatino Linotype" w:eastAsia="Palatino Linotype" w:hAnsi="Palatino Linotype" w:cs="Palatino Linotype"/>
        </w:rPr>
      </w:pPr>
      <w:r>
        <w:rPr>
          <w:rFonts w:ascii="Palatino Linotype" w:eastAsia="Palatino Linotype" w:hAnsi="Palatino Linotype" w:cs="Palatino Linotype"/>
        </w:rPr>
        <w:t>Como se ha vislumbrado por medio de la presente cita, en ambos documentos destaca la declaración de datos de los bienes inmuebles como: municipio, número del municipio, ente fiscalizable, número de cuenta, nombre de la cuenta, nombre del inmueble, ubicación, localidad, medidas y colindancias, superficie en metros cuadrados, valor del inmueble, uso, clasificación de zona, número de escritura o convenio, número de registro público de la propiedad, clave catastral, valor catastral, situación jurídica, modalidad de adquisición, fecha de adquisición, movimientos, póliza, observaciones y firmas. De ahí que se insista que las instituciones públicas están en posibilidad de regularizar la propiedad de los bienes inmuebles adquiridos para su posterior inscripción en el libro especial y el inventario general de bienes inmuebles, por medio del traslado de dominio, por lo que de ser el caso en el que durante la temporalidad referida, las instituciones públicas hayan efectuado algún traslado de dominio, este Órgano Garante estima procedente la entrega de los expedientes en versión pública de ser procedente.</w:t>
      </w:r>
    </w:p>
    <w:p w:rsidR="007C6440" w:rsidRDefault="003E543A">
      <w:pPr>
        <w:spacing w:before="280" w:after="280" w:line="360" w:lineRule="auto"/>
        <w:ind w:right="162"/>
        <w:jc w:val="both"/>
        <w:rPr>
          <w:rFonts w:ascii="Palatino Linotype" w:eastAsia="Palatino Linotype" w:hAnsi="Palatino Linotype" w:cs="Palatino Linotype"/>
        </w:rPr>
      </w:pPr>
      <w:r>
        <w:rPr>
          <w:rFonts w:ascii="Palatino Linotype" w:eastAsia="Palatino Linotype" w:hAnsi="Palatino Linotype" w:cs="Palatino Linotype"/>
        </w:rPr>
        <w:t xml:space="preserve">En este punto es necesario referir que la información que requiere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versa sobre </w:t>
      </w:r>
      <w:r>
        <w:rPr>
          <w:rFonts w:ascii="Palatino Linotype" w:eastAsia="Palatino Linotype" w:hAnsi="Palatino Linotype" w:cs="Palatino Linotype"/>
          <w:b/>
          <w:u w:val="single"/>
        </w:rPr>
        <w:t>todos y cada uno de los expedientes derivados del concepto de traslado de dominio en el periodo comprendido entre el 01 de enero del año 2021 al 26 de febrero de 2021</w:t>
      </w:r>
      <w:r>
        <w:rPr>
          <w:rFonts w:ascii="Palatino Linotype" w:eastAsia="Palatino Linotype" w:hAnsi="Palatino Linotype" w:cs="Palatino Linotype"/>
        </w:rPr>
        <w:t xml:space="preserve">, el cual es un trámite que debe realizarse para acreditar el cambio de propietario de un predio por adquisición u otras operaciones traslativas enunciadas en los artículos 113 al 117 del Código Financiero del Estado de México y Municipios. En el presente caso, ni el Recurrente ni el Sujeto Obligado especificaron si la información requerida versaba sobre traslado de dominio de inmuebles particulares o aquellos que pertenecen al </w:t>
      </w:r>
      <w:r>
        <w:rPr>
          <w:rFonts w:ascii="Palatino Linotype" w:eastAsia="Palatino Linotype" w:hAnsi="Palatino Linotype" w:cs="Palatino Linotype"/>
        </w:rPr>
        <w:lastRenderedPageBreak/>
        <w:t xml:space="preserve">municipio, por lo que debe quedar claro que, en los casos en los que únicamente se vean involucrados particulares, estos deberán ser clasificados como información confidencial, en virtud de que esa información no reviste interés público ni abona en la adecuada rendición de cuentas de los sujetos obligados ni contribuye a transparentar la gestión pública, aunado a que </w:t>
      </w:r>
      <w:r>
        <w:rPr>
          <w:rFonts w:ascii="Palatino Linotype" w:eastAsia="Palatino Linotype" w:hAnsi="Palatino Linotype" w:cs="Palatino Linotype"/>
          <w:b/>
        </w:rPr>
        <w:t>con su divulgación se revelaría información patrimonial que está íntimamente ligada con los titulares de los datos</w:t>
      </w:r>
      <w:r>
        <w:rPr>
          <w:rFonts w:ascii="Palatino Linotype" w:eastAsia="Palatino Linotype" w:hAnsi="Palatino Linotype" w:cs="Palatino Linotype"/>
        </w:rPr>
        <w:t xml:space="preserve"> por tanto, se insiste que no es información pública susceptible de ser entregada y, en consecuencia,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está constreñido a proteger la documentación en los que se actualice este supuesto en apego a la normatividad aplicable.</w:t>
      </w:r>
    </w:p>
    <w:p w:rsidR="007C6440" w:rsidRDefault="003E543A">
      <w:pPr>
        <w:spacing w:before="280" w:after="280" w:line="360" w:lineRule="auto"/>
        <w:ind w:right="162"/>
        <w:jc w:val="both"/>
        <w:rPr>
          <w:rFonts w:ascii="Palatino Linotype" w:eastAsia="Palatino Linotype" w:hAnsi="Palatino Linotype" w:cs="Palatino Linotype"/>
        </w:rPr>
      </w:pPr>
      <w:r>
        <w:rPr>
          <w:rFonts w:ascii="Palatino Linotype" w:eastAsia="Palatino Linotype" w:hAnsi="Palatino Linotype" w:cs="Palatino Linotype"/>
        </w:rPr>
        <w:t xml:space="preserve">Es de resaltar el hecho de la información relativa de los particulares propietarios de inmuebles es considerada como un dato personal por la Ley de Protección de Datos Personales en Posesión de Sujeto Obligados del Estado de México y Municipios, que en su artículo 4 fracción XI establece lo siguiente: </w:t>
      </w:r>
    </w:p>
    <w:p w:rsidR="007C6440" w:rsidRDefault="003E543A">
      <w:pPr>
        <w:spacing w:before="280" w:after="280"/>
        <w:ind w:left="567" w:right="158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4. Para los efectos de esta Ley se entenderá por: </w:t>
      </w:r>
    </w:p>
    <w:p w:rsidR="007C6440" w:rsidRDefault="003E543A">
      <w:pPr>
        <w:spacing w:before="280" w:after="280"/>
        <w:ind w:left="567" w:right="158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7C6440" w:rsidRDefault="003E543A">
      <w:pPr>
        <w:spacing w:before="280" w:after="280"/>
        <w:ind w:left="567" w:right="158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XI.Datos personales: a la información concerniente a una persona física o jurídica colectiva identificada o identificable, establecida en cualquier formato o modalidad, y que esté almacenada en los sistemas y bases de datos, se considera que una persona es identificable cuando su identidad pueda determinarse directa o indirectamente a través de cualquier documento informativo físico o electrónico.”</w:t>
      </w:r>
    </w:p>
    <w:p w:rsidR="007C6440" w:rsidRDefault="003E543A">
      <w:pPr>
        <w:spacing w:before="280" w:after="280" w:line="360" w:lineRule="auto"/>
        <w:ind w:right="162"/>
        <w:jc w:val="both"/>
        <w:rPr>
          <w:rFonts w:ascii="Palatino Linotype" w:eastAsia="Palatino Linotype" w:hAnsi="Palatino Linotype" w:cs="Palatino Linotype"/>
        </w:rPr>
      </w:pPr>
      <w:r>
        <w:rPr>
          <w:rFonts w:ascii="Palatino Linotype" w:eastAsia="Palatino Linotype" w:hAnsi="Palatino Linotype" w:cs="Palatino Linotype"/>
        </w:rPr>
        <w:t xml:space="preserve">De manera que cuando los datos hacen a una persona física o jurídica colectiva identificada o identificable, establecida en cualquier formato o modalidad, se hablan de datos personales, asimismo debe apuntarse que en el caso en concreto, se identifica que </w:t>
      </w:r>
      <w:r>
        <w:rPr>
          <w:rFonts w:ascii="Palatino Linotype" w:eastAsia="Palatino Linotype" w:hAnsi="Palatino Linotype" w:cs="Palatino Linotype"/>
        </w:rPr>
        <w:lastRenderedPageBreak/>
        <w:t>lo solicitado es un dato personal pues hace alusión a información concerniente a personas físicas.</w:t>
      </w:r>
    </w:p>
    <w:p w:rsidR="007C6440" w:rsidRDefault="003E543A">
      <w:pPr>
        <w:pBdr>
          <w:top w:val="nil"/>
          <w:left w:val="nil"/>
          <w:bottom w:val="nil"/>
          <w:right w:val="nil"/>
          <w:between w:val="nil"/>
        </w:pBdr>
        <w:spacing w:before="280" w:after="280" w:line="360" w:lineRule="auto"/>
        <w:ind w:right="-11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igual forma, el artículo 6 de la Ley referida anteriormente, establece lo siguiente:</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6. El Estado garantizará la privacidad de los individuos y velará porque no se incurra en conductas que puedan afectarla arbitrariamente</w:t>
      </w:r>
      <w:r>
        <w:rPr>
          <w:rFonts w:ascii="Palatino Linotype" w:eastAsia="Palatino Linotype" w:hAnsi="Palatino Linotype" w:cs="Palatino Linotype"/>
          <w:i/>
          <w:color w:val="000000"/>
          <w:sz w:val="22"/>
          <w:szCs w:val="22"/>
        </w:rPr>
        <w:t xml:space="preserve">. </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Los responsables aplicarán las medidas establecidas en esta Ley para la protección de las personas y su dignidad, respecto al tratamiento de sus datos personales. </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El derecho a la protección de los datos personales solamente se limitará por</w:t>
      </w:r>
      <w:r>
        <w:rPr>
          <w:rFonts w:ascii="Palatino Linotype" w:eastAsia="Palatino Linotype" w:hAnsi="Palatino Linotype" w:cs="Palatino Linotype"/>
          <w:i/>
          <w:color w:val="000000"/>
          <w:sz w:val="22"/>
          <w:szCs w:val="22"/>
        </w:rPr>
        <w:t xml:space="preserve"> razones de seguridad pública en términos de la Ley en la materia, disposiciones de orden público, salud pública o </w:t>
      </w:r>
      <w:r>
        <w:rPr>
          <w:rFonts w:ascii="Palatino Linotype" w:eastAsia="Palatino Linotype" w:hAnsi="Palatino Linotype" w:cs="Palatino Linotype"/>
          <w:b/>
          <w:i/>
          <w:color w:val="000000"/>
          <w:sz w:val="22"/>
          <w:szCs w:val="22"/>
        </w:rPr>
        <w:t>proteger los derechos de terceros</w:t>
      </w:r>
      <w:r>
        <w:rPr>
          <w:rFonts w:ascii="Palatino Linotype" w:eastAsia="Palatino Linotype" w:hAnsi="Palatino Linotype" w:cs="Palatino Linotype"/>
          <w:i/>
          <w:color w:val="000000"/>
          <w:sz w:val="22"/>
          <w:szCs w:val="22"/>
        </w:rPr>
        <w:t>.”</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(Énfasis añadido)</w:t>
      </w:r>
    </w:p>
    <w:p w:rsidR="007C6440" w:rsidRDefault="003E543A">
      <w:pPr>
        <w:pBdr>
          <w:top w:val="nil"/>
          <w:left w:val="nil"/>
          <w:bottom w:val="nil"/>
          <w:right w:val="nil"/>
          <w:between w:val="nil"/>
        </w:pBdr>
        <w:spacing w:before="280" w:after="280" w:line="360" w:lineRule="auto"/>
        <w:ind w:right="162"/>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Inclusive, la Ley de Transparencia estatal considera que la información privada y los datos personales y sensibles concernientes a una persona física o jurídico colectiva identificada o identificable se considera información confidencial, según lo dispone el artículo 143 fracción I, como se observa a continuación: </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Artículo 143. Para los efectos de esta Ley se considera información confidencial, la clasificada como tal, de manera permanente, por su naturaleza, cuando: </w:t>
      </w:r>
    </w:p>
    <w:p w:rsidR="007C6440" w:rsidRDefault="003E543A">
      <w:pPr>
        <w:numPr>
          <w:ilvl w:val="0"/>
          <w:numId w:val="4"/>
        </w:numPr>
        <w:pBdr>
          <w:top w:val="nil"/>
          <w:left w:val="nil"/>
          <w:bottom w:val="nil"/>
          <w:right w:val="nil"/>
          <w:between w:val="nil"/>
        </w:pBdr>
        <w:spacing w:before="280" w:after="280"/>
        <w:ind w:left="567" w:right="1580"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Se refiera a la información privada y los datos personales concernientes a una persona física o jurídico colectiva identificada o identificable; </w:t>
      </w:r>
    </w:p>
    <w:p w:rsidR="007C6440" w:rsidRDefault="003E543A">
      <w:pPr>
        <w:numPr>
          <w:ilvl w:val="0"/>
          <w:numId w:val="4"/>
        </w:numPr>
        <w:pBdr>
          <w:top w:val="nil"/>
          <w:left w:val="nil"/>
          <w:bottom w:val="nil"/>
          <w:right w:val="nil"/>
          <w:between w:val="nil"/>
        </w:pBdr>
        <w:spacing w:before="280" w:after="280"/>
        <w:ind w:left="567" w:right="1580" w:hanging="1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información confidencial no estará sujeta a temporalidad alguna y sólo podrán tener acceso a ella los titulares de las mismas, sus representantes y los servidores públicos facultados para ellos. </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No se considerará confidencial la información que se encuentre en los registros públicos o en fuentes de acceso público, ni tampoco la que sea considerada por la presente ley como información pública.</w:t>
      </w:r>
    </w:p>
    <w:p w:rsidR="007C6440" w:rsidRDefault="003E543A">
      <w:pPr>
        <w:pBdr>
          <w:top w:val="nil"/>
          <w:left w:val="nil"/>
          <w:bottom w:val="nil"/>
          <w:right w:val="nil"/>
          <w:between w:val="nil"/>
        </w:pBdr>
        <w:spacing w:before="280" w:after="280" w:line="360" w:lineRule="auto"/>
        <w:ind w:right="-11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Derivado de lo anterior, y en estricto apego a los artículos que sustentan la facultad de este Instituto para interpretar los ordenamientos aplicables, así como crear criterios en la materia, se llega a la conclusión de que debe prevalecer el derecho a la protección de los datos personales de los documentos del particular descritos en la solicitud de información. Lo anterior con base a las consideraciones ya establecidas; para mayor abundamiento, se puede citar la tesis aislada 1ª. VII/2012 (10ª.), con número de registro 2000233 de la Décima Época, publicada en el Semanario Judicial de la Federación y su Gaceta, Libro V, febrero de 2012, Tomo 1, página 655 en materia Constitucional, que establece lo siguiente:</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“INFORMACIÓN CONFIDENCIAL. LÍMITE AL DERECHO DE ACCESO A LA INFORMACIÓN (LEY FEDERAL DE TRANSPARENCIA Y ACCESO A LA INFORMACIÓN PÚBLICA GUBERNAMENTAL). 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w:t>
      </w:r>
      <w:r>
        <w:rPr>
          <w:rFonts w:ascii="Palatino Linotype" w:eastAsia="Palatino Linotype" w:hAnsi="Palatino Linotype" w:cs="Palatino Linotype"/>
          <w:b/>
          <w:i/>
          <w:color w:val="000000"/>
          <w:sz w:val="22"/>
          <w:szCs w:val="22"/>
        </w:rPr>
        <w:t>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clasificación el de información confidencial, el cual }restringe el acceso a la información que contenga datos personales que requieran el consentimiento de los individuos para su difusión, distribución o comercialización</w:t>
      </w:r>
      <w:r>
        <w:rPr>
          <w:rFonts w:ascii="Palatino Linotype" w:eastAsia="Palatino Linotype" w:hAnsi="Palatino Linotype" w:cs="Palatino Linotype"/>
          <w:i/>
          <w:color w:val="000000"/>
          <w:sz w:val="22"/>
          <w:szCs w:val="22"/>
        </w:rPr>
        <w:t xml:space="preserve">. Lo anterior también tiene un sustento constitucional en lo dispuesto en el segundo párrafo del artículo 16 constitucional, el cual reconoce que </w:t>
      </w:r>
      <w:r>
        <w:rPr>
          <w:rFonts w:ascii="Palatino Linotype" w:eastAsia="Palatino Linotype" w:hAnsi="Palatino Linotype" w:cs="Palatino Linotype"/>
          <w:i/>
          <w:color w:val="000000"/>
          <w:sz w:val="22"/>
          <w:szCs w:val="22"/>
        </w:rPr>
        <w:lastRenderedPageBreak/>
        <w:t xml:space="preserve">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w:t>
      </w:r>
      <w:r>
        <w:rPr>
          <w:rFonts w:ascii="Palatino Linotype" w:eastAsia="Palatino Linotype" w:hAnsi="Palatino Linotype" w:cs="Palatino Linotype"/>
          <w:b/>
          <w:i/>
          <w:color w:val="000000"/>
          <w:sz w:val="22"/>
          <w:szCs w:val="22"/>
        </w:rPr>
        <w:t>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pues puede darse el caso de un documento público que sólo en una sección contenga datos confidenciales</w:t>
      </w:r>
      <w:r>
        <w:rPr>
          <w:rFonts w:ascii="Palatino Linotype" w:eastAsia="Palatino Linotype" w:hAnsi="Palatino Linotype" w:cs="Palatino Linotype"/>
          <w:i/>
          <w:color w:val="000000"/>
          <w:sz w:val="22"/>
          <w:szCs w:val="22"/>
        </w:rPr>
        <w:t>.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rsidR="007C6440" w:rsidRDefault="003E543A">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(Énfasis añadido)</w:t>
      </w:r>
    </w:p>
    <w:p w:rsidR="007C6440" w:rsidRDefault="003E543A">
      <w:pPr>
        <w:pBdr>
          <w:top w:val="nil"/>
          <w:left w:val="nil"/>
          <w:bottom w:val="nil"/>
          <w:right w:val="nil"/>
          <w:between w:val="nil"/>
        </w:pBdr>
        <w:spacing w:before="280" w:after="280" w:line="360" w:lineRule="auto"/>
        <w:ind w:right="-11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sentido, este Instituto considera que la información solicitada por el Recurrente es susceptible de clasificarse como </w:t>
      </w:r>
      <w:r>
        <w:rPr>
          <w:rFonts w:ascii="Palatino Linotype" w:eastAsia="Palatino Linotype" w:hAnsi="Palatino Linotype" w:cs="Palatino Linotype"/>
          <w:b/>
          <w:color w:val="000000"/>
        </w:rPr>
        <w:t>información confidencial</w:t>
      </w:r>
      <w:r>
        <w:rPr>
          <w:rFonts w:ascii="Palatino Linotype" w:eastAsia="Palatino Linotype" w:hAnsi="Palatino Linotype" w:cs="Palatino Linotype"/>
          <w:color w:val="000000"/>
        </w:rPr>
        <w:t xml:space="preserve">, por lo que este Instituto considera procedente ordenar al Sujeto Obligado que después de haber realizado la búsqueda de los documentos que obran en el área de Tesorería Municipal, se realice el Acuerdo de Clasificación de la Información como Confidencial que al respecto emita su Comité de Transparencia con el cual se deberá fundamentar y motivar adecuadamente la clasificación de la información solicitada, con la finalidad de dar certeza jurídica al particular sobre las razones por las cuales no es procedente la entrega de la información. </w:t>
      </w:r>
    </w:p>
    <w:p w:rsidR="007C6440" w:rsidRDefault="003E543A">
      <w:pPr>
        <w:widowControl w:val="0"/>
        <w:tabs>
          <w:tab w:val="left" w:pos="1701"/>
          <w:tab w:val="left" w:pos="1843"/>
        </w:tabs>
        <w:spacing w:before="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la Ley de Transparencia y Acceso a la Información Pública del Estado de México y Municipios señala que para la clasificación formal de la información solicitada, </w:t>
      </w:r>
      <w:r>
        <w:rPr>
          <w:rFonts w:ascii="Palatino Linotype" w:eastAsia="Palatino Linotype" w:hAnsi="Palatino Linotype" w:cs="Palatino Linotype"/>
        </w:rPr>
        <w:lastRenderedPageBreak/>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remitir el respectivo Acuerdo de Clasificación fundado y motivado donde determine la clasificación de la información como confidencial, de conformidad con los artículos 49 fracción VIII y 132 fracciones I, II y III, así como los numerales del cuarto al décimo primero de los Lineamientos Generales en Materia de Clasificación y Desclasificación de la Información, así como para la Elaboración de Versiones Públicas, que literalmente rezan lo siguiente: </w:t>
      </w:r>
    </w:p>
    <w:p w:rsidR="007C6440" w:rsidRDefault="007C6440">
      <w:pPr>
        <w:widowControl w:val="0"/>
        <w:tabs>
          <w:tab w:val="left" w:pos="1701"/>
          <w:tab w:val="left" w:pos="1843"/>
        </w:tabs>
        <w:spacing w:line="360" w:lineRule="auto"/>
        <w:jc w:val="both"/>
        <w:rPr>
          <w:rFonts w:ascii="Palatino Linotype" w:eastAsia="Palatino Linotype" w:hAnsi="Palatino Linotype" w:cs="Palatino Linotype"/>
        </w:rPr>
      </w:pPr>
    </w:p>
    <w:p w:rsidR="007C6440" w:rsidRDefault="003E543A">
      <w:pPr>
        <w:widowControl w:val="0"/>
        <w:tabs>
          <w:tab w:val="left" w:pos="1701"/>
          <w:tab w:val="left" w:pos="1843"/>
        </w:tabs>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Los Comités de Transparencia tendrán las siguientes atribuciones:</w:t>
      </w:r>
    </w:p>
    <w:p w:rsidR="007C6440" w:rsidRDefault="003E543A">
      <w:pPr>
        <w:widowControl w:val="0"/>
        <w:tabs>
          <w:tab w:val="left" w:pos="1701"/>
          <w:tab w:val="left" w:pos="1843"/>
        </w:tabs>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C6440" w:rsidRDefault="003E543A">
      <w:pPr>
        <w:widowControl w:val="0"/>
        <w:tabs>
          <w:tab w:val="left" w:pos="1701"/>
          <w:tab w:val="left" w:pos="1843"/>
        </w:tabs>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Aprobar, modificar o revocar la clasificación de la información;</w:t>
      </w:r>
    </w:p>
    <w:p w:rsidR="007C6440" w:rsidRDefault="003E543A">
      <w:pPr>
        <w:widowControl w:val="0"/>
        <w:tabs>
          <w:tab w:val="left" w:pos="1701"/>
          <w:tab w:val="left" w:pos="1843"/>
        </w:tabs>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C6440" w:rsidRDefault="003E543A">
      <w:pPr>
        <w:widowControl w:val="0"/>
        <w:tabs>
          <w:tab w:val="left" w:pos="1701"/>
          <w:tab w:val="left" w:pos="1843"/>
        </w:tabs>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La clasificación de la información se llevará a cabo en el momento en que: </w:t>
      </w:r>
    </w:p>
    <w:p w:rsidR="007C6440" w:rsidRDefault="003E543A">
      <w:pPr>
        <w:widowControl w:val="0"/>
        <w:numPr>
          <w:ilvl w:val="0"/>
          <w:numId w:val="6"/>
        </w:numPr>
        <w:tabs>
          <w:tab w:val="left" w:pos="1701"/>
          <w:tab w:val="left" w:pos="1843"/>
        </w:tabs>
        <w:ind w:left="567" w:right="709" w:hanging="1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 reciba una solicitud de acceso a la información; </w:t>
      </w:r>
    </w:p>
    <w:p w:rsidR="007C6440" w:rsidRDefault="003E543A">
      <w:pPr>
        <w:widowControl w:val="0"/>
        <w:numPr>
          <w:ilvl w:val="0"/>
          <w:numId w:val="6"/>
        </w:numPr>
        <w:tabs>
          <w:tab w:val="left" w:pos="1701"/>
          <w:tab w:val="left" w:pos="1843"/>
        </w:tabs>
        <w:ind w:left="567" w:right="709" w:hanging="2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 determine mediante resolución de autoridad competente; o </w:t>
      </w:r>
    </w:p>
    <w:p w:rsidR="007C6440" w:rsidRDefault="003E543A">
      <w:pPr>
        <w:widowControl w:val="0"/>
        <w:numPr>
          <w:ilvl w:val="0"/>
          <w:numId w:val="6"/>
        </w:numPr>
        <w:tabs>
          <w:tab w:val="left" w:pos="1701"/>
          <w:tab w:val="left" w:pos="1843"/>
        </w:tabs>
        <w:spacing w:after="120"/>
        <w:ind w:left="567" w:right="709" w:hanging="2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generen versiones públicas para dar cumplimiento a las obligaciones de transparencia previstas en esta Ley.</w:t>
      </w:r>
    </w:p>
    <w:p w:rsidR="007C6440" w:rsidRDefault="003E543A">
      <w:pPr>
        <w:widowControl w:val="0"/>
        <w:tabs>
          <w:tab w:val="left" w:pos="1701"/>
          <w:tab w:val="left" w:pos="1843"/>
        </w:tabs>
        <w:spacing w:before="120" w:after="240"/>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C6440" w:rsidRDefault="003E543A">
      <w:pPr>
        <w:widowControl w:val="0"/>
        <w:tabs>
          <w:tab w:val="left" w:pos="1701"/>
          <w:tab w:val="left" w:pos="1843"/>
          <w:tab w:val="left" w:pos="8222"/>
        </w:tabs>
        <w:spacing w:before="360" w:after="24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rsidR="007C6440" w:rsidRDefault="003E543A">
      <w:pPr>
        <w:widowControl w:val="0"/>
        <w:tabs>
          <w:tab w:val="left" w:pos="1701"/>
          <w:tab w:val="left" w:pos="1843"/>
          <w:tab w:val="left" w:pos="8222"/>
        </w:tabs>
        <w:spacing w:before="360" w:after="24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 </w:t>
      </w:r>
    </w:p>
    <w:p w:rsidR="007C6440" w:rsidRDefault="003E543A">
      <w:pPr>
        <w:widowControl w:val="0"/>
        <w:tabs>
          <w:tab w:val="left" w:pos="1701"/>
          <w:tab w:val="left" w:pos="1843"/>
          <w:tab w:val="left" w:pos="8222"/>
        </w:tabs>
        <w:spacing w:before="360" w:after="24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 La clasificación de información se realizará conforme a un análisis caso por caso, mediante la aplicación de la prueba de daño y de interés público. </w:t>
      </w:r>
    </w:p>
    <w:p w:rsidR="007C6440" w:rsidRDefault="003E543A">
      <w:pPr>
        <w:widowControl w:val="0"/>
        <w:tabs>
          <w:tab w:val="left" w:pos="1701"/>
          <w:tab w:val="left" w:pos="1843"/>
          <w:tab w:val="left" w:pos="8222"/>
        </w:tabs>
        <w:spacing w:before="360" w:after="24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 </w:t>
      </w:r>
    </w:p>
    <w:p w:rsidR="007C6440" w:rsidRDefault="003E543A">
      <w:pPr>
        <w:widowControl w:val="0"/>
        <w:numPr>
          <w:ilvl w:val="0"/>
          <w:numId w:val="8"/>
        </w:numPr>
        <w:tabs>
          <w:tab w:val="left" w:pos="1701"/>
          <w:tab w:val="left" w:pos="1843"/>
          <w:tab w:val="left" w:pos="8222"/>
        </w:tabs>
        <w:spacing w:before="240"/>
        <w:ind w:left="567" w:right="1580" w:hanging="1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 reciba una solicitud de acceso a la información; </w:t>
      </w:r>
    </w:p>
    <w:p w:rsidR="007C6440" w:rsidRDefault="003E543A">
      <w:pPr>
        <w:widowControl w:val="0"/>
        <w:numPr>
          <w:ilvl w:val="0"/>
          <w:numId w:val="8"/>
        </w:numPr>
        <w:tabs>
          <w:tab w:val="left" w:pos="1701"/>
          <w:tab w:val="left" w:pos="1843"/>
          <w:tab w:val="left" w:pos="8222"/>
        </w:tabs>
        <w:ind w:left="567" w:right="1580" w:hanging="2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 determine mediante resolución de autoridad competente, o </w:t>
      </w:r>
    </w:p>
    <w:p w:rsidR="007C6440" w:rsidRDefault="003E543A">
      <w:pPr>
        <w:widowControl w:val="0"/>
        <w:numPr>
          <w:ilvl w:val="0"/>
          <w:numId w:val="8"/>
        </w:numPr>
        <w:tabs>
          <w:tab w:val="left" w:pos="1701"/>
          <w:tab w:val="left" w:pos="1843"/>
          <w:tab w:val="left" w:pos="8222"/>
        </w:tabs>
        <w:spacing w:after="120"/>
        <w:ind w:left="567" w:right="1580" w:hanging="42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generen versiones públicas para dar cumplimiento a las obligaciones de transparencia previstas en la Ley General, la Ley Federal y las correspondientes de las entidades federativas.</w:t>
      </w:r>
    </w:p>
    <w:p w:rsidR="007C6440" w:rsidRDefault="003E543A">
      <w:pPr>
        <w:widowControl w:val="0"/>
        <w:tabs>
          <w:tab w:val="left" w:pos="1701"/>
          <w:tab w:val="left" w:pos="1843"/>
        </w:tabs>
        <w:spacing w:before="120" w:after="24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titulares de las áreas deberán revisar la clasificación al momento de la recepción de una solicitud de acceso a la información, para verificar si encuadra en una causal de reserva o de confidencialidad. </w:t>
      </w:r>
    </w:p>
    <w:p w:rsidR="007C6440" w:rsidRDefault="003E543A">
      <w:pPr>
        <w:widowControl w:val="0"/>
        <w:tabs>
          <w:tab w:val="left" w:pos="1701"/>
          <w:tab w:val="left" w:pos="1843"/>
        </w:tabs>
        <w:spacing w:before="360" w:after="24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 Para motivar la clasificación se deberán señalar las razones o circunstancias especiales que lo llevaron a concluir que el caso particular se ajusta al supuesto previsto por la norma legal invocada como fundamento. </w:t>
      </w:r>
    </w:p>
    <w:p w:rsidR="007C6440" w:rsidRDefault="003E543A">
      <w:pPr>
        <w:widowControl w:val="0"/>
        <w:tabs>
          <w:tab w:val="left" w:pos="1701"/>
          <w:tab w:val="left" w:pos="1843"/>
        </w:tabs>
        <w:spacing w:before="360" w:after="24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de referirse a información reservada, la motivación de la clasificación también deberá comprender las circunstancias que justifican el establecimiento de determinado plazo de reserva. </w:t>
      </w:r>
    </w:p>
    <w:p w:rsidR="007C6440" w:rsidRDefault="003E543A">
      <w:pPr>
        <w:widowControl w:val="0"/>
        <w:tabs>
          <w:tab w:val="left" w:pos="1701"/>
          <w:tab w:val="left" w:pos="1843"/>
        </w:tabs>
        <w:spacing w:before="360" w:after="24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Tratándose de información clasificada como confidencial respecto de la cual se haya determinado su conservación permanente por tener valor histórico, ésta conservará tal carácter de conformidad con la normativa aplicable en materia de archivos. Los documentos contenidos en los archivos históricos y los identificados como históricos confidenciales no serán susceptibles de clasificación como reservados. </w:t>
      </w:r>
    </w:p>
    <w:p w:rsidR="007C6440" w:rsidRDefault="003E543A">
      <w:pPr>
        <w:widowControl w:val="0"/>
        <w:tabs>
          <w:tab w:val="left" w:pos="1701"/>
          <w:tab w:val="left" w:pos="1843"/>
        </w:tabs>
        <w:spacing w:before="360" w:after="240"/>
        <w:ind w:left="142"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C6440" w:rsidRDefault="003E543A">
      <w:pPr>
        <w:widowControl w:val="0"/>
        <w:tabs>
          <w:tab w:val="left" w:pos="1701"/>
          <w:tab w:val="left" w:pos="1843"/>
        </w:tabs>
        <w:spacing w:before="360" w:after="240"/>
        <w:ind w:left="142"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 </w:t>
      </w: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En ausencia de los titulares de las áreas, la información será clasificada o desclasificada por la persona que lo supla, en términos de la normativa que rija la actuación del sujeto obligado. </w:t>
      </w:r>
    </w:p>
    <w:p w:rsidR="007C6440" w:rsidRDefault="003E543A">
      <w:pPr>
        <w:widowControl w:val="0"/>
        <w:tabs>
          <w:tab w:val="left" w:pos="1701"/>
          <w:tab w:val="left" w:pos="1843"/>
        </w:tabs>
        <w:spacing w:before="360" w:after="240"/>
        <w:ind w:left="142"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7C6440" w:rsidRDefault="003E543A">
      <w:pPr>
        <w:widowControl w:val="0"/>
        <w:tabs>
          <w:tab w:val="left" w:pos="1701"/>
          <w:tab w:val="left" w:pos="1843"/>
        </w:tabs>
        <w:spacing w:before="360" w:after="240" w:line="360" w:lineRule="auto"/>
        <w:ind w:left="-142"/>
        <w:jc w:val="both"/>
        <w:rPr>
          <w:rFonts w:ascii="Palatino Linotype" w:eastAsia="Palatino Linotype" w:hAnsi="Palatino Linotype" w:cs="Palatino Linotype"/>
        </w:rPr>
      </w:pPr>
      <w:r>
        <w:rPr>
          <w:rFonts w:ascii="Palatino Linotype" w:eastAsia="Palatino Linotype" w:hAnsi="Palatino Linotype" w:cs="Palatino Linotype"/>
        </w:rPr>
        <w:t xml:space="preserve">Por tanto, dicho acuerdo debe exponer de manera clara las razones por las que se encuadran los supuestos de clasificación de la información, de conformidad con el artículo 135 de la Ley de Transparencia y Acceso a la Información Pública del Estado de México y Municipios, en relación con el numeral octavo de los Lineamientos Generales en Materia de Clasificación y Desclasificación de la Información, así como para la Elaboración de Versiones Públicas, los cuales se insertan para mayor referencia del presente análisis: </w:t>
      </w:r>
    </w:p>
    <w:p w:rsidR="007C6440" w:rsidRDefault="003E543A">
      <w:pPr>
        <w:widowControl w:val="0"/>
        <w:tabs>
          <w:tab w:val="left" w:pos="1701"/>
          <w:tab w:val="left" w:pos="1843"/>
        </w:tabs>
        <w:spacing w:before="360" w:after="240"/>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135.</w:t>
      </w:r>
      <w:r>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rsidR="007C6440" w:rsidRDefault="003E543A">
      <w:pPr>
        <w:widowControl w:val="0"/>
        <w:tabs>
          <w:tab w:val="left" w:pos="1701"/>
          <w:tab w:val="left" w:pos="1843"/>
        </w:tabs>
        <w:spacing w:before="360" w:after="240"/>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C6440" w:rsidRDefault="003E543A">
      <w:pPr>
        <w:widowControl w:val="0"/>
        <w:tabs>
          <w:tab w:val="left" w:pos="1701"/>
          <w:tab w:val="left" w:pos="1843"/>
        </w:tabs>
        <w:spacing w:before="360" w:after="240"/>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 Para motivar la clasificación se deberán señalar las razones o circunstancias especiales que lo llevaron a concluir que el caso particular se ajusta al supuesto previsto por la norma legal invocada como fundamento. En caso de referirse a información reservada, la motivación de la clasificación también deberá comprender las circunstancias que justifican el establecimiento de determinado plazo de reserva. Tratándose de información clasificada como confidencial respecto de la cual se haya determinado su conservación permanente por tener valor histórico, ésta conservará tal carácter de conformidad con la normativa aplicable en materia de archivos. Los documentos contenidos </w:t>
      </w:r>
      <w:r>
        <w:rPr>
          <w:rFonts w:ascii="Palatino Linotype" w:eastAsia="Palatino Linotype" w:hAnsi="Palatino Linotype" w:cs="Palatino Linotype"/>
          <w:i/>
          <w:sz w:val="22"/>
          <w:szCs w:val="22"/>
        </w:rPr>
        <w:lastRenderedPageBreak/>
        <w:t>en los archivos históricos y los identificados como históricos confidenciales no serán susceptibles de clasificación como reservados.”</w:t>
      </w:r>
    </w:p>
    <w:p w:rsidR="007C6440" w:rsidRDefault="003E543A">
      <w:pPr>
        <w:widowControl w:val="0"/>
        <w:tabs>
          <w:tab w:val="left" w:pos="1701"/>
          <w:tab w:val="left" w:pos="1843"/>
        </w:tabs>
        <w:spacing w:before="360" w:after="240" w:line="360" w:lineRule="auto"/>
        <w:ind w:right="142"/>
        <w:jc w:val="both"/>
        <w:rPr>
          <w:rFonts w:ascii="Palatino Linotype" w:eastAsia="Palatino Linotype" w:hAnsi="Palatino Linotype" w:cs="Palatino Linotype"/>
        </w:rPr>
      </w:pPr>
      <w:r>
        <w:rPr>
          <w:rFonts w:ascii="Palatino Linotype" w:eastAsia="Palatino Linotype" w:hAnsi="Palatino Linotype" w:cs="Palatino Linotype"/>
        </w:rPr>
        <w:t xml:space="preserve">Concluyendo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w:t>
      </w:r>
      <w:r>
        <w:rPr>
          <w:rFonts w:ascii="Palatino Linotype" w:eastAsia="Palatino Linotype" w:hAnsi="Palatino Linotype" w:cs="Palatino Linotype"/>
          <w:b/>
        </w:rPr>
        <w:t>Sujeto Obligado</w:t>
      </w:r>
      <w:r>
        <w:rPr>
          <w:rFonts w:ascii="Palatino Linotype" w:eastAsia="Palatino Linotype" w:hAnsi="Palatino Linotype" w:cs="Palatino Linotype"/>
        </w:rPr>
        <w:t>, en ese contexto todo dato personal susceptible de clasificación debe ser protegido.</w:t>
      </w:r>
    </w:p>
    <w:p w:rsidR="007C6440" w:rsidRDefault="003E543A">
      <w:pPr>
        <w:widowControl w:val="0"/>
        <w:tabs>
          <w:tab w:val="left" w:pos="1701"/>
          <w:tab w:val="left" w:pos="1843"/>
        </w:tabs>
        <w:spacing w:before="360" w:after="240" w:line="360" w:lineRule="auto"/>
        <w:ind w:right="142"/>
        <w:jc w:val="both"/>
        <w:rPr>
          <w:rFonts w:ascii="Palatino Linotype" w:eastAsia="Palatino Linotype" w:hAnsi="Palatino Linotype" w:cs="Palatino Linotype"/>
        </w:rPr>
      </w:pPr>
      <w:r>
        <w:rPr>
          <w:rFonts w:ascii="Palatino Linotype" w:eastAsia="Palatino Linotype" w:hAnsi="Palatino Linotype" w:cs="Palatino Linotype"/>
        </w:rPr>
        <w:t xml:space="preserve">Robustece lo anterior, el criterio sustentado por la Segunda Sala de la Suprema Corte de Justicia de la Nación, visible en la página 2518 del Tomo XXII, de la Novena Época del Semanario Judicial de la Federación y su Gaceta, Julio de 2008, de rubro y texto siguientes: </w:t>
      </w:r>
    </w:p>
    <w:p w:rsidR="007C6440" w:rsidRDefault="003E543A">
      <w:pPr>
        <w:widowControl w:val="0"/>
        <w:tabs>
          <w:tab w:val="left" w:pos="1701"/>
          <w:tab w:val="left" w:pos="1843"/>
        </w:tabs>
        <w:spacing w:before="360" w:after="240"/>
        <w:ind w:left="567" w:right="87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“TRANSPARENCIA Y ACCESO A LA INFORMACIÓN PÚBLICA GUBERNAMENTAL. LOS ARTÍCULOS 3o., FRACCIÓN II, Y 18, FRACCIÓN II, DE LA LEY FEDERAL RELATIVA, NO VIOLAN LA GARANTÍA DE IGUALDAD, AL TUTELAR EL DERECHO A LA PROTECCIÓN DE DATOS PERSONALES SÓLO DE LAS PERSONAS FÍSICAS.</w:t>
      </w:r>
    </w:p>
    <w:p w:rsidR="007C6440" w:rsidRDefault="003E543A">
      <w:pPr>
        <w:widowControl w:val="0"/>
        <w:tabs>
          <w:tab w:val="left" w:pos="1701"/>
          <w:tab w:val="left" w:pos="1843"/>
        </w:tabs>
        <w:spacing w:before="360" w:after="240"/>
        <w:ind w:left="567" w:right="87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w:t>
      </w:r>
      <w:hyperlink r:id="rId14">
        <w:r>
          <w:rPr>
            <w:rFonts w:ascii="Palatino Linotype" w:eastAsia="Palatino Linotype" w:hAnsi="Palatino Linotype" w:cs="Palatino Linotype"/>
            <w:b/>
            <w:i/>
            <w:color w:val="000000"/>
            <w:sz w:val="22"/>
            <w:szCs w:val="22"/>
            <w:u w:val="single"/>
          </w:rPr>
          <w:t>3o., fracción II, y 18, fracción II, de la Ley Federal de Transparencia y Acceso a la Información Pública Gubernamental</w:t>
        </w:r>
      </w:hyperlink>
      <w:r>
        <w:rPr>
          <w:rFonts w:ascii="Palatino Linotype" w:eastAsia="Palatino Linotype" w:hAnsi="Palatino Linotype" w:cs="Palatino Linotype"/>
          <w:i/>
          <w:color w:val="000000"/>
          <w:sz w:val="22"/>
          <w:szCs w:val="22"/>
        </w:rPr>
        <w:t>, al tutelar sólo el derecho a la protección de datos personales de las personas físicas y no de las morales, colectivas o jurídicas privadas, no violan la indicada garantía contenida en el artículo </w:t>
      </w:r>
      <w:hyperlink r:id="rId15">
        <w:r>
          <w:rPr>
            <w:rFonts w:ascii="Palatino Linotype" w:eastAsia="Palatino Linotype" w:hAnsi="Palatino Linotype" w:cs="Palatino Linotype"/>
            <w:b/>
            <w:i/>
            <w:color w:val="000000"/>
            <w:sz w:val="22"/>
            <w:szCs w:val="22"/>
            <w:u w:val="single"/>
          </w:rPr>
          <w:t>1o. de la Constitución Política de los Estados Unidos Mexicanos</w:t>
        </w:r>
      </w:hyperlink>
      <w:r>
        <w:rPr>
          <w:rFonts w:ascii="Palatino Linotype" w:eastAsia="Palatino Linotype" w:hAnsi="Palatino Linotype" w:cs="Palatino Linotype"/>
          <w:i/>
          <w:color w:val="000000"/>
          <w:sz w:val="22"/>
          <w:szCs w:val="22"/>
        </w:rPr>
        <w:t xml:space="preserve">,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w:t>
      </w:r>
      <w:r>
        <w:rPr>
          <w:rFonts w:ascii="Palatino Linotype" w:eastAsia="Palatino Linotype" w:hAnsi="Palatino Linotype" w:cs="Palatino Linotype"/>
          <w:i/>
          <w:color w:val="000000"/>
          <w:sz w:val="22"/>
          <w:szCs w:val="22"/>
        </w:rPr>
        <w:lastRenderedPageBreak/>
        <w:t>la protección de datos personales, entre ellos el del patrimonio y su confidencialidad, es una derivación del derecho a la intimidad, del cual únicamente goza el individuo, entendido como la persona humana.”</w:t>
      </w:r>
    </w:p>
    <w:p w:rsidR="007C6440" w:rsidRDefault="003E543A">
      <w:pPr>
        <w:widowControl w:val="0"/>
        <w:tabs>
          <w:tab w:val="left" w:pos="1701"/>
          <w:tab w:val="left" w:pos="1843"/>
        </w:tabs>
        <w:spacing w:before="360" w:after="240" w:line="360" w:lineRule="auto"/>
        <w:ind w:right="162"/>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ende, en el presente caso,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debe atender las disposiciones en materia de protección de datos personales, a fin de salvaguardar los datos de particulares y emitir el debido Acuerdo que sustente la clasificación que se genere, ya que ésta no se da por simple mandato de ley, sino que es necesario que el Sujeto Obligado, cuando clasifique un documento, ya sea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 </w:t>
      </w:r>
    </w:p>
    <w:p w:rsidR="007C6440" w:rsidRDefault="003E543A">
      <w:pPr>
        <w:widowControl w:val="0"/>
        <w:tabs>
          <w:tab w:val="left" w:pos="1701"/>
          <w:tab w:val="left" w:pos="1843"/>
        </w:tabs>
        <w:spacing w:before="360" w:after="240" w:line="360" w:lineRule="auto"/>
        <w:ind w:right="162"/>
        <w:jc w:val="both"/>
        <w:rPr>
          <w:rFonts w:ascii="Palatino Linotype" w:eastAsia="Palatino Linotype" w:hAnsi="Palatino Linotype" w:cs="Palatino Linotype"/>
        </w:rPr>
      </w:pPr>
      <w:r>
        <w:rPr>
          <w:rFonts w:ascii="Palatino Linotype" w:eastAsia="Palatino Linotype" w:hAnsi="Palatino Linotype" w:cs="Palatino Linotype"/>
        </w:rPr>
        <w:t xml:space="preserve">Así es, que el Sujeto Obligado deberá cumplir con todos y cada uno de los requisitos señalados en la Ley de Protección de Datos Personales en Posesión de Sujetos Obligados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 es claro que el mismo debe aplicar de manera restrictiva y limitada las hipótesis de clasificación y no hacerlas valer de manera general. Es </w:t>
      </w:r>
      <w:r>
        <w:rPr>
          <w:rFonts w:ascii="Palatino Linotype" w:eastAsia="Palatino Linotype" w:hAnsi="Palatino Linotype" w:cs="Palatino Linotype"/>
        </w:rPr>
        <w:lastRenderedPageBreak/>
        <w:t xml:space="preserve">importante señalar que, para acreditar dichos supuestos jurídicos se debe fundar y motivar correctamente la categorización de la información. </w:t>
      </w:r>
    </w:p>
    <w:p w:rsidR="007C6440" w:rsidRDefault="003E543A">
      <w:pPr>
        <w:widowControl w:val="0"/>
        <w:tabs>
          <w:tab w:val="left" w:pos="1701"/>
          <w:tab w:val="left" w:pos="1843"/>
        </w:tabs>
        <w:spacing w:before="360" w:after="240" w:line="360" w:lineRule="auto"/>
        <w:ind w:right="142"/>
        <w:jc w:val="both"/>
        <w:rPr>
          <w:rFonts w:ascii="Palatino Linotype" w:eastAsia="Palatino Linotype" w:hAnsi="Palatino Linotype" w:cs="Palatino Linotype"/>
        </w:rPr>
      </w:pPr>
      <w:r>
        <w:rPr>
          <w:rFonts w:ascii="Palatino Linotype" w:eastAsia="Palatino Linotype" w:hAnsi="Palatino Linotype" w:cs="Palatino Linotype"/>
        </w:rPr>
        <w:t xml:space="preserve">Por tanto, la fundamentación y motivación, consiste en la obligación que tiene todo ente público de expresar los preceptos jurídicos aplicables al asunto motivo del acto y las razones o argumentos de su actuar. </w:t>
      </w:r>
    </w:p>
    <w:p w:rsidR="007C6440" w:rsidRDefault="003E543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 </w:t>
      </w:r>
      <w:r>
        <w:rPr>
          <w:rFonts w:ascii="Palatino Linotype" w:eastAsia="Palatino Linotype" w:hAnsi="Palatino Linotype" w:cs="Palatino Linotype"/>
          <w:b/>
          <w:i/>
          <w:sz w:val="22"/>
          <w:szCs w:val="22"/>
        </w:rPr>
        <w:t>“FUNDAMENTACIÓN Y MOTIVACIÓN DE LOS ACTOS ADMINISTRATIVOS</w:t>
      </w:r>
      <w:r>
        <w:rPr>
          <w:rFonts w:ascii="Palatino Linotype" w:eastAsia="Palatino Linotype" w:hAnsi="Palatino Linotype" w:cs="Palatino Linotype"/>
          <w:i/>
          <w:sz w:val="22"/>
          <w:szCs w:val="22"/>
        </w:rPr>
        <w:t xml:space="preserve">. De acuerdo con  el artículo 16 constitucional, </w:t>
      </w:r>
      <w:r>
        <w:rPr>
          <w:rFonts w:ascii="Palatino Linotype" w:eastAsia="Palatino Linotype" w:hAnsi="Palatino Linotype" w:cs="Palatino Linotype"/>
          <w:b/>
          <w:i/>
          <w:sz w:val="22"/>
          <w:szCs w:val="22"/>
          <w:u w:val="single"/>
        </w:rPr>
        <w:t>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w:t>
      </w:r>
      <w:r>
        <w:rPr>
          <w:rFonts w:ascii="Palatino Linotype" w:eastAsia="Palatino Linotype" w:hAnsi="Palatino Linotype" w:cs="Palatino Linotype"/>
          <w:i/>
          <w:sz w:val="22"/>
          <w:szCs w:val="22"/>
        </w:rPr>
        <w:t>.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 y b).- Los cuerpos legales y preceptos que otorgan competencia o facultades a las autoridades para emitir el acto en agravio del gobernado.”</w:t>
      </w:r>
    </w:p>
    <w:p w:rsidR="007C6440" w:rsidRDefault="007C6440">
      <w:pPr>
        <w:jc w:val="both"/>
        <w:rPr>
          <w:rFonts w:ascii="Palatino Linotype" w:eastAsia="Palatino Linotype" w:hAnsi="Palatino Linotype" w:cs="Palatino Linotype"/>
          <w:sz w:val="16"/>
          <w:szCs w:val="16"/>
        </w:rPr>
      </w:pPr>
    </w:p>
    <w:p w:rsidR="007C6440" w:rsidRDefault="003E543A">
      <w:pPr>
        <w:widowControl w:val="0"/>
        <w:tabs>
          <w:tab w:val="left" w:pos="1701"/>
          <w:tab w:val="left" w:pos="1843"/>
        </w:tabs>
        <w:spacing w:before="360" w:after="240" w:line="360" w:lineRule="auto"/>
        <w:ind w:right="142"/>
        <w:jc w:val="both"/>
        <w:rPr>
          <w:rFonts w:ascii="Palatino Linotype" w:eastAsia="Palatino Linotype" w:hAnsi="Palatino Linotype" w:cs="Palatino Linotype"/>
        </w:rPr>
      </w:pPr>
      <w:r>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por el acto, puede impugnar la decisión, permitiéndole una real y auténtica defensa.</w:t>
      </w:r>
    </w:p>
    <w:p w:rsidR="007C6440" w:rsidRDefault="003E543A">
      <w:pPr>
        <w:spacing w:line="360" w:lineRule="auto"/>
        <w:ind w:right="162"/>
        <w:jc w:val="both"/>
        <w:rPr>
          <w:rFonts w:ascii="Palatino Linotype" w:eastAsia="Palatino Linotype" w:hAnsi="Palatino Linotype" w:cs="Palatino Linotype"/>
          <w:color w:val="000000"/>
        </w:rPr>
      </w:pPr>
      <w:r>
        <w:rPr>
          <w:rFonts w:ascii="Palatino Linotype" w:eastAsia="Palatino Linotype" w:hAnsi="Palatino Linotype" w:cs="Palatino Linotype"/>
        </w:rPr>
        <w:lastRenderedPageBreak/>
        <w:t>Por lo expuesto, con fundamento en el artículo 186 fracción III de la Ley de Transparencia y Acceso a la Información Pública del Estado de México y Municipios, este Órgano Garante considera procedente</w:t>
      </w:r>
      <w:r>
        <w:rPr>
          <w:rFonts w:ascii="Palatino Linotype" w:eastAsia="Palatino Linotype" w:hAnsi="Palatino Linotype" w:cs="Palatino Linotype"/>
          <w:b/>
        </w:rPr>
        <w:t xml:space="preserve"> ordenar </w:t>
      </w:r>
      <w:r>
        <w:rPr>
          <w:rFonts w:ascii="Palatino Linotype" w:eastAsia="Palatino Linotype" w:hAnsi="Palatino Linotype" w:cs="Palatino Linotype"/>
        </w:rPr>
        <w:t xml:space="preserve">la entrega de los expedientes derivados del concepto de traslado de dominio de bienes inmuebles, aperturados por instituciones públicas, generados durante el periodo comprendido del 01 de enero al 26 de febrero de 2021, de ser procedente en versión pública, tal como se detallará en el considerando siguiente, no obstante, </w:t>
      </w:r>
      <w:r>
        <w:rPr>
          <w:rFonts w:ascii="Palatino Linotype" w:eastAsia="Palatino Linotype" w:hAnsi="Palatino Linotype" w:cs="Palatino Linotype"/>
          <w:color w:val="000000"/>
        </w:rPr>
        <w:t xml:space="preserve">para el caso en el que derivado de una búsqueda exhaustiva y razonable dentro de los archivos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no se localice la información requerida deberá manifestarse a la parte solicitante de manera fundada y motivada, toda vez que así se brinda certeza jurídica a los particulares de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realizó una búsqueda dentro de sus archivos. </w:t>
      </w:r>
    </w:p>
    <w:p w:rsidR="007C6440" w:rsidRDefault="007C6440">
      <w:pPr>
        <w:spacing w:line="360" w:lineRule="auto"/>
        <w:jc w:val="both"/>
        <w:rPr>
          <w:rFonts w:ascii="Palatino Linotype" w:eastAsia="Palatino Linotype" w:hAnsi="Palatino Linotype" w:cs="Palatino Linotype"/>
          <w:color w:val="000000"/>
        </w:rPr>
      </w:pPr>
    </w:p>
    <w:p w:rsidR="007C6440" w:rsidRDefault="003E543A">
      <w:pPr>
        <w:ind w:left="567" w:right="101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“FUNDAMENTACIÓN Y MOTIVACIÓN DE LOS ACTOS ADMINISTRATIVOS</w:t>
      </w:r>
      <w:r>
        <w:rPr>
          <w:rFonts w:ascii="Palatino Linotype" w:eastAsia="Palatino Linotype" w:hAnsi="Palatino Linotype" w:cs="Palatino Linotype"/>
          <w:i/>
          <w:sz w:val="22"/>
          <w:szCs w:val="22"/>
        </w:rPr>
        <w:t xml:space="preserve">. De acuerdo con  el artículo 16 constitucional, </w:t>
      </w:r>
      <w:r>
        <w:rPr>
          <w:rFonts w:ascii="Palatino Linotype" w:eastAsia="Palatino Linotype" w:hAnsi="Palatino Linotype" w:cs="Palatino Linotype"/>
          <w:b/>
          <w:i/>
          <w:sz w:val="22"/>
          <w:szCs w:val="22"/>
          <w:u w:val="single"/>
        </w:rPr>
        <w:t>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w:t>
      </w:r>
      <w:r>
        <w:rPr>
          <w:rFonts w:ascii="Palatino Linotype" w:eastAsia="Palatino Linotype" w:hAnsi="Palatino Linotype" w:cs="Palatino Linotype"/>
          <w:i/>
          <w:sz w:val="22"/>
          <w:szCs w:val="22"/>
        </w:rPr>
        <w:t>.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 y b).- Los cuerpos legales y preceptos que otorgan competencia o facultades a las autoridades para emitir el acto en agravio del gobernado.”</w:t>
      </w:r>
    </w:p>
    <w:p w:rsidR="007C6440" w:rsidRDefault="003E543A">
      <w:pPr>
        <w:spacing w:before="240" w:after="240" w:line="360" w:lineRule="auto"/>
        <w:ind w:right="162"/>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Quinto. Versión Pública. </w:t>
      </w:r>
      <w:r>
        <w:rPr>
          <w:rFonts w:ascii="Palatino Linotype" w:eastAsia="Palatino Linotype" w:hAnsi="Palatino Linotype" w:cs="Palatino Linotype"/>
        </w:rPr>
        <w:t>Finalmente para la entrega de los soportes documentales que en todo caso deberá proporcionar el sujeto obligado para dar satisfacción de la derecho humano de acceso a la información de la particular,  deberá considerar que ello no es absoluto, sino que encuentra como excepciones que la información sobre la cual se peticiona el acceso, contenga datos que deban ser clasificados en los términos que la misma Ley de la Materia señala, el Sujeto Obligado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7C6440" w:rsidRDefault="003E543A">
      <w:pPr>
        <w:spacing w:before="240" w:after="240" w:line="360" w:lineRule="auto"/>
        <w:ind w:right="162"/>
        <w:jc w:val="both"/>
        <w:rPr>
          <w:rFonts w:ascii="Palatino Linotype" w:eastAsia="Palatino Linotype" w:hAnsi="Palatino Linotype" w:cs="Palatino Linotype"/>
        </w:rPr>
      </w:pPr>
      <w:r>
        <w:rPr>
          <w:rFonts w:ascii="Palatino Linotype" w:eastAsia="Palatino Linotype" w:hAnsi="Palatino Linotype" w:cs="Palatino Linotype"/>
        </w:rPr>
        <w:t>Lo anterior, de conformidad a lo que señalan los artículos 3 fracciones IX, XX, XXI y XLV, 91, 132 fracciones II y III, y 143 fracción I de la Ley de Transparencia y Acceso a la Información Pública del Estado de México y Municipios que establecen:</w:t>
      </w:r>
    </w:p>
    <w:p w:rsidR="007C6440" w:rsidRDefault="003E543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Para los efectos de la presente Ley se entenderá por:</w:t>
      </w:r>
    </w:p>
    <w:p w:rsidR="007C6440" w:rsidRDefault="003E543A">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C6440" w:rsidRDefault="003E543A">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7C6440" w:rsidRDefault="003E543A">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Aquella considerada por la presente Ley como reservada o confidencial;</w:t>
      </w:r>
    </w:p>
    <w:p w:rsidR="007C6440" w:rsidRDefault="003E543A">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 Información confidencial:</w:t>
      </w:r>
      <w:r>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C6440" w:rsidRDefault="003E543A">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7C6440" w:rsidRDefault="003E543A">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C6440" w:rsidRDefault="003E543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7C6440" w:rsidRDefault="003E543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Artículo 132. </w:t>
      </w:r>
      <w:r>
        <w:rPr>
          <w:rFonts w:ascii="Palatino Linotype" w:eastAsia="Palatino Linotype" w:hAnsi="Palatino Linotype" w:cs="Palatino Linotype"/>
          <w:i/>
          <w:sz w:val="22"/>
          <w:szCs w:val="22"/>
        </w:rPr>
        <w:t>La clasificación de la información se llevará a cabo en el momento en que:</w:t>
      </w:r>
    </w:p>
    <w:p w:rsidR="007C6440" w:rsidRDefault="003E543A">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Se reciba una solicitud de acceso a la información;</w:t>
      </w:r>
    </w:p>
    <w:p w:rsidR="007C6440" w:rsidRDefault="003E543A">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Se determine mediante resolución de autoridad competente; o</w:t>
      </w:r>
    </w:p>
    <w:p w:rsidR="007C6440" w:rsidRDefault="003E543A">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Se generen versiones públicas para dar cumplimiento a las obligaciones de transparencia previstas en esta Ley.</w:t>
      </w:r>
    </w:p>
    <w:p w:rsidR="007C6440" w:rsidRDefault="003E543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C6440" w:rsidRDefault="003E543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7C6440" w:rsidRDefault="003E543A">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rsidR="007C6440" w:rsidRDefault="003E543A">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7C6440" w:rsidRDefault="003E543A">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rsidR="007C6440" w:rsidRDefault="003E543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7C6440" w:rsidRDefault="003E543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7C6440" w:rsidRDefault="003E543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7C6440" w:rsidRDefault="003E543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Entorno a lo que aquí nos interesa, los Lineamientos Quincuagésimo sexto, Quincuagésimo séptimo y Quincuagésimo octavo, establecen lo siguiente:</w:t>
      </w:r>
    </w:p>
    <w:p w:rsidR="007C6440" w:rsidRDefault="003E543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Quincuagésimo sexto</w:t>
      </w:r>
      <w:r>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7C6440" w:rsidRDefault="003E543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séptimo</w:t>
      </w:r>
      <w:r>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7C6440" w:rsidRDefault="003E543A">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7C6440" w:rsidRDefault="003E543A">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rsidR="007C6440" w:rsidRDefault="003E543A">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7C6440" w:rsidRDefault="003E543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rsidR="007C6440" w:rsidRDefault="003E543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octavo</w:t>
      </w:r>
      <w:r>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rsidR="007C6440" w:rsidRDefault="003E543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w:t>
      </w:r>
      <w:r>
        <w:rPr>
          <w:rFonts w:ascii="Palatino Linotype" w:eastAsia="Palatino Linotype" w:hAnsi="Palatino Linotype" w:cs="Palatino Linotype"/>
        </w:rPr>
        <w:lastRenderedPageBreak/>
        <w:t>incertidumbre, al no conocer o comprender porque no aparecen en la documentación respectiva.</w:t>
      </w:r>
    </w:p>
    <w:p w:rsidR="007C6440" w:rsidRDefault="003E543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119"/>
        <w:gridCol w:w="1129"/>
        <w:gridCol w:w="3446"/>
      </w:tblGrid>
      <w:tr w:rsidR="007C6440">
        <w:tc>
          <w:tcPr>
            <w:tcW w:w="4253" w:type="dxa"/>
            <w:gridSpan w:val="2"/>
            <w:tcBorders>
              <w:top w:val="nil"/>
              <w:left w:val="nil"/>
              <w:right w:val="nil"/>
            </w:tcBorders>
          </w:tcPr>
          <w:p w:rsidR="007C6440" w:rsidRDefault="003E543A">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Parcial</w:t>
            </w:r>
          </w:p>
        </w:tc>
        <w:tc>
          <w:tcPr>
            <w:tcW w:w="4575" w:type="dxa"/>
            <w:gridSpan w:val="2"/>
            <w:tcBorders>
              <w:top w:val="nil"/>
              <w:left w:val="nil"/>
              <w:right w:val="nil"/>
            </w:tcBorders>
          </w:tcPr>
          <w:p w:rsidR="007C6440" w:rsidRDefault="003E543A">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Total</w:t>
            </w:r>
          </w:p>
        </w:tc>
      </w:tr>
      <w:tr w:rsidR="007C6440">
        <w:tc>
          <w:tcPr>
            <w:tcW w:w="1134" w:type="dxa"/>
          </w:tcPr>
          <w:p w:rsidR="007C6440" w:rsidRDefault="003E543A">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Concepto</w:t>
            </w:r>
          </w:p>
        </w:tc>
        <w:tc>
          <w:tcPr>
            <w:tcW w:w="3119" w:type="dxa"/>
          </w:tcPr>
          <w:p w:rsidR="007C6440" w:rsidRDefault="003E543A">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c>
          <w:tcPr>
            <w:tcW w:w="1129" w:type="dxa"/>
          </w:tcPr>
          <w:p w:rsidR="007C6440" w:rsidRDefault="003E543A">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Concepto</w:t>
            </w:r>
          </w:p>
        </w:tc>
        <w:tc>
          <w:tcPr>
            <w:tcW w:w="3446" w:type="dxa"/>
          </w:tcPr>
          <w:p w:rsidR="007C6440" w:rsidRDefault="003E543A">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r>
      <w:tr w:rsidR="007C6440">
        <w:tc>
          <w:tcPr>
            <w:tcW w:w="8828" w:type="dxa"/>
            <w:gridSpan w:val="4"/>
          </w:tcPr>
          <w:p w:rsidR="007C6440" w:rsidRDefault="003E543A">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Sello oficial o logotipo del sujeto obligado</w:t>
            </w:r>
          </w:p>
        </w:tc>
      </w:tr>
      <w:tr w:rsidR="007C6440">
        <w:tc>
          <w:tcPr>
            <w:tcW w:w="1134" w:type="dxa"/>
          </w:tcPr>
          <w:p w:rsidR="007C6440" w:rsidRDefault="003E543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clasificación</w:t>
            </w:r>
          </w:p>
        </w:tc>
        <w:tc>
          <w:tcPr>
            <w:tcW w:w="3119" w:type="dxa"/>
          </w:tcPr>
          <w:p w:rsidR="007C6440" w:rsidRDefault="003E543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1129" w:type="dxa"/>
          </w:tcPr>
          <w:p w:rsidR="007C6440" w:rsidRDefault="003E543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clasificación</w:t>
            </w:r>
          </w:p>
        </w:tc>
        <w:tc>
          <w:tcPr>
            <w:tcW w:w="3446" w:type="dxa"/>
          </w:tcPr>
          <w:p w:rsidR="007C6440" w:rsidRDefault="003E543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7C6440">
        <w:tc>
          <w:tcPr>
            <w:tcW w:w="1134" w:type="dxa"/>
          </w:tcPr>
          <w:p w:rsidR="007C6440" w:rsidRDefault="003E543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Área</w:t>
            </w:r>
          </w:p>
        </w:tc>
        <w:tc>
          <w:tcPr>
            <w:tcW w:w="3119" w:type="dxa"/>
          </w:tcPr>
          <w:p w:rsidR="007C6440" w:rsidRDefault="003E543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del cual es titular quien clasifica.</w:t>
            </w:r>
          </w:p>
        </w:tc>
        <w:tc>
          <w:tcPr>
            <w:tcW w:w="1129" w:type="dxa"/>
          </w:tcPr>
          <w:p w:rsidR="007C6440" w:rsidRDefault="003E543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Área</w:t>
            </w:r>
          </w:p>
        </w:tc>
        <w:tc>
          <w:tcPr>
            <w:tcW w:w="3446" w:type="dxa"/>
          </w:tcPr>
          <w:p w:rsidR="007C6440" w:rsidRDefault="003E543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 la cual es el titular quien clasifica.</w:t>
            </w:r>
          </w:p>
        </w:tc>
      </w:tr>
      <w:tr w:rsidR="007C6440">
        <w:tc>
          <w:tcPr>
            <w:tcW w:w="1134" w:type="dxa"/>
          </w:tcPr>
          <w:p w:rsidR="007C6440" w:rsidRDefault="003E543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Información reservada</w:t>
            </w:r>
          </w:p>
        </w:tc>
        <w:tc>
          <w:tcPr>
            <w:tcW w:w="3119" w:type="dxa"/>
          </w:tcPr>
          <w:p w:rsidR="007C6440" w:rsidRDefault="003E543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129" w:type="dxa"/>
          </w:tcPr>
          <w:p w:rsidR="007C6440" w:rsidRDefault="003E543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Reservado</w:t>
            </w:r>
          </w:p>
        </w:tc>
        <w:tc>
          <w:tcPr>
            <w:tcW w:w="3446" w:type="dxa"/>
          </w:tcPr>
          <w:p w:rsidR="007C6440" w:rsidRDefault="003E543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RESERVADA.</w:t>
            </w:r>
          </w:p>
        </w:tc>
      </w:tr>
      <w:tr w:rsidR="007C6440">
        <w:tc>
          <w:tcPr>
            <w:tcW w:w="1134" w:type="dxa"/>
          </w:tcPr>
          <w:p w:rsidR="007C6440" w:rsidRDefault="003E543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119" w:type="dxa"/>
          </w:tcPr>
          <w:p w:rsidR="007C6440" w:rsidRDefault="003E543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1129" w:type="dxa"/>
          </w:tcPr>
          <w:p w:rsidR="007C6440" w:rsidRDefault="003E543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Periodo de reserva</w:t>
            </w:r>
          </w:p>
        </w:tc>
        <w:tc>
          <w:tcPr>
            <w:tcW w:w="3446" w:type="dxa"/>
          </w:tcPr>
          <w:p w:rsidR="007C6440" w:rsidRDefault="003E543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7C6440">
        <w:tc>
          <w:tcPr>
            <w:tcW w:w="1134" w:type="dxa"/>
          </w:tcPr>
          <w:p w:rsidR="007C6440" w:rsidRDefault="003E543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Ampliación del periodo de reserva</w:t>
            </w:r>
          </w:p>
        </w:tc>
        <w:tc>
          <w:tcPr>
            <w:tcW w:w="3119" w:type="dxa"/>
          </w:tcPr>
          <w:p w:rsidR="007C6440" w:rsidRDefault="003E543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1129" w:type="dxa"/>
          </w:tcPr>
          <w:p w:rsidR="007C6440" w:rsidRDefault="003E543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rsidR="007C6440" w:rsidRDefault="003E543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7C6440">
        <w:tc>
          <w:tcPr>
            <w:tcW w:w="1134" w:type="dxa"/>
          </w:tcPr>
          <w:p w:rsidR="007C6440" w:rsidRDefault="003E543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Confidencial</w:t>
            </w:r>
          </w:p>
        </w:tc>
        <w:tc>
          <w:tcPr>
            <w:tcW w:w="3119" w:type="dxa"/>
          </w:tcPr>
          <w:p w:rsidR="007C6440" w:rsidRDefault="003E543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129" w:type="dxa"/>
          </w:tcPr>
          <w:p w:rsidR="007C6440" w:rsidRDefault="003E543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Ampliación del periodo de reserva</w:t>
            </w:r>
          </w:p>
        </w:tc>
        <w:tc>
          <w:tcPr>
            <w:tcW w:w="3446" w:type="dxa"/>
          </w:tcPr>
          <w:p w:rsidR="007C6440" w:rsidRDefault="003E543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7C6440">
        <w:tc>
          <w:tcPr>
            <w:tcW w:w="1134" w:type="dxa"/>
          </w:tcPr>
          <w:p w:rsidR="007C6440" w:rsidRDefault="003E543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119" w:type="dxa"/>
          </w:tcPr>
          <w:p w:rsidR="007C6440" w:rsidRDefault="003E543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1129" w:type="dxa"/>
          </w:tcPr>
          <w:p w:rsidR="007C6440" w:rsidRDefault="003E543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Confidencial</w:t>
            </w:r>
          </w:p>
        </w:tc>
        <w:tc>
          <w:tcPr>
            <w:tcW w:w="3446" w:type="dxa"/>
          </w:tcPr>
          <w:p w:rsidR="007C6440" w:rsidRDefault="003E543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CONFIDENCIAL.</w:t>
            </w:r>
          </w:p>
        </w:tc>
      </w:tr>
      <w:tr w:rsidR="007C6440">
        <w:tc>
          <w:tcPr>
            <w:tcW w:w="1134" w:type="dxa"/>
          </w:tcPr>
          <w:p w:rsidR="007C6440" w:rsidRDefault="003E543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del titular del área</w:t>
            </w:r>
          </w:p>
        </w:tc>
        <w:tc>
          <w:tcPr>
            <w:tcW w:w="3119" w:type="dxa"/>
          </w:tcPr>
          <w:p w:rsidR="007C6440" w:rsidRDefault="003E543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c>
          <w:tcPr>
            <w:tcW w:w="1129" w:type="dxa"/>
          </w:tcPr>
          <w:p w:rsidR="007C6440" w:rsidRDefault="003E543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rsidR="007C6440" w:rsidRDefault="003E543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7C6440">
        <w:tc>
          <w:tcPr>
            <w:tcW w:w="1134" w:type="dxa"/>
          </w:tcPr>
          <w:p w:rsidR="007C6440" w:rsidRDefault="003E543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desclasificación</w:t>
            </w:r>
          </w:p>
        </w:tc>
        <w:tc>
          <w:tcPr>
            <w:tcW w:w="3119" w:type="dxa"/>
          </w:tcPr>
          <w:p w:rsidR="007C6440" w:rsidRDefault="003E543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 el documento.</w:t>
            </w:r>
          </w:p>
        </w:tc>
        <w:tc>
          <w:tcPr>
            <w:tcW w:w="1129" w:type="dxa"/>
          </w:tcPr>
          <w:p w:rsidR="007C6440" w:rsidRDefault="003E543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del titular del área</w:t>
            </w:r>
          </w:p>
        </w:tc>
        <w:tc>
          <w:tcPr>
            <w:tcW w:w="3446" w:type="dxa"/>
          </w:tcPr>
          <w:p w:rsidR="007C6440" w:rsidRDefault="003E543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r>
      <w:tr w:rsidR="007C6440">
        <w:tc>
          <w:tcPr>
            <w:tcW w:w="1134" w:type="dxa"/>
          </w:tcPr>
          <w:p w:rsidR="007C6440" w:rsidRDefault="003E543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y cargo del servidor público</w:t>
            </w:r>
          </w:p>
        </w:tc>
        <w:tc>
          <w:tcPr>
            <w:tcW w:w="3119" w:type="dxa"/>
          </w:tcPr>
          <w:p w:rsidR="007C6440" w:rsidRDefault="003E543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c>
          <w:tcPr>
            <w:tcW w:w="1129" w:type="dxa"/>
          </w:tcPr>
          <w:p w:rsidR="007C6440" w:rsidRDefault="003E543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desclasificación</w:t>
            </w:r>
          </w:p>
        </w:tc>
        <w:tc>
          <w:tcPr>
            <w:tcW w:w="3446" w:type="dxa"/>
          </w:tcPr>
          <w:p w:rsidR="007C6440" w:rsidRDefault="003E543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w:t>
            </w:r>
          </w:p>
        </w:tc>
      </w:tr>
      <w:tr w:rsidR="007C6440">
        <w:tc>
          <w:tcPr>
            <w:tcW w:w="1134" w:type="dxa"/>
          </w:tcPr>
          <w:p w:rsidR="007C6440" w:rsidRDefault="007C6440">
            <w:pPr>
              <w:jc w:val="both"/>
              <w:rPr>
                <w:rFonts w:ascii="Palatino Linotype" w:eastAsia="Palatino Linotype" w:hAnsi="Palatino Linotype" w:cs="Palatino Linotype"/>
                <w:b/>
                <w:sz w:val="12"/>
                <w:szCs w:val="12"/>
              </w:rPr>
            </w:pPr>
          </w:p>
        </w:tc>
        <w:tc>
          <w:tcPr>
            <w:tcW w:w="3119" w:type="dxa"/>
          </w:tcPr>
          <w:p w:rsidR="007C6440" w:rsidRDefault="007C6440">
            <w:pPr>
              <w:jc w:val="both"/>
              <w:rPr>
                <w:rFonts w:ascii="Palatino Linotype" w:eastAsia="Palatino Linotype" w:hAnsi="Palatino Linotype" w:cs="Palatino Linotype"/>
                <w:sz w:val="12"/>
                <w:szCs w:val="12"/>
              </w:rPr>
            </w:pPr>
          </w:p>
        </w:tc>
        <w:tc>
          <w:tcPr>
            <w:tcW w:w="1129" w:type="dxa"/>
          </w:tcPr>
          <w:p w:rsidR="007C6440" w:rsidRDefault="003E543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Partes o secciones reservadas o confidenciales</w:t>
            </w:r>
          </w:p>
        </w:tc>
        <w:tc>
          <w:tcPr>
            <w:tcW w:w="3446" w:type="dxa"/>
          </w:tcPr>
          <w:p w:rsidR="007C6440" w:rsidRDefault="003E543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7C6440">
        <w:tc>
          <w:tcPr>
            <w:tcW w:w="1134" w:type="dxa"/>
          </w:tcPr>
          <w:p w:rsidR="007C6440" w:rsidRDefault="007C6440">
            <w:pPr>
              <w:jc w:val="both"/>
              <w:rPr>
                <w:rFonts w:ascii="Palatino Linotype" w:eastAsia="Palatino Linotype" w:hAnsi="Palatino Linotype" w:cs="Palatino Linotype"/>
                <w:b/>
                <w:sz w:val="12"/>
                <w:szCs w:val="12"/>
              </w:rPr>
            </w:pPr>
          </w:p>
        </w:tc>
        <w:tc>
          <w:tcPr>
            <w:tcW w:w="3119" w:type="dxa"/>
          </w:tcPr>
          <w:p w:rsidR="007C6440" w:rsidRDefault="007C6440">
            <w:pPr>
              <w:jc w:val="both"/>
              <w:rPr>
                <w:rFonts w:ascii="Palatino Linotype" w:eastAsia="Palatino Linotype" w:hAnsi="Palatino Linotype" w:cs="Palatino Linotype"/>
                <w:sz w:val="12"/>
                <w:szCs w:val="12"/>
              </w:rPr>
            </w:pPr>
          </w:p>
        </w:tc>
        <w:tc>
          <w:tcPr>
            <w:tcW w:w="1129" w:type="dxa"/>
          </w:tcPr>
          <w:p w:rsidR="007C6440" w:rsidRDefault="003E543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y cargo del servidor público</w:t>
            </w:r>
          </w:p>
        </w:tc>
        <w:tc>
          <w:tcPr>
            <w:tcW w:w="3446" w:type="dxa"/>
          </w:tcPr>
          <w:p w:rsidR="007C6440" w:rsidRDefault="003E543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r>
    </w:tbl>
    <w:p w:rsidR="007C6440" w:rsidRDefault="007C6440">
      <w:pPr>
        <w:spacing w:before="240" w:after="240" w:line="360" w:lineRule="auto"/>
        <w:jc w:val="both"/>
        <w:rPr>
          <w:rFonts w:ascii="Palatino Linotype" w:eastAsia="Palatino Linotype" w:hAnsi="Palatino Linotype" w:cs="Palatino Linotype"/>
        </w:rPr>
      </w:pPr>
    </w:p>
    <w:p w:rsidR="007C6440" w:rsidRDefault="003E543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prescrito en los artículos 5 párrafos </w:t>
      </w:r>
      <w:r>
        <w:rPr>
          <w:rFonts w:ascii="Palatino Linotype" w:eastAsia="Palatino Linotype" w:hAnsi="Palatino Linotype" w:cs="Palatino Linotype"/>
          <w:highlight w:val="white"/>
        </w:rPr>
        <w:t>trigésimo, trigésimo primero, y trigésimo segundo</w:t>
      </w:r>
      <w:r>
        <w:rPr>
          <w:rFonts w:ascii="Palatino Linotype" w:eastAsia="Palatino Linotype" w:hAnsi="Palatino Linotype" w:cs="Palatino Linotype"/>
        </w:rPr>
        <w:t xml:space="preserve"> de la Constitución Política del Estado Libre y Soberano de </w:t>
      </w:r>
      <w:r>
        <w:rPr>
          <w:rFonts w:ascii="Palatino Linotype" w:eastAsia="Palatino Linotype" w:hAnsi="Palatino Linotype" w:cs="Palatino Linotype"/>
        </w:rPr>
        <w:lastRenderedPageBreak/>
        <w:t>México; 2, fracción II; 29, 36 fracciones I y II; 176, 178, 179, fracción I, 181, 185 de la Ley de Transparencia y Acceso a la Información Pública del Estado de México y Municipios, este Pleno:</w:t>
      </w:r>
    </w:p>
    <w:p w:rsidR="007C6440" w:rsidRDefault="003E54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antes expuesto y fundado se,</w:t>
      </w:r>
    </w:p>
    <w:p w:rsidR="007C6440" w:rsidRDefault="007C6440">
      <w:pPr>
        <w:spacing w:line="360" w:lineRule="auto"/>
        <w:jc w:val="both"/>
        <w:rPr>
          <w:rFonts w:ascii="Palatino Linotype" w:eastAsia="Palatino Linotype" w:hAnsi="Palatino Linotype" w:cs="Palatino Linotype"/>
        </w:rPr>
      </w:pPr>
    </w:p>
    <w:p w:rsidR="007C6440" w:rsidRDefault="003E543A">
      <w:pPr>
        <w:pBdr>
          <w:top w:val="nil"/>
          <w:left w:val="nil"/>
          <w:bottom w:val="nil"/>
          <w:right w:val="nil"/>
          <w:between w:val="nil"/>
        </w:pBdr>
        <w:spacing w:line="360" w:lineRule="auto"/>
        <w:ind w:left="426"/>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 xml:space="preserve"> R E S U E L V E </w:t>
      </w:r>
    </w:p>
    <w:p w:rsidR="007C6440" w:rsidRDefault="007C6440">
      <w:pPr>
        <w:pBdr>
          <w:top w:val="nil"/>
          <w:left w:val="nil"/>
          <w:bottom w:val="nil"/>
          <w:right w:val="nil"/>
          <w:between w:val="nil"/>
        </w:pBdr>
        <w:spacing w:line="360" w:lineRule="auto"/>
        <w:ind w:left="426"/>
        <w:jc w:val="center"/>
        <w:rPr>
          <w:rFonts w:ascii="Palatino Linotype" w:eastAsia="Palatino Linotype" w:hAnsi="Palatino Linotype" w:cs="Palatino Linotype"/>
          <w:b/>
          <w:color w:val="000000"/>
          <w:sz w:val="28"/>
          <w:szCs w:val="28"/>
        </w:rPr>
      </w:pPr>
    </w:p>
    <w:p w:rsidR="007C6440" w:rsidRDefault="003E543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razones o motivos de inconformidad hechos valer por </w:t>
      </w:r>
      <w:r>
        <w:rPr>
          <w:rFonts w:ascii="Palatino Linotype" w:eastAsia="Palatino Linotype" w:hAnsi="Palatino Linotype" w:cs="Palatino Linotype"/>
          <w:b/>
        </w:rPr>
        <w:t xml:space="preserve">El Recurrente, en el recurso de revisión 04679/INFOEM/ICR-01/IP/RR/2021, </w:t>
      </w:r>
      <w:r>
        <w:rPr>
          <w:rFonts w:ascii="Palatino Linotype" w:eastAsia="Palatino Linotype" w:hAnsi="Palatino Linotype" w:cs="Palatino Linotype"/>
        </w:rPr>
        <w:t xml:space="preserve">en términos del </w:t>
      </w:r>
      <w:r>
        <w:rPr>
          <w:rFonts w:ascii="Palatino Linotype" w:eastAsia="Palatino Linotype" w:hAnsi="Palatino Linotype" w:cs="Palatino Linotype"/>
          <w:b/>
        </w:rPr>
        <w:t>Considerando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Cuarto </w:t>
      </w:r>
      <w:r>
        <w:rPr>
          <w:rFonts w:ascii="Palatino Linotype" w:eastAsia="Palatino Linotype" w:hAnsi="Palatino Linotype" w:cs="Palatino Linotype"/>
        </w:rPr>
        <w:t>de la presente resolución.</w:t>
      </w:r>
    </w:p>
    <w:p w:rsidR="007C6440" w:rsidRDefault="007C6440">
      <w:pPr>
        <w:spacing w:line="360" w:lineRule="auto"/>
        <w:jc w:val="both"/>
        <w:rPr>
          <w:rFonts w:ascii="Palatino Linotype" w:eastAsia="Palatino Linotype" w:hAnsi="Palatino Linotype" w:cs="Palatino Linotype"/>
        </w:rPr>
      </w:pPr>
    </w:p>
    <w:p w:rsidR="007C6440" w:rsidRDefault="003E543A">
      <w:pPr>
        <w:spacing w:line="360" w:lineRule="auto"/>
        <w:jc w:val="both"/>
        <w:rPr>
          <w:rFonts w:ascii="Palatino Linotype" w:eastAsia="Palatino Linotype" w:hAnsi="Palatino Linotype" w:cs="Palatino Linotype"/>
          <w:highlight w:val="white"/>
        </w:rPr>
      </w:pPr>
      <w:bookmarkStart w:id="1" w:name="_heading=h.30j0zll" w:colFirst="0" w:colLast="0"/>
      <w:bookmarkEnd w:id="1"/>
      <w:r>
        <w:rPr>
          <w:rFonts w:ascii="Palatino Linotype" w:eastAsia="Palatino Linotype" w:hAnsi="Palatino Linotype" w:cs="Palatino Linotype"/>
          <w:b/>
          <w:highlight w:val="white"/>
        </w:rPr>
        <w:t>Segundo</w:t>
      </w:r>
      <w:r>
        <w:rPr>
          <w:rFonts w:ascii="Palatino Linotype" w:eastAsia="Palatino Linotype" w:hAnsi="Palatino Linotype" w:cs="Palatino Linotype"/>
          <w:highlight w:val="white"/>
        </w:rPr>
        <w:t>. Se</w:t>
      </w:r>
      <w:r>
        <w:rPr>
          <w:rFonts w:ascii="Palatino Linotype" w:eastAsia="Palatino Linotype" w:hAnsi="Palatino Linotype" w:cs="Palatino Linotype"/>
          <w:b/>
          <w:highlight w:val="white"/>
        </w:rPr>
        <w:t> ORDENA </w:t>
      </w:r>
      <w:r>
        <w:rPr>
          <w:rFonts w:ascii="Palatino Linotype" w:eastAsia="Palatino Linotype" w:hAnsi="Palatino Linotype" w:cs="Palatino Linotype"/>
          <w:highlight w:val="white"/>
        </w:rPr>
        <w:t xml:space="preserve">al </w:t>
      </w:r>
      <w:r>
        <w:rPr>
          <w:rFonts w:ascii="Palatino Linotype" w:eastAsia="Palatino Linotype" w:hAnsi="Palatino Linotype" w:cs="Palatino Linotype"/>
          <w:b/>
          <w:highlight w:val="white"/>
        </w:rPr>
        <w:t>Sujeto Obligado</w:t>
      </w:r>
      <w:r>
        <w:rPr>
          <w:rFonts w:ascii="Palatino Linotype" w:eastAsia="Palatino Linotype" w:hAnsi="Palatino Linotype" w:cs="Palatino Linotype"/>
          <w:highlight w:val="white"/>
        </w:rPr>
        <w:t>, atienda la solicitud de información número</w:t>
      </w:r>
      <w:r>
        <w:rPr>
          <w:rFonts w:ascii="Palatino Linotype" w:eastAsia="Palatino Linotype" w:hAnsi="Palatino Linotype" w:cs="Palatino Linotype"/>
          <w:b/>
          <w:highlight w:val="white"/>
        </w:rPr>
        <w:t> </w:t>
      </w:r>
      <w:r>
        <w:rPr>
          <w:rFonts w:ascii="Palatino Linotype" w:eastAsia="Palatino Linotype" w:hAnsi="Palatino Linotype" w:cs="Palatino Linotype"/>
          <w:b/>
        </w:rPr>
        <w:t>00158/CHICOLOA/IP/2021</w:t>
      </w:r>
      <w:r>
        <w:rPr>
          <w:rFonts w:ascii="Palatino Linotype" w:eastAsia="Palatino Linotype" w:hAnsi="Palatino Linotype" w:cs="Palatino Linotype"/>
          <w:highlight w:val="white"/>
        </w:rPr>
        <w:t xml:space="preserve">, en términos de los </w:t>
      </w:r>
      <w:r>
        <w:rPr>
          <w:rFonts w:ascii="Palatino Linotype" w:eastAsia="Palatino Linotype" w:hAnsi="Palatino Linotype" w:cs="Palatino Linotype"/>
          <w:b/>
          <w:highlight w:val="white"/>
        </w:rPr>
        <w:t>Considerandos</w:t>
      </w:r>
      <w:r>
        <w:rPr>
          <w:rFonts w:ascii="Palatino Linotype" w:eastAsia="Palatino Linotype" w:hAnsi="Palatino Linotype" w:cs="Palatino Linotype"/>
          <w:highlight w:val="white"/>
        </w:rPr>
        <w:t xml:space="preserve"> </w:t>
      </w:r>
      <w:r>
        <w:rPr>
          <w:rFonts w:ascii="Palatino Linotype" w:eastAsia="Palatino Linotype" w:hAnsi="Palatino Linotype" w:cs="Palatino Linotype"/>
          <w:b/>
          <w:highlight w:val="white"/>
        </w:rPr>
        <w:t>Cuarto</w:t>
      </w:r>
      <w:r>
        <w:rPr>
          <w:rFonts w:ascii="Palatino Linotype" w:eastAsia="Palatino Linotype" w:hAnsi="Palatino Linotype" w:cs="Palatino Linotype"/>
          <w:b/>
        </w:rPr>
        <w:t xml:space="preserve"> </w:t>
      </w:r>
      <w:r>
        <w:rPr>
          <w:rFonts w:ascii="Palatino Linotype" w:eastAsia="Palatino Linotype" w:hAnsi="Palatino Linotype" w:cs="Palatino Linotype"/>
          <w:b/>
          <w:highlight w:val="white"/>
        </w:rPr>
        <w:t xml:space="preserve">y Quinto </w:t>
      </w:r>
      <w:r>
        <w:rPr>
          <w:rFonts w:ascii="Palatino Linotype" w:eastAsia="Palatino Linotype" w:hAnsi="Palatino Linotype" w:cs="Palatino Linotype"/>
          <w:highlight w:val="white"/>
        </w:rPr>
        <w:t xml:space="preserve">de esta resolución, vía Sistema de Acceso a la Información Mexiquense (SAIMEX), </w:t>
      </w:r>
      <w:r>
        <w:rPr>
          <w:rFonts w:ascii="Palatino Linotype" w:eastAsia="Palatino Linotype" w:hAnsi="Palatino Linotype" w:cs="Palatino Linotype"/>
          <w:b/>
          <w:highlight w:val="white"/>
        </w:rPr>
        <w:t xml:space="preserve"> y haga entrega </w:t>
      </w:r>
      <w:r>
        <w:rPr>
          <w:rFonts w:ascii="Palatino Linotype" w:eastAsia="Palatino Linotype" w:hAnsi="Palatino Linotype" w:cs="Palatino Linotype"/>
          <w:b/>
        </w:rPr>
        <w:t xml:space="preserve">al Recurrente </w:t>
      </w:r>
      <w:r>
        <w:rPr>
          <w:rFonts w:ascii="Palatino Linotype" w:eastAsia="Palatino Linotype" w:hAnsi="Palatino Linotype" w:cs="Palatino Linotype"/>
        </w:rPr>
        <w:t xml:space="preserve">en </w:t>
      </w:r>
      <w:r>
        <w:rPr>
          <w:rFonts w:ascii="Palatino Linotype" w:eastAsia="Palatino Linotype" w:hAnsi="Palatino Linotype" w:cs="Palatino Linotype"/>
          <w:b/>
        </w:rPr>
        <w:t>versión pública de ser procedente</w:t>
      </w:r>
      <w:r>
        <w:rPr>
          <w:rFonts w:ascii="Palatino Linotype" w:eastAsia="Palatino Linotype" w:hAnsi="Palatino Linotype" w:cs="Palatino Linotype"/>
        </w:rPr>
        <w:t xml:space="preserve">, </w:t>
      </w:r>
      <w:r>
        <w:rPr>
          <w:rFonts w:ascii="Palatino Linotype" w:eastAsia="Palatino Linotype" w:hAnsi="Palatino Linotype" w:cs="Palatino Linotype"/>
          <w:highlight w:val="white"/>
        </w:rPr>
        <w:t>de</w:t>
      </w:r>
      <w:r>
        <w:rPr>
          <w:rFonts w:ascii="Palatino Linotype" w:eastAsia="Palatino Linotype" w:hAnsi="Palatino Linotype" w:cs="Palatino Linotype"/>
          <w:b/>
          <w:highlight w:val="white"/>
        </w:rPr>
        <w:t xml:space="preserve"> </w:t>
      </w:r>
      <w:r>
        <w:rPr>
          <w:rFonts w:ascii="Palatino Linotype" w:eastAsia="Palatino Linotype" w:hAnsi="Palatino Linotype" w:cs="Palatino Linotype"/>
          <w:highlight w:val="white"/>
        </w:rPr>
        <w:t>lo siguiente:</w:t>
      </w:r>
    </w:p>
    <w:p w:rsidR="007C6440" w:rsidRDefault="007C6440">
      <w:pPr>
        <w:spacing w:line="360" w:lineRule="auto"/>
        <w:jc w:val="both"/>
        <w:rPr>
          <w:rFonts w:ascii="Palatino Linotype" w:eastAsia="Palatino Linotype" w:hAnsi="Palatino Linotype" w:cs="Palatino Linotype"/>
          <w:highlight w:val="white"/>
        </w:rPr>
      </w:pPr>
    </w:p>
    <w:p w:rsidR="007C6440" w:rsidRDefault="003E543A">
      <w:pPr>
        <w:numPr>
          <w:ilvl w:val="0"/>
          <w:numId w:val="14"/>
        </w:numPr>
        <w:pBdr>
          <w:top w:val="nil"/>
          <w:left w:val="nil"/>
          <w:bottom w:val="nil"/>
          <w:right w:val="nil"/>
          <w:between w:val="nil"/>
        </w:pBdr>
        <w:ind w:left="567" w:right="1580" w:hanging="1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sz w:val="22"/>
          <w:szCs w:val="22"/>
        </w:rPr>
        <w:t xml:space="preserve"> Expedientes o traslados</w:t>
      </w:r>
      <w:r>
        <w:rPr>
          <w:rFonts w:ascii="Palatino Linotype" w:eastAsia="Palatino Linotype" w:hAnsi="Palatino Linotype" w:cs="Palatino Linotype"/>
          <w:i/>
          <w:color w:val="000000"/>
          <w:sz w:val="22"/>
          <w:szCs w:val="22"/>
        </w:rPr>
        <w:t xml:space="preserve"> de dominio concluidos de bienes inmuebles</w:t>
      </w:r>
      <w:r>
        <w:rPr>
          <w:rFonts w:ascii="Palatino Linotype" w:eastAsia="Palatino Linotype" w:hAnsi="Palatino Linotype" w:cs="Palatino Linotype"/>
          <w:i/>
          <w:sz w:val="22"/>
          <w:szCs w:val="22"/>
        </w:rPr>
        <w:t xml:space="preserve"> de</w:t>
      </w:r>
      <w:r>
        <w:rPr>
          <w:rFonts w:ascii="Palatino Linotype" w:eastAsia="Palatino Linotype" w:hAnsi="Palatino Linotype" w:cs="Palatino Linotype"/>
          <w:i/>
          <w:color w:val="000000"/>
          <w:sz w:val="22"/>
          <w:szCs w:val="22"/>
        </w:rPr>
        <w:t xml:space="preserve"> instituciones públicas, generados durante el periodo comprendido del 01 de enero al 26 de febrero de 2021.</w:t>
      </w:r>
    </w:p>
    <w:p w:rsidR="007C6440" w:rsidRDefault="003E543A">
      <w:pPr>
        <w:spacing w:before="240" w:after="240"/>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mismo que también hará de conocimiento del particular.</w:t>
      </w:r>
    </w:p>
    <w:p w:rsidR="007C6440" w:rsidRDefault="003E543A">
      <w:pPr>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Para el caso en el que el Sujeto Obligado, en el periodo comprendido entre el 01 de enero al 26 de febrero de 2021, cuente únicamente con expedientes o traslados de dominio concluidos, de </w:t>
      </w:r>
      <w:r>
        <w:rPr>
          <w:rFonts w:ascii="Palatino Linotype" w:eastAsia="Palatino Linotype" w:hAnsi="Palatino Linotype" w:cs="Palatino Linotype"/>
          <w:b/>
          <w:i/>
          <w:sz w:val="22"/>
          <w:szCs w:val="22"/>
        </w:rPr>
        <w:t>particulares</w:t>
      </w:r>
      <w:r>
        <w:rPr>
          <w:rFonts w:ascii="Palatino Linotype" w:eastAsia="Palatino Linotype" w:hAnsi="Palatino Linotype" w:cs="Palatino Linotype"/>
          <w:i/>
          <w:sz w:val="22"/>
          <w:szCs w:val="22"/>
        </w:rPr>
        <w:t xml:space="preserve">, deberá </w:t>
      </w:r>
      <w:r>
        <w:rPr>
          <w:rFonts w:ascii="Palatino Linotype" w:eastAsia="Palatino Linotype" w:hAnsi="Palatino Linotype" w:cs="Palatino Linotype"/>
          <w:b/>
          <w:i/>
          <w:sz w:val="22"/>
          <w:szCs w:val="22"/>
        </w:rPr>
        <w:t xml:space="preserve">clasificarlos como información </w:t>
      </w:r>
      <w:r>
        <w:rPr>
          <w:rFonts w:ascii="Palatino Linotype" w:eastAsia="Palatino Linotype" w:hAnsi="Palatino Linotype" w:cs="Palatino Linotype"/>
          <w:b/>
          <w:i/>
          <w:sz w:val="22"/>
          <w:szCs w:val="22"/>
        </w:rPr>
        <w:lastRenderedPageBreak/>
        <w:t>confidencial</w:t>
      </w:r>
      <w:r>
        <w:rPr>
          <w:rFonts w:ascii="Palatino Linotype" w:eastAsia="Palatino Linotype" w:hAnsi="Palatino Linotype" w:cs="Palatino Linotype"/>
          <w:i/>
          <w:sz w:val="22"/>
          <w:szCs w:val="22"/>
        </w:rPr>
        <w:t xml:space="preserve"> y notificar el respectivo acuerdo de clasificación al particular en términos de los artículos 49, fracción VIII y 132 de la Ley de Transparencia del Estado de México y Municipios, al momento de dar cumplimiento a la resolución. </w:t>
      </w:r>
    </w:p>
    <w:p w:rsidR="007C6440" w:rsidRDefault="007C6440">
      <w:pPr>
        <w:ind w:left="567" w:right="1580"/>
        <w:jc w:val="both"/>
        <w:rPr>
          <w:rFonts w:ascii="Palatino Linotype" w:eastAsia="Palatino Linotype" w:hAnsi="Palatino Linotype" w:cs="Palatino Linotype"/>
          <w:i/>
        </w:rPr>
      </w:pPr>
    </w:p>
    <w:p w:rsidR="007C6440" w:rsidRDefault="003E543A">
      <w:pPr>
        <w:ind w:left="567" w:right="158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De ser el caso en el que el Sujeto Obligado no cuente con expedientes o traslados de dominio concluidos ni de instituciones públicas ni particulares durante la temporalidad señalada en la solicitud, deberá manifestarlo de manera clara y precisa al momento de dar cumplimiento a la presente resolución.</w:t>
      </w:r>
    </w:p>
    <w:p w:rsidR="007C6440" w:rsidRDefault="007C6440">
      <w:pPr>
        <w:spacing w:line="360" w:lineRule="auto"/>
        <w:jc w:val="both"/>
        <w:rPr>
          <w:rFonts w:ascii="Palatino Linotype" w:eastAsia="Palatino Linotype" w:hAnsi="Palatino Linotype" w:cs="Palatino Linotype"/>
        </w:rPr>
      </w:pPr>
    </w:p>
    <w:p w:rsidR="007C6440" w:rsidRDefault="003E54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la presente resolución </w:t>
      </w:r>
      <w:r>
        <w:rPr>
          <w:rFonts w:ascii="Palatino Linotype" w:eastAsia="Palatino Linotype" w:hAnsi="Palatino Linotype" w:cs="Palatino Linotype"/>
          <w:highlight w:val="white"/>
        </w:rPr>
        <w:t xml:space="preserve">vía Sistema de Acceso a la Información Mexiquense (SAIMEX), </w:t>
      </w:r>
      <w:r>
        <w:rPr>
          <w:rFonts w:ascii="Palatino Linotype" w:eastAsia="Palatino Linotype" w:hAnsi="Palatino Linotype" w:cs="Palatino Linotype"/>
        </w:rPr>
        <w:t>al Titular de la Unidad de Transparencia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7C6440" w:rsidRDefault="003E543A">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rPr>
        <w:t xml:space="preserve">Cuarto. Notifíquese, vía Sistema de Acceso a la Información Mexiquense (SAIMEX), </w:t>
      </w:r>
      <w:r>
        <w:rPr>
          <w:rFonts w:ascii="Palatino Linotype" w:eastAsia="Palatino Linotype" w:hAnsi="Palatino Linotype" w:cs="Palatino Linotype"/>
        </w:rPr>
        <w:t xml:space="preserve">la presente resolución a la parte recurrente, así como que podrá impugnarla vía </w:t>
      </w:r>
      <w:r>
        <w:rPr>
          <w:rFonts w:ascii="Palatino Linotype" w:eastAsia="Palatino Linotype" w:hAnsi="Palatino Linotype" w:cs="Palatino Linotype"/>
          <w:b/>
        </w:rPr>
        <w:t>Juicio de Amparo</w:t>
      </w:r>
      <w:r>
        <w:rPr>
          <w:rFonts w:ascii="Palatino Linotype" w:eastAsia="Palatino Linotype" w:hAnsi="Palatino Linotype" w:cs="Palatino Linotype"/>
        </w:rPr>
        <w:t xml:space="preserve"> en los términos de las leyes aplicables, de conformidad con lo establecido en el artículo 196 de la Ley de Transparencia y Acceso a la Información Pública del Estado de México y Municipios </w:t>
      </w:r>
      <w:r>
        <w:rPr>
          <w:rFonts w:ascii="Palatino Linotype" w:eastAsia="Palatino Linotype" w:hAnsi="Palatino Linotype" w:cs="Palatino Linotype"/>
          <w:color w:val="000000"/>
        </w:rPr>
        <w:t>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7C6440" w:rsidRDefault="003E54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Quinto.</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Con fundamento en el artículo 198, de la Ley de Transparencia y Acceso a la Información Pública del Estado de México y Municipios, se apercibe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 en caso de negarse a cumplir la presente resolución o hacerlo de manera parcial, se actuará de conformidad con lo previsto en los artículos 213, 214, 216 y 217, de dicha Ley.</w:t>
      </w:r>
    </w:p>
    <w:p w:rsidR="007C6440" w:rsidRDefault="007C6440">
      <w:pPr>
        <w:spacing w:line="360" w:lineRule="auto"/>
        <w:jc w:val="both"/>
        <w:rPr>
          <w:rFonts w:ascii="Palatino Linotype" w:eastAsia="Palatino Linotype" w:hAnsi="Palatino Linotype" w:cs="Palatino Linotype"/>
        </w:rPr>
      </w:pPr>
    </w:p>
    <w:p w:rsidR="007C6440" w:rsidRDefault="003E543A">
      <w:pPr>
        <w:spacing w:line="360" w:lineRule="auto"/>
        <w:jc w:val="both"/>
        <w:rPr>
          <w:rFonts w:ascii="Palatino Linotype" w:eastAsia="Palatino Linotype" w:hAnsi="Palatino Linotype" w:cs="Palatino Linotype"/>
          <w:color w:val="000000"/>
        </w:rPr>
        <w:sectPr w:rsidR="007C6440">
          <w:headerReference w:type="even" r:id="rId16"/>
          <w:headerReference w:type="default" r:id="rId17"/>
          <w:footerReference w:type="default" r:id="rId18"/>
          <w:headerReference w:type="first" r:id="rId19"/>
          <w:footerReference w:type="first" r:id="rId20"/>
          <w:pgSz w:w="12240" w:h="15840"/>
          <w:pgMar w:top="1361" w:right="1361" w:bottom="1361" w:left="1361" w:header="709" w:footer="1009" w:gutter="0"/>
          <w:pgNumType w:start="1"/>
          <w:cols w:space="720"/>
          <w:titlePg/>
        </w:sectPr>
      </w:pPr>
      <w:r>
        <w:rPr>
          <w:rFonts w:ascii="Palatino Linotype" w:eastAsia="Palatino Linotype" w:hAnsi="Palatino Linotype" w:cs="Palatino Linotype"/>
          <w:noProof/>
          <w:color w:val="000000"/>
        </w:rPr>
        <mc:AlternateContent>
          <mc:Choice Requires="wps">
            <w:drawing>
              <wp:anchor distT="0" distB="0" distL="114300" distR="114300" simplePos="0" relativeHeight="251659264" behindDoc="0" locked="0" layoutInCell="1" allowOverlap="1">
                <wp:simplePos x="0" y="0"/>
                <wp:positionH relativeFrom="column">
                  <wp:posOffset>69214</wp:posOffset>
                </wp:positionH>
                <wp:positionV relativeFrom="paragraph">
                  <wp:posOffset>2423795</wp:posOffset>
                </wp:positionV>
                <wp:extent cx="5648325" cy="35623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648325" cy="3562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A7063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5pt,190.85pt" to="450.2pt,4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" strokecolor="black [3040]"/>
            </w:pict>
          </mc:Fallback>
        </mc:AlternateContent>
      </w:r>
      <w:r>
        <w:rPr>
          <w:rFonts w:ascii="Palatino Linotype" w:eastAsia="Palatino Linotype" w:hAnsi="Palatino Linotype" w:cs="Palatino Linotype"/>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DÉCIMA </w:t>
      </w:r>
      <w:r>
        <w:rPr>
          <w:rFonts w:ascii="Palatino Linotype" w:eastAsia="Palatino Linotype" w:hAnsi="Palatino Linotype" w:cs="Palatino Linotype"/>
          <w:color w:val="000000"/>
        </w:rPr>
        <w:t xml:space="preserve">SESIÓN ORDINARIA CELEBRADA EL </w:t>
      </w:r>
      <w:r>
        <w:rPr>
          <w:rFonts w:ascii="Palatino Linotype" w:eastAsia="Palatino Linotype" w:hAnsi="Palatino Linotype" w:cs="Palatino Linotype"/>
        </w:rPr>
        <w:t xml:space="preserve">DIECISÉIS DE MARZO </w:t>
      </w:r>
      <w:r>
        <w:rPr>
          <w:rFonts w:ascii="Palatino Linotype" w:eastAsia="Palatino Linotype" w:hAnsi="Palatino Linotype" w:cs="Palatino Linotype"/>
          <w:color w:val="000000"/>
        </w:rPr>
        <w:t xml:space="preserve">DE DOS MIL </w:t>
      </w:r>
      <w:r>
        <w:rPr>
          <w:rFonts w:ascii="Palatino Linotype" w:eastAsia="Palatino Linotype" w:hAnsi="Palatino Linotype" w:cs="Palatino Linotype"/>
        </w:rPr>
        <w:t>VEINTIDÓS</w:t>
      </w:r>
      <w:r>
        <w:rPr>
          <w:rFonts w:ascii="Palatino Linotype" w:eastAsia="Palatino Linotype" w:hAnsi="Palatino Linotype" w:cs="Palatino Linotype"/>
          <w:color w:val="000000"/>
        </w:rPr>
        <w:t>, ANTE EL SECRETARIO TÉCNICO DEL PLENO, ALEXIS TAPIA RAMÍREZ.</w:t>
      </w:r>
    </w:p>
    <w:p w:rsidR="007C6440" w:rsidRDefault="007C6440">
      <w:pPr>
        <w:spacing w:line="360" w:lineRule="auto"/>
        <w:jc w:val="both"/>
        <w:rPr>
          <w:rFonts w:ascii="Palatino Linotype" w:eastAsia="Palatino Linotype" w:hAnsi="Palatino Linotype" w:cs="Palatino Linotype"/>
          <w:color w:val="000000"/>
        </w:rPr>
      </w:pPr>
    </w:p>
    <w:p w:rsidR="007C6440" w:rsidRDefault="007C6440">
      <w:pPr>
        <w:spacing w:line="360" w:lineRule="auto"/>
        <w:jc w:val="both"/>
        <w:rPr>
          <w:rFonts w:ascii="Palatino Linotype" w:eastAsia="Palatino Linotype" w:hAnsi="Palatino Linotype" w:cs="Palatino Linotype"/>
          <w:b/>
        </w:rPr>
      </w:pPr>
    </w:p>
    <w:p w:rsidR="007C6440" w:rsidRDefault="007C6440">
      <w:pPr>
        <w:spacing w:line="360" w:lineRule="auto"/>
        <w:jc w:val="both"/>
        <w:rPr>
          <w:rFonts w:ascii="Palatino Linotype" w:eastAsia="Palatino Linotype" w:hAnsi="Palatino Linotype" w:cs="Palatino Linotype"/>
          <w:b/>
        </w:rPr>
      </w:pPr>
    </w:p>
    <w:p w:rsidR="007C6440" w:rsidRDefault="007C6440">
      <w:pPr>
        <w:spacing w:line="360" w:lineRule="auto"/>
        <w:jc w:val="both"/>
        <w:rPr>
          <w:rFonts w:ascii="Palatino Linotype" w:eastAsia="Palatino Linotype" w:hAnsi="Palatino Linotype" w:cs="Palatino Linotype"/>
          <w:b/>
        </w:rPr>
      </w:pPr>
    </w:p>
    <w:p w:rsidR="007C6440" w:rsidRDefault="007C6440">
      <w:pPr>
        <w:spacing w:line="360" w:lineRule="auto"/>
        <w:jc w:val="both"/>
        <w:rPr>
          <w:rFonts w:ascii="Palatino Linotype" w:eastAsia="Palatino Linotype" w:hAnsi="Palatino Linotype" w:cs="Palatino Linotype"/>
          <w:b/>
        </w:rPr>
      </w:pPr>
    </w:p>
    <w:p w:rsidR="007C6440" w:rsidRDefault="007C6440">
      <w:pPr>
        <w:spacing w:line="360" w:lineRule="auto"/>
        <w:jc w:val="both"/>
        <w:rPr>
          <w:rFonts w:ascii="Palatino Linotype" w:eastAsia="Palatino Linotype" w:hAnsi="Palatino Linotype" w:cs="Palatino Linotype"/>
          <w:b/>
        </w:rPr>
      </w:pPr>
    </w:p>
    <w:p w:rsidR="007C6440" w:rsidRDefault="007C6440">
      <w:pPr>
        <w:spacing w:line="360" w:lineRule="auto"/>
        <w:jc w:val="both"/>
        <w:rPr>
          <w:rFonts w:ascii="Palatino Linotype" w:eastAsia="Palatino Linotype" w:hAnsi="Palatino Linotype" w:cs="Palatino Linotype"/>
          <w:b/>
        </w:rPr>
      </w:pPr>
    </w:p>
    <w:p w:rsidR="007C6440" w:rsidRDefault="007C6440">
      <w:pPr>
        <w:spacing w:line="360" w:lineRule="auto"/>
        <w:jc w:val="both"/>
        <w:rPr>
          <w:rFonts w:ascii="Palatino Linotype" w:eastAsia="Palatino Linotype" w:hAnsi="Palatino Linotype" w:cs="Palatino Linotype"/>
          <w:b/>
        </w:rPr>
      </w:pPr>
    </w:p>
    <w:p w:rsidR="007C6440" w:rsidRDefault="007C6440">
      <w:pPr>
        <w:spacing w:line="360" w:lineRule="auto"/>
        <w:jc w:val="both"/>
        <w:rPr>
          <w:rFonts w:ascii="Palatino Linotype" w:eastAsia="Palatino Linotype" w:hAnsi="Palatino Linotype" w:cs="Palatino Linotype"/>
          <w:b/>
        </w:rPr>
      </w:pPr>
    </w:p>
    <w:p w:rsidR="007C6440" w:rsidRDefault="007C6440">
      <w:pPr>
        <w:spacing w:line="360" w:lineRule="auto"/>
        <w:jc w:val="both"/>
        <w:rPr>
          <w:rFonts w:ascii="Palatino Linotype" w:eastAsia="Palatino Linotype" w:hAnsi="Palatino Linotype" w:cs="Palatino Linotype"/>
          <w:b/>
        </w:rPr>
      </w:pPr>
    </w:p>
    <w:p w:rsidR="007C6440" w:rsidRDefault="007C6440">
      <w:pPr>
        <w:spacing w:line="360" w:lineRule="auto"/>
        <w:jc w:val="both"/>
        <w:rPr>
          <w:rFonts w:ascii="Palatino Linotype" w:eastAsia="Palatino Linotype" w:hAnsi="Palatino Linotype" w:cs="Palatino Linotype"/>
          <w:b/>
        </w:rPr>
      </w:pPr>
    </w:p>
    <w:p w:rsidR="007C6440" w:rsidRDefault="007C6440">
      <w:pPr>
        <w:spacing w:line="360" w:lineRule="auto"/>
        <w:jc w:val="both"/>
        <w:rPr>
          <w:rFonts w:ascii="Palatino Linotype" w:eastAsia="Palatino Linotype" w:hAnsi="Palatino Linotype" w:cs="Palatino Linotype"/>
          <w:b/>
        </w:rPr>
      </w:pPr>
    </w:p>
    <w:p w:rsidR="007C6440" w:rsidRDefault="007C6440">
      <w:pPr>
        <w:spacing w:line="360" w:lineRule="auto"/>
        <w:jc w:val="both"/>
        <w:rPr>
          <w:rFonts w:ascii="Palatino Linotype" w:eastAsia="Palatino Linotype" w:hAnsi="Palatino Linotype" w:cs="Palatino Linotype"/>
        </w:rPr>
      </w:pPr>
      <w:bookmarkStart w:id="2" w:name="_heading=h.gjdgxs" w:colFirst="0" w:colLast="0"/>
      <w:bookmarkEnd w:id="2"/>
    </w:p>
    <w:sectPr w:rsidR="007C6440">
      <w:headerReference w:type="first" r:id="rId21"/>
      <w:pgSz w:w="12240" w:h="15840"/>
      <w:pgMar w:top="1361" w:right="1361" w:bottom="1361" w:left="136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9DF" w:rsidRDefault="003E543A">
      <w:r>
        <w:separator/>
      </w:r>
    </w:p>
  </w:endnote>
  <w:endnote w:type="continuationSeparator" w:id="0">
    <w:p w:rsidR="006A79DF" w:rsidRDefault="003E5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swiss"/>
    <w:pitch w:val="variable"/>
    <w:sig w:usb0="00000003" w:usb1="0200E0A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440" w:rsidRDefault="003E543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25C7D">
      <w:rPr>
        <w:rFonts w:ascii="Palatino Linotype" w:eastAsia="Palatino Linotype" w:hAnsi="Palatino Linotype" w:cs="Palatino Linotype"/>
        <w:noProof/>
        <w:color w:val="000000"/>
        <w:sz w:val="20"/>
        <w:szCs w:val="20"/>
      </w:rPr>
      <w:t>44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25C7D">
      <w:rPr>
        <w:rFonts w:ascii="Palatino Linotype" w:eastAsia="Palatino Linotype" w:hAnsi="Palatino Linotype" w:cs="Palatino Linotype"/>
        <w:noProof/>
        <w:color w:val="000000"/>
        <w:sz w:val="20"/>
        <w:szCs w:val="20"/>
      </w:rPr>
      <w:t>45</w:t>
    </w:r>
    <w:r>
      <w:rPr>
        <w:rFonts w:ascii="Palatino Linotype" w:eastAsia="Palatino Linotype" w:hAnsi="Palatino Linotype" w:cs="Palatino Linotype"/>
        <w:color w:val="000000"/>
        <w:sz w:val="20"/>
        <w:szCs w:val="20"/>
      </w:rPr>
      <w:fldChar w:fldCharType="end"/>
    </w:r>
  </w:p>
  <w:p w:rsidR="007C6440" w:rsidRDefault="007C64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440" w:rsidRDefault="003E543A">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38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25C7D">
      <w:rPr>
        <w:rFonts w:ascii="Palatino Linotype" w:eastAsia="Palatino Linotype" w:hAnsi="Palatino Linotype" w:cs="Palatino Linotype"/>
        <w:noProof/>
        <w:color w:val="000000"/>
        <w:sz w:val="22"/>
        <w:szCs w:val="22"/>
      </w:rPr>
      <w:t>45</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9DF" w:rsidRDefault="003E543A">
      <w:r>
        <w:separator/>
      </w:r>
    </w:p>
  </w:footnote>
  <w:footnote w:type="continuationSeparator" w:id="0">
    <w:p w:rsidR="006A79DF" w:rsidRDefault="003E5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440" w:rsidRDefault="00E25C7D">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63.5pt;height:12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440" w:rsidRDefault="007C6440">
    <w:pPr>
      <w:widowControl w:val="0"/>
      <w:pBdr>
        <w:top w:val="nil"/>
        <w:left w:val="nil"/>
        <w:bottom w:val="nil"/>
        <w:right w:val="nil"/>
        <w:between w:val="nil"/>
      </w:pBdr>
      <w:spacing w:line="276" w:lineRule="auto"/>
      <w:rPr>
        <w:rFonts w:ascii="Palatino Linotype" w:eastAsia="Palatino Linotype" w:hAnsi="Palatino Linotype" w:cs="Palatino Linotype"/>
      </w:rPr>
    </w:pPr>
  </w:p>
  <w:tbl>
    <w:tblPr>
      <w:tblStyle w:val="a2"/>
      <w:tblW w:w="9214" w:type="dxa"/>
      <w:tblInd w:w="-142" w:type="dxa"/>
      <w:tblLayout w:type="fixed"/>
      <w:tblLook w:val="0400" w:firstRow="0" w:lastRow="0" w:firstColumn="0" w:lastColumn="0" w:noHBand="0" w:noVBand="1"/>
    </w:tblPr>
    <w:tblGrid>
      <w:gridCol w:w="2660"/>
      <w:gridCol w:w="2551"/>
      <w:gridCol w:w="4003"/>
    </w:tblGrid>
    <w:tr w:rsidR="007C6440">
      <w:tc>
        <w:tcPr>
          <w:tcW w:w="2660" w:type="dxa"/>
          <w:vMerge w:val="restart"/>
        </w:tcPr>
        <w:p w:rsidR="007C6440" w:rsidRDefault="007C6440">
          <w:pPr>
            <w:rPr>
              <w:rFonts w:ascii="Palatino Linotype" w:eastAsia="Palatino Linotype" w:hAnsi="Palatino Linotype" w:cs="Palatino Linotype"/>
              <w:b/>
              <w:sz w:val="22"/>
              <w:szCs w:val="22"/>
            </w:rPr>
          </w:pPr>
        </w:p>
      </w:tc>
      <w:tc>
        <w:tcPr>
          <w:tcW w:w="2551" w:type="dxa"/>
          <w:shd w:val="clear" w:color="auto" w:fill="auto"/>
        </w:tcPr>
        <w:p w:rsidR="007C6440" w:rsidRDefault="003E543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003" w:type="dxa"/>
          <w:shd w:val="clear" w:color="auto" w:fill="auto"/>
          <w:vAlign w:val="center"/>
        </w:tcPr>
        <w:p w:rsidR="007C6440" w:rsidRDefault="003E543A">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04679/INFOEM/ICR-01/IP/RR/2021</w:t>
          </w:r>
        </w:p>
      </w:tc>
    </w:tr>
    <w:tr w:rsidR="007C6440">
      <w:tc>
        <w:tcPr>
          <w:tcW w:w="2660" w:type="dxa"/>
          <w:vMerge/>
        </w:tcPr>
        <w:p w:rsidR="007C6440" w:rsidRDefault="007C6440">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2551" w:type="dxa"/>
          <w:shd w:val="clear" w:color="auto" w:fill="auto"/>
        </w:tcPr>
        <w:p w:rsidR="007C6440" w:rsidRDefault="003E543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003" w:type="dxa"/>
          <w:shd w:val="clear" w:color="auto" w:fill="auto"/>
          <w:vAlign w:val="center"/>
        </w:tcPr>
        <w:p w:rsidR="007C6440" w:rsidRDefault="003E543A">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Ayuntamiento de Chicoloapan </w:t>
          </w:r>
        </w:p>
      </w:tc>
    </w:tr>
    <w:tr w:rsidR="007C6440">
      <w:trPr>
        <w:trHeight w:val="228"/>
      </w:trPr>
      <w:tc>
        <w:tcPr>
          <w:tcW w:w="2660" w:type="dxa"/>
          <w:vMerge/>
        </w:tcPr>
        <w:p w:rsidR="007C6440" w:rsidRDefault="007C6440">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2551" w:type="dxa"/>
          <w:shd w:val="clear" w:color="auto" w:fill="auto"/>
        </w:tcPr>
        <w:p w:rsidR="007C6440" w:rsidRDefault="003E543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003" w:type="dxa"/>
          <w:shd w:val="clear" w:color="auto" w:fill="auto"/>
        </w:tcPr>
        <w:p w:rsidR="007C6440" w:rsidRDefault="003E543A">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Guadalupe Ramírez Peña</w:t>
          </w:r>
        </w:p>
      </w:tc>
    </w:tr>
  </w:tbl>
  <w:p w:rsidR="007C6440" w:rsidRDefault="00E25C7D">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1.95pt;margin-top:-122.05pt;width:663.5pt;height:12in;z-index:-251659776;mso-position-horizontal:absolute;mso-position-horizontal-relative:margin;mso-position-vertical:absolute;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440" w:rsidRDefault="007C6440">
    <w:pPr>
      <w:widowControl w:val="0"/>
      <w:pBdr>
        <w:top w:val="nil"/>
        <w:left w:val="nil"/>
        <w:bottom w:val="nil"/>
        <w:right w:val="nil"/>
        <w:between w:val="nil"/>
      </w:pBdr>
      <w:spacing w:line="276" w:lineRule="auto"/>
      <w:rPr>
        <w:rFonts w:ascii="Cambria" w:eastAsia="Cambria" w:hAnsi="Cambria" w:cs="Cambria"/>
        <w:color w:val="000000"/>
      </w:rPr>
    </w:pPr>
  </w:p>
  <w:tbl>
    <w:tblPr>
      <w:tblStyle w:val="a3"/>
      <w:tblW w:w="10598" w:type="dxa"/>
      <w:tblInd w:w="-1276" w:type="dxa"/>
      <w:tblLayout w:type="fixed"/>
      <w:tblLook w:val="0400" w:firstRow="0" w:lastRow="0" w:firstColumn="0" w:lastColumn="0" w:noHBand="0" w:noVBand="1"/>
    </w:tblPr>
    <w:tblGrid>
      <w:gridCol w:w="4219"/>
      <w:gridCol w:w="2552"/>
      <w:gridCol w:w="3827"/>
    </w:tblGrid>
    <w:tr w:rsidR="007C6440">
      <w:tc>
        <w:tcPr>
          <w:tcW w:w="4219" w:type="dxa"/>
          <w:vMerge w:val="restart"/>
          <w:shd w:val="clear" w:color="auto" w:fill="auto"/>
        </w:tcPr>
        <w:p w:rsidR="007C6440" w:rsidRDefault="007C6440">
          <w:pPr>
            <w:rPr>
              <w:rFonts w:ascii="Palatino Linotype" w:eastAsia="Palatino Linotype" w:hAnsi="Palatino Linotype" w:cs="Palatino Linotype"/>
              <w:b/>
              <w:sz w:val="22"/>
              <w:szCs w:val="22"/>
            </w:rPr>
          </w:pPr>
        </w:p>
      </w:tc>
      <w:tc>
        <w:tcPr>
          <w:tcW w:w="2552" w:type="dxa"/>
          <w:shd w:val="clear" w:color="auto" w:fill="auto"/>
        </w:tcPr>
        <w:p w:rsidR="007C6440" w:rsidRDefault="003E543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7" w:type="dxa"/>
          <w:shd w:val="clear" w:color="auto" w:fill="auto"/>
          <w:vAlign w:val="center"/>
        </w:tcPr>
        <w:p w:rsidR="007C6440" w:rsidRDefault="003E543A">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04679/INFOEM/ICR-01/IP/RR/2021</w:t>
          </w:r>
        </w:p>
      </w:tc>
    </w:tr>
    <w:tr w:rsidR="007C6440">
      <w:tc>
        <w:tcPr>
          <w:tcW w:w="4219" w:type="dxa"/>
          <w:vMerge/>
          <w:shd w:val="clear" w:color="auto" w:fill="auto"/>
        </w:tcPr>
        <w:p w:rsidR="007C6440" w:rsidRDefault="007C6440">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2552" w:type="dxa"/>
          <w:shd w:val="clear" w:color="auto" w:fill="auto"/>
        </w:tcPr>
        <w:p w:rsidR="007C6440" w:rsidRDefault="003E543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27" w:type="dxa"/>
          <w:shd w:val="clear" w:color="auto" w:fill="auto"/>
          <w:vAlign w:val="center"/>
        </w:tcPr>
        <w:p w:rsidR="007C6440" w:rsidRDefault="007C6440">
          <w:pPr>
            <w:jc w:val="both"/>
            <w:rPr>
              <w:rFonts w:ascii="Palatino Linotype" w:eastAsia="Palatino Linotype" w:hAnsi="Palatino Linotype" w:cs="Palatino Linotype"/>
              <w:sz w:val="22"/>
              <w:szCs w:val="22"/>
            </w:rPr>
          </w:pPr>
        </w:p>
      </w:tc>
    </w:tr>
    <w:tr w:rsidR="007C6440">
      <w:trPr>
        <w:trHeight w:val="76"/>
      </w:trPr>
      <w:tc>
        <w:tcPr>
          <w:tcW w:w="4219" w:type="dxa"/>
          <w:vMerge/>
          <w:shd w:val="clear" w:color="auto" w:fill="auto"/>
        </w:tcPr>
        <w:p w:rsidR="007C6440" w:rsidRDefault="007C6440">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2552" w:type="dxa"/>
          <w:shd w:val="clear" w:color="auto" w:fill="auto"/>
        </w:tcPr>
        <w:p w:rsidR="007C6440" w:rsidRDefault="003E543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7" w:type="dxa"/>
          <w:shd w:val="clear" w:color="auto" w:fill="auto"/>
          <w:vAlign w:val="center"/>
        </w:tcPr>
        <w:p w:rsidR="007C6440" w:rsidRDefault="003E543A">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Chicoloapan</w:t>
          </w:r>
        </w:p>
      </w:tc>
    </w:tr>
    <w:tr w:rsidR="007C6440">
      <w:tc>
        <w:tcPr>
          <w:tcW w:w="4219" w:type="dxa"/>
          <w:vMerge/>
          <w:shd w:val="clear" w:color="auto" w:fill="auto"/>
        </w:tcPr>
        <w:p w:rsidR="007C6440" w:rsidRDefault="007C6440">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2552" w:type="dxa"/>
          <w:shd w:val="clear" w:color="auto" w:fill="auto"/>
        </w:tcPr>
        <w:p w:rsidR="007C6440" w:rsidRDefault="003E543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7" w:type="dxa"/>
          <w:shd w:val="clear" w:color="auto" w:fill="auto"/>
        </w:tcPr>
        <w:p w:rsidR="007C6440" w:rsidRDefault="003E543A">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Guadalupe Ramírez Peña</w:t>
          </w:r>
        </w:p>
      </w:tc>
    </w:tr>
  </w:tbl>
  <w:p w:rsidR="007C6440" w:rsidRDefault="00E25C7D">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99.45pt;margin-top:-128.5pt;width:663.5pt;height:12in;z-index:-251658752;mso-position-horizontal:absolute;mso-position-horizontal-relative:margin;mso-position-vertical:absolute;mso-position-vertical-relative:margin">
          <v:imagedata r:id="rId1" o:title="image3"/>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440" w:rsidRDefault="007C6440">
    <w:pPr>
      <w:widowControl w:val="0"/>
      <w:pBdr>
        <w:top w:val="nil"/>
        <w:left w:val="nil"/>
        <w:bottom w:val="nil"/>
        <w:right w:val="nil"/>
        <w:between w:val="nil"/>
      </w:pBdr>
      <w:spacing w:line="276" w:lineRule="auto"/>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974C3"/>
    <w:multiLevelType w:val="multilevel"/>
    <w:tmpl w:val="568A7B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C51E5E"/>
    <w:multiLevelType w:val="multilevel"/>
    <w:tmpl w:val="4194602A"/>
    <w:lvl w:ilvl="0">
      <w:start w:val="1"/>
      <w:numFmt w:val="upperRoman"/>
      <w:lvlText w:val="%1."/>
      <w:lvlJc w:val="left"/>
      <w:pPr>
        <w:ind w:left="1004" w:hanging="72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16FA3BEF"/>
    <w:multiLevelType w:val="multilevel"/>
    <w:tmpl w:val="014E8B3E"/>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D6B4628"/>
    <w:multiLevelType w:val="multilevel"/>
    <w:tmpl w:val="4EBE487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E915B92"/>
    <w:multiLevelType w:val="multilevel"/>
    <w:tmpl w:val="713A40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1137F53"/>
    <w:multiLevelType w:val="multilevel"/>
    <w:tmpl w:val="C57E20B6"/>
    <w:lvl w:ilvl="0">
      <w:start w:val="1"/>
      <w:numFmt w:val="upperRoman"/>
      <w:pStyle w:val="Listaconvietas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1E224E9"/>
    <w:multiLevelType w:val="multilevel"/>
    <w:tmpl w:val="4CC6AE3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751583B"/>
    <w:multiLevelType w:val="multilevel"/>
    <w:tmpl w:val="226607F2"/>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468D4BBD"/>
    <w:multiLevelType w:val="multilevel"/>
    <w:tmpl w:val="A7AAB4A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479F54CD"/>
    <w:multiLevelType w:val="multilevel"/>
    <w:tmpl w:val="F6220B5A"/>
    <w:lvl w:ilvl="0">
      <w:start w:val="1"/>
      <w:numFmt w:val="upperRoman"/>
      <w:lvlText w:val="%1."/>
      <w:lvlJc w:val="left"/>
      <w:pPr>
        <w:ind w:left="2520" w:hanging="72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
    <w:nsid w:val="4E6D79CD"/>
    <w:multiLevelType w:val="multilevel"/>
    <w:tmpl w:val="EF90F01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FB74932"/>
    <w:multiLevelType w:val="multilevel"/>
    <w:tmpl w:val="AF2010B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A50574B"/>
    <w:multiLevelType w:val="multilevel"/>
    <w:tmpl w:val="36E6603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3">
    <w:nsid w:val="7B4A11DB"/>
    <w:multiLevelType w:val="multilevel"/>
    <w:tmpl w:val="6CAEB1D6"/>
    <w:lvl w:ilvl="0">
      <w:start w:val="1"/>
      <w:numFmt w:val="upperRoman"/>
      <w:lvlText w:val="%1."/>
      <w:lvlJc w:val="left"/>
      <w:pPr>
        <w:ind w:left="1004" w:hanging="72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8"/>
  </w:num>
  <w:num w:numId="2">
    <w:abstractNumId w:val="6"/>
  </w:num>
  <w:num w:numId="3">
    <w:abstractNumId w:val="5"/>
  </w:num>
  <w:num w:numId="4">
    <w:abstractNumId w:val="4"/>
  </w:num>
  <w:num w:numId="5">
    <w:abstractNumId w:val="2"/>
  </w:num>
  <w:num w:numId="6">
    <w:abstractNumId w:val="3"/>
  </w:num>
  <w:num w:numId="7">
    <w:abstractNumId w:val="9"/>
  </w:num>
  <w:num w:numId="8">
    <w:abstractNumId w:val="13"/>
  </w:num>
  <w:num w:numId="9">
    <w:abstractNumId w:val="0"/>
  </w:num>
  <w:num w:numId="10">
    <w:abstractNumId w:val="11"/>
  </w:num>
  <w:num w:numId="11">
    <w:abstractNumId w:val="7"/>
  </w:num>
  <w:num w:numId="12">
    <w:abstractNumId w:val="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440"/>
    <w:rsid w:val="003E543A"/>
    <w:rsid w:val="006A79DF"/>
    <w:rsid w:val="007C6440"/>
    <w:rsid w:val="00E25C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BEB99C0-383E-4080-BCA4-C550815D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82E"/>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qFormat/>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5F4F16"/>
    <w:rPr>
      <w:color w:val="605E5C"/>
      <w:shd w:val="clear" w:color="auto" w:fill="E1DFDD"/>
    </w:rPr>
  </w:style>
  <w:style w:type="paragraph" w:styleId="Listaconvietas2">
    <w:name w:val="List Bullet 2"/>
    <w:basedOn w:val="Normal"/>
    <w:uiPriority w:val="99"/>
    <w:unhideWhenUsed/>
    <w:rsid w:val="00AD75BE"/>
    <w:pPr>
      <w:numPr>
        <w:numId w:val="3"/>
      </w:numPr>
      <w:contextualSpacing/>
    </w:pPr>
    <w:rPr>
      <w:sz w:val="20"/>
      <w:szCs w:val="20"/>
      <w:lang w:val="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stemas2.edomex.gob.mx/TramitesyServicios/Tramite?tram=8498&amp;cont=0"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about:blan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GP1Gj6waJx88vXWMJwY+3A8Jhw==">AMUW2mWQ48cAU3rLt3Mad2ij7KEL2640hdz6Yh8WfYS/ZGAOIBWp0OysA5KsvuwmN70iL6RmJ7pJrq4yVPCY5czSS58I5wdSl4186mGBAKoDivjAEDtQ3BW9Udf9FlXDst20b988qXnT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12575</Words>
  <Characters>69165</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2022-04-04T22:42:00Z</dcterms:created>
  <dcterms:modified xsi:type="dcterms:W3CDTF">2022-04-04T22:42:00Z</dcterms:modified>
</cp:coreProperties>
</file>