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3B26A7" w14:textId="77777777" w:rsidR="00450FBC" w:rsidRPr="00024CC1" w:rsidRDefault="00450FBC" w:rsidP="00450FBC">
      <w:pPr>
        <w:tabs>
          <w:tab w:val="left" w:pos="0"/>
        </w:tabs>
        <w:spacing w:line="360" w:lineRule="auto"/>
        <w:jc w:val="both"/>
        <w:rPr>
          <w:rFonts w:ascii="Palatino Linotype" w:hAnsi="Palatino Linotype"/>
        </w:rPr>
      </w:pPr>
      <w:r w:rsidRPr="00024CC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dieciocho (18) de noviembre  de dos mil veintidós. </w:t>
      </w:r>
    </w:p>
    <w:p w14:paraId="3F46BBEB" w14:textId="77777777" w:rsidR="00450FBC" w:rsidRPr="00024CC1" w:rsidRDefault="00450FBC" w:rsidP="00450FBC">
      <w:pPr>
        <w:tabs>
          <w:tab w:val="left" w:pos="0"/>
        </w:tabs>
        <w:spacing w:line="360" w:lineRule="auto"/>
        <w:jc w:val="both"/>
        <w:rPr>
          <w:rFonts w:ascii="Palatino Linotype" w:hAnsi="Palatino Linotype"/>
        </w:rPr>
      </w:pPr>
    </w:p>
    <w:p w14:paraId="17A40BE7" w14:textId="5C5B3954" w:rsidR="00450FBC" w:rsidRPr="00024CC1" w:rsidRDefault="00450FBC" w:rsidP="00450FBC">
      <w:pPr>
        <w:spacing w:line="360" w:lineRule="auto"/>
        <w:jc w:val="both"/>
        <w:rPr>
          <w:rFonts w:ascii="Palatino Linotype" w:hAnsi="Palatino Linotype"/>
        </w:rPr>
      </w:pPr>
      <w:r w:rsidRPr="00024CC1">
        <w:rPr>
          <w:rFonts w:ascii="Palatino Linotype" w:hAnsi="Palatino Linotype"/>
          <w:b/>
        </w:rPr>
        <w:t>VISTO</w:t>
      </w:r>
      <w:r w:rsidRPr="00024CC1">
        <w:rPr>
          <w:rFonts w:ascii="Palatino Linotype" w:hAnsi="Palatino Linotype"/>
        </w:rPr>
        <w:t xml:space="preserve"> el expediente electrónico formado con motivo del recurso de revisión </w:t>
      </w:r>
      <w:r w:rsidRPr="00024CC1">
        <w:rPr>
          <w:rFonts w:ascii="Palatino Linotype" w:hAnsi="Palatino Linotype" w:cs="Arial"/>
          <w:b/>
          <w:bCs/>
        </w:rPr>
        <w:t xml:space="preserve">15428/INFOEM/IP/RR/2022, </w:t>
      </w:r>
      <w:r w:rsidRPr="00024CC1">
        <w:rPr>
          <w:rFonts w:ascii="Palatino Linotype" w:hAnsi="Palatino Linotype"/>
        </w:rPr>
        <w:t xml:space="preserve">promovido por  </w:t>
      </w:r>
      <w:r w:rsidR="00024CC1" w:rsidRPr="00024CC1">
        <w:rPr>
          <w:rFonts w:ascii="Palatino Linotype" w:hAnsi="Palatino Linotype"/>
          <w:b/>
        </w:rPr>
        <w:t>XXXXX XXXX XXXXX</w:t>
      </w:r>
      <w:r w:rsidRPr="00024CC1">
        <w:rPr>
          <w:rFonts w:ascii="Palatino Linotype" w:hAnsi="Palatino Linotype"/>
          <w:b/>
        </w:rPr>
        <w:t xml:space="preserve">, </w:t>
      </w:r>
      <w:r w:rsidRPr="00024CC1">
        <w:rPr>
          <w:rFonts w:ascii="Palatino Linotype" w:hAnsi="Palatino Linotype"/>
        </w:rPr>
        <w:t xml:space="preserve">quien en lo sucesivo se identificará como  </w:t>
      </w:r>
      <w:r w:rsidRPr="00024CC1">
        <w:rPr>
          <w:rFonts w:ascii="Palatino Linotype" w:hAnsi="Palatino Linotype"/>
          <w:b/>
        </w:rPr>
        <w:t>RECURRENTE</w:t>
      </w:r>
      <w:r w:rsidRPr="00024CC1">
        <w:rPr>
          <w:rFonts w:ascii="Palatino Linotype" w:hAnsi="Palatino Linotype"/>
        </w:rPr>
        <w:t>, en contra de la</w:t>
      </w:r>
      <w:r w:rsidRPr="00024CC1">
        <w:rPr>
          <w:rFonts w:ascii="Palatino Linotype" w:hAnsi="Palatino Linotype" w:cs="Arial"/>
        </w:rPr>
        <w:t xml:space="preserve"> respuesta del </w:t>
      </w:r>
      <w:r w:rsidRPr="00024CC1">
        <w:rPr>
          <w:rFonts w:ascii="Palatino Linotype" w:hAnsi="Palatino Linotype"/>
          <w:b/>
        </w:rPr>
        <w:t>Ayuntamiento de Nezahualcóyotl,</w:t>
      </w:r>
      <w:r w:rsidRPr="00024CC1">
        <w:rPr>
          <w:rFonts w:ascii="Palatino Linotype" w:hAnsi="Palatino Linotype" w:cs="Arial"/>
          <w:b/>
        </w:rPr>
        <w:t xml:space="preserve"> </w:t>
      </w:r>
      <w:r w:rsidRPr="00024CC1">
        <w:rPr>
          <w:rFonts w:ascii="Palatino Linotype" w:hAnsi="Palatino Linotype"/>
        </w:rPr>
        <w:t>en lo sucesivo el</w:t>
      </w:r>
      <w:r w:rsidRPr="00024CC1">
        <w:rPr>
          <w:rFonts w:ascii="Palatino Linotype" w:hAnsi="Palatino Linotype"/>
          <w:b/>
        </w:rPr>
        <w:t xml:space="preserve"> SUJETO OBLIGADO, </w:t>
      </w:r>
      <w:r w:rsidRPr="00024CC1">
        <w:rPr>
          <w:rFonts w:ascii="Palatino Linotype" w:hAnsi="Palatino Linotype"/>
        </w:rPr>
        <w:t xml:space="preserve">se procede a dictar la presente resolución, con base en los siguientes: </w:t>
      </w:r>
    </w:p>
    <w:p w14:paraId="0B69551E" w14:textId="77777777" w:rsidR="00450FBC" w:rsidRPr="00024CC1" w:rsidRDefault="00450FBC" w:rsidP="00450FBC">
      <w:pPr>
        <w:spacing w:line="360" w:lineRule="auto"/>
        <w:jc w:val="both"/>
        <w:rPr>
          <w:rFonts w:ascii="Palatino Linotype" w:hAnsi="Palatino Linotype"/>
        </w:rPr>
      </w:pPr>
    </w:p>
    <w:p w14:paraId="62F31C37" w14:textId="77777777" w:rsidR="00450FBC" w:rsidRPr="00024CC1" w:rsidRDefault="00450FBC" w:rsidP="00450FBC">
      <w:pPr>
        <w:keepNext/>
        <w:keepLines/>
        <w:tabs>
          <w:tab w:val="left" w:pos="0"/>
        </w:tabs>
        <w:spacing w:line="360" w:lineRule="auto"/>
        <w:jc w:val="center"/>
        <w:outlineLvl w:val="0"/>
        <w:rPr>
          <w:rFonts w:ascii="Palatino Linotype" w:hAnsi="Palatino Linotype"/>
          <w:b/>
          <w:lang w:val="es-MX" w:eastAsia="en-US"/>
        </w:rPr>
      </w:pPr>
      <w:bookmarkStart w:id="0" w:name="_Toc496274633"/>
      <w:bookmarkStart w:id="1" w:name="_Toc490060616"/>
      <w:bookmarkStart w:id="2" w:name="_Toc499727165"/>
      <w:bookmarkStart w:id="3" w:name="_Toc71158400"/>
      <w:r w:rsidRPr="00024CC1">
        <w:rPr>
          <w:rFonts w:ascii="Palatino Linotype" w:hAnsi="Palatino Linotype"/>
          <w:b/>
          <w:lang w:val="es-MX" w:eastAsia="en-US"/>
        </w:rPr>
        <w:t>ANTECEDENTES</w:t>
      </w:r>
      <w:bookmarkEnd w:id="0"/>
      <w:bookmarkEnd w:id="1"/>
      <w:bookmarkEnd w:id="2"/>
      <w:bookmarkEnd w:id="3"/>
    </w:p>
    <w:p w14:paraId="238E4C4A" w14:textId="77777777" w:rsidR="00450FBC" w:rsidRPr="00024CC1" w:rsidRDefault="00450FBC" w:rsidP="00450FBC">
      <w:pPr>
        <w:keepNext/>
        <w:keepLines/>
        <w:tabs>
          <w:tab w:val="left" w:pos="0"/>
        </w:tabs>
        <w:spacing w:line="360" w:lineRule="auto"/>
        <w:outlineLvl w:val="0"/>
        <w:rPr>
          <w:rFonts w:ascii="Palatino Linotype" w:hAnsi="Palatino Linotype"/>
          <w:b/>
          <w:lang w:val="es-MX" w:eastAsia="en-US"/>
        </w:rPr>
      </w:pPr>
    </w:p>
    <w:p w14:paraId="25117259" w14:textId="77777777" w:rsidR="00450FBC" w:rsidRPr="00024CC1" w:rsidRDefault="00450FBC" w:rsidP="00450FBC">
      <w:pPr>
        <w:numPr>
          <w:ilvl w:val="0"/>
          <w:numId w:val="16"/>
        </w:numPr>
        <w:tabs>
          <w:tab w:val="left" w:pos="0"/>
        </w:tabs>
        <w:spacing w:line="360" w:lineRule="auto"/>
        <w:ind w:left="0" w:firstLine="0"/>
        <w:contextualSpacing/>
        <w:jc w:val="both"/>
        <w:rPr>
          <w:rFonts w:ascii="Palatino Linotype" w:eastAsia="Calibri" w:hAnsi="Palatino Linotype" w:cs="Arial"/>
        </w:rPr>
      </w:pPr>
      <w:r w:rsidRPr="00024CC1">
        <w:rPr>
          <w:rFonts w:ascii="Palatino Linotype" w:eastAsia="Calibri" w:hAnsi="Palatino Linotype" w:cs="Arial"/>
        </w:rPr>
        <w:t>El veintisiete (27) de septiembre  de dos mil veintidós,</w:t>
      </w:r>
      <w:r w:rsidRPr="00024CC1">
        <w:rPr>
          <w:rFonts w:ascii="Palatino Linotype" w:eastAsia="Calibri" w:hAnsi="Palatino Linotype"/>
        </w:rPr>
        <w:t xml:space="preserve"> </w:t>
      </w:r>
      <w:r w:rsidRPr="00024CC1">
        <w:rPr>
          <w:rFonts w:ascii="Palatino Linotype" w:hAnsi="Palatino Linotype"/>
        </w:rPr>
        <w:t>el</w:t>
      </w:r>
      <w:r w:rsidRPr="00024CC1">
        <w:rPr>
          <w:rFonts w:ascii="Palatino Linotype" w:hAnsi="Palatino Linotype"/>
          <w:b/>
        </w:rPr>
        <w:t xml:space="preserve"> </w:t>
      </w:r>
      <w:r w:rsidRPr="00024CC1">
        <w:rPr>
          <w:rFonts w:ascii="Palatino Linotype" w:hAnsi="Palatino Linotype"/>
        </w:rPr>
        <w:t>solicitante</w:t>
      </w:r>
      <w:r w:rsidRPr="00024CC1">
        <w:rPr>
          <w:rFonts w:ascii="Palatino Linotype" w:hAnsi="Palatino Linotype"/>
          <w:b/>
        </w:rPr>
        <w:t xml:space="preserve">  </w:t>
      </w:r>
      <w:r w:rsidRPr="00024CC1">
        <w:rPr>
          <w:rFonts w:ascii="Palatino Linotype" w:hAnsi="Palatino Linotype"/>
        </w:rPr>
        <w:t>presentó</w:t>
      </w:r>
      <w:r w:rsidRPr="00024CC1">
        <w:rPr>
          <w:rFonts w:ascii="Palatino Linotype" w:hAnsi="Palatino Linotype"/>
          <w:b/>
        </w:rPr>
        <w:t xml:space="preserve"> </w:t>
      </w:r>
      <w:r w:rsidRPr="00024CC1">
        <w:rPr>
          <w:rFonts w:ascii="Palatino Linotype" w:eastAsia="Calibri" w:hAnsi="Palatino Linotype" w:cs="Arial"/>
        </w:rPr>
        <w:t xml:space="preserve">ante el </w:t>
      </w:r>
      <w:r w:rsidRPr="00024CC1">
        <w:rPr>
          <w:rFonts w:ascii="Palatino Linotype" w:eastAsia="Calibri" w:hAnsi="Palatino Linotype" w:cs="Arial"/>
          <w:b/>
        </w:rPr>
        <w:t>SUJETO OBLIGADO,</w:t>
      </w:r>
      <w:r w:rsidRPr="00024CC1">
        <w:rPr>
          <w:rFonts w:ascii="Palatino Linotype" w:eastAsia="Calibri" w:hAnsi="Palatino Linotype" w:cs="Arial"/>
        </w:rPr>
        <w:t xml:space="preserve"> vía Sistema de Acceso a la Información Mexiquense (SAIMEX) la solicitud de información pública registrada con el número </w:t>
      </w:r>
      <w:r w:rsidRPr="00024CC1">
        <w:rPr>
          <w:rFonts w:ascii="Palatino Linotype" w:hAnsi="Palatino Linotype"/>
          <w:b/>
          <w:bCs/>
        </w:rPr>
        <w:t> 00525/NEZA/IP/2022</w:t>
      </w:r>
      <w:r w:rsidRPr="00024CC1">
        <w:rPr>
          <w:rFonts w:ascii="Palatino Linotype" w:eastAsia="Calibri" w:hAnsi="Palatino Linotype" w:cs="Arial"/>
        </w:rPr>
        <w:t>, mediante la cual se solicitó:</w:t>
      </w:r>
    </w:p>
    <w:p w14:paraId="295C9467" w14:textId="77777777" w:rsidR="00450FBC" w:rsidRPr="00024CC1" w:rsidRDefault="00450FBC" w:rsidP="00450FBC">
      <w:pPr>
        <w:tabs>
          <w:tab w:val="left" w:pos="0"/>
        </w:tabs>
        <w:spacing w:line="360" w:lineRule="auto"/>
        <w:ind w:left="360"/>
        <w:contextualSpacing/>
        <w:jc w:val="both"/>
        <w:rPr>
          <w:rFonts w:ascii="Palatino Linotype" w:eastAsia="Calibri" w:hAnsi="Palatino Linotype" w:cs="Arial"/>
        </w:rPr>
      </w:pPr>
    </w:p>
    <w:p w14:paraId="5FB6059D" w14:textId="77777777" w:rsidR="00450FBC" w:rsidRPr="00024CC1" w:rsidRDefault="00450FBC" w:rsidP="00450FBC">
      <w:pPr>
        <w:tabs>
          <w:tab w:val="left" w:pos="0"/>
        </w:tabs>
        <w:spacing w:line="360" w:lineRule="auto"/>
        <w:ind w:left="567" w:right="49"/>
        <w:contextualSpacing/>
        <w:jc w:val="both"/>
        <w:rPr>
          <w:rFonts w:ascii="Palatino Linotype" w:hAnsi="Palatino Linotype" w:cs="Arial"/>
          <w:i/>
          <w:sz w:val="22"/>
          <w:szCs w:val="22"/>
        </w:rPr>
      </w:pPr>
      <w:r w:rsidRPr="00024CC1">
        <w:rPr>
          <w:rFonts w:ascii="Palatino Linotype" w:hAnsi="Palatino Linotype" w:cs="Arial"/>
          <w:i/>
          <w:sz w:val="22"/>
          <w:szCs w:val="22"/>
        </w:rPr>
        <w:t>“</w:t>
      </w:r>
      <w:r w:rsidRPr="00024CC1">
        <w:rPr>
          <w:rFonts w:ascii="Palatino Linotype" w:hAnsi="Palatino Linotype"/>
          <w:i/>
          <w:color w:val="000000"/>
          <w:sz w:val="22"/>
          <w:szCs w:val="22"/>
        </w:rPr>
        <w:t>Tabulador de sueldos autorizados por el Cabildo escaneado a mi correo</w:t>
      </w:r>
      <w:r w:rsidRPr="00024CC1">
        <w:rPr>
          <w:rFonts w:ascii="Palatino Linotype" w:hAnsi="Palatino Linotype" w:cs="Arial"/>
          <w:i/>
          <w:sz w:val="22"/>
          <w:szCs w:val="22"/>
        </w:rPr>
        <w:t>” (Sic)</w:t>
      </w:r>
    </w:p>
    <w:p w14:paraId="65023BD6" w14:textId="77777777" w:rsidR="00450FBC" w:rsidRPr="00024CC1" w:rsidRDefault="00450FBC" w:rsidP="00450FBC">
      <w:pPr>
        <w:tabs>
          <w:tab w:val="left" w:pos="0"/>
        </w:tabs>
        <w:spacing w:line="360" w:lineRule="auto"/>
        <w:ind w:right="616"/>
        <w:jc w:val="both"/>
        <w:rPr>
          <w:rFonts w:ascii="Palatino Linotype" w:hAnsi="Palatino Linotype" w:cs="Arial"/>
          <w:i/>
        </w:rPr>
      </w:pPr>
    </w:p>
    <w:p w14:paraId="21BE7ED9" w14:textId="77777777" w:rsidR="00450FBC" w:rsidRPr="00024CC1" w:rsidRDefault="00450FBC" w:rsidP="00450FBC">
      <w:pPr>
        <w:pStyle w:val="Prrafodelista"/>
        <w:numPr>
          <w:ilvl w:val="0"/>
          <w:numId w:val="16"/>
        </w:numPr>
        <w:spacing w:line="360" w:lineRule="auto"/>
        <w:ind w:left="0" w:firstLine="0"/>
        <w:contextualSpacing/>
        <w:jc w:val="both"/>
        <w:rPr>
          <w:rFonts w:ascii="Palatino Linotype" w:hAnsi="Palatino Linotype" w:cs="Arial"/>
          <w:i/>
        </w:rPr>
      </w:pPr>
      <w:r w:rsidRPr="00024CC1">
        <w:rPr>
          <w:rFonts w:ascii="Palatino Linotype" w:hAnsi="Palatino Linotype" w:cs="Arial"/>
        </w:rPr>
        <w:t xml:space="preserve">Se hace constar que se señaló como modalidad de entrega de la información a través del Sistema de Acceso a la Información Mexiquense </w:t>
      </w:r>
      <w:r w:rsidRPr="00024CC1">
        <w:rPr>
          <w:rFonts w:ascii="Palatino Linotype" w:hAnsi="Palatino Linotype" w:cs="Arial"/>
          <w:b/>
        </w:rPr>
        <w:t xml:space="preserve">(SAIMEX).  </w:t>
      </w:r>
      <w:bookmarkStart w:id="4" w:name="_Toc472500652"/>
      <w:bookmarkStart w:id="5" w:name="_Toc472427085"/>
      <w:bookmarkStart w:id="6" w:name="_Toc462307683"/>
    </w:p>
    <w:p w14:paraId="24151936" w14:textId="77777777" w:rsidR="00450FBC" w:rsidRPr="00024CC1" w:rsidRDefault="00450FBC" w:rsidP="00450FBC">
      <w:pPr>
        <w:pStyle w:val="Prrafodelista"/>
        <w:spacing w:line="360" w:lineRule="auto"/>
        <w:ind w:left="0"/>
        <w:jc w:val="both"/>
        <w:rPr>
          <w:rFonts w:ascii="Palatino Linotype" w:hAnsi="Palatino Linotype" w:cs="Arial"/>
          <w:i/>
        </w:rPr>
      </w:pPr>
    </w:p>
    <w:p w14:paraId="5874DFF1" w14:textId="77777777" w:rsidR="00450FBC" w:rsidRPr="00024CC1" w:rsidRDefault="00450FBC" w:rsidP="00450FBC">
      <w:pPr>
        <w:pStyle w:val="Prrafodelista"/>
        <w:numPr>
          <w:ilvl w:val="0"/>
          <w:numId w:val="16"/>
        </w:numPr>
        <w:spacing w:line="360" w:lineRule="auto"/>
        <w:ind w:left="0" w:firstLine="0"/>
        <w:contextualSpacing/>
        <w:jc w:val="both"/>
        <w:rPr>
          <w:rFonts w:ascii="Palatino Linotype" w:hAnsi="Palatino Linotype" w:cs="Arial"/>
        </w:rPr>
      </w:pPr>
      <w:r w:rsidRPr="00024CC1">
        <w:rPr>
          <w:rFonts w:ascii="Palatino Linotype" w:hAnsi="Palatino Linotype" w:cs="Arial"/>
        </w:rPr>
        <w:t xml:space="preserve">El veintinueve (29) de septiembre de dos mil veintidós, se realizó un requerimiento al servidor público habilitado. </w:t>
      </w:r>
    </w:p>
    <w:p w14:paraId="16C00AA7" w14:textId="77777777" w:rsidR="00450FBC" w:rsidRPr="00024CC1" w:rsidRDefault="00450FBC" w:rsidP="00450FBC">
      <w:pPr>
        <w:pStyle w:val="Prrafodelista"/>
        <w:rPr>
          <w:rFonts w:ascii="Palatino Linotype" w:hAnsi="Palatino Linotype" w:cs="Arial"/>
        </w:rPr>
      </w:pPr>
    </w:p>
    <w:p w14:paraId="606563EF" w14:textId="77777777" w:rsidR="00450FBC" w:rsidRPr="00024CC1" w:rsidRDefault="00450FBC" w:rsidP="00450FBC">
      <w:pPr>
        <w:pStyle w:val="Prrafodelista"/>
        <w:numPr>
          <w:ilvl w:val="0"/>
          <w:numId w:val="16"/>
        </w:numPr>
        <w:spacing w:line="360" w:lineRule="auto"/>
        <w:ind w:left="0" w:firstLine="0"/>
        <w:contextualSpacing/>
        <w:jc w:val="both"/>
        <w:rPr>
          <w:rFonts w:ascii="Palatino Linotype" w:hAnsi="Palatino Linotype" w:cs="Arial"/>
          <w:i/>
        </w:rPr>
      </w:pPr>
      <w:r w:rsidRPr="00024CC1">
        <w:rPr>
          <w:rFonts w:ascii="Palatino Linotype" w:hAnsi="Palatino Linotype" w:cs="Arial"/>
        </w:rPr>
        <w:lastRenderedPageBreak/>
        <w:t>El cinco (05) de octubre  de dos mil veintidós, el Sujeto Obligado dio respuesta a las solicitud de información en el siguiente sentido:</w:t>
      </w:r>
    </w:p>
    <w:p w14:paraId="2CB7BBAA" w14:textId="77777777" w:rsidR="00450FBC" w:rsidRPr="00024CC1" w:rsidRDefault="00450FBC" w:rsidP="00450FBC">
      <w:pPr>
        <w:pStyle w:val="Prrafodelista"/>
        <w:spacing w:line="360" w:lineRule="auto"/>
        <w:ind w:left="0"/>
        <w:jc w:val="both"/>
        <w:rPr>
          <w:rFonts w:ascii="Palatino Linotype" w:hAnsi="Palatino Linotype" w:cs="Arial"/>
          <w:i/>
        </w:rPr>
      </w:pPr>
    </w:p>
    <w:tbl>
      <w:tblPr>
        <w:tblW w:w="7450" w:type="dxa"/>
        <w:jc w:val="center"/>
        <w:tblCellSpacing w:w="0" w:type="dxa"/>
        <w:tblCellMar>
          <w:left w:w="0" w:type="dxa"/>
          <w:right w:w="0" w:type="dxa"/>
        </w:tblCellMar>
        <w:tblLook w:val="04A0" w:firstRow="1" w:lastRow="0" w:firstColumn="1" w:lastColumn="0" w:noHBand="0" w:noVBand="1"/>
      </w:tblPr>
      <w:tblGrid>
        <w:gridCol w:w="7450"/>
      </w:tblGrid>
      <w:tr w:rsidR="00450FBC" w:rsidRPr="00024CC1" w14:paraId="6DA48568" w14:textId="77777777" w:rsidTr="007412A2">
        <w:trPr>
          <w:trHeight w:val="276"/>
          <w:tblCellSpacing w:w="0" w:type="dxa"/>
          <w:jc w:val="center"/>
        </w:trPr>
        <w:tc>
          <w:tcPr>
            <w:tcW w:w="0" w:type="auto"/>
            <w:vAlign w:val="center"/>
            <w:hideMark/>
          </w:tcPr>
          <w:p w14:paraId="1FA73B8E" w14:textId="77777777" w:rsidR="00450FBC" w:rsidRPr="00024CC1" w:rsidRDefault="00450FBC" w:rsidP="007412A2">
            <w:pPr>
              <w:jc w:val="right"/>
              <w:rPr>
                <w:rFonts w:ascii="Palatino Linotype" w:hAnsi="Palatino Linotype"/>
                <w:i/>
                <w:sz w:val="22"/>
                <w:lang w:val="es-MX" w:eastAsia="es-MX"/>
              </w:rPr>
            </w:pPr>
            <w:r w:rsidRPr="00024CC1">
              <w:rPr>
                <w:rFonts w:ascii="Palatino Linotype" w:hAnsi="Palatino Linotype"/>
                <w:i/>
                <w:sz w:val="22"/>
                <w:szCs w:val="18"/>
                <w:lang w:val="es-MX" w:eastAsia="es-MX"/>
              </w:rPr>
              <w:t>“Nezahualcóyotl, México a 05 de Octubre de 2022</w:t>
            </w:r>
          </w:p>
        </w:tc>
      </w:tr>
      <w:tr w:rsidR="00450FBC" w:rsidRPr="00024CC1" w14:paraId="7A8E9D9A" w14:textId="77777777" w:rsidTr="007412A2">
        <w:trPr>
          <w:trHeight w:val="276"/>
          <w:tblCellSpacing w:w="0" w:type="dxa"/>
          <w:jc w:val="center"/>
        </w:trPr>
        <w:tc>
          <w:tcPr>
            <w:tcW w:w="0" w:type="auto"/>
            <w:vAlign w:val="center"/>
            <w:hideMark/>
          </w:tcPr>
          <w:p w14:paraId="5B9EEA47" w14:textId="77777777" w:rsidR="00450FBC" w:rsidRPr="00024CC1" w:rsidRDefault="00450FBC" w:rsidP="007412A2">
            <w:pPr>
              <w:jc w:val="right"/>
              <w:rPr>
                <w:rFonts w:ascii="Palatino Linotype" w:hAnsi="Palatino Linotype"/>
                <w:i/>
                <w:sz w:val="22"/>
                <w:lang w:val="es-MX" w:eastAsia="es-MX"/>
              </w:rPr>
            </w:pPr>
            <w:r w:rsidRPr="00024CC1">
              <w:rPr>
                <w:rFonts w:ascii="Palatino Linotype" w:hAnsi="Palatino Linotype"/>
                <w:i/>
                <w:sz w:val="22"/>
                <w:szCs w:val="18"/>
                <w:lang w:val="es-MX" w:eastAsia="es-MX"/>
              </w:rPr>
              <w:t>Nombre del solicitante: C. Solicitante</w:t>
            </w:r>
          </w:p>
        </w:tc>
      </w:tr>
      <w:tr w:rsidR="00450FBC" w:rsidRPr="00024CC1" w14:paraId="75D4D17B" w14:textId="77777777" w:rsidTr="007412A2">
        <w:trPr>
          <w:trHeight w:val="276"/>
          <w:tblCellSpacing w:w="0" w:type="dxa"/>
          <w:jc w:val="center"/>
        </w:trPr>
        <w:tc>
          <w:tcPr>
            <w:tcW w:w="0" w:type="auto"/>
            <w:vAlign w:val="center"/>
            <w:hideMark/>
          </w:tcPr>
          <w:p w14:paraId="4C4107CB" w14:textId="77777777" w:rsidR="00450FBC" w:rsidRPr="00024CC1" w:rsidRDefault="00450FBC" w:rsidP="007412A2">
            <w:pPr>
              <w:jc w:val="right"/>
              <w:rPr>
                <w:rFonts w:ascii="Palatino Linotype" w:hAnsi="Palatino Linotype"/>
                <w:i/>
                <w:sz w:val="22"/>
                <w:lang w:val="es-MX" w:eastAsia="es-MX"/>
              </w:rPr>
            </w:pPr>
            <w:r w:rsidRPr="00024CC1">
              <w:rPr>
                <w:rFonts w:ascii="Palatino Linotype" w:hAnsi="Palatino Linotype"/>
                <w:i/>
                <w:sz w:val="22"/>
                <w:szCs w:val="18"/>
                <w:lang w:val="es-MX" w:eastAsia="es-MX"/>
              </w:rPr>
              <w:t>Folio de la solicitud: 00525/NEZA/IP/2022</w:t>
            </w:r>
          </w:p>
        </w:tc>
      </w:tr>
      <w:tr w:rsidR="00450FBC" w:rsidRPr="00024CC1" w14:paraId="3122077C" w14:textId="77777777" w:rsidTr="007412A2">
        <w:trPr>
          <w:trHeight w:val="414"/>
          <w:tblCellSpacing w:w="0" w:type="dxa"/>
          <w:jc w:val="center"/>
        </w:trPr>
        <w:tc>
          <w:tcPr>
            <w:tcW w:w="0" w:type="auto"/>
            <w:vAlign w:val="center"/>
            <w:hideMark/>
          </w:tcPr>
          <w:p w14:paraId="00755A9E" w14:textId="77777777" w:rsidR="00450FBC" w:rsidRPr="00024CC1" w:rsidRDefault="00450FBC" w:rsidP="007412A2">
            <w:pPr>
              <w:jc w:val="right"/>
              <w:rPr>
                <w:rFonts w:ascii="Palatino Linotype" w:hAnsi="Palatino Linotype"/>
                <w:i/>
                <w:sz w:val="22"/>
                <w:lang w:val="es-MX" w:eastAsia="es-MX"/>
              </w:rPr>
            </w:pPr>
          </w:p>
        </w:tc>
      </w:tr>
      <w:tr w:rsidR="00450FBC" w:rsidRPr="00024CC1" w14:paraId="0CD5EADF" w14:textId="77777777" w:rsidTr="007412A2">
        <w:trPr>
          <w:trHeight w:val="138"/>
          <w:tblCellSpacing w:w="0" w:type="dxa"/>
          <w:jc w:val="center"/>
        </w:trPr>
        <w:tc>
          <w:tcPr>
            <w:tcW w:w="0" w:type="auto"/>
            <w:vAlign w:val="center"/>
            <w:hideMark/>
          </w:tcPr>
          <w:p w14:paraId="018600B6" w14:textId="77777777" w:rsidR="00450FBC" w:rsidRPr="00024CC1" w:rsidRDefault="00450FBC" w:rsidP="007412A2">
            <w:pPr>
              <w:jc w:val="both"/>
              <w:rPr>
                <w:rFonts w:ascii="Palatino Linotype" w:hAnsi="Palatino Linotype"/>
                <w:i/>
                <w:sz w:val="22"/>
                <w:lang w:val="es-MX" w:eastAsia="es-MX"/>
              </w:rPr>
            </w:pPr>
            <w:r w:rsidRPr="00024CC1">
              <w:rPr>
                <w:rFonts w:ascii="Palatino Linotype" w:hAnsi="Palatino Linotype"/>
                <w:i/>
                <w:sz w:val="22"/>
                <w:szCs w:val="18"/>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450FBC" w:rsidRPr="00024CC1" w14:paraId="6E768134" w14:textId="77777777" w:rsidTr="007412A2">
        <w:trPr>
          <w:trHeight w:val="345"/>
          <w:tblCellSpacing w:w="0" w:type="dxa"/>
          <w:jc w:val="center"/>
        </w:trPr>
        <w:tc>
          <w:tcPr>
            <w:tcW w:w="0" w:type="auto"/>
            <w:vAlign w:val="center"/>
            <w:hideMark/>
          </w:tcPr>
          <w:p w14:paraId="05A0374F" w14:textId="77777777" w:rsidR="00450FBC" w:rsidRPr="00024CC1" w:rsidRDefault="00450FBC" w:rsidP="007412A2">
            <w:pPr>
              <w:jc w:val="both"/>
              <w:rPr>
                <w:rFonts w:ascii="Palatino Linotype" w:hAnsi="Palatino Linotype"/>
                <w:i/>
                <w:sz w:val="22"/>
                <w:lang w:val="es-MX" w:eastAsia="es-MX"/>
              </w:rPr>
            </w:pPr>
          </w:p>
        </w:tc>
      </w:tr>
      <w:tr w:rsidR="00450FBC" w:rsidRPr="00024CC1" w14:paraId="7A346A13" w14:textId="77777777" w:rsidTr="007412A2">
        <w:trPr>
          <w:trHeight w:val="138"/>
          <w:tblCellSpacing w:w="0" w:type="dxa"/>
          <w:jc w:val="center"/>
        </w:trPr>
        <w:tc>
          <w:tcPr>
            <w:tcW w:w="0" w:type="auto"/>
            <w:vAlign w:val="center"/>
            <w:hideMark/>
          </w:tcPr>
          <w:p w14:paraId="534787DF" w14:textId="77777777" w:rsidR="00450FBC" w:rsidRPr="00024CC1" w:rsidRDefault="00450FBC" w:rsidP="007412A2">
            <w:pPr>
              <w:jc w:val="both"/>
              <w:rPr>
                <w:rFonts w:ascii="Palatino Linotype" w:hAnsi="Palatino Linotype"/>
                <w:i/>
                <w:sz w:val="22"/>
                <w:lang w:val="es-MX" w:eastAsia="es-MX"/>
              </w:rPr>
            </w:pPr>
            <w:r w:rsidRPr="00024CC1">
              <w:rPr>
                <w:rFonts w:ascii="Palatino Linotype" w:hAnsi="Palatino Linotype"/>
                <w:i/>
                <w:sz w:val="22"/>
                <w:szCs w:val="18"/>
                <w:lang w:val="es-MX" w:eastAsia="es-MX"/>
              </w:rPr>
              <w:t>me permito remitir a usted, la respuesta generada bajo su más estricta responsabilidad por los Servidores Públicos Habilitados de la Dirección de Administración, mediante el oficio DA/NEZA/5347/2022, Tesorería Municipal, mediante el oficio HA/TM/SJ/6032/2022, mismos que se anexan a la presente.”</w:t>
            </w:r>
          </w:p>
        </w:tc>
      </w:tr>
    </w:tbl>
    <w:p w14:paraId="47D6429A" w14:textId="77777777" w:rsidR="00450FBC" w:rsidRPr="00024CC1" w:rsidRDefault="00450FBC" w:rsidP="00450FBC">
      <w:pPr>
        <w:pStyle w:val="Prrafodelista"/>
        <w:spacing w:line="360" w:lineRule="auto"/>
        <w:ind w:left="0"/>
        <w:jc w:val="both"/>
        <w:rPr>
          <w:rFonts w:ascii="Palatino Linotype" w:hAnsi="Palatino Linotype" w:cs="Arial"/>
          <w:i/>
        </w:rPr>
      </w:pPr>
    </w:p>
    <w:p w14:paraId="01C5F6C6" w14:textId="77777777" w:rsidR="00450FBC" w:rsidRPr="00024CC1" w:rsidRDefault="00450FBC" w:rsidP="00450FBC">
      <w:pPr>
        <w:pStyle w:val="Prrafodelista"/>
        <w:spacing w:line="360" w:lineRule="auto"/>
        <w:ind w:left="0"/>
        <w:jc w:val="both"/>
        <w:rPr>
          <w:rFonts w:ascii="Palatino Linotype" w:hAnsi="Palatino Linotype" w:cs="Arial"/>
          <w:i/>
        </w:rPr>
      </w:pPr>
    </w:p>
    <w:p w14:paraId="2298C1D4" w14:textId="77777777" w:rsidR="00450FBC" w:rsidRPr="00024CC1" w:rsidRDefault="00450FBC" w:rsidP="00450FBC">
      <w:pPr>
        <w:pStyle w:val="Prrafodelista"/>
        <w:numPr>
          <w:ilvl w:val="0"/>
          <w:numId w:val="22"/>
        </w:numPr>
        <w:spacing w:line="360" w:lineRule="auto"/>
        <w:contextualSpacing/>
        <w:jc w:val="both"/>
        <w:rPr>
          <w:rFonts w:ascii="Palatino Linotype" w:eastAsia="MS Mincho" w:hAnsi="Palatino Linotype" w:cs="Arial"/>
          <w:sz w:val="22"/>
          <w:szCs w:val="22"/>
        </w:rPr>
      </w:pPr>
      <w:r w:rsidRPr="00024CC1">
        <w:rPr>
          <w:rFonts w:ascii="Palatino Linotype" w:hAnsi="Palatino Linotype"/>
          <w:sz w:val="22"/>
          <w:szCs w:val="22"/>
        </w:rPr>
        <w:t xml:space="preserve">A la respuesta se adjuntó el archivo </w:t>
      </w:r>
      <w:hyperlink r:id="rId8" w:tgtFrame="_blank" w:history="1">
        <w:r w:rsidRPr="00024CC1">
          <w:rPr>
            <w:rStyle w:val="Hipervnculo"/>
            <w:rFonts w:ascii="Palatino Linotype" w:hAnsi="Palatino Linotype" w:cs="Arial"/>
            <w:b/>
            <w:bCs/>
            <w:sz w:val="22"/>
            <w:szCs w:val="22"/>
          </w:rPr>
          <w:t>Digitalización_2022_10_05_17_57_12_907.pdf</w:t>
        </w:r>
      </w:hyperlink>
      <w:r w:rsidRPr="00024CC1">
        <w:rPr>
          <w:rFonts w:ascii="Palatino Linotype" w:hAnsi="Palatino Linotype"/>
          <w:b/>
          <w:sz w:val="22"/>
          <w:szCs w:val="22"/>
        </w:rPr>
        <w:t>:</w:t>
      </w:r>
      <w:r w:rsidRPr="00024CC1">
        <w:rPr>
          <w:rFonts w:ascii="Palatino Linotype" w:hAnsi="Palatino Linotype"/>
          <w:sz w:val="22"/>
          <w:szCs w:val="22"/>
        </w:rPr>
        <w:t xml:space="preserve"> consta de tres oficios, el primero suscrito por el Titular de la Unidad de Transparencia mediante el cual manifestó dar respuesta a la solicitud de información; el segundo oficio con número DA/NEZA/5347/2022, suscrito por el Director de Administración a través del cual se adjuntó una liga electrónica para acceder a la página de información de oficio mexiquense; el tercer oficio con número HA/TM/SJ/6032/2022, suscrito por la Tesorera Municipal, a través del cual señaló que la información podría ser consultada en la página del ayuntamiento a través de la liga electrónica que adjuntó. </w:t>
      </w:r>
    </w:p>
    <w:p w14:paraId="5950A8D3" w14:textId="77777777" w:rsidR="00450FBC" w:rsidRPr="00024CC1" w:rsidRDefault="00450FBC" w:rsidP="00450FBC">
      <w:pPr>
        <w:pStyle w:val="Prrafodelista"/>
        <w:spacing w:line="360" w:lineRule="auto"/>
        <w:ind w:left="0"/>
        <w:jc w:val="both"/>
        <w:rPr>
          <w:rFonts w:ascii="Palatino Linotype" w:hAnsi="Palatino Linotype" w:cs="Arial"/>
        </w:rPr>
      </w:pPr>
    </w:p>
    <w:p w14:paraId="06698A16" w14:textId="77777777" w:rsidR="00450FBC" w:rsidRPr="00024CC1" w:rsidRDefault="00450FBC" w:rsidP="00450FBC">
      <w:pPr>
        <w:pStyle w:val="Prrafodelista"/>
        <w:tabs>
          <w:tab w:val="left" w:pos="0"/>
        </w:tabs>
        <w:spacing w:line="360" w:lineRule="auto"/>
        <w:jc w:val="both"/>
        <w:rPr>
          <w:rFonts w:ascii="Palatino Linotype" w:eastAsia="MS Mincho" w:hAnsi="Palatino Linotype" w:cs="Arial"/>
          <w:b/>
          <w:bCs/>
        </w:rPr>
      </w:pPr>
    </w:p>
    <w:p w14:paraId="19E322E5" w14:textId="77777777" w:rsidR="00450FBC" w:rsidRPr="00024CC1" w:rsidRDefault="00450FBC" w:rsidP="00450FBC">
      <w:pPr>
        <w:pStyle w:val="Prrafodelista"/>
        <w:numPr>
          <w:ilvl w:val="0"/>
          <w:numId w:val="16"/>
        </w:numPr>
        <w:tabs>
          <w:tab w:val="left" w:pos="0"/>
        </w:tabs>
        <w:spacing w:line="360" w:lineRule="auto"/>
        <w:ind w:left="0" w:firstLine="0"/>
        <w:contextualSpacing/>
        <w:jc w:val="both"/>
        <w:rPr>
          <w:rFonts w:ascii="Palatino Linotype" w:eastAsia="MS Mincho" w:hAnsi="Palatino Linotype" w:cs="Arial"/>
          <w:b/>
          <w:bCs/>
        </w:rPr>
      </w:pPr>
      <w:r w:rsidRPr="00024CC1">
        <w:rPr>
          <w:rFonts w:ascii="Palatino Linotype" w:hAnsi="Palatino Linotype" w:cs="Arial"/>
        </w:rPr>
        <w:lastRenderedPageBreak/>
        <w:t>En lo sucesivo el seis (06) de octubre  de dos mil veintidós</w:t>
      </w:r>
      <w:r w:rsidRPr="00024CC1">
        <w:rPr>
          <w:rFonts w:ascii="Palatino Linotype" w:hAnsi="Palatino Linotype" w:cs="Arial"/>
          <w:b/>
        </w:rPr>
        <w:t>,</w:t>
      </w:r>
      <w:r w:rsidRPr="00024CC1">
        <w:rPr>
          <w:rFonts w:ascii="Palatino Linotype" w:hAnsi="Palatino Linotype" w:cs="Arial"/>
        </w:rPr>
        <w:t xml:space="preserve"> </w:t>
      </w:r>
      <w:r w:rsidRPr="00024CC1">
        <w:rPr>
          <w:rFonts w:ascii="Palatino Linotype" w:hAnsi="Palatino Linotype" w:cs="Arial"/>
          <w:b/>
        </w:rPr>
        <w:t xml:space="preserve"> </w:t>
      </w:r>
      <w:r w:rsidRPr="00024CC1">
        <w:rPr>
          <w:rFonts w:ascii="Palatino Linotype" w:hAnsi="Palatino Linotype" w:cs="Arial"/>
        </w:rPr>
        <w:t>el solicitante interpuso el recurso de revisión, señalando como:</w:t>
      </w:r>
    </w:p>
    <w:p w14:paraId="39BE67CF" w14:textId="77777777" w:rsidR="00450FBC" w:rsidRPr="00024CC1" w:rsidRDefault="00450FBC" w:rsidP="00450FBC">
      <w:pPr>
        <w:tabs>
          <w:tab w:val="left" w:pos="0"/>
        </w:tabs>
        <w:spacing w:line="360" w:lineRule="auto"/>
        <w:ind w:left="360"/>
        <w:contextualSpacing/>
        <w:jc w:val="both"/>
        <w:rPr>
          <w:rFonts w:ascii="Palatino Linotype" w:eastAsia="MS Mincho" w:hAnsi="Palatino Linotype" w:cs="Arial"/>
          <w:b/>
          <w:bCs/>
        </w:rPr>
      </w:pPr>
    </w:p>
    <w:bookmarkEnd w:id="4"/>
    <w:bookmarkEnd w:id="5"/>
    <w:bookmarkEnd w:id="6"/>
    <w:p w14:paraId="58A14804" w14:textId="77777777" w:rsidR="00450FBC" w:rsidRPr="00024CC1" w:rsidRDefault="00450FBC" w:rsidP="00450FBC">
      <w:pPr>
        <w:tabs>
          <w:tab w:val="left" w:pos="0"/>
          <w:tab w:val="left" w:pos="8222"/>
        </w:tabs>
        <w:spacing w:line="360" w:lineRule="auto"/>
        <w:ind w:left="567" w:right="567"/>
        <w:contextualSpacing/>
        <w:jc w:val="both"/>
        <w:rPr>
          <w:rFonts w:ascii="Palatino Linotype" w:eastAsia="Calibri" w:hAnsi="Palatino Linotype" w:cs="Arial"/>
          <w:i/>
        </w:rPr>
      </w:pPr>
      <w:r w:rsidRPr="00024CC1">
        <w:rPr>
          <w:rFonts w:ascii="Palatino Linotype" w:eastAsia="Calibri" w:hAnsi="Palatino Linotype" w:cs="Arial"/>
          <w:b/>
        </w:rPr>
        <w:t>Acto impugnado:</w:t>
      </w:r>
      <w:r w:rsidRPr="00024CC1">
        <w:rPr>
          <w:rFonts w:ascii="Palatino Linotype" w:eastAsia="Calibri" w:hAnsi="Palatino Linotype" w:cs="Arial"/>
          <w:i/>
        </w:rPr>
        <w:t xml:space="preserve"> </w:t>
      </w:r>
      <w:r w:rsidRPr="00024CC1">
        <w:rPr>
          <w:rFonts w:ascii="Palatino Linotype" w:eastAsia="Calibri" w:hAnsi="Palatino Linotype" w:cs="Arial"/>
          <w:sz w:val="22"/>
          <w:szCs w:val="22"/>
        </w:rPr>
        <w:t>“</w:t>
      </w:r>
      <w:r w:rsidRPr="00024CC1">
        <w:rPr>
          <w:rFonts w:ascii="Palatino Linotype" w:hAnsi="Palatino Linotype"/>
          <w:i/>
          <w:color w:val="000000"/>
          <w:sz w:val="22"/>
          <w:szCs w:val="22"/>
        </w:rPr>
        <w:t xml:space="preserve">Tal y como lo manifiestan en la respuesta a la solicitud se trata de información que corresponde a obligaciones de trasparencia y me direccionan a un link, (dirección electrónica para hacer la consulta) siendo que conforme a lo establecido en el Artículo 130. de la Ley General de Transparencia y Acceso a la Información Pública,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siendo que no se cumple con el plazo al que se encuentran obligados conforme al caso, </w:t>
      </w:r>
      <w:proofErr w:type="spellStart"/>
      <w:r w:rsidRPr="00024CC1">
        <w:rPr>
          <w:rFonts w:ascii="Palatino Linotype" w:hAnsi="Palatino Linotype"/>
          <w:i/>
          <w:color w:val="000000"/>
          <w:sz w:val="22"/>
          <w:szCs w:val="22"/>
        </w:rPr>
        <w:t>ademas</w:t>
      </w:r>
      <w:proofErr w:type="spellEnd"/>
      <w:r w:rsidRPr="00024CC1">
        <w:rPr>
          <w:rFonts w:ascii="Palatino Linotype" w:hAnsi="Palatino Linotype"/>
          <w:i/>
          <w:color w:val="000000"/>
          <w:sz w:val="22"/>
          <w:szCs w:val="22"/>
        </w:rPr>
        <w:t xml:space="preserve"> que no me fue proporcionada en el formato ni por el medio solicitado, violando con ello mi derecho de acceso a la información.”</w:t>
      </w:r>
      <w:r w:rsidRPr="00024CC1">
        <w:rPr>
          <w:rFonts w:ascii="Palatino Linotype" w:eastAsia="Calibri" w:hAnsi="Palatino Linotype" w:cs="Arial"/>
          <w:i/>
        </w:rPr>
        <w:t xml:space="preserve"> (Sic); </w:t>
      </w:r>
    </w:p>
    <w:p w14:paraId="3E5496CC" w14:textId="77777777" w:rsidR="00450FBC" w:rsidRPr="00024CC1" w:rsidRDefault="00450FBC" w:rsidP="00450FBC">
      <w:pPr>
        <w:tabs>
          <w:tab w:val="left" w:pos="0"/>
        </w:tabs>
        <w:spacing w:line="360" w:lineRule="auto"/>
        <w:ind w:left="567" w:hanging="141"/>
        <w:contextualSpacing/>
        <w:rPr>
          <w:rFonts w:ascii="Palatino Linotype" w:eastAsia="Calibri" w:hAnsi="Palatino Linotype" w:cs="Arial"/>
          <w:i/>
        </w:rPr>
      </w:pPr>
    </w:p>
    <w:p w14:paraId="4E29E5AD" w14:textId="77777777" w:rsidR="00450FBC" w:rsidRPr="00024CC1" w:rsidRDefault="00450FBC" w:rsidP="00450FBC">
      <w:pPr>
        <w:tabs>
          <w:tab w:val="left" w:pos="0"/>
        </w:tabs>
        <w:spacing w:line="360" w:lineRule="auto"/>
        <w:ind w:left="567" w:right="567"/>
        <w:contextualSpacing/>
        <w:jc w:val="both"/>
        <w:rPr>
          <w:rFonts w:ascii="Palatino Linotype" w:eastAsia="Calibri" w:hAnsi="Palatino Linotype" w:cs="Arial"/>
          <w:i/>
          <w:sz w:val="22"/>
          <w:szCs w:val="22"/>
        </w:rPr>
      </w:pPr>
      <w:r w:rsidRPr="00024CC1">
        <w:rPr>
          <w:rFonts w:ascii="Palatino Linotype" w:eastAsia="MS Gothic" w:hAnsi="Palatino Linotype"/>
          <w:b/>
        </w:rPr>
        <w:t>Razones o Motivos de inconformidad</w:t>
      </w:r>
      <w:r w:rsidRPr="00024CC1">
        <w:rPr>
          <w:rFonts w:ascii="Palatino Linotype" w:eastAsia="MS Mincho" w:hAnsi="Palatino Linotype"/>
          <w:i/>
        </w:rPr>
        <w:t xml:space="preserve">: </w:t>
      </w:r>
      <w:r w:rsidRPr="00024CC1">
        <w:rPr>
          <w:rFonts w:ascii="Palatino Linotype" w:eastAsia="MS Mincho" w:hAnsi="Palatino Linotype"/>
          <w:i/>
          <w:sz w:val="22"/>
          <w:szCs w:val="22"/>
        </w:rPr>
        <w:t>“</w:t>
      </w:r>
      <w:r w:rsidRPr="00024CC1">
        <w:rPr>
          <w:rFonts w:ascii="Palatino Linotype" w:hAnsi="Palatino Linotype"/>
          <w:i/>
          <w:color w:val="000000"/>
          <w:sz w:val="22"/>
          <w:szCs w:val="22"/>
        </w:rPr>
        <w:t>información fuera del plazo que la ley establece para el citado caso y no es el formato solicitado.</w:t>
      </w:r>
      <w:r w:rsidRPr="00024CC1">
        <w:rPr>
          <w:rFonts w:ascii="Palatino Linotype" w:eastAsia="MS Mincho" w:hAnsi="Palatino Linotype"/>
          <w:i/>
          <w:sz w:val="22"/>
          <w:szCs w:val="22"/>
        </w:rPr>
        <w:t>” (Sic)</w:t>
      </w:r>
    </w:p>
    <w:p w14:paraId="385D0852" w14:textId="77777777" w:rsidR="00450FBC" w:rsidRPr="00024CC1" w:rsidRDefault="00450FBC" w:rsidP="00450FBC">
      <w:pPr>
        <w:tabs>
          <w:tab w:val="left" w:pos="0"/>
        </w:tabs>
        <w:spacing w:line="360" w:lineRule="auto"/>
        <w:ind w:left="567" w:right="567"/>
        <w:contextualSpacing/>
        <w:jc w:val="both"/>
        <w:rPr>
          <w:rFonts w:ascii="Palatino Linotype" w:eastAsia="Calibri" w:hAnsi="Palatino Linotype" w:cs="Arial"/>
          <w:i/>
          <w:sz w:val="22"/>
          <w:szCs w:val="22"/>
        </w:rPr>
      </w:pPr>
    </w:p>
    <w:p w14:paraId="64150FE6" w14:textId="77777777" w:rsidR="00450FBC" w:rsidRPr="00024CC1" w:rsidRDefault="00450FBC" w:rsidP="00450FBC">
      <w:pPr>
        <w:numPr>
          <w:ilvl w:val="0"/>
          <w:numId w:val="16"/>
        </w:numPr>
        <w:spacing w:line="360" w:lineRule="auto"/>
        <w:ind w:left="0" w:firstLine="0"/>
        <w:contextualSpacing/>
        <w:jc w:val="both"/>
        <w:rPr>
          <w:rFonts w:ascii="Palatino Linotype" w:eastAsia="MS Mincho" w:hAnsi="Palatino Linotype"/>
          <w:i/>
          <w:color w:val="000000"/>
        </w:rPr>
      </w:pPr>
      <w:r w:rsidRPr="00024CC1">
        <w:rPr>
          <w:rFonts w:ascii="Palatino Linotype" w:hAnsi="Palatino Linotype" w:cs="Arial"/>
        </w:rPr>
        <w:t xml:space="preserve">Se registró el recurso de revisión bajo el número de expediente </w:t>
      </w:r>
      <w:r w:rsidRPr="00024CC1">
        <w:rPr>
          <w:rFonts w:ascii="Palatino Linotype" w:eastAsia="MS Mincho" w:hAnsi="Palatino Linotype" w:cs="Arial"/>
          <w:bCs/>
        </w:rPr>
        <w:t xml:space="preserve">al rubro indicado, asimismo con fundamento en lo dispuesto por el </w:t>
      </w:r>
      <w:r w:rsidRPr="00024CC1">
        <w:rPr>
          <w:rFonts w:ascii="Palatino Linotype" w:eastAsia="Calibri" w:hAnsi="Palatino Linotype" w:cs="Arial"/>
        </w:rPr>
        <w:t xml:space="preserve">artículo 185 fracción I de la Ley de Transparencia y Acceso a la Información Pública del Estado de México y Municipios </w:t>
      </w:r>
      <w:r w:rsidRPr="00024CC1">
        <w:rPr>
          <w:rFonts w:ascii="Palatino Linotype" w:hAnsi="Palatino Linotype" w:cs="Arial"/>
        </w:rPr>
        <w:t xml:space="preserve">se turnó a la Comisionada María del Rosario Mejía Ayala con el objeto de </w:t>
      </w:r>
      <w:r w:rsidRPr="00024CC1">
        <w:rPr>
          <w:rFonts w:ascii="Palatino Linotype" w:hAnsi="Palatino Linotype" w:cs="Arial"/>
          <w:lang w:val="es-MX"/>
        </w:rPr>
        <w:t>su análisis.</w:t>
      </w:r>
    </w:p>
    <w:p w14:paraId="170FC9CB" w14:textId="77777777" w:rsidR="00450FBC" w:rsidRPr="00024CC1" w:rsidRDefault="00450FBC" w:rsidP="00450FBC">
      <w:pPr>
        <w:spacing w:line="360" w:lineRule="auto"/>
        <w:contextualSpacing/>
        <w:rPr>
          <w:rFonts w:ascii="Palatino Linotype" w:eastAsia="Calibri" w:hAnsi="Palatino Linotype" w:cs="Arial"/>
        </w:rPr>
      </w:pPr>
    </w:p>
    <w:p w14:paraId="53BD1F0D" w14:textId="77777777" w:rsidR="00450FBC" w:rsidRPr="00024CC1" w:rsidRDefault="00450FBC" w:rsidP="00450FBC">
      <w:pPr>
        <w:numPr>
          <w:ilvl w:val="0"/>
          <w:numId w:val="16"/>
        </w:numPr>
        <w:spacing w:line="360" w:lineRule="auto"/>
        <w:ind w:left="0" w:firstLine="0"/>
        <w:contextualSpacing/>
        <w:jc w:val="both"/>
        <w:rPr>
          <w:rFonts w:ascii="Palatino Linotype" w:eastAsia="MS Mincho" w:hAnsi="Palatino Linotype"/>
          <w:i/>
          <w:color w:val="000000"/>
        </w:rPr>
      </w:pPr>
      <w:r w:rsidRPr="00024CC1">
        <w:rPr>
          <w:rFonts w:ascii="Palatino Linotype" w:eastAsia="Calibri" w:hAnsi="Palatino Linotype" w:cs="Arial"/>
        </w:rPr>
        <w:lastRenderedPageBreak/>
        <w:t xml:space="preserve">El Comisionado Ponente con fundamento en lo dispuesto por el artículo 185 fracción II de la ley de la materia, a través del acuerdo de admisión de fecha trece (13) de octubre  de dos mil veintidós, puso a disposición de las partes el expediente electrónico vía Sistema de Acceso a la Información Mexiquense </w:t>
      </w:r>
      <w:r w:rsidRPr="00024CC1">
        <w:rPr>
          <w:rFonts w:ascii="Palatino Linotype" w:eastAsia="Calibri" w:hAnsi="Palatino Linotype" w:cs="Arial"/>
          <w:b/>
        </w:rPr>
        <w:t xml:space="preserve">(SAIMEX) </w:t>
      </w:r>
      <w:r w:rsidRPr="00024CC1">
        <w:rPr>
          <w:rFonts w:ascii="Palatino Linotype" w:eastAsia="Calibri" w:hAnsi="Palatino Linotype" w:cs="Arial"/>
        </w:rPr>
        <w:t xml:space="preserve">a efecto de que en un plazo máximo de siete días manifestaran lo que a derecho convinieran, ofrecieran pruebas y alegatos según corresponda al caso concreto, de esta forma para que el </w:t>
      </w:r>
      <w:r w:rsidRPr="00024CC1">
        <w:rPr>
          <w:rFonts w:ascii="Palatino Linotype" w:eastAsia="Calibri" w:hAnsi="Palatino Linotype" w:cs="Arial"/>
          <w:b/>
        </w:rPr>
        <w:t>SUJETO OBLIGADO</w:t>
      </w:r>
      <w:r w:rsidRPr="00024CC1">
        <w:rPr>
          <w:rFonts w:ascii="Palatino Linotype" w:eastAsia="Calibri" w:hAnsi="Palatino Linotype" w:cs="Arial"/>
        </w:rPr>
        <w:t xml:space="preserve"> presentara el Informe Justificado procedente. Por su parte el recurrente no ofreció pruebas ni alegatos que a su derecho conviniera. </w:t>
      </w:r>
    </w:p>
    <w:p w14:paraId="195D194E" w14:textId="77777777" w:rsidR="00450FBC" w:rsidRPr="00024CC1" w:rsidRDefault="00450FBC" w:rsidP="00450FBC">
      <w:pPr>
        <w:pStyle w:val="Prrafodelista"/>
        <w:spacing w:line="360" w:lineRule="auto"/>
        <w:rPr>
          <w:rFonts w:ascii="Palatino Linotype" w:eastAsia="Calibri" w:hAnsi="Palatino Linotype" w:cs="Arial"/>
        </w:rPr>
      </w:pPr>
    </w:p>
    <w:p w14:paraId="23A0882D" w14:textId="77777777" w:rsidR="00450FBC" w:rsidRPr="00024CC1" w:rsidRDefault="00450FBC" w:rsidP="00450FBC">
      <w:pPr>
        <w:numPr>
          <w:ilvl w:val="0"/>
          <w:numId w:val="16"/>
        </w:numPr>
        <w:spacing w:line="360" w:lineRule="auto"/>
        <w:ind w:left="0" w:firstLine="0"/>
        <w:contextualSpacing/>
        <w:jc w:val="both"/>
        <w:rPr>
          <w:rFonts w:ascii="Palatino Linotype" w:eastAsia="MS Mincho" w:hAnsi="Palatino Linotype"/>
        </w:rPr>
      </w:pPr>
      <w:r w:rsidRPr="00024CC1">
        <w:rPr>
          <w:rFonts w:ascii="Palatino Linotype" w:eastAsia="Calibri" w:hAnsi="Palatino Linotype" w:cs="Arial"/>
        </w:rPr>
        <w:t xml:space="preserve">El trece (13) de octubre  de dos mil veintidós, el </w:t>
      </w:r>
      <w:r w:rsidRPr="00024CC1">
        <w:rPr>
          <w:rFonts w:ascii="Palatino Linotype" w:eastAsia="Calibri" w:hAnsi="Palatino Linotype" w:cs="Arial"/>
          <w:b/>
        </w:rPr>
        <w:t>SUJETO OBLIGADO</w:t>
      </w:r>
      <w:r w:rsidRPr="00024CC1">
        <w:rPr>
          <w:rFonts w:ascii="Palatino Linotype" w:eastAsia="Calibri" w:hAnsi="Palatino Linotype" w:cs="Arial"/>
        </w:rPr>
        <w:t>, rindió informe justificado, mismo que se puso a la vista de la recurrente mediante acuerdo de fecha ocho (08) de noviembre de dos mil veintidós, y que consta del documento que de describe a continuación:</w:t>
      </w:r>
    </w:p>
    <w:p w14:paraId="6094DAB9" w14:textId="77777777" w:rsidR="00450FBC" w:rsidRPr="00024CC1" w:rsidRDefault="00450FBC" w:rsidP="00450FBC">
      <w:pPr>
        <w:spacing w:line="360" w:lineRule="auto"/>
        <w:contextualSpacing/>
        <w:jc w:val="both"/>
        <w:rPr>
          <w:rFonts w:ascii="Palatino Linotype" w:eastAsia="MS Mincho" w:hAnsi="Palatino Linotype"/>
        </w:rPr>
      </w:pPr>
    </w:p>
    <w:p w14:paraId="4997C3C6" w14:textId="77777777" w:rsidR="00450FBC" w:rsidRPr="00024CC1" w:rsidRDefault="005B0FCF" w:rsidP="00450FBC">
      <w:pPr>
        <w:pStyle w:val="Prrafodelista"/>
        <w:numPr>
          <w:ilvl w:val="0"/>
          <w:numId w:val="21"/>
        </w:numPr>
        <w:spacing w:line="360" w:lineRule="auto"/>
        <w:contextualSpacing/>
        <w:jc w:val="both"/>
        <w:rPr>
          <w:rFonts w:ascii="Palatino Linotype" w:eastAsia="MS Mincho" w:hAnsi="Palatino Linotype"/>
          <w:i/>
        </w:rPr>
      </w:pPr>
      <w:hyperlink r:id="rId9" w:history="1">
        <w:r w:rsidR="00450FBC" w:rsidRPr="00024CC1">
          <w:rPr>
            <w:rStyle w:val="Hipervnculo"/>
            <w:rFonts w:ascii="Palatino Linotype" w:hAnsi="Palatino Linotype" w:cs="Arial"/>
            <w:b/>
            <w:bCs/>
            <w:sz w:val="22"/>
            <w:szCs w:val="22"/>
          </w:rPr>
          <w:t>525-2022.pdf</w:t>
        </w:r>
      </w:hyperlink>
      <w:r w:rsidR="00450FBC" w:rsidRPr="00024CC1">
        <w:rPr>
          <w:rFonts w:ascii="Palatino Linotype" w:hAnsi="Palatino Linotype" w:cs="Arial"/>
          <w:b/>
          <w:bCs/>
          <w:sz w:val="22"/>
          <w:szCs w:val="22"/>
          <w:u w:val="single"/>
        </w:rPr>
        <w:t xml:space="preserve">: </w:t>
      </w:r>
      <w:r w:rsidR="00450FBC" w:rsidRPr="00024CC1">
        <w:rPr>
          <w:rFonts w:ascii="Palatino Linotype" w:hAnsi="Palatino Linotype" w:cs="Arial"/>
          <w:bCs/>
          <w:sz w:val="22"/>
          <w:szCs w:val="22"/>
        </w:rPr>
        <w:t>se adjuntaron los documentos remitidos en respuesta, aunado a ello, se anexo el tabular de sueltos del uno de enero al treinta y uno de diciembre de dos mil veintidós.</w:t>
      </w:r>
      <w:r w:rsidR="00450FBC" w:rsidRPr="00024CC1">
        <w:rPr>
          <w:rFonts w:ascii="Palatino Linotype" w:hAnsi="Palatino Linotype" w:cs="Arial"/>
          <w:b/>
          <w:bCs/>
          <w:sz w:val="22"/>
          <w:szCs w:val="22"/>
          <w:u w:val="single"/>
        </w:rPr>
        <w:t xml:space="preserve"> </w:t>
      </w:r>
    </w:p>
    <w:p w14:paraId="5E3E513A" w14:textId="77777777" w:rsidR="00450FBC" w:rsidRPr="00024CC1" w:rsidRDefault="00450FBC" w:rsidP="00450FBC">
      <w:pPr>
        <w:pStyle w:val="Prrafodelista"/>
        <w:spacing w:line="360" w:lineRule="auto"/>
        <w:ind w:left="1440"/>
        <w:jc w:val="both"/>
        <w:rPr>
          <w:rFonts w:ascii="Palatino Linotype" w:eastAsia="MS Mincho" w:hAnsi="Palatino Linotype"/>
          <w:i/>
          <w:color w:val="000000"/>
        </w:rPr>
      </w:pPr>
    </w:p>
    <w:p w14:paraId="17BF1728" w14:textId="77777777" w:rsidR="00450FBC" w:rsidRPr="00024CC1" w:rsidRDefault="00450FBC" w:rsidP="00450FBC">
      <w:pPr>
        <w:numPr>
          <w:ilvl w:val="0"/>
          <w:numId w:val="16"/>
        </w:numPr>
        <w:spacing w:line="360" w:lineRule="auto"/>
        <w:ind w:left="0" w:firstLine="0"/>
        <w:contextualSpacing/>
        <w:jc w:val="both"/>
        <w:rPr>
          <w:rFonts w:ascii="Palatino Linotype" w:eastAsia="MS Mincho" w:hAnsi="Palatino Linotype"/>
          <w:b/>
        </w:rPr>
      </w:pPr>
      <w:r w:rsidRPr="00024CC1">
        <w:rPr>
          <w:rFonts w:ascii="Palatino Linotype" w:eastAsia="MS Mincho" w:hAnsi="Palatino Linotype"/>
        </w:rPr>
        <w:t>El Comisionado Ponente decretó el cierre de instrucción</w:t>
      </w:r>
      <w:r w:rsidRPr="00024CC1">
        <w:rPr>
          <w:rFonts w:ascii="Palatino Linotype" w:eastAsia="MS Mincho" w:hAnsi="Palatino Linotype" w:cs="Arial"/>
        </w:rPr>
        <w:t xml:space="preserve"> </w:t>
      </w:r>
      <w:r w:rsidRPr="00024CC1">
        <w:rPr>
          <w:rFonts w:ascii="Palatino Linotype" w:eastAsia="MS Mincho" w:hAnsi="Palatino Linotype"/>
        </w:rPr>
        <w:t xml:space="preserve">mediante acuerdo del catorce (14) de noviembre de dos mil veintidós, </w:t>
      </w:r>
      <w:r w:rsidRPr="00024CC1">
        <w:rPr>
          <w:rFonts w:ascii="Palatino Linotype" w:eastAsia="MS Mincho" w:hAnsi="Palatino Linotype" w:cs="Arial"/>
        </w:rPr>
        <w:t xml:space="preserve">por lo que, ordenó turnar el expediente a resolución, misma que a continuación se pronuncia. </w:t>
      </w:r>
    </w:p>
    <w:p w14:paraId="18E82164" w14:textId="77777777" w:rsidR="00450FBC" w:rsidRPr="00024CC1" w:rsidRDefault="00450FBC" w:rsidP="00450FBC">
      <w:pPr>
        <w:spacing w:line="360" w:lineRule="auto"/>
        <w:contextualSpacing/>
        <w:jc w:val="both"/>
        <w:rPr>
          <w:rFonts w:ascii="Palatino Linotype" w:eastAsia="MS Mincho" w:hAnsi="Palatino Linotype"/>
          <w:b/>
        </w:rPr>
      </w:pPr>
    </w:p>
    <w:p w14:paraId="1C55B439" w14:textId="77777777" w:rsidR="00450FBC" w:rsidRPr="00024CC1" w:rsidRDefault="00450FBC" w:rsidP="00450FBC">
      <w:pPr>
        <w:spacing w:line="360" w:lineRule="auto"/>
        <w:contextualSpacing/>
        <w:jc w:val="both"/>
        <w:rPr>
          <w:rFonts w:ascii="Palatino Linotype" w:eastAsia="MS Mincho" w:hAnsi="Palatino Linotype"/>
        </w:rPr>
      </w:pPr>
    </w:p>
    <w:p w14:paraId="1EEFBFB5" w14:textId="77777777" w:rsidR="00450FBC" w:rsidRPr="00024CC1" w:rsidRDefault="00450FBC" w:rsidP="00450FBC">
      <w:pPr>
        <w:keepNext/>
        <w:keepLines/>
        <w:spacing w:line="360" w:lineRule="auto"/>
        <w:jc w:val="center"/>
        <w:outlineLvl w:val="0"/>
        <w:rPr>
          <w:rFonts w:ascii="Palatino Linotype" w:eastAsia="MS Gothic" w:hAnsi="Palatino Linotype"/>
          <w:b/>
          <w:lang w:val="es-MX" w:eastAsia="en-US"/>
        </w:rPr>
      </w:pPr>
      <w:bookmarkStart w:id="7" w:name="_Toc491791302"/>
      <w:bookmarkStart w:id="8" w:name="_Toc528153788"/>
      <w:bookmarkStart w:id="9" w:name="_Toc71158401"/>
      <w:r w:rsidRPr="00024CC1">
        <w:rPr>
          <w:rFonts w:ascii="Palatino Linotype" w:eastAsia="MS Gothic" w:hAnsi="Palatino Linotype"/>
          <w:b/>
          <w:lang w:val="es-MX" w:eastAsia="en-US"/>
        </w:rPr>
        <w:t>CONSIDERANDO</w:t>
      </w:r>
      <w:bookmarkEnd w:id="7"/>
      <w:bookmarkEnd w:id="8"/>
      <w:bookmarkEnd w:id="9"/>
    </w:p>
    <w:p w14:paraId="6E9A43CA" w14:textId="77777777" w:rsidR="00450FBC" w:rsidRPr="00024CC1" w:rsidRDefault="00450FBC" w:rsidP="00450FBC">
      <w:pPr>
        <w:spacing w:line="360" w:lineRule="auto"/>
        <w:rPr>
          <w:rFonts w:ascii="Palatino Linotype" w:eastAsia="MS Mincho" w:hAnsi="Palatino Linotype"/>
          <w:lang w:val="es-MX" w:eastAsia="en-US"/>
        </w:rPr>
      </w:pPr>
    </w:p>
    <w:p w14:paraId="2F278FB3" w14:textId="77777777" w:rsidR="00450FBC" w:rsidRPr="00024CC1" w:rsidRDefault="00450FBC" w:rsidP="00450FBC">
      <w:pPr>
        <w:keepNext/>
        <w:keepLines/>
        <w:spacing w:line="360" w:lineRule="auto"/>
        <w:outlineLvl w:val="1"/>
        <w:rPr>
          <w:rFonts w:ascii="Palatino Linotype" w:eastAsia="MS Gothic" w:hAnsi="Palatino Linotype"/>
          <w:b/>
          <w:lang w:val="es-MX" w:eastAsia="en-US"/>
        </w:rPr>
      </w:pPr>
      <w:bookmarkStart w:id="10" w:name="_Toc491791303"/>
      <w:bookmarkStart w:id="11" w:name="_Toc528153789"/>
      <w:bookmarkStart w:id="12" w:name="_Toc71158402"/>
      <w:r w:rsidRPr="00024CC1">
        <w:rPr>
          <w:rFonts w:ascii="Palatino Linotype" w:eastAsia="MS Gothic" w:hAnsi="Palatino Linotype"/>
          <w:b/>
          <w:lang w:val="es-MX" w:eastAsia="en-US"/>
        </w:rPr>
        <w:lastRenderedPageBreak/>
        <w:t>PRIMERO. De la competencia</w:t>
      </w:r>
      <w:bookmarkEnd w:id="10"/>
      <w:bookmarkEnd w:id="11"/>
      <w:r w:rsidRPr="00024CC1">
        <w:rPr>
          <w:rFonts w:ascii="Palatino Linotype" w:eastAsia="MS Gothic" w:hAnsi="Palatino Linotype"/>
          <w:b/>
          <w:lang w:val="es-MX" w:eastAsia="en-US"/>
        </w:rPr>
        <w:t>.</w:t>
      </w:r>
      <w:bookmarkEnd w:id="12"/>
    </w:p>
    <w:p w14:paraId="1BC08E7C" w14:textId="77777777" w:rsidR="00450FBC" w:rsidRPr="00024CC1" w:rsidRDefault="00450FBC" w:rsidP="00450FBC">
      <w:pPr>
        <w:spacing w:line="360" w:lineRule="auto"/>
        <w:rPr>
          <w:rFonts w:ascii="Palatino Linotype" w:eastAsia="MS Mincho" w:hAnsi="Palatino Linotype"/>
          <w:lang w:val="es-MX" w:eastAsia="en-US"/>
        </w:rPr>
      </w:pPr>
    </w:p>
    <w:p w14:paraId="4526F753" w14:textId="77777777" w:rsidR="00450FBC" w:rsidRPr="00024CC1" w:rsidRDefault="00450FBC" w:rsidP="00450FBC">
      <w:pPr>
        <w:numPr>
          <w:ilvl w:val="0"/>
          <w:numId w:val="16"/>
        </w:numPr>
        <w:spacing w:line="360" w:lineRule="auto"/>
        <w:ind w:left="0" w:firstLine="0"/>
        <w:contextualSpacing/>
        <w:jc w:val="both"/>
        <w:rPr>
          <w:rFonts w:ascii="Palatino Linotype" w:hAnsi="Palatino Linotype"/>
          <w:lang w:val="es-MX" w:eastAsia="es-MX"/>
        </w:rPr>
      </w:pPr>
      <w:r w:rsidRPr="00024CC1">
        <w:rPr>
          <w:rFonts w:ascii="Palatino Linotype" w:eastAsia="Calibri" w:hAnsi="Palatino Linotype"/>
          <w:lang w:eastAsia="es-MX"/>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024CC1">
        <w:rPr>
          <w:rFonts w:ascii="Palatino Linotype" w:eastAsia="Calibri" w:hAnsi="Palatino Linotype"/>
          <w:b/>
          <w:lang w:eastAsia="es-MX"/>
        </w:rPr>
        <w:t>Constitución Política de los Estados Unidos Mexicanos</w:t>
      </w:r>
      <w:r w:rsidRPr="00024CC1">
        <w:rPr>
          <w:rFonts w:ascii="Palatino Linotype" w:eastAsia="Calibri" w:hAnsi="Palatino Linotype"/>
          <w:lang w:eastAsia="es-MX"/>
        </w:rPr>
        <w:t xml:space="preserve">; 5, </w:t>
      </w:r>
      <w:r w:rsidRPr="00024CC1">
        <w:rPr>
          <w:rFonts w:ascii="Palatino Linotype" w:eastAsia="Calibri" w:hAnsi="Palatino Linotype"/>
          <w:lang w:val="es-MX" w:eastAsia="es-MX"/>
        </w:rPr>
        <w:t xml:space="preserve">párrafos trigésimo, trigésimo primero y trigésimo segundo, fracciones I, II, III, IV y V de la </w:t>
      </w:r>
      <w:r w:rsidRPr="00024CC1">
        <w:rPr>
          <w:rFonts w:ascii="Palatino Linotype" w:eastAsia="Calibri" w:hAnsi="Palatino Linotype"/>
          <w:b/>
          <w:lang w:val="es-MX" w:eastAsia="es-MX"/>
        </w:rPr>
        <w:t>Constitución Política del Estado Libre y Soberano de México</w:t>
      </w:r>
      <w:r w:rsidRPr="00024CC1">
        <w:rPr>
          <w:rFonts w:ascii="Palatino Linotype" w:eastAsia="Calibri" w:hAnsi="Palatino Linotype"/>
          <w:b/>
          <w:lang w:eastAsia="es-MX"/>
        </w:rPr>
        <w:t>;</w:t>
      </w:r>
      <w:r w:rsidRPr="00024CC1">
        <w:rPr>
          <w:rFonts w:ascii="Palatino Linotype" w:eastAsia="Calibri" w:hAnsi="Palatino Linotype"/>
          <w:lang w:eastAsia="es-MX"/>
        </w:rPr>
        <w:t xml:space="preserve"> 1, 3 fracción I, 82, 97, 98, 119, 123, 124, 127, 128 y 133</w:t>
      </w:r>
      <w:r w:rsidRPr="00024CC1">
        <w:rPr>
          <w:rFonts w:ascii="Palatino Linotype" w:hAnsi="Palatino Linotype" w:cs="Arial"/>
          <w:lang w:eastAsia="es-MX"/>
        </w:rPr>
        <w:t xml:space="preserve"> </w:t>
      </w:r>
      <w:r w:rsidRPr="00024CC1">
        <w:rPr>
          <w:rFonts w:ascii="Palatino Linotype" w:eastAsia="Calibri" w:hAnsi="Palatino Linotype"/>
          <w:b/>
          <w:lang w:val="es-MX" w:eastAsia="es-MX"/>
        </w:rPr>
        <w:t>Ley de Protección de Datos Personales en Posesión de Sujetos Obligados del Estado de México y Municipios</w:t>
      </w:r>
      <w:r w:rsidRPr="00024CC1">
        <w:rPr>
          <w:rFonts w:ascii="Palatino Linotype" w:eastAsia="Calibri" w:hAnsi="Palatino Linotype" w:cs="Arial"/>
          <w:lang w:eastAsia="es-MX"/>
        </w:rPr>
        <w:t xml:space="preserve">; y 10, 7, 9 fracciones I y XXIV, y 11 del </w:t>
      </w:r>
      <w:r w:rsidRPr="00024CC1">
        <w:rPr>
          <w:rFonts w:ascii="Palatino Linotype" w:eastAsia="Calibri" w:hAnsi="Palatino Linotype" w:cs="Arial"/>
          <w:b/>
          <w:lang w:eastAsia="es-MX"/>
        </w:rPr>
        <w:t>Reglamento Interior del Instituto de Transparencia, Acceso a la Información Pública y Protección de Datos Personales del Estado de México y Municipios.</w:t>
      </w:r>
    </w:p>
    <w:p w14:paraId="02EB018C" w14:textId="77777777" w:rsidR="00450FBC" w:rsidRPr="00024CC1" w:rsidRDefault="00450FBC" w:rsidP="00450FBC">
      <w:pPr>
        <w:spacing w:line="360" w:lineRule="auto"/>
        <w:contextualSpacing/>
        <w:jc w:val="both"/>
        <w:rPr>
          <w:rFonts w:ascii="Palatino Linotype" w:eastAsia="Calibri" w:hAnsi="Palatino Linotype"/>
          <w:b/>
        </w:rPr>
      </w:pPr>
    </w:p>
    <w:p w14:paraId="0CA71BE6" w14:textId="77777777" w:rsidR="00450FBC" w:rsidRPr="00024CC1" w:rsidRDefault="00450FBC" w:rsidP="00450FBC">
      <w:pPr>
        <w:keepNext/>
        <w:keepLines/>
        <w:spacing w:line="360" w:lineRule="auto"/>
        <w:outlineLvl w:val="1"/>
        <w:rPr>
          <w:rFonts w:ascii="Palatino Linotype" w:eastAsia="MS Gothic" w:hAnsi="Palatino Linotype"/>
          <w:b/>
          <w:lang w:val="es-MX" w:eastAsia="en-US"/>
        </w:rPr>
      </w:pPr>
      <w:bookmarkStart w:id="13" w:name="_Toc491791304"/>
      <w:bookmarkStart w:id="14" w:name="_Toc528153790"/>
      <w:bookmarkStart w:id="15" w:name="_Toc71158403"/>
      <w:r w:rsidRPr="00024CC1">
        <w:rPr>
          <w:rFonts w:ascii="Palatino Linotype" w:eastAsia="MS Gothic" w:hAnsi="Palatino Linotype"/>
          <w:b/>
          <w:lang w:val="es-MX" w:eastAsia="en-US"/>
        </w:rPr>
        <w:t>SEGUNDO. De la oportunidad y procedencia.</w:t>
      </w:r>
      <w:bookmarkEnd w:id="13"/>
      <w:bookmarkEnd w:id="14"/>
      <w:bookmarkEnd w:id="15"/>
    </w:p>
    <w:p w14:paraId="01E5F757" w14:textId="77777777" w:rsidR="00450FBC" w:rsidRPr="00024CC1" w:rsidRDefault="00450FBC" w:rsidP="00450FBC">
      <w:pPr>
        <w:spacing w:line="360" w:lineRule="auto"/>
        <w:rPr>
          <w:rFonts w:ascii="Palatino Linotype" w:eastAsia="MS Mincho" w:hAnsi="Palatino Linotype"/>
          <w:lang w:val="es-MX" w:eastAsia="en-US"/>
        </w:rPr>
      </w:pPr>
    </w:p>
    <w:p w14:paraId="6E4E723A" w14:textId="77777777" w:rsidR="00450FBC" w:rsidRPr="00024CC1" w:rsidRDefault="00450FBC" w:rsidP="00450FBC">
      <w:pPr>
        <w:numPr>
          <w:ilvl w:val="0"/>
          <w:numId w:val="16"/>
        </w:numPr>
        <w:spacing w:before="240" w:after="240" w:line="360" w:lineRule="auto"/>
        <w:ind w:left="0" w:right="48" w:firstLine="0"/>
        <w:contextualSpacing/>
        <w:jc w:val="both"/>
        <w:rPr>
          <w:rFonts w:ascii="Palatino Linotype" w:hAnsi="Palatino Linotype"/>
        </w:rPr>
      </w:pPr>
      <w:r w:rsidRPr="00024CC1">
        <w:rPr>
          <w:rFonts w:ascii="Palatino Linotype" w:eastAsia="Calibri" w:hAnsi="Palatino Linotype" w:cs="Arial"/>
        </w:rPr>
        <w:t xml:space="preserve">El medio de impugnación fue presentado a través del </w:t>
      </w:r>
      <w:r w:rsidRPr="00024CC1">
        <w:rPr>
          <w:rFonts w:ascii="Palatino Linotype" w:eastAsia="Calibri" w:hAnsi="Palatino Linotype" w:cs="Arial"/>
          <w:b/>
        </w:rPr>
        <w:t>SAIMEX,</w:t>
      </w:r>
      <w:r w:rsidRPr="00024CC1">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024CC1">
        <w:rPr>
          <w:rFonts w:ascii="Palatino Linotype" w:eastAsia="Calibri" w:hAnsi="Palatino Linotype" w:cs="Arial"/>
          <w:b/>
        </w:rPr>
        <w:t>SUJETO OBLIGADO</w:t>
      </w:r>
      <w:r w:rsidRPr="00024CC1">
        <w:rPr>
          <w:rFonts w:ascii="Palatino Linotype" w:eastAsia="Calibri" w:hAnsi="Palatino Linotype" w:cs="Arial"/>
        </w:rPr>
        <w:t xml:space="preserve"> entregó respuesta el día cinco (05) de octubre  de dos mil veintidós, </w:t>
      </w:r>
      <w:r w:rsidRPr="00024CC1">
        <w:rPr>
          <w:rFonts w:ascii="Palatino Linotype" w:hAnsi="Palatino Linotype" w:cs="Arial"/>
        </w:rPr>
        <w:t xml:space="preserve">de tal forma que el plazo para interponer el recurso transcurrió del día seis (06) al veintiséis (26) de octubre  de dos mil veintidós; en consecuencia, si el particular presentó su inconformidad el día seis (06) de octubre del presente año, se encuentra dentro de los márgenes temporales previstos en el artículo 178 de la </w:t>
      </w:r>
      <w:r w:rsidRPr="00024CC1">
        <w:rPr>
          <w:rFonts w:ascii="Palatino Linotype" w:hAnsi="Palatino Linotype" w:cs="Arial"/>
          <w:b/>
        </w:rPr>
        <w:t xml:space="preserve">Ley de Transparencia y Acceso a la Información Pública del Estado de México y Municipios </w:t>
      </w:r>
      <w:r w:rsidRPr="00024CC1">
        <w:rPr>
          <w:rFonts w:ascii="Palatino Linotype" w:hAnsi="Palatino Linotype" w:cs="Arial"/>
        </w:rPr>
        <w:t xml:space="preserve">vigente. </w:t>
      </w:r>
    </w:p>
    <w:p w14:paraId="5280FD68" w14:textId="77777777" w:rsidR="00450FBC" w:rsidRPr="00024CC1" w:rsidRDefault="00450FBC" w:rsidP="00450FBC">
      <w:pPr>
        <w:pStyle w:val="Prrafodelista"/>
        <w:numPr>
          <w:ilvl w:val="0"/>
          <w:numId w:val="16"/>
        </w:numPr>
        <w:spacing w:line="360" w:lineRule="auto"/>
        <w:ind w:left="0" w:right="48" w:firstLine="0"/>
        <w:contextualSpacing/>
        <w:jc w:val="both"/>
        <w:rPr>
          <w:rFonts w:ascii="Palatino Linotype" w:hAnsi="Palatino Linotype"/>
        </w:rPr>
      </w:pPr>
      <w:r w:rsidRPr="00024CC1">
        <w:rPr>
          <w:rFonts w:ascii="Palatino Linotype" w:eastAsia="Calibri" w:hAnsi="Palatino Linotype" w:cs="Arial"/>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9865CAB" w14:textId="77777777" w:rsidR="00450FBC" w:rsidRPr="00024CC1" w:rsidRDefault="00450FBC" w:rsidP="00450FBC">
      <w:pPr>
        <w:pStyle w:val="Prrafodelista"/>
        <w:spacing w:line="360" w:lineRule="auto"/>
        <w:ind w:left="0" w:right="48"/>
        <w:jc w:val="both"/>
        <w:rPr>
          <w:rFonts w:ascii="Palatino Linotype" w:hAnsi="Palatino Linotype"/>
        </w:rPr>
      </w:pPr>
    </w:p>
    <w:p w14:paraId="729DD672" w14:textId="77777777" w:rsidR="00450FBC" w:rsidRPr="00024CC1" w:rsidRDefault="00450FBC" w:rsidP="00450FBC">
      <w:pPr>
        <w:keepNext/>
        <w:keepLines/>
        <w:spacing w:line="360" w:lineRule="auto"/>
        <w:outlineLvl w:val="0"/>
        <w:rPr>
          <w:rFonts w:ascii="Palatino Linotype" w:hAnsi="Palatino Linotype"/>
          <w:b/>
          <w:lang w:val="es-MX" w:eastAsia="en-US"/>
        </w:rPr>
      </w:pPr>
      <w:bookmarkStart w:id="16" w:name="_Toc499727169"/>
      <w:bookmarkStart w:id="17" w:name="_Toc71158405"/>
      <w:r w:rsidRPr="00024CC1">
        <w:rPr>
          <w:rFonts w:ascii="Palatino Linotype" w:hAnsi="Palatino Linotype"/>
          <w:b/>
          <w:lang w:val="es-MX" w:eastAsia="en-US"/>
        </w:rPr>
        <w:t xml:space="preserve">TERCERO. </w:t>
      </w:r>
      <w:bookmarkEnd w:id="16"/>
      <w:r w:rsidRPr="00024CC1">
        <w:rPr>
          <w:rFonts w:ascii="Palatino Linotype" w:hAnsi="Palatino Linotype"/>
          <w:b/>
          <w:lang w:val="es-MX" w:eastAsia="en-US"/>
        </w:rPr>
        <w:t>De las causales de sobreseimiento.</w:t>
      </w:r>
      <w:bookmarkEnd w:id="17"/>
      <w:r w:rsidRPr="00024CC1">
        <w:rPr>
          <w:rFonts w:ascii="Palatino Linotype" w:hAnsi="Palatino Linotype"/>
          <w:b/>
          <w:lang w:val="es-MX" w:eastAsia="en-US"/>
        </w:rPr>
        <w:t xml:space="preserve"> </w:t>
      </w:r>
    </w:p>
    <w:p w14:paraId="2C38DAD0" w14:textId="77777777" w:rsidR="00450FBC" w:rsidRPr="00024CC1" w:rsidRDefault="00450FBC" w:rsidP="00450FBC">
      <w:pPr>
        <w:spacing w:line="360" w:lineRule="auto"/>
        <w:rPr>
          <w:rFonts w:ascii="Palatino Linotype" w:hAnsi="Palatino Linotype"/>
          <w:lang w:val="es-MX" w:eastAsia="en-US"/>
        </w:rPr>
      </w:pPr>
    </w:p>
    <w:p w14:paraId="1C2F19BC" w14:textId="77777777" w:rsidR="00450FBC" w:rsidRPr="00024CC1" w:rsidRDefault="00450FBC" w:rsidP="00450FBC">
      <w:pPr>
        <w:pStyle w:val="Prrafodelista"/>
        <w:numPr>
          <w:ilvl w:val="0"/>
          <w:numId w:val="16"/>
        </w:numPr>
        <w:spacing w:line="360" w:lineRule="auto"/>
        <w:ind w:left="0" w:right="49" w:firstLine="0"/>
        <w:contextualSpacing/>
        <w:jc w:val="both"/>
        <w:rPr>
          <w:rFonts w:ascii="Palatino Linotype" w:hAnsi="Palatino Linotype" w:cs="Arial"/>
        </w:rPr>
      </w:pPr>
      <w:r w:rsidRPr="00024CC1">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024CC1">
        <w:rPr>
          <w:rFonts w:ascii="Palatino Linotype" w:eastAsia="Calibri" w:hAnsi="Palatino Linotype" w:cs="Arial"/>
        </w:rPr>
        <w:t>Transparencia, Acceso a la Información Pública del Estado de México y Municipios</w:t>
      </w:r>
      <w:r w:rsidRPr="00024CC1">
        <w:rPr>
          <w:rFonts w:ascii="Palatino Linotype" w:hAnsi="Palatino Linotype" w:cs="Arial"/>
        </w:rPr>
        <w:t xml:space="preserve">, y determinar la confirmación; revocación o modificación; </w:t>
      </w:r>
      <w:proofErr w:type="spellStart"/>
      <w:r w:rsidRPr="00024CC1">
        <w:rPr>
          <w:rFonts w:ascii="Palatino Linotype" w:hAnsi="Palatino Linotype" w:cs="Arial"/>
        </w:rPr>
        <w:t>desechamiento</w:t>
      </w:r>
      <w:proofErr w:type="spellEnd"/>
      <w:r w:rsidRPr="00024CC1">
        <w:rPr>
          <w:rFonts w:ascii="Palatino Linotype" w:hAnsi="Palatino Linotype" w:cs="Arial"/>
        </w:rPr>
        <w:t xml:space="preserve"> o </w:t>
      </w:r>
      <w:r w:rsidRPr="00024CC1">
        <w:rPr>
          <w:rFonts w:ascii="Palatino Linotype" w:hAnsi="Palatino Linotype" w:cs="Arial"/>
          <w:b/>
          <w:u w:val="single"/>
        </w:rPr>
        <w:t>sobreseimiento</w:t>
      </w:r>
      <w:r w:rsidRPr="00024CC1">
        <w:rPr>
          <w:rFonts w:ascii="Palatino Linotype" w:hAnsi="Palatino Linotype" w:cs="Arial"/>
        </w:rPr>
        <w:t xml:space="preserve">; y en su caso ordenar la entrega de la información con respecto a la respuesta emitida por el </w:t>
      </w:r>
      <w:r w:rsidRPr="00024CC1">
        <w:rPr>
          <w:rFonts w:ascii="Palatino Linotype" w:hAnsi="Palatino Linotype" w:cs="Arial"/>
          <w:b/>
        </w:rPr>
        <w:t>SUJETO</w:t>
      </w:r>
      <w:r w:rsidRPr="00024CC1">
        <w:rPr>
          <w:rFonts w:ascii="Palatino Linotype" w:hAnsi="Palatino Linotype" w:cs="Arial"/>
        </w:rPr>
        <w:t xml:space="preserve"> </w:t>
      </w:r>
      <w:r w:rsidRPr="00024CC1">
        <w:rPr>
          <w:rFonts w:ascii="Palatino Linotype" w:hAnsi="Palatino Linotype" w:cs="Arial"/>
          <w:b/>
        </w:rPr>
        <w:t>OBLIGADO</w:t>
      </w:r>
      <w:r w:rsidRPr="00024CC1">
        <w:rPr>
          <w:rFonts w:ascii="Palatino Linotype" w:hAnsi="Palatino Linotype" w:cs="Arial"/>
        </w:rPr>
        <w:t>.</w:t>
      </w:r>
    </w:p>
    <w:p w14:paraId="55FAEF4D" w14:textId="77777777" w:rsidR="00450FBC" w:rsidRPr="00024CC1" w:rsidRDefault="00450FBC" w:rsidP="00450FBC">
      <w:pPr>
        <w:spacing w:line="360" w:lineRule="auto"/>
        <w:ind w:right="49"/>
        <w:contextualSpacing/>
        <w:jc w:val="both"/>
        <w:rPr>
          <w:rFonts w:ascii="Palatino Linotype" w:hAnsi="Palatino Linotype" w:cs="Arial"/>
        </w:rPr>
      </w:pPr>
    </w:p>
    <w:p w14:paraId="16BB4B0C" w14:textId="77777777" w:rsidR="00450FBC" w:rsidRPr="00024CC1" w:rsidRDefault="00450FBC" w:rsidP="00450FBC">
      <w:pPr>
        <w:numPr>
          <w:ilvl w:val="0"/>
          <w:numId w:val="19"/>
        </w:numPr>
        <w:spacing w:line="360" w:lineRule="auto"/>
        <w:ind w:left="0" w:firstLine="0"/>
        <w:contextualSpacing/>
        <w:jc w:val="both"/>
        <w:rPr>
          <w:rFonts w:ascii="Palatino Linotype" w:eastAsia="Calibri" w:hAnsi="Palatino Linotype"/>
        </w:rPr>
      </w:pPr>
      <w:r w:rsidRPr="00024CC1">
        <w:rPr>
          <w:rFonts w:ascii="Palatino Linotype" w:eastAsia="Calibri" w:hAnsi="Palatino Linotype"/>
          <w:lang w:val="es-MX"/>
        </w:rPr>
        <w:t>De acuerdo al precepto legal contenido</w:t>
      </w:r>
      <w:r w:rsidRPr="00024CC1">
        <w:rPr>
          <w:rFonts w:ascii="Palatino Linotype" w:eastAsia="Calibri" w:hAnsi="Palatino Linotype"/>
        </w:rPr>
        <w:t xml:space="preserve"> en la fracción III del artículo 192 de la </w:t>
      </w:r>
      <w:r w:rsidRPr="00024CC1">
        <w:rPr>
          <w:rFonts w:ascii="Palatino Linotype" w:eastAsia="Calibri" w:hAnsi="Palatino Linotype"/>
          <w:b/>
        </w:rPr>
        <w:t>Ley de Transparencia y Acceso a la Información Pública del Estado de México y Municipios</w:t>
      </w:r>
      <w:r w:rsidRPr="00024CC1">
        <w:rPr>
          <w:rFonts w:ascii="Palatino Linotype" w:eastAsia="Calibri" w:hAnsi="Palatino Linotype"/>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14:paraId="2A3AB851" w14:textId="77777777" w:rsidR="00450FBC" w:rsidRPr="00024CC1" w:rsidRDefault="00450FBC" w:rsidP="00450FBC">
      <w:pPr>
        <w:spacing w:line="360" w:lineRule="auto"/>
        <w:contextualSpacing/>
        <w:jc w:val="both"/>
        <w:rPr>
          <w:rFonts w:ascii="Palatino Linotype" w:eastAsia="Calibri" w:hAnsi="Palatino Linotype"/>
        </w:rPr>
      </w:pPr>
    </w:p>
    <w:p w14:paraId="29BDD4AB" w14:textId="77777777" w:rsidR="00450FBC" w:rsidRPr="00024CC1" w:rsidRDefault="00450FBC" w:rsidP="00450FBC">
      <w:pPr>
        <w:numPr>
          <w:ilvl w:val="0"/>
          <w:numId w:val="19"/>
        </w:numPr>
        <w:spacing w:line="360" w:lineRule="auto"/>
        <w:ind w:left="0" w:firstLine="0"/>
        <w:contextualSpacing/>
        <w:jc w:val="both"/>
        <w:rPr>
          <w:rFonts w:ascii="Palatino Linotype" w:eastAsia="Calibri" w:hAnsi="Palatino Linotype"/>
        </w:rPr>
      </w:pPr>
      <w:r w:rsidRPr="00024CC1">
        <w:rPr>
          <w:rFonts w:ascii="Palatino Linotype" w:eastAsia="Calibri" w:hAnsi="Palatino Linotype"/>
        </w:rPr>
        <w:lastRenderedPageBreak/>
        <w:t xml:space="preserve">Para los efectos de esta resolución, es oportuno precisar los alcances jurídicos de la fracción III de la disposición legal transcrita. Así, procede el sobreseimiento del recurso de revisión cuando el </w:t>
      </w:r>
      <w:r w:rsidRPr="00024CC1">
        <w:rPr>
          <w:rFonts w:ascii="Palatino Linotype" w:eastAsia="Calibri" w:hAnsi="Palatino Linotype"/>
          <w:b/>
        </w:rPr>
        <w:t>SUJETO OBLIGADO</w:t>
      </w:r>
      <w:r w:rsidRPr="00024CC1">
        <w:rPr>
          <w:rFonts w:ascii="Palatino Linotype" w:eastAsia="Calibri" w:hAnsi="Palatino Linotype"/>
        </w:rPr>
        <w:t>:</w:t>
      </w:r>
    </w:p>
    <w:p w14:paraId="72946468" w14:textId="77777777" w:rsidR="00450FBC" w:rsidRPr="00024CC1" w:rsidRDefault="00450FBC" w:rsidP="00450FBC">
      <w:pPr>
        <w:spacing w:line="360" w:lineRule="auto"/>
        <w:contextualSpacing/>
        <w:jc w:val="both"/>
        <w:rPr>
          <w:rFonts w:ascii="Palatino Linotype" w:eastAsia="Calibri" w:hAnsi="Palatino Linotype"/>
        </w:rPr>
      </w:pPr>
    </w:p>
    <w:p w14:paraId="41DCE424" w14:textId="77777777" w:rsidR="00450FBC" w:rsidRPr="00024CC1" w:rsidRDefault="00450FBC" w:rsidP="00450FBC">
      <w:pPr>
        <w:numPr>
          <w:ilvl w:val="0"/>
          <w:numId w:val="17"/>
        </w:numPr>
        <w:spacing w:line="360" w:lineRule="auto"/>
        <w:ind w:left="567" w:right="616" w:firstLine="0"/>
        <w:contextualSpacing/>
        <w:jc w:val="both"/>
        <w:rPr>
          <w:rFonts w:ascii="Palatino Linotype" w:hAnsi="Palatino Linotype" w:cs="Arial"/>
        </w:rPr>
      </w:pPr>
      <w:r w:rsidRPr="00024CC1">
        <w:rPr>
          <w:rFonts w:ascii="Palatino Linotype" w:hAnsi="Palatino Linotype" w:cs="Arial"/>
          <w:b/>
        </w:rPr>
        <w:t>Modifique el acto impugnado:</w:t>
      </w:r>
      <w:r w:rsidRPr="00024CC1">
        <w:rPr>
          <w:rFonts w:ascii="Palatino Linotype" w:hAnsi="Palatino Linotype" w:cs="Arial"/>
        </w:rPr>
        <w:t xml:space="preserve"> Se actualiza cuando el </w:t>
      </w:r>
      <w:r w:rsidRPr="00024CC1">
        <w:rPr>
          <w:rFonts w:ascii="Palatino Linotype" w:hAnsi="Palatino Linotype" w:cs="Arial"/>
          <w:b/>
        </w:rPr>
        <w:t>SUJETO OBLIGADO</w:t>
      </w:r>
      <w:r w:rsidRPr="00024CC1">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52290461" w14:textId="77777777" w:rsidR="00450FBC" w:rsidRPr="00024CC1" w:rsidRDefault="00450FBC" w:rsidP="00450FBC">
      <w:pPr>
        <w:spacing w:line="360" w:lineRule="auto"/>
        <w:ind w:left="1068" w:right="567"/>
        <w:contextualSpacing/>
        <w:jc w:val="both"/>
        <w:rPr>
          <w:rFonts w:ascii="Palatino Linotype" w:hAnsi="Palatino Linotype" w:cs="Arial"/>
        </w:rPr>
      </w:pPr>
    </w:p>
    <w:p w14:paraId="0A99EC23" w14:textId="77777777" w:rsidR="00450FBC" w:rsidRPr="00024CC1" w:rsidRDefault="00450FBC" w:rsidP="00450FBC">
      <w:pPr>
        <w:numPr>
          <w:ilvl w:val="0"/>
          <w:numId w:val="17"/>
        </w:numPr>
        <w:spacing w:line="360" w:lineRule="auto"/>
        <w:ind w:left="567" w:right="616" w:firstLine="0"/>
        <w:contextualSpacing/>
        <w:jc w:val="both"/>
        <w:rPr>
          <w:rFonts w:ascii="Palatino Linotype" w:hAnsi="Palatino Linotype" w:cs="Arial"/>
        </w:rPr>
      </w:pPr>
      <w:r w:rsidRPr="00024CC1">
        <w:rPr>
          <w:rFonts w:ascii="Palatino Linotype" w:hAnsi="Palatino Linotype" w:cs="Arial"/>
          <w:b/>
        </w:rPr>
        <w:t>Revoque el acto impugnado:</w:t>
      </w:r>
      <w:r w:rsidRPr="00024CC1">
        <w:rPr>
          <w:rFonts w:ascii="Palatino Linotype" w:hAnsi="Palatino Linotype" w:cs="Arial"/>
        </w:rPr>
        <w:t xml:space="preserve"> En este supuesto, el </w:t>
      </w:r>
      <w:r w:rsidRPr="00024CC1">
        <w:rPr>
          <w:rFonts w:ascii="Palatino Linotype" w:hAnsi="Palatino Linotype" w:cs="Arial"/>
          <w:b/>
        </w:rPr>
        <w:t>SUJETO OBLIGADO</w:t>
      </w:r>
      <w:r w:rsidRPr="00024CC1">
        <w:rPr>
          <w:rFonts w:ascii="Palatino Linotype" w:hAnsi="Palatino Linotype" w:cs="Arial"/>
        </w:rPr>
        <w:t xml:space="preserve"> deja sin efectos la primera respuesta y en su lugar emite otra que satisfaga lo solicitado por el particular en un primer momento.</w:t>
      </w:r>
    </w:p>
    <w:p w14:paraId="4E04A799" w14:textId="77777777" w:rsidR="00450FBC" w:rsidRPr="00024CC1" w:rsidRDefault="00450FBC" w:rsidP="00450FBC">
      <w:pPr>
        <w:spacing w:line="360" w:lineRule="auto"/>
        <w:ind w:right="616"/>
        <w:contextualSpacing/>
        <w:jc w:val="both"/>
        <w:rPr>
          <w:rFonts w:ascii="Palatino Linotype" w:hAnsi="Palatino Linotype" w:cs="Arial"/>
        </w:rPr>
      </w:pPr>
    </w:p>
    <w:p w14:paraId="239E6ADB" w14:textId="77777777" w:rsidR="00450FBC" w:rsidRPr="00024CC1" w:rsidRDefault="00450FBC" w:rsidP="00450FBC">
      <w:pPr>
        <w:numPr>
          <w:ilvl w:val="0"/>
          <w:numId w:val="20"/>
        </w:numPr>
        <w:spacing w:line="360" w:lineRule="auto"/>
        <w:ind w:left="0" w:firstLine="0"/>
        <w:contextualSpacing/>
        <w:jc w:val="both"/>
        <w:rPr>
          <w:rFonts w:ascii="Palatino Linotype" w:eastAsia="Calibri" w:hAnsi="Palatino Linotype"/>
        </w:rPr>
      </w:pPr>
      <w:r w:rsidRPr="00024CC1">
        <w:rPr>
          <w:rFonts w:ascii="Palatino Linotype" w:eastAsia="Calibri" w:hAnsi="Palatino Linotype"/>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0F7617F9" w14:textId="77777777" w:rsidR="00450FBC" w:rsidRPr="00024CC1" w:rsidRDefault="00450FBC" w:rsidP="00450FBC">
      <w:pPr>
        <w:pStyle w:val="Prrafodelista"/>
        <w:rPr>
          <w:rFonts w:ascii="Palatino Linotype" w:hAnsi="Palatino Linotype" w:cs="Arial"/>
          <w:i/>
          <w:sz w:val="44"/>
        </w:rPr>
      </w:pPr>
    </w:p>
    <w:p w14:paraId="408258B7" w14:textId="77777777" w:rsidR="00450FBC" w:rsidRPr="00024CC1" w:rsidRDefault="00450FBC" w:rsidP="00450FBC">
      <w:pPr>
        <w:pStyle w:val="Prrafodelista"/>
        <w:numPr>
          <w:ilvl w:val="0"/>
          <w:numId w:val="16"/>
        </w:numPr>
        <w:spacing w:before="240" w:after="240" w:line="360" w:lineRule="auto"/>
        <w:ind w:left="0" w:firstLine="0"/>
        <w:contextualSpacing/>
        <w:jc w:val="both"/>
        <w:rPr>
          <w:rFonts w:ascii="Palatino Linotype" w:hAnsi="Palatino Linotype" w:cs="Arial"/>
          <w:color w:val="000000"/>
        </w:rPr>
      </w:pPr>
      <w:r w:rsidRPr="00024CC1">
        <w:rPr>
          <w:rFonts w:ascii="Palatino Linotype" w:hAnsi="Palatino Linotype" w:cs="Arial"/>
          <w:color w:val="000000"/>
        </w:rPr>
        <w:t xml:space="preserve">En el presente caso, el particular solicitó el tabulador de sueldos escaneado a su correo. En respuesta, el Sujeto Obligado adjuntó una liga electrónica para acceder a la información solicitada, misma que al ser consultada por este Órgano Garante, </w:t>
      </w:r>
      <w:r w:rsidRPr="00024CC1">
        <w:rPr>
          <w:rFonts w:ascii="Palatino Linotype" w:hAnsi="Palatino Linotype" w:cs="Arial"/>
          <w:color w:val="000000"/>
        </w:rPr>
        <w:lastRenderedPageBreak/>
        <w:t>remite a la página de información de oficio mexiquense del Sujeto Obligado, en la fracción VIII B, del Tabulador de Sueldos.</w:t>
      </w:r>
    </w:p>
    <w:p w14:paraId="6392333A" w14:textId="77777777" w:rsidR="00450FBC" w:rsidRPr="00024CC1" w:rsidRDefault="00450FBC" w:rsidP="00450FBC">
      <w:pPr>
        <w:pStyle w:val="Prrafodelista"/>
        <w:spacing w:before="240" w:after="240" w:line="360" w:lineRule="auto"/>
        <w:ind w:left="0"/>
        <w:jc w:val="both"/>
        <w:rPr>
          <w:rFonts w:ascii="Palatino Linotype" w:hAnsi="Palatino Linotype" w:cs="Arial"/>
          <w:color w:val="000000"/>
        </w:rPr>
      </w:pPr>
    </w:p>
    <w:p w14:paraId="7AC43499" w14:textId="77777777" w:rsidR="00450FBC" w:rsidRPr="00024CC1" w:rsidRDefault="00450FBC" w:rsidP="00450FBC">
      <w:pPr>
        <w:pStyle w:val="Prrafodelista"/>
        <w:numPr>
          <w:ilvl w:val="0"/>
          <w:numId w:val="16"/>
        </w:numPr>
        <w:spacing w:before="240" w:after="240" w:line="360" w:lineRule="auto"/>
        <w:ind w:left="0" w:firstLine="0"/>
        <w:contextualSpacing/>
        <w:jc w:val="both"/>
        <w:rPr>
          <w:rFonts w:ascii="Palatino Linotype" w:hAnsi="Palatino Linotype" w:cs="Arial"/>
          <w:color w:val="000000"/>
        </w:rPr>
      </w:pPr>
      <w:r w:rsidRPr="00024CC1">
        <w:rPr>
          <w:rFonts w:ascii="Palatino Linotype" w:hAnsi="Palatino Linotype" w:cs="Arial"/>
          <w:color w:val="000000"/>
        </w:rPr>
        <w:t xml:space="preserve">Inconforme con la respuesta, el particular interpuso recurso de revisión, a través del cual señaló como motivos de inconformidad </w:t>
      </w:r>
      <w:r w:rsidRPr="00024CC1">
        <w:rPr>
          <w:rFonts w:ascii="Palatino Linotype" w:hAnsi="Palatino Linotype" w:cs="Arial"/>
          <w:i/>
          <w:color w:val="000000"/>
        </w:rPr>
        <w:t>“</w:t>
      </w:r>
      <w:r w:rsidRPr="00024CC1">
        <w:rPr>
          <w:rFonts w:ascii="Palatino Linotype" w:hAnsi="Palatino Linotype"/>
          <w:i/>
          <w:color w:val="000000"/>
        </w:rPr>
        <w:t>información fuera del plazo que la ley establece para el citado caso y no es el formato solicitado.”</w:t>
      </w:r>
    </w:p>
    <w:p w14:paraId="5422CD70" w14:textId="77777777" w:rsidR="00450FBC" w:rsidRPr="00024CC1" w:rsidRDefault="00450FBC" w:rsidP="00450FBC">
      <w:pPr>
        <w:pStyle w:val="Prrafodelista"/>
        <w:spacing w:before="240" w:after="240" w:line="360" w:lineRule="auto"/>
        <w:ind w:left="0"/>
        <w:jc w:val="both"/>
        <w:rPr>
          <w:rFonts w:ascii="Palatino Linotype" w:hAnsi="Palatino Linotype" w:cs="Arial"/>
          <w:color w:val="000000"/>
        </w:rPr>
      </w:pPr>
    </w:p>
    <w:p w14:paraId="56302544" w14:textId="77777777" w:rsidR="00450FBC" w:rsidRPr="00024CC1" w:rsidRDefault="00450FBC" w:rsidP="00450FBC">
      <w:pPr>
        <w:pStyle w:val="Prrafodelista"/>
        <w:numPr>
          <w:ilvl w:val="0"/>
          <w:numId w:val="16"/>
        </w:numPr>
        <w:spacing w:before="240" w:after="240" w:line="360" w:lineRule="auto"/>
        <w:ind w:left="0" w:firstLine="0"/>
        <w:contextualSpacing/>
        <w:jc w:val="both"/>
        <w:rPr>
          <w:rFonts w:ascii="Palatino Linotype" w:hAnsi="Palatino Linotype" w:cs="Arial"/>
          <w:color w:val="000000"/>
        </w:rPr>
      </w:pPr>
      <w:r w:rsidRPr="00024CC1">
        <w:rPr>
          <w:rFonts w:ascii="Palatino Linotype" w:hAnsi="Palatino Linotype" w:cs="Arial"/>
          <w:color w:val="000000"/>
        </w:rPr>
        <w:t>En este caso, es necesario traer a contexto el artículo 161 de la Ley de Transparencia y Acceso a la Información Pública del Estado de México y Municipios, que establece:</w:t>
      </w:r>
    </w:p>
    <w:p w14:paraId="10128AE8" w14:textId="77777777" w:rsidR="00450FBC" w:rsidRPr="00024CC1" w:rsidRDefault="00450FBC" w:rsidP="00450FBC">
      <w:pPr>
        <w:pStyle w:val="Prrafodelista"/>
        <w:spacing w:before="240" w:after="240" w:line="360" w:lineRule="auto"/>
        <w:ind w:left="0"/>
        <w:jc w:val="both"/>
        <w:rPr>
          <w:rFonts w:ascii="Palatino Linotype" w:hAnsi="Palatino Linotype" w:cs="Arial"/>
          <w:color w:val="000000"/>
        </w:rPr>
      </w:pPr>
    </w:p>
    <w:p w14:paraId="32679AA8" w14:textId="77777777" w:rsidR="00450FBC" w:rsidRPr="00024CC1" w:rsidRDefault="00450FBC" w:rsidP="00450FBC">
      <w:pPr>
        <w:pStyle w:val="Prrafodelista"/>
        <w:spacing w:before="240" w:after="240" w:line="360" w:lineRule="auto"/>
        <w:ind w:left="851" w:right="616"/>
        <w:jc w:val="both"/>
        <w:rPr>
          <w:rFonts w:ascii="Palatino Linotype" w:hAnsi="Palatino Linotype" w:cs="Arial"/>
          <w:i/>
          <w:color w:val="000000"/>
        </w:rPr>
      </w:pPr>
      <w:r w:rsidRPr="00024CC1">
        <w:rPr>
          <w:rFonts w:ascii="Palatino Linotype" w:hAnsi="Palatino Linotype"/>
          <w:i/>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(Sic)</w:t>
      </w:r>
    </w:p>
    <w:p w14:paraId="4BA4F799" w14:textId="77777777" w:rsidR="00450FBC" w:rsidRPr="00024CC1" w:rsidRDefault="00450FBC" w:rsidP="00450FBC">
      <w:pPr>
        <w:numPr>
          <w:ilvl w:val="0"/>
          <w:numId w:val="20"/>
        </w:numPr>
        <w:spacing w:line="360" w:lineRule="auto"/>
        <w:ind w:left="0" w:firstLine="0"/>
        <w:contextualSpacing/>
        <w:jc w:val="both"/>
        <w:rPr>
          <w:rFonts w:ascii="Palatino Linotype" w:eastAsia="Calibri" w:hAnsi="Palatino Linotype"/>
        </w:rPr>
      </w:pPr>
      <w:r w:rsidRPr="00024CC1">
        <w:rPr>
          <w:rFonts w:ascii="Palatino Linotype" w:eastAsia="Calibri" w:hAnsi="Palatino Linotype"/>
        </w:rPr>
        <w:t xml:space="preserve">Como se puede advertir en el fundamento legal referido, en un primer momento los motivos de inconformidad del Recurrente devienen fundados, toda vez que de acuerdo al expediente electrónico SAIMEX, el particular realizó su </w:t>
      </w:r>
      <w:r w:rsidRPr="00024CC1">
        <w:rPr>
          <w:rFonts w:ascii="Palatino Linotype" w:eastAsia="Calibri" w:hAnsi="Palatino Linotype"/>
        </w:rPr>
        <w:lastRenderedPageBreak/>
        <w:t xml:space="preserve">solicitud de información en veintisiete (27) de septiembre de dos mil veintidós, y el Sujeto Obligado remitió respuesta el cinco (05) de octubre del mismo año, por consiguiente, no se encuentra dentro de los cinco días hábiles establecidos en el ordenamiento legal referido. </w:t>
      </w:r>
    </w:p>
    <w:p w14:paraId="12BB76E3" w14:textId="77777777" w:rsidR="00450FBC" w:rsidRPr="00024CC1" w:rsidRDefault="00450FBC" w:rsidP="00450FBC">
      <w:pPr>
        <w:spacing w:line="360" w:lineRule="auto"/>
        <w:contextualSpacing/>
        <w:jc w:val="both"/>
        <w:rPr>
          <w:rFonts w:ascii="Palatino Linotype" w:eastAsia="Calibri" w:hAnsi="Palatino Linotype"/>
        </w:rPr>
      </w:pPr>
    </w:p>
    <w:p w14:paraId="3CCC8ED3" w14:textId="77777777" w:rsidR="00450FBC" w:rsidRPr="00024CC1" w:rsidRDefault="00450FBC" w:rsidP="00450FBC">
      <w:pPr>
        <w:numPr>
          <w:ilvl w:val="0"/>
          <w:numId w:val="20"/>
        </w:numPr>
        <w:spacing w:line="360" w:lineRule="auto"/>
        <w:ind w:left="0" w:firstLine="0"/>
        <w:contextualSpacing/>
        <w:jc w:val="both"/>
        <w:rPr>
          <w:rFonts w:ascii="Palatino Linotype" w:eastAsia="Calibri" w:hAnsi="Palatino Linotype"/>
        </w:rPr>
      </w:pPr>
      <w:r w:rsidRPr="00024CC1">
        <w:rPr>
          <w:rFonts w:ascii="Palatino Linotype" w:eastAsia="Calibri" w:hAnsi="Palatino Linotype"/>
        </w:rPr>
        <w:t xml:space="preserve">Ahora bien, mediante informe justificado, el Sujeto Obligado remitió el Tabular de sueldos referente al año dos mil veintidós, por lo tanto, en el presente asunto, este Pleno advierte que el </w:t>
      </w:r>
      <w:r w:rsidRPr="00024CC1">
        <w:rPr>
          <w:rFonts w:ascii="Palatino Linotype" w:eastAsia="Calibri" w:hAnsi="Palatino Linotype"/>
          <w:b/>
        </w:rPr>
        <w:t>SUJETO OBLIGADO</w:t>
      </w:r>
      <w:r w:rsidRPr="00024CC1">
        <w:rPr>
          <w:rFonts w:ascii="Palatino Linotype" w:eastAsia="Calibri" w:hAnsi="Palatino Linotype"/>
        </w:rPr>
        <w:t xml:space="preserve"> con la información enviada a través del informe de justificación, </w:t>
      </w:r>
      <w:r w:rsidRPr="00024CC1">
        <w:rPr>
          <w:rFonts w:ascii="Palatino Linotype" w:eastAsia="Calibri" w:hAnsi="Palatino Linotype"/>
          <w:b/>
        </w:rPr>
        <w:t>modifica</w:t>
      </w:r>
      <w:r w:rsidRPr="00024CC1">
        <w:rPr>
          <w:rFonts w:ascii="Palatino Linotype" w:eastAsia="Calibri" w:hAnsi="Palatino Linotype"/>
        </w:rPr>
        <w:t xml:space="preserve"> el acto que le dio origen al recurso de revisión, lo que trae como consecuencia que el mismo quede sin materia, actualizándose de este modo, la hipótesis jurídica contenida en la fracción III del citado artículo.</w:t>
      </w:r>
    </w:p>
    <w:p w14:paraId="0E8FFC83" w14:textId="77777777" w:rsidR="00450FBC" w:rsidRPr="00024CC1" w:rsidRDefault="00450FBC" w:rsidP="00450FBC">
      <w:pPr>
        <w:spacing w:line="360" w:lineRule="auto"/>
        <w:ind w:left="720"/>
        <w:contextualSpacing/>
        <w:rPr>
          <w:rFonts w:ascii="Palatino Linotype" w:eastAsia="Calibri" w:hAnsi="Palatino Linotype"/>
        </w:rPr>
      </w:pPr>
    </w:p>
    <w:p w14:paraId="44D6E87C" w14:textId="77777777" w:rsidR="00450FBC" w:rsidRPr="00024CC1" w:rsidRDefault="00450FBC" w:rsidP="00450FBC">
      <w:pPr>
        <w:numPr>
          <w:ilvl w:val="0"/>
          <w:numId w:val="20"/>
        </w:numPr>
        <w:spacing w:line="360" w:lineRule="auto"/>
        <w:ind w:left="0" w:firstLine="0"/>
        <w:contextualSpacing/>
        <w:jc w:val="both"/>
        <w:rPr>
          <w:rFonts w:ascii="Palatino Linotype" w:eastAsia="Calibri" w:hAnsi="Palatino Linotype"/>
        </w:rPr>
      </w:pPr>
      <w:r w:rsidRPr="00024CC1">
        <w:rPr>
          <w:rFonts w:ascii="Palatino Linotype" w:eastAsia="Calibri" w:hAnsi="Palatino Linotype"/>
        </w:rPr>
        <w:t xml:space="preserve">Ahora bien,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024CC1">
        <w:rPr>
          <w:rFonts w:ascii="Palatino Linotype" w:eastAsia="Calibri" w:hAnsi="Palatino Linotype"/>
          <w:b/>
        </w:rPr>
        <w:t>SUJETOS OBLIGADOS</w:t>
      </w:r>
      <w:r w:rsidRPr="00024CC1">
        <w:rPr>
          <w:rFonts w:ascii="Palatino Linotype" w:eastAsia="Calibri" w:hAnsi="Palatino Linotype"/>
        </w:rPr>
        <w:t xml:space="preserve"> o la negativa de entrega de la misma, derivada de la solicitud de información pública.</w:t>
      </w:r>
    </w:p>
    <w:p w14:paraId="03A1AE0C" w14:textId="77777777" w:rsidR="00450FBC" w:rsidRPr="00024CC1" w:rsidRDefault="00450FBC" w:rsidP="00450FBC">
      <w:pPr>
        <w:spacing w:line="360" w:lineRule="auto"/>
        <w:contextualSpacing/>
        <w:jc w:val="both"/>
        <w:rPr>
          <w:rFonts w:ascii="Palatino Linotype" w:eastAsia="Calibri" w:hAnsi="Palatino Linotype"/>
        </w:rPr>
      </w:pPr>
    </w:p>
    <w:p w14:paraId="6C9EC365" w14:textId="77777777" w:rsidR="00450FBC" w:rsidRPr="00024CC1" w:rsidRDefault="00450FBC" w:rsidP="00450FBC">
      <w:pPr>
        <w:numPr>
          <w:ilvl w:val="0"/>
          <w:numId w:val="20"/>
        </w:numPr>
        <w:spacing w:line="360" w:lineRule="auto"/>
        <w:ind w:left="0" w:firstLine="0"/>
        <w:contextualSpacing/>
        <w:jc w:val="both"/>
        <w:rPr>
          <w:rFonts w:ascii="Palatino Linotype" w:eastAsia="Calibri" w:hAnsi="Palatino Linotype"/>
        </w:rPr>
      </w:pPr>
      <w:r w:rsidRPr="00024CC1">
        <w:rPr>
          <w:rFonts w:ascii="Palatino Linotype" w:eastAsia="Calibri" w:hAnsi="Palatino Linotype"/>
        </w:rPr>
        <w:t xml:space="preserve">De este modo, cuando el </w:t>
      </w:r>
      <w:r w:rsidRPr="00024CC1">
        <w:rPr>
          <w:rFonts w:ascii="Palatino Linotype" w:eastAsia="Calibri" w:hAnsi="Palatino Linotype"/>
          <w:b/>
        </w:rPr>
        <w:t xml:space="preserve">SUJETO OBLIGADO, </w:t>
      </w:r>
      <w:r w:rsidRPr="00024CC1">
        <w:rPr>
          <w:rFonts w:ascii="Palatino Linotype" w:eastAsia="Calibri" w:hAnsi="Palatino Linotype"/>
        </w:rPr>
        <w:t xml:space="preserve">antes de que se dicte resolución definitiva, </w:t>
      </w:r>
      <w:r w:rsidRPr="00024CC1">
        <w:rPr>
          <w:rFonts w:ascii="Palatino Linotype" w:eastAsia="Calibri" w:hAnsi="Palatino Linotype"/>
          <w:b/>
        </w:rPr>
        <w:t>entrega la información solicitada</w:t>
      </w:r>
      <w:r w:rsidRPr="00024CC1">
        <w:rPr>
          <w:rFonts w:ascii="Palatino Linotype" w:eastAsia="Calibri" w:hAnsi="Palatino Linotype"/>
        </w:rPr>
        <w:t xml:space="preserve"> o completa la información que en un primer momento fue incompleta o no correspondió con lo solicitado; el recurso de revisión que al efecto se haya interpuesto queda sin materia lo que imposibilita el estudio de fondo de la </w:t>
      </w:r>
      <w:proofErr w:type="spellStart"/>
      <w:r w:rsidRPr="00024CC1">
        <w:rPr>
          <w:rFonts w:ascii="Palatino Linotype" w:eastAsia="Calibri" w:hAnsi="Palatino Linotype"/>
          <w:i/>
        </w:rPr>
        <w:t>litis</w:t>
      </w:r>
      <w:proofErr w:type="spellEnd"/>
      <w:r w:rsidRPr="00024CC1">
        <w:rPr>
          <w:rFonts w:ascii="Palatino Linotype" w:eastAsia="Calibri" w:hAnsi="Palatino Linotype"/>
        </w:rPr>
        <w:t xml:space="preserve"> planteada, debido a que la afectación en </w:t>
      </w:r>
      <w:r w:rsidRPr="00024CC1">
        <w:rPr>
          <w:rFonts w:ascii="Palatino Linotype" w:eastAsia="Calibri" w:hAnsi="Palatino Linotype"/>
        </w:rPr>
        <w:lastRenderedPageBreak/>
        <w:t>su esfera de derechos fue restituida por la propia autoridad que emitió el acto motivo de impugnación.</w:t>
      </w:r>
    </w:p>
    <w:p w14:paraId="21BAED02" w14:textId="77777777" w:rsidR="00450FBC" w:rsidRPr="00024CC1" w:rsidRDefault="00450FBC" w:rsidP="00450FBC">
      <w:pPr>
        <w:spacing w:line="360" w:lineRule="auto"/>
        <w:ind w:left="720"/>
        <w:contextualSpacing/>
        <w:rPr>
          <w:rFonts w:ascii="Palatino Linotype" w:eastAsia="Calibri" w:hAnsi="Palatino Linotype"/>
        </w:rPr>
      </w:pPr>
    </w:p>
    <w:p w14:paraId="1B232E2F" w14:textId="77777777" w:rsidR="00450FBC" w:rsidRPr="00024CC1" w:rsidRDefault="00450FBC" w:rsidP="00450FBC">
      <w:pPr>
        <w:numPr>
          <w:ilvl w:val="0"/>
          <w:numId w:val="20"/>
        </w:numPr>
        <w:spacing w:line="360" w:lineRule="auto"/>
        <w:ind w:left="0" w:firstLine="0"/>
        <w:contextualSpacing/>
        <w:jc w:val="both"/>
        <w:rPr>
          <w:rFonts w:ascii="Palatino Linotype" w:eastAsia="Calibri" w:hAnsi="Palatino Linotype"/>
        </w:rPr>
      </w:pPr>
      <w:r w:rsidRPr="00024CC1">
        <w:rPr>
          <w:rFonts w:ascii="Palatino Linotype" w:eastAsia="Calibri" w:hAnsi="Palatino Linotype"/>
        </w:rPr>
        <w:t>Sirve de sustento a lo anterior la siguiente jurisprudencia por contradicción, cuyo rubro, texto y datos de identificación son los siguientes:</w:t>
      </w:r>
    </w:p>
    <w:p w14:paraId="2FAF8D5A" w14:textId="77777777" w:rsidR="00450FBC" w:rsidRPr="00024CC1" w:rsidRDefault="00450FBC" w:rsidP="00450FBC">
      <w:pPr>
        <w:spacing w:line="360" w:lineRule="auto"/>
        <w:ind w:left="567" w:right="616"/>
        <w:contextualSpacing/>
        <w:jc w:val="both"/>
        <w:rPr>
          <w:rFonts w:ascii="Palatino Linotype" w:eastAsia="Calibri" w:hAnsi="Palatino Linotype"/>
        </w:rPr>
      </w:pPr>
    </w:p>
    <w:p w14:paraId="7CCE8C16" w14:textId="77777777" w:rsidR="00450FBC" w:rsidRPr="00024CC1" w:rsidRDefault="00450FBC" w:rsidP="00450FBC">
      <w:pPr>
        <w:spacing w:line="360" w:lineRule="auto"/>
        <w:ind w:left="851" w:right="616"/>
        <w:contextualSpacing/>
        <w:jc w:val="both"/>
        <w:rPr>
          <w:rFonts w:ascii="Palatino Linotype" w:eastAsia="Calibri" w:hAnsi="Palatino Linotype"/>
          <w:i/>
          <w:sz w:val="22"/>
        </w:rPr>
      </w:pPr>
      <w:r w:rsidRPr="00024CC1">
        <w:rPr>
          <w:rFonts w:ascii="Palatino Linotype" w:eastAsia="Calibri" w:hAnsi="Palatino Linotype"/>
          <w:b/>
          <w:i/>
          <w:sz w:val="22"/>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024CC1">
        <w:rPr>
          <w:rFonts w:ascii="Palatino Linotype" w:eastAsia="Calibri" w:hAnsi="Palatino Linotype"/>
          <w:i/>
          <w:sz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w:t>
      </w:r>
      <w:r w:rsidRPr="00024CC1">
        <w:rPr>
          <w:rFonts w:ascii="Palatino Linotype" w:eastAsia="Calibri" w:hAnsi="Palatino Linotype"/>
          <w:i/>
          <w:sz w:val="22"/>
        </w:rPr>
        <w:lastRenderedPageBreak/>
        <w:t>juicio de amparo o el medio ordinario de defensa que proceda, toda vez que se trata de un nuevo acto.</w:t>
      </w:r>
    </w:p>
    <w:p w14:paraId="1AE11265" w14:textId="77777777" w:rsidR="00450FBC" w:rsidRPr="00024CC1" w:rsidRDefault="00450FBC" w:rsidP="00450FBC">
      <w:pPr>
        <w:spacing w:line="360" w:lineRule="auto"/>
        <w:ind w:left="708"/>
        <w:contextualSpacing/>
        <w:jc w:val="both"/>
        <w:rPr>
          <w:rFonts w:ascii="Palatino Linotype" w:eastAsia="Calibri" w:hAnsi="Palatino Linotype"/>
          <w:i/>
        </w:rPr>
      </w:pPr>
    </w:p>
    <w:p w14:paraId="478B5D78" w14:textId="77777777" w:rsidR="00450FBC" w:rsidRPr="00024CC1" w:rsidRDefault="00450FBC" w:rsidP="00450FBC">
      <w:pPr>
        <w:numPr>
          <w:ilvl w:val="0"/>
          <w:numId w:val="20"/>
        </w:numPr>
        <w:spacing w:line="360" w:lineRule="auto"/>
        <w:ind w:left="0" w:firstLine="0"/>
        <w:contextualSpacing/>
        <w:jc w:val="both"/>
        <w:rPr>
          <w:rFonts w:ascii="Palatino Linotype" w:eastAsia="Calibri" w:hAnsi="Palatino Linotype"/>
        </w:rPr>
      </w:pPr>
      <w:r w:rsidRPr="00024CC1">
        <w:rPr>
          <w:rFonts w:ascii="Palatino Linotype" w:eastAsia="Calibri" w:hAnsi="Palatino Linotype"/>
        </w:rPr>
        <w:t>La anterior jurisprudencia resulta aplicable al presente asunto, en dos aspectos:</w:t>
      </w:r>
    </w:p>
    <w:p w14:paraId="488DA7F3" w14:textId="77777777" w:rsidR="00450FBC" w:rsidRPr="00024CC1" w:rsidRDefault="00450FBC" w:rsidP="00450FBC">
      <w:pPr>
        <w:spacing w:line="360" w:lineRule="auto"/>
        <w:ind w:left="426"/>
        <w:contextualSpacing/>
        <w:jc w:val="both"/>
        <w:rPr>
          <w:rFonts w:ascii="Palatino Linotype" w:eastAsia="Calibri" w:hAnsi="Palatino Linotype"/>
          <w:sz w:val="28"/>
        </w:rPr>
      </w:pPr>
    </w:p>
    <w:p w14:paraId="7D70E991" w14:textId="77777777" w:rsidR="00450FBC" w:rsidRPr="00024CC1" w:rsidRDefault="00450FBC" w:rsidP="00450FBC">
      <w:pPr>
        <w:numPr>
          <w:ilvl w:val="0"/>
          <w:numId w:val="18"/>
        </w:numPr>
        <w:spacing w:line="360" w:lineRule="auto"/>
        <w:ind w:left="567" w:right="616" w:firstLine="0"/>
        <w:contextualSpacing/>
        <w:jc w:val="both"/>
        <w:rPr>
          <w:rFonts w:ascii="Palatino Linotype" w:eastAsia="Calibri" w:hAnsi="Palatino Linotype"/>
        </w:rPr>
      </w:pPr>
      <w:r w:rsidRPr="00024CC1">
        <w:rPr>
          <w:rFonts w:ascii="Palatino Linotype" w:eastAsia="Calibri" w:hAnsi="Palatino Linotype"/>
          <w:b/>
        </w:rPr>
        <w:t>La cesación de los efectos perniciosos del acto de autoridad:</w:t>
      </w:r>
      <w:r w:rsidRPr="00024CC1">
        <w:rPr>
          <w:rFonts w:ascii="Palatino Linotype" w:eastAsia="Calibri" w:hAnsi="Palatino Linotype"/>
        </w:rPr>
        <w:t xml:space="preserve"> Al respecto, la Ley de Transparencia contempla la figura jurídica del sobreseimiento cuando el </w:t>
      </w:r>
      <w:r w:rsidRPr="00024CC1">
        <w:rPr>
          <w:rFonts w:ascii="Palatino Linotype" w:eastAsia="Calibri" w:hAnsi="Palatino Linotype"/>
          <w:b/>
        </w:rPr>
        <w:t>SUJETO OBLIGADO</w:t>
      </w:r>
      <w:r w:rsidRPr="00024CC1">
        <w:rPr>
          <w:rFonts w:ascii="Palatino Linotype" w:eastAsia="Calibri" w:hAnsi="Palatino Linotype"/>
        </w:rPr>
        <w:t xml:space="preserve"> de </w:t>
      </w:r>
      <w:r w:rsidRPr="00024CC1">
        <w:rPr>
          <w:rFonts w:ascii="Palatino Linotype" w:eastAsia="Calibri" w:hAnsi="Palatino Linotype"/>
          <w:i/>
        </w:rPr>
        <w:t>motu proprio</w:t>
      </w:r>
      <w:r w:rsidRPr="00024CC1">
        <w:rPr>
          <w:rFonts w:ascii="Palatino Linotype" w:eastAsia="Calibri" w:hAnsi="Palatino Linotype"/>
        </w:rPr>
        <w:t xml:space="preserve"> modifica o revoca de tal manera el acto motivo de la impugnación que lo deja sin materia; es decir, cesan los efectos de éste y el derecho de acceso a la información pública se encuentra satisfecho.</w:t>
      </w:r>
    </w:p>
    <w:p w14:paraId="6FBD6D23" w14:textId="77777777" w:rsidR="00450FBC" w:rsidRPr="00024CC1" w:rsidRDefault="00450FBC" w:rsidP="00450FBC">
      <w:pPr>
        <w:spacing w:line="360" w:lineRule="auto"/>
        <w:ind w:left="567" w:right="616"/>
        <w:contextualSpacing/>
        <w:rPr>
          <w:rFonts w:ascii="Palatino Linotype" w:eastAsia="Calibri" w:hAnsi="Palatino Linotype"/>
        </w:rPr>
      </w:pPr>
    </w:p>
    <w:p w14:paraId="5110D585" w14:textId="77777777" w:rsidR="00450FBC" w:rsidRPr="00024CC1" w:rsidRDefault="00450FBC" w:rsidP="00450FBC">
      <w:pPr>
        <w:numPr>
          <w:ilvl w:val="0"/>
          <w:numId w:val="18"/>
        </w:numPr>
        <w:spacing w:line="360" w:lineRule="auto"/>
        <w:ind w:left="567" w:right="616" w:firstLine="0"/>
        <w:contextualSpacing/>
        <w:jc w:val="both"/>
        <w:rPr>
          <w:rFonts w:ascii="Palatino Linotype" w:eastAsia="Calibri" w:hAnsi="Palatino Linotype"/>
        </w:rPr>
      </w:pPr>
      <w:r w:rsidRPr="00024CC1">
        <w:rPr>
          <w:rFonts w:ascii="Palatino Linotype" w:eastAsia="Calibri" w:hAnsi="Palatino Linotype"/>
          <w:b/>
        </w:rPr>
        <w:t>El momento procesal para modificar el acto impugnado:</w:t>
      </w:r>
      <w:r w:rsidRPr="00024CC1">
        <w:rPr>
          <w:rFonts w:ascii="Palatino Linotype" w:eastAsia="Calibri" w:hAnsi="Palatino Linotype"/>
        </w:rPr>
        <w:t xml:space="preserve"> Para que se actualice el sobreseimiento de un recurso de revisión, el </w:t>
      </w:r>
      <w:r w:rsidRPr="00024CC1">
        <w:rPr>
          <w:rFonts w:ascii="Palatino Linotype" w:eastAsia="Calibri" w:hAnsi="Palatino Linotype"/>
          <w:b/>
        </w:rPr>
        <w:t>SUJETO OBLIGADO</w:t>
      </w:r>
      <w:r w:rsidRPr="00024CC1">
        <w:rPr>
          <w:rFonts w:ascii="Palatino Linotype" w:eastAsia="Calibri" w:hAnsi="Palatino Linotype"/>
        </w:rPr>
        <w:t xml:space="preserve"> puede entregar o completar la información al momento de rendir su informe de justificación o </w:t>
      </w:r>
      <w:r w:rsidRPr="00024CC1">
        <w:rPr>
          <w:rFonts w:ascii="Palatino Linotype" w:eastAsia="Calibri" w:hAnsi="Palatino Linotype"/>
          <w:b/>
          <w:u w:val="single"/>
        </w:rPr>
        <w:t>posteriormente</w:t>
      </w:r>
      <w:r w:rsidRPr="00024CC1">
        <w:rPr>
          <w:rFonts w:ascii="Palatino Linotype" w:eastAsia="Calibri" w:hAnsi="Palatino Linotype"/>
        </w:rPr>
        <w:t xml:space="preserve"> a éste, siempre y cuando el Pleno del Instituto no haya dictado resolución definitiva.</w:t>
      </w:r>
    </w:p>
    <w:p w14:paraId="0DDC2842" w14:textId="77777777" w:rsidR="00450FBC" w:rsidRPr="00024CC1" w:rsidRDefault="00450FBC" w:rsidP="00450FBC">
      <w:pPr>
        <w:spacing w:line="360" w:lineRule="auto"/>
        <w:contextualSpacing/>
        <w:jc w:val="both"/>
        <w:rPr>
          <w:rFonts w:ascii="Palatino Linotype" w:eastAsia="Calibri" w:hAnsi="Palatino Linotype"/>
        </w:rPr>
      </w:pPr>
    </w:p>
    <w:p w14:paraId="520136C1" w14:textId="77777777" w:rsidR="00450FBC" w:rsidRPr="00024CC1" w:rsidRDefault="00450FBC" w:rsidP="00450FBC">
      <w:pPr>
        <w:numPr>
          <w:ilvl w:val="0"/>
          <w:numId w:val="20"/>
        </w:numPr>
        <w:spacing w:line="360" w:lineRule="auto"/>
        <w:ind w:left="0" w:firstLine="0"/>
        <w:contextualSpacing/>
        <w:jc w:val="both"/>
        <w:rPr>
          <w:rFonts w:ascii="Palatino Linotype" w:eastAsia="Calibri" w:hAnsi="Palatino Linotype"/>
        </w:rPr>
      </w:pPr>
      <w:r w:rsidRPr="00024CC1">
        <w:rPr>
          <w:rFonts w:ascii="Palatino Linotype" w:eastAsia="Calibri" w:hAnsi="Palatino Linotype"/>
        </w:rPr>
        <w:t xml:space="preserve">Eduardo Pallares, en su artículo </w:t>
      </w:r>
      <w:r w:rsidRPr="00024CC1">
        <w:rPr>
          <w:rFonts w:ascii="Palatino Linotype" w:eastAsia="Calibri" w:hAnsi="Palatino Linotype"/>
          <w:i/>
        </w:rPr>
        <w:t>“La caducidad y el sobreseimiento en el amparo”</w:t>
      </w:r>
      <w:r w:rsidRPr="00024CC1">
        <w:rPr>
          <w:rFonts w:ascii="Palatino Linotype" w:eastAsia="Calibri" w:hAnsi="Palatino Linotype"/>
        </w:rPr>
        <w:t xml:space="preserve">, cita la definición de Aguilera Paz, aduciendo que se </w:t>
      </w:r>
      <w:r w:rsidRPr="00024CC1">
        <w:rPr>
          <w:rFonts w:ascii="Palatino Linotype" w:eastAsia="Calibri" w:hAnsi="Palatino Linotype"/>
          <w:i/>
        </w:rPr>
        <w:t>“...entiende por sobreseimiento en el tecnicismo forense, el hecho de cesar en el procedimiento o curso de la causa, por no existir méritos bastantes para entrar en un juicio o para entablar la contienda judicial que debe ser objeto del mismo...”</w:t>
      </w:r>
      <w:r w:rsidRPr="00024CC1">
        <w:rPr>
          <w:rFonts w:ascii="Palatino Linotype" w:eastAsia="Calibri" w:hAnsi="Palatino Linotype"/>
        </w:rPr>
        <w:t>. Asimismo señala que existe el sobreseimiento provisional y el definitivo</w:t>
      </w:r>
      <w:r w:rsidRPr="00024CC1">
        <w:rPr>
          <w:rFonts w:ascii="Palatino Linotype" w:eastAsia="Calibri" w:hAnsi="Palatino Linotype"/>
          <w:i/>
        </w:rPr>
        <w:t xml:space="preserve">: “...el definitivo es una verdadera sentencia que pone fin al juicio, y que una vez </w:t>
      </w:r>
      <w:r w:rsidRPr="00024CC1">
        <w:rPr>
          <w:rFonts w:ascii="Palatino Linotype" w:eastAsia="Calibri" w:hAnsi="Palatino Linotype"/>
          <w:i/>
        </w:rPr>
        <w:lastRenderedPageBreak/>
        <w:t>dictada, produce cosa juzgada, mientras que el provisorio tiene por efectos suspender la prosecución de la causa...”</w:t>
      </w:r>
    </w:p>
    <w:p w14:paraId="139E6E98" w14:textId="77777777" w:rsidR="00450FBC" w:rsidRPr="00024CC1" w:rsidRDefault="00450FBC" w:rsidP="00450FBC">
      <w:pPr>
        <w:spacing w:line="360" w:lineRule="auto"/>
        <w:ind w:left="426"/>
        <w:contextualSpacing/>
        <w:jc w:val="both"/>
        <w:rPr>
          <w:rFonts w:ascii="Palatino Linotype" w:eastAsia="Calibri" w:hAnsi="Palatino Linotype"/>
        </w:rPr>
      </w:pPr>
    </w:p>
    <w:p w14:paraId="400586F3" w14:textId="77777777" w:rsidR="00450FBC" w:rsidRPr="00024CC1" w:rsidRDefault="00450FBC" w:rsidP="00450FBC">
      <w:pPr>
        <w:numPr>
          <w:ilvl w:val="0"/>
          <w:numId w:val="20"/>
        </w:numPr>
        <w:spacing w:line="360" w:lineRule="auto"/>
        <w:ind w:left="0" w:firstLine="0"/>
        <w:contextualSpacing/>
        <w:jc w:val="both"/>
        <w:rPr>
          <w:rFonts w:ascii="Palatino Linotype" w:eastAsia="Calibri" w:hAnsi="Palatino Linotype"/>
        </w:rPr>
      </w:pPr>
      <w:r w:rsidRPr="00024CC1">
        <w:rPr>
          <w:rFonts w:ascii="Palatino Linotype" w:eastAsia="Calibri" w:hAnsi="Palatino Linotype"/>
        </w:rPr>
        <w:t xml:space="preserve">Así, para la doctrina el sobreseimiento provoca que un procedimiento se suspenda o se resuelva en definitiva </w:t>
      </w:r>
      <w:r w:rsidRPr="00024CC1">
        <w:rPr>
          <w:rFonts w:ascii="Palatino Linotype" w:eastAsia="Calibri" w:hAnsi="Palatino Linotype"/>
          <w:b/>
          <w:u w:val="single"/>
        </w:rPr>
        <w:t xml:space="preserve">sin que se entre al estudio de los agravios o motivos de inconformidad. </w:t>
      </w:r>
      <w:r w:rsidRPr="00024CC1">
        <w:rPr>
          <w:rFonts w:ascii="Palatino Linotype" w:eastAsia="Calibri" w:hAnsi="Palatino Linotype"/>
        </w:rPr>
        <w:t>Este mismo criterio es compartido por el más alto tribunal del país en múltiples jurisprudencias, por lo que a continuación se agrega una de ellas que sirve como orientador en esta resolución:</w:t>
      </w:r>
    </w:p>
    <w:p w14:paraId="2F16E7ED" w14:textId="77777777" w:rsidR="00450FBC" w:rsidRPr="00024CC1" w:rsidRDefault="00450FBC" w:rsidP="00450FBC">
      <w:pPr>
        <w:spacing w:line="360" w:lineRule="auto"/>
        <w:ind w:left="426"/>
        <w:contextualSpacing/>
        <w:jc w:val="both"/>
        <w:rPr>
          <w:rFonts w:ascii="Palatino Linotype" w:eastAsia="Calibri" w:hAnsi="Palatino Linotype"/>
          <w:sz w:val="22"/>
        </w:rPr>
      </w:pPr>
    </w:p>
    <w:p w14:paraId="1CCC4C29" w14:textId="77777777" w:rsidR="00450FBC" w:rsidRPr="00024CC1" w:rsidRDefault="00450FBC" w:rsidP="00450FBC">
      <w:pPr>
        <w:spacing w:line="360" w:lineRule="auto"/>
        <w:ind w:left="851" w:right="616"/>
        <w:contextualSpacing/>
        <w:jc w:val="both"/>
        <w:rPr>
          <w:rFonts w:ascii="Palatino Linotype" w:eastAsia="Calibri" w:hAnsi="Palatino Linotype"/>
          <w:i/>
          <w:sz w:val="22"/>
          <w:lang w:val="es-AR"/>
        </w:rPr>
      </w:pPr>
      <w:r w:rsidRPr="00024CC1">
        <w:rPr>
          <w:rFonts w:ascii="Palatino Linotype" w:eastAsia="Calibri" w:hAnsi="Palatino Linotype"/>
          <w:b/>
          <w:i/>
          <w:sz w:val="22"/>
          <w:lang w:val="es-AR"/>
        </w:rPr>
        <w:t>SOBRESEIMIENTO EN EL JUICIO DE AMPARO DIRECTO. IMPIDE EL ESTUDIO DE LAS VIOLACIONES PROCESALES PLANTEADAS EN LOS CONCEPTOS DE VIOLACIÓN. El sobreseimiento</w:t>
      </w:r>
      <w:r w:rsidRPr="00024CC1">
        <w:rPr>
          <w:rFonts w:ascii="Palatino Linotype" w:eastAsia="Calibri" w:hAnsi="Palatino Linotype"/>
          <w:i/>
          <w:sz w:val="22"/>
          <w:lang w:val="es-AR"/>
        </w:rPr>
        <w:t xml:space="preserve"> en el juicio de amparo directo </w:t>
      </w:r>
      <w:r w:rsidRPr="00024CC1">
        <w:rPr>
          <w:rFonts w:ascii="Palatino Linotype" w:eastAsia="Calibri" w:hAnsi="Palatino Linotype"/>
          <w:b/>
          <w:i/>
          <w:sz w:val="22"/>
          <w:lang w:val="es-AR"/>
        </w:rPr>
        <w:t>provoca la terminación de la controversia planteada</w:t>
      </w:r>
      <w:r w:rsidRPr="00024CC1">
        <w:rPr>
          <w:rFonts w:ascii="Palatino Linotype" w:eastAsia="Calibri" w:hAnsi="Palatino Linotype"/>
          <w:i/>
          <w:sz w:val="22"/>
          <w:lang w:val="es-AR"/>
        </w:rPr>
        <w:t xml:space="preserve"> por el quejoso en la demanda de amparo</w:t>
      </w:r>
      <w:r w:rsidRPr="00024CC1">
        <w:rPr>
          <w:rFonts w:ascii="Palatino Linotype" w:eastAsia="Calibri" w:hAnsi="Palatino Linotype"/>
          <w:b/>
          <w:i/>
          <w:sz w:val="22"/>
          <w:lang w:val="es-AR"/>
        </w:rPr>
        <w:t>, sin hacer un pronunciamiento de fondo sobre la legalidad o ilegalidad de la sentencia reclamada</w:t>
      </w:r>
      <w:r w:rsidRPr="00024CC1">
        <w:rPr>
          <w:rFonts w:ascii="Palatino Linotype" w:eastAsia="Calibri" w:hAnsi="Palatino Linotype"/>
          <w:i/>
          <w:sz w:val="22"/>
          <w:lang w:val="es-AR"/>
        </w:rPr>
        <w:t xml:space="preserve">. </w:t>
      </w:r>
      <w:r w:rsidRPr="00024CC1">
        <w:rPr>
          <w:rFonts w:ascii="Palatino Linotype" w:eastAsia="Calibri" w:hAnsi="Palatino Linotype"/>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024CC1">
        <w:rPr>
          <w:rFonts w:ascii="Palatino Linotype" w:eastAsia="Calibri" w:hAnsi="Palatino Linotype"/>
          <w:i/>
          <w:sz w:val="22"/>
          <w:lang w:val="es-AR"/>
        </w:rPr>
        <w:t>.</w:t>
      </w:r>
    </w:p>
    <w:p w14:paraId="64928B4C" w14:textId="77777777" w:rsidR="00450FBC" w:rsidRPr="00024CC1" w:rsidRDefault="00450FBC" w:rsidP="00450FBC">
      <w:pPr>
        <w:spacing w:line="360" w:lineRule="auto"/>
        <w:ind w:left="851" w:right="616"/>
        <w:contextualSpacing/>
        <w:jc w:val="both"/>
        <w:rPr>
          <w:rFonts w:ascii="Palatino Linotype" w:eastAsia="Calibri" w:hAnsi="Palatino Linotype"/>
          <w:i/>
          <w:sz w:val="22"/>
          <w:lang w:val="es-AR"/>
        </w:rPr>
      </w:pPr>
      <w:r w:rsidRPr="00024CC1">
        <w:rPr>
          <w:rFonts w:ascii="Palatino Linotype" w:eastAsia="Calibri" w:hAnsi="Palatino Linotype"/>
          <w:i/>
          <w:sz w:val="22"/>
          <w:lang w:val="es-AR"/>
        </w:rPr>
        <w:t>SÉPTIMO TRIBUNAL COLEGIADO EN MATERIA CIVIL DEL PRIMER CIRCUITO.</w:t>
      </w:r>
    </w:p>
    <w:p w14:paraId="64F6CA9C" w14:textId="77777777" w:rsidR="00450FBC" w:rsidRPr="00024CC1" w:rsidRDefault="00450FBC" w:rsidP="00450FBC">
      <w:pPr>
        <w:spacing w:line="360" w:lineRule="auto"/>
        <w:ind w:left="567" w:right="616"/>
        <w:contextualSpacing/>
        <w:jc w:val="both"/>
        <w:rPr>
          <w:rFonts w:ascii="Palatino Linotype" w:eastAsia="Calibri" w:hAnsi="Palatino Linotype"/>
          <w:b/>
          <w:i/>
          <w:sz w:val="22"/>
          <w:lang w:val="es-AR"/>
        </w:rPr>
      </w:pPr>
      <w:r w:rsidRPr="00024CC1">
        <w:rPr>
          <w:rFonts w:ascii="Palatino Linotype" w:eastAsia="Calibri" w:hAnsi="Palatino Linotype"/>
          <w:i/>
          <w:sz w:val="22"/>
          <w:lang w:val="es-AR"/>
        </w:rPr>
        <w:t xml:space="preserve">Amparo directo 699/2008. Mariana Leticia González </w:t>
      </w:r>
      <w:proofErr w:type="spellStart"/>
      <w:r w:rsidRPr="00024CC1">
        <w:rPr>
          <w:rFonts w:ascii="Palatino Linotype" w:eastAsia="Calibri" w:hAnsi="Palatino Linotype"/>
          <w:i/>
          <w:sz w:val="22"/>
          <w:lang w:val="es-AR"/>
        </w:rPr>
        <w:t>Steele</w:t>
      </w:r>
      <w:proofErr w:type="spellEnd"/>
      <w:r w:rsidRPr="00024CC1">
        <w:rPr>
          <w:rFonts w:ascii="Palatino Linotype" w:eastAsia="Calibri" w:hAnsi="Palatino Linotype"/>
          <w:i/>
          <w:sz w:val="22"/>
          <w:lang w:val="es-AR"/>
        </w:rPr>
        <w:t>. 13 de noviembre de 2008. Unanimidad de votos. Ponente: Sara Judith Montalvo Trejo. Secretario: Arnulfo Mateos García.</w:t>
      </w:r>
    </w:p>
    <w:p w14:paraId="6AC7A101" w14:textId="77777777" w:rsidR="00450FBC" w:rsidRPr="00024CC1" w:rsidRDefault="00450FBC" w:rsidP="00450FBC">
      <w:pPr>
        <w:spacing w:line="360" w:lineRule="auto"/>
        <w:ind w:left="567" w:right="616"/>
        <w:contextualSpacing/>
        <w:jc w:val="both"/>
        <w:rPr>
          <w:rFonts w:ascii="Palatino Linotype" w:eastAsia="Calibri" w:hAnsi="Palatino Linotype"/>
          <w:sz w:val="22"/>
          <w:lang w:val="es-AR"/>
        </w:rPr>
      </w:pPr>
      <w:r w:rsidRPr="00024CC1">
        <w:rPr>
          <w:rFonts w:ascii="Palatino Linotype" w:eastAsia="Calibri" w:hAnsi="Palatino Linotype"/>
          <w:sz w:val="22"/>
          <w:lang w:val="es-AR"/>
        </w:rPr>
        <w:t>(Énfasis añadido)</w:t>
      </w:r>
    </w:p>
    <w:p w14:paraId="07789782" w14:textId="77777777" w:rsidR="00450FBC" w:rsidRPr="00024CC1" w:rsidRDefault="00450FBC" w:rsidP="00450FBC">
      <w:pPr>
        <w:spacing w:line="360" w:lineRule="auto"/>
        <w:ind w:left="426"/>
        <w:contextualSpacing/>
        <w:jc w:val="both"/>
        <w:rPr>
          <w:rFonts w:ascii="Palatino Linotype" w:eastAsia="Calibri" w:hAnsi="Palatino Linotype"/>
        </w:rPr>
      </w:pPr>
    </w:p>
    <w:p w14:paraId="3858F852" w14:textId="77777777" w:rsidR="00450FBC" w:rsidRPr="00024CC1" w:rsidRDefault="00450FBC" w:rsidP="00450FBC">
      <w:pPr>
        <w:numPr>
          <w:ilvl w:val="0"/>
          <w:numId w:val="20"/>
        </w:numPr>
        <w:spacing w:line="360" w:lineRule="auto"/>
        <w:ind w:left="0" w:firstLine="0"/>
        <w:contextualSpacing/>
        <w:jc w:val="both"/>
        <w:rPr>
          <w:rFonts w:ascii="Palatino Linotype" w:eastAsia="Calibri" w:hAnsi="Palatino Linotype"/>
        </w:rPr>
      </w:pPr>
      <w:r w:rsidRPr="00024CC1">
        <w:rPr>
          <w:rFonts w:ascii="Palatino Linotype" w:eastAsia="Calibri" w:hAnsi="Palatino Linotype"/>
        </w:rPr>
        <w:t>Consecuentemente, por lo que hace a los motivos de inconformidad, los mismos devienen inatendibles por actualizarse la figura del sobreseimiento, misma que impide el estudio de los agravios planteados, máxime que se ha dado cumplimiento al derecho de acceso a la información.</w:t>
      </w:r>
    </w:p>
    <w:p w14:paraId="483B2E11" w14:textId="77777777" w:rsidR="00450FBC" w:rsidRPr="00024CC1" w:rsidRDefault="00450FBC" w:rsidP="00450FBC">
      <w:pPr>
        <w:spacing w:line="360" w:lineRule="auto"/>
        <w:contextualSpacing/>
        <w:jc w:val="both"/>
        <w:rPr>
          <w:rFonts w:ascii="Palatino Linotype" w:eastAsia="Calibri" w:hAnsi="Palatino Linotype"/>
        </w:rPr>
      </w:pPr>
    </w:p>
    <w:p w14:paraId="21631892" w14:textId="77777777" w:rsidR="00450FBC" w:rsidRPr="00024CC1" w:rsidRDefault="00450FBC" w:rsidP="00450FBC">
      <w:pPr>
        <w:numPr>
          <w:ilvl w:val="0"/>
          <w:numId w:val="20"/>
        </w:numPr>
        <w:spacing w:line="360" w:lineRule="auto"/>
        <w:ind w:left="0" w:firstLine="0"/>
        <w:contextualSpacing/>
        <w:jc w:val="both"/>
        <w:rPr>
          <w:rFonts w:ascii="Palatino Linotype" w:eastAsia="Calibri" w:hAnsi="Palatino Linotype"/>
        </w:rPr>
      </w:pPr>
      <w:r w:rsidRPr="00024CC1">
        <w:rPr>
          <w:rFonts w:ascii="Palatino Linotype" w:eastAsia="Calibri" w:hAnsi="Palatino Linotype"/>
          <w:lang w:val="es-CO"/>
        </w:rPr>
        <w:t xml:space="preserve">Bajo ese tenor y en términos del artículo 186 fracción I este Pleno determina el </w:t>
      </w:r>
      <w:r w:rsidRPr="00024CC1">
        <w:rPr>
          <w:rFonts w:ascii="Palatino Linotype" w:eastAsia="Calibri" w:hAnsi="Palatino Linotype"/>
          <w:b/>
          <w:lang w:val="es-CO"/>
        </w:rPr>
        <w:t xml:space="preserve">SOBRESEIMIENTO </w:t>
      </w:r>
      <w:r w:rsidRPr="00024CC1">
        <w:rPr>
          <w:rFonts w:ascii="Palatino Linotype" w:eastAsia="Calibri" w:hAnsi="Palatino Linotype"/>
          <w:lang w:val="es-CO"/>
        </w:rPr>
        <w:t>del presente recurso de revisión, toda vez que la afectación al derecho de acceso a la información pública establecido constitucionalmente a favor del particular, ha sido resarcida.</w:t>
      </w:r>
    </w:p>
    <w:p w14:paraId="71B25D12" w14:textId="77777777" w:rsidR="00450FBC" w:rsidRPr="00024CC1" w:rsidRDefault="00450FBC" w:rsidP="00450FBC">
      <w:pPr>
        <w:spacing w:line="360" w:lineRule="auto"/>
        <w:contextualSpacing/>
        <w:jc w:val="both"/>
        <w:rPr>
          <w:rFonts w:ascii="Palatino Linotype" w:eastAsia="Calibri" w:hAnsi="Palatino Linotype"/>
        </w:rPr>
      </w:pPr>
    </w:p>
    <w:p w14:paraId="62A9790B" w14:textId="77777777" w:rsidR="00450FBC" w:rsidRPr="00024CC1" w:rsidRDefault="00450FBC" w:rsidP="00450FBC">
      <w:pPr>
        <w:numPr>
          <w:ilvl w:val="0"/>
          <w:numId w:val="20"/>
        </w:numPr>
        <w:spacing w:line="360" w:lineRule="auto"/>
        <w:ind w:left="0" w:firstLine="0"/>
        <w:contextualSpacing/>
        <w:jc w:val="both"/>
        <w:rPr>
          <w:rFonts w:ascii="Palatino Linotype" w:eastAsia="Calibri" w:hAnsi="Palatino Linotype"/>
        </w:rPr>
      </w:pPr>
      <w:r w:rsidRPr="00024CC1">
        <w:rPr>
          <w:rFonts w:ascii="Palatino Linotype" w:eastAsia="Calibri" w:hAnsi="Palatino Linotype"/>
        </w:rPr>
        <w:t xml:space="preserve">Por lo anteriormente expuesto y fundado, este </w:t>
      </w:r>
      <w:r w:rsidRPr="00024CC1">
        <w:rPr>
          <w:rFonts w:ascii="Palatino Linotype" w:eastAsia="Calibri" w:hAnsi="Palatino Linotype"/>
          <w:b/>
          <w:bCs/>
        </w:rPr>
        <w:t>ÓRGANO GARANTE</w:t>
      </w:r>
      <w:r w:rsidRPr="00024CC1">
        <w:rPr>
          <w:rFonts w:ascii="Palatino Linotype" w:eastAsia="Calibri" w:hAnsi="Palatino Linotype"/>
        </w:rPr>
        <w:t xml:space="preserve"> emite los siguientes:</w:t>
      </w:r>
    </w:p>
    <w:p w14:paraId="1A957E6E" w14:textId="77777777" w:rsidR="00450FBC" w:rsidRPr="00024CC1" w:rsidRDefault="00450FBC" w:rsidP="00450FBC">
      <w:pPr>
        <w:spacing w:line="360" w:lineRule="auto"/>
        <w:contextualSpacing/>
        <w:jc w:val="both"/>
        <w:rPr>
          <w:rFonts w:ascii="Palatino Linotype" w:eastAsia="Calibri" w:hAnsi="Palatino Linotype"/>
        </w:rPr>
      </w:pPr>
    </w:p>
    <w:p w14:paraId="741FF6DC" w14:textId="77777777" w:rsidR="00450FBC" w:rsidRPr="00024CC1" w:rsidRDefault="00450FBC" w:rsidP="00450FBC">
      <w:pPr>
        <w:spacing w:line="360" w:lineRule="auto"/>
        <w:contextualSpacing/>
        <w:jc w:val="both"/>
        <w:rPr>
          <w:rFonts w:ascii="Palatino Linotype" w:eastAsia="Calibri" w:hAnsi="Palatino Linotype"/>
        </w:rPr>
      </w:pPr>
    </w:p>
    <w:p w14:paraId="094E38E8" w14:textId="77777777" w:rsidR="00450FBC" w:rsidRPr="00024CC1" w:rsidRDefault="00450FBC" w:rsidP="00450FBC">
      <w:pPr>
        <w:spacing w:line="360" w:lineRule="auto"/>
        <w:contextualSpacing/>
        <w:jc w:val="both"/>
        <w:rPr>
          <w:rFonts w:ascii="Palatino Linotype" w:eastAsia="Calibri" w:hAnsi="Palatino Linotype"/>
        </w:rPr>
      </w:pPr>
    </w:p>
    <w:p w14:paraId="18E9CDD0" w14:textId="77777777" w:rsidR="00450FBC" w:rsidRPr="00024CC1" w:rsidRDefault="00450FBC" w:rsidP="00450FBC">
      <w:pPr>
        <w:spacing w:line="360" w:lineRule="auto"/>
        <w:contextualSpacing/>
        <w:jc w:val="both"/>
        <w:rPr>
          <w:rFonts w:ascii="Palatino Linotype" w:eastAsia="Calibri" w:hAnsi="Palatino Linotype"/>
        </w:rPr>
      </w:pPr>
    </w:p>
    <w:p w14:paraId="5C895A82" w14:textId="77777777" w:rsidR="00450FBC" w:rsidRPr="00024CC1" w:rsidRDefault="00450FBC" w:rsidP="00450FBC">
      <w:pPr>
        <w:keepNext/>
        <w:keepLines/>
        <w:spacing w:line="360" w:lineRule="auto"/>
        <w:jc w:val="center"/>
        <w:outlineLvl w:val="0"/>
        <w:rPr>
          <w:rFonts w:ascii="Palatino Linotype" w:eastAsiaTheme="majorEastAsia" w:hAnsi="Palatino Linotype" w:cstheme="majorBidi"/>
          <w:b/>
          <w:color w:val="000000" w:themeColor="text1"/>
          <w:lang w:val="es-MX" w:eastAsia="en-US"/>
        </w:rPr>
      </w:pPr>
      <w:bookmarkStart w:id="18" w:name="_Toc528153792"/>
      <w:bookmarkStart w:id="19" w:name="_Toc71158406"/>
      <w:r w:rsidRPr="00024CC1">
        <w:rPr>
          <w:rFonts w:ascii="Palatino Linotype" w:eastAsiaTheme="majorEastAsia" w:hAnsi="Palatino Linotype" w:cstheme="majorBidi"/>
          <w:b/>
          <w:color w:val="000000" w:themeColor="text1"/>
          <w:lang w:val="es-MX" w:eastAsia="en-US"/>
        </w:rPr>
        <w:t>R E S O L U T I V O S</w:t>
      </w:r>
      <w:bookmarkEnd w:id="18"/>
      <w:bookmarkEnd w:id="19"/>
    </w:p>
    <w:p w14:paraId="1C62250A" w14:textId="77777777" w:rsidR="00450FBC" w:rsidRPr="00024CC1" w:rsidRDefault="00450FBC" w:rsidP="00450FBC">
      <w:pPr>
        <w:keepNext/>
        <w:keepLines/>
        <w:spacing w:line="360" w:lineRule="auto"/>
        <w:jc w:val="center"/>
        <w:outlineLvl w:val="0"/>
        <w:rPr>
          <w:rFonts w:ascii="Palatino Linotype" w:eastAsiaTheme="majorEastAsia" w:hAnsi="Palatino Linotype" w:cstheme="majorBidi"/>
          <w:b/>
          <w:color w:val="000000" w:themeColor="text1"/>
          <w:lang w:val="es-MX" w:eastAsia="en-US"/>
        </w:rPr>
      </w:pPr>
    </w:p>
    <w:p w14:paraId="7C33B51D" w14:textId="77777777" w:rsidR="00450FBC" w:rsidRPr="00024CC1" w:rsidRDefault="00450FBC" w:rsidP="00450FBC">
      <w:pPr>
        <w:pStyle w:val="Sinespaciado"/>
        <w:spacing w:line="360" w:lineRule="auto"/>
        <w:jc w:val="both"/>
        <w:rPr>
          <w:rFonts w:ascii="Palatino Linotype" w:hAnsi="Palatino Linotype"/>
          <w:szCs w:val="20"/>
        </w:rPr>
      </w:pPr>
      <w:r w:rsidRPr="00024CC1">
        <w:rPr>
          <w:rFonts w:ascii="Palatino Linotype" w:hAnsi="Palatino Linotype"/>
          <w:b/>
          <w:szCs w:val="20"/>
        </w:rPr>
        <w:t xml:space="preserve">PRIMERO. </w:t>
      </w:r>
      <w:r w:rsidRPr="00024CC1">
        <w:rPr>
          <w:rFonts w:ascii="Palatino Linotype" w:hAnsi="Palatino Linotype"/>
          <w:szCs w:val="20"/>
        </w:rPr>
        <w:t xml:space="preserve">Se </w:t>
      </w:r>
      <w:r w:rsidRPr="00024CC1">
        <w:rPr>
          <w:rFonts w:ascii="Palatino Linotype" w:hAnsi="Palatino Linotype"/>
          <w:b/>
          <w:szCs w:val="20"/>
        </w:rPr>
        <w:t>SOBRESEE</w:t>
      </w:r>
      <w:r w:rsidRPr="00024CC1">
        <w:rPr>
          <w:rFonts w:ascii="Palatino Linotype" w:hAnsi="Palatino Linotype"/>
          <w:szCs w:val="20"/>
        </w:rPr>
        <w:t xml:space="preserve"> el recurso de revisión número </w:t>
      </w:r>
      <w:r w:rsidRPr="00024CC1">
        <w:rPr>
          <w:rFonts w:ascii="Palatino Linotype" w:hAnsi="Palatino Linotype"/>
          <w:b/>
          <w:szCs w:val="20"/>
        </w:rPr>
        <w:t>15428/INFOEM/IP/RR/2022</w:t>
      </w:r>
      <w:r w:rsidRPr="00024CC1">
        <w:rPr>
          <w:rFonts w:ascii="Palatino Linotype" w:hAnsi="Palatino Linotype"/>
          <w:szCs w:val="20"/>
        </w:rPr>
        <w:t xml:space="preserve">, con fundamento en el </w:t>
      </w:r>
      <w:r w:rsidRPr="00024CC1">
        <w:rPr>
          <w:rFonts w:ascii="Palatino Linotype" w:eastAsia="Calibri" w:hAnsi="Palatino Linotype"/>
        </w:rPr>
        <w:t>artículo 192 fracción III de la Ley de Transparencia y Acceso a la Información Pública del Estado de México y Municipios,</w:t>
      </w:r>
      <w:r w:rsidRPr="00024CC1">
        <w:rPr>
          <w:rFonts w:ascii="Palatino Linotype" w:hAnsi="Palatino Linotype"/>
          <w:szCs w:val="20"/>
        </w:rPr>
        <w:t xml:space="preserve"> porque al </w:t>
      </w:r>
      <w:r w:rsidRPr="00024CC1">
        <w:rPr>
          <w:rFonts w:ascii="Palatino Linotype" w:hAnsi="Palatino Linotype"/>
          <w:b/>
          <w:szCs w:val="20"/>
        </w:rPr>
        <w:t>atender lo solicitado a través del informe justificado, el recurso</w:t>
      </w:r>
      <w:r w:rsidRPr="00024CC1">
        <w:rPr>
          <w:rFonts w:ascii="Palatino Linotype" w:hAnsi="Palatino Linotype"/>
          <w:szCs w:val="20"/>
        </w:rPr>
        <w:t xml:space="preserve"> de revisión quedó sin materia en términos del Considerando </w:t>
      </w:r>
      <w:r w:rsidRPr="00024CC1">
        <w:rPr>
          <w:rFonts w:ascii="Palatino Linotype" w:hAnsi="Palatino Linotype"/>
          <w:b/>
          <w:szCs w:val="20"/>
        </w:rPr>
        <w:t>TERCERO</w:t>
      </w:r>
      <w:r w:rsidRPr="00024CC1">
        <w:rPr>
          <w:rFonts w:ascii="Palatino Linotype" w:hAnsi="Palatino Linotype"/>
          <w:szCs w:val="20"/>
        </w:rPr>
        <w:t xml:space="preserve"> de la presente resolución.</w:t>
      </w:r>
    </w:p>
    <w:p w14:paraId="66B81A7C" w14:textId="77777777" w:rsidR="00450FBC" w:rsidRPr="00024CC1" w:rsidRDefault="00450FBC" w:rsidP="00450FBC">
      <w:pPr>
        <w:pStyle w:val="Sinespaciado"/>
        <w:spacing w:line="360" w:lineRule="auto"/>
        <w:jc w:val="both"/>
        <w:rPr>
          <w:rFonts w:ascii="Palatino Linotype" w:hAnsi="Palatino Linotype"/>
          <w:szCs w:val="20"/>
        </w:rPr>
      </w:pPr>
    </w:p>
    <w:p w14:paraId="3FDCF81D" w14:textId="77777777" w:rsidR="00450FBC" w:rsidRPr="00024CC1" w:rsidRDefault="00450FBC" w:rsidP="00450FBC">
      <w:pPr>
        <w:pStyle w:val="Sinespaciado"/>
        <w:spacing w:line="360" w:lineRule="auto"/>
        <w:jc w:val="both"/>
        <w:rPr>
          <w:rFonts w:ascii="Palatino Linotype" w:eastAsia="Calibri" w:hAnsi="Palatino Linotype" w:cs="Arial"/>
          <w:b/>
          <w:bCs/>
          <w:lang w:val="es-ES"/>
        </w:rPr>
      </w:pPr>
      <w:r w:rsidRPr="00024CC1">
        <w:rPr>
          <w:rFonts w:ascii="Palatino Linotype" w:eastAsia="Calibri" w:hAnsi="Palatino Linotype" w:cs="Arial"/>
          <w:b/>
          <w:bCs/>
          <w:lang w:val="es-ES"/>
        </w:rPr>
        <w:t xml:space="preserve">SEGUNDO. REMÍTASE </w:t>
      </w:r>
      <w:r w:rsidRPr="00024CC1">
        <w:rPr>
          <w:rFonts w:ascii="Palatino Linotype" w:eastAsia="Calibri" w:hAnsi="Palatino Linotype" w:cs="Arial"/>
          <w:bCs/>
          <w:lang w:val="es-ES"/>
        </w:rPr>
        <w:t xml:space="preserve">a través del Sistema de Acceso a la Información Mexiquense </w:t>
      </w:r>
      <w:r w:rsidRPr="00024CC1">
        <w:rPr>
          <w:rFonts w:ascii="Palatino Linotype" w:eastAsia="Calibri" w:hAnsi="Palatino Linotype" w:cs="Arial"/>
          <w:b/>
          <w:bCs/>
          <w:lang w:val="es-ES"/>
        </w:rPr>
        <w:t xml:space="preserve">(SAIMEX) </w:t>
      </w:r>
      <w:r w:rsidRPr="00024CC1">
        <w:rPr>
          <w:rFonts w:ascii="Palatino Linotype" w:eastAsia="Calibri" w:hAnsi="Palatino Linotype" w:cs="Arial"/>
          <w:bCs/>
          <w:lang w:val="es-ES"/>
        </w:rPr>
        <w:t>la presente resolución al Titular de la Unidad de Transparencia del</w:t>
      </w:r>
      <w:r w:rsidRPr="00024CC1">
        <w:rPr>
          <w:rFonts w:ascii="Palatino Linotype" w:eastAsia="Calibri" w:hAnsi="Palatino Linotype" w:cs="Arial"/>
          <w:b/>
          <w:bCs/>
          <w:lang w:val="es-ES"/>
        </w:rPr>
        <w:t xml:space="preserve"> SUJETO OBLIGADO. </w:t>
      </w:r>
    </w:p>
    <w:p w14:paraId="1B274E0C" w14:textId="77777777" w:rsidR="00450FBC" w:rsidRPr="00024CC1" w:rsidRDefault="00450FBC" w:rsidP="00450FBC">
      <w:pPr>
        <w:pStyle w:val="Sinespaciado"/>
        <w:tabs>
          <w:tab w:val="left" w:pos="3263"/>
        </w:tabs>
        <w:spacing w:line="360" w:lineRule="auto"/>
        <w:jc w:val="both"/>
        <w:rPr>
          <w:rFonts w:ascii="Palatino Linotype" w:eastAsia="Palatino Linotype" w:hAnsi="Palatino Linotype" w:cs="Palatino Linotype"/>
          <w:b/>
        </w:rPr>
      </w:pPr>
      <w:r w:rsidRPr="00024CC1">
        <w:rPr>
          <w:rFonts w:ascii="Palatino Linotype" w:eastAsia="Palatino Linotype" w:hAnsi="Palatino Linotype" w:cs="Palatino Linotype"/>
          <w:b/>
        </w:rPr>
        <w:tab/>
      </w:r>
    </w:p>
    <w:p w14:paraId="4DE9F036" w14:textId="77777777" w:rsidR="00450FBC" w:rsidRPr="00024CC1" w:rsidRDefault="00450FBC" w:rsidP="00450FBC">
      <w:pPr>
        <w:pStyle w:val="Sinespaciado"/>
        <w:spacing w:line="360" w:lineRule="auto"/>
        <w:jc w:val="both"/>
        <w:rPr>
          <w:rFonts w:ascii="Palatino Linotype" w:hAnsi="Palatino Linotype"/>
          <w:color w:val="222222"/>
          <w:lang w:val="es-ES" w:eastAsia="es-MX"/>
        </w:rPr>
      </w:pPr>
      <w:r w:rsidRPr="00024CC1">
        <w:rPr>
          <w:rFonts w:ascii="Palatino Linotype" w:hAnsi="Palatino Linotype" w:cs="Arial"/>
          <w:b/>
        </w:rPr>
        <w:t xml:space="preserve">TERCERO. </w:t>
      </w:r>
      <w:r w:rsidRPr="00024CC1">
        <w:rPr>
          <w:rFonts w:ascii="Palatino Linotype" w:hAnsi="Palatino Linotype"/>
          <w:b/>
          <w:bCs/>
          <w:lang w:val="es-ES"/>
        </w:rPr>
        <w:t xml:space="preserve">Notifíquese </w:t>
      </w:r>
      <w:r w:rsidRPr="00024CC1">
        <w:rPr>
          <w:rFonts w:ascii="Palatino Linotype" w:hAnsi="Palatino Linotype"/>
          <w:bCs/>
          <w:lang w:val="es-ES"/>
        </w:rPr>
        <w:t xml:space="preserve">al </w:t>
      </w:r>
      <w:r w:rsidRPr="00024CC1">
        <w:rPr>
          <w:rFonts w:ascii="Palatino Linotype" w:hAnsi="Palatino Linotype"/>
          <w:b/>
          <w:bCs/>
          <w:lang w:val="es-ES"/>
        </w:rPr>
        <w:t>RECURRENTE</w:t>
      </w:r>
      <w:r w:rsidRPr="00024CC1">
        <w:rPr>
          <w:rFonts w:ascii="Palatino Linotype" w:hAnsi="Palatino Linotype"/>
        </w:rPr>
        <w:t xml:space="preserve"> </w:t>
      </w:r>
      <w:r w:rsidRPr="00024CC1">
        <w:rPr>
          <w:rFonts w:ascii="Palatino Linotype" w:hAnsi="Palatino Linotype"/>
          <w:lang w:val="es-ES" w:eastAsia="es-MX"/>
        </w:rPr>
        <w:t>la presente resolución.</w:t>
      </w:r>
    </w:p>
    <w:p w14:paraId="22B116E5" w14:textId="77777777" w:rsidR="00450FBC" w:rsidRPr="00024CC1" w:rsidRDefault="00450FBC" w:rsidP="00450FBC">
      <w:pPr>
        <w:pStyle w:val="Sinespaciado"/>
        <w:spacing w:line="360" w:lineRule="auto"/>
        <w:jc w:val="both"/>
        <w:rPr>
          <w:rFonts w:ascii="Palatino Linotype" w:hAnsi="Palatino Linotype"/>
          <w:color w:val="222222"/>
          <w:lang w:val="es-ES" w:eastAsia="es-MX"/>
        </w:rPr>
      </w:pPr>
    </w:p>
    <w:p w14:paraId="7EC80968" w14:textId="77777777" w:rsidR="00450FBC" w:rsidRPr="00024CC1" w:rsidRDefault="00450FBC" w:rsidP="00450FBC">
      <w:pPr>
        <w:spacing w:line="360" w:lineRule="auto"/>
        <w:jc w:val="both"/>
        <w:rPr>
          <w:rFonts w:ascii="Palatino Linotype" w:eastAsia="MS Mincho" w:hAnsi="Palatino Linotype"/>
        </w:rPr>
      </w:pPr>
      <w:r w:rsidRPr="00024CC1">
        <w:rPr>
          <w:rFonts w:ascii="Palatino Linotype" w:eastAsia="MS Mincho" w:hAnsi="Palatino Linotype"/>
          <w:b/>
          <w:lang w:val="es-MX"/>
        </w:rPr>
        <w:t>CUARTO.</w:t>
      </w:r>
      <w:r w:rsidRPr="00024CC1">
        <w:rPr>
          <w:rFonts w:ascii="Palatino Linotype" w:eastAsia="MS Mincho" w:hAnsi="Palatino Linotype"/>
          <w:lang w:val="es-MX"/>
        </w:rPr>
        <w:t xml:space="preserve"> </w:t>
      </w:r>
      <w:r w:rsidRPr="00024CC1">
        <w:rPr>
          <w:rFonts w:ascii="Palatino Linotype" w:eastAsia="MS Mincho" w:hAnsi="Palatino Linotype"/>
        </w:rPr>
        <w:t xml:space="preserve">Se hace del conocimiento del </w:t>
      </w:r>
      <w:r w:rsidRPr="00024CC1">
        <w:rPr>
          <w:rFonts w:ascii="Palatino Linotype" w:hAnsi="Palatino Linotype"/>
          <w:b/>
          <w:bCs/>
        </w:rPr>
        <w:t>RECURRENTE</w:t>
      </w:r>
      <w:r w:rsidRPr="00024CC1">
        <w:rPr>
          <w:rFonts w:ascii="Palatino Linotype" w:hAnsi="Palatino Linotype"/>
        </w:rPr>
        <w:t xml:space="preserve">  </w:t>
      </w:r>
      <w:r w:rsidRPr="00024CC1">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024CC1">
        <w:rPr>
          <w:rFonts w:ascii="Palatino Linotype" w:eastAsia="MS Mincho" w:hAnsi="Palatino Linotype"/>
          <w:bCs/>
        </w:rPr>
        <w:t>vía juicio de amparo</w:t>
      </w:r>
      <w:r w:rsidRPr="00024CC1">
        <w:rPr>
          <w:rFonts w:ascii="Palatino Linotype" w:eastAsia="MS Mincho" w:hAnsi="Palatino Linotype"/>
        </w:rPr>
        <w:t> en los términos de las leyes aplicables.</w:t>
      </w:r>
    </w:p>
    <w:p w14:paraId="5B1DE027" w14:textId="77777777" w:rsidR="00450FBC" w:rsidRPr="00024CC1" w:rsidRDefault="00450FBC" w:rsidP="00450FBC">
      <w:pPr>
        <w:spacing w:line="360" w:lineRule="auto"/>
        <w:jc w:val="both"/>
        <w:rPr>
          <w:rFonts w:ascii="Palatino Linotype" w:eastAsia="Calibri" w:hAnsi="Palatino Linotype" w:cs="Arial"/>
          <w:lang w:eastAsia="en-US"/>
        </w:rPr>
      </w:pPr>
    </w:p>
    <w:p w14:paraId="242D1E4C" w14:textId="77777777" w:rsidR="00450FBC" w:rsidRPr="00024CC1" w:rsidRDefault="00450FBC" w:rsidP="00450FBC"/>
    <w:p w14:paraId="71F01330" w14:textId="77777777" w:rsidR="00450FBC" w:rsidRDefault="00450FBC" w:rsidP="00450FBC">
      <w:pPr>
        <w:spacing w:before="240" w:after="240" w:line="360" w:lineRule="auto"/>
        <w:jc w:val="both"/>
        <w:rPr>
          <w:rFonts w:ascii="Palatino Linotype" w:hAnsi="Palatino Linotype"/>
        </w:rPr>
      </w:pPr>
      <w:r w:rsidRPr="00024CC1">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SEGUNDA SESIÓN ORDINARIA CELEBRADA EL DIECIOCHO (18) DE NOVIEMBRE DE DOS MIL VEINTIDÓS, ANTE EL SECRETARIO TÉCNICO DEL PLENO ALEXIS TAPIA RAMÍREZ.</w:t>
      </w:r>
      <w:bookmarkStart w:id="20" w:name="_GoBack"/>
      <w:bookmarkEnd w:id="20"/>
      <w:r w:rsidRPr="00624AAD">
        <w:rPr>
          <w:rFonts w:ascii="Palatino Linotype" w:hAnsi="Palatino Linotype"/>
        </w:rPr>
        <w:t xml:space="preserve"> </w:t>
      </w:r>
    </w:p>
    <w:p w14:paraId="221D0084" w14:textId="77777777" w:rsidR="00450FBC" w:rsidRDefault="00450FBC" w:rsidP="00450FBC"/>
    <w:p w14:paraId="4DA986F8" w14:textId="77777777" w:rsidR="00450FBC" w:rsidRDefault="00450FBC" w:rsidP="00450FBC"/>
    <w:p w14:paraId="7BABA8B7" w14:textId="77777777" w:rsidR="00450FBC" w:rsidRDefault="00450FBC" w:rsidP="00450FBC"/>
    <w:p w14:paraId="4453F8E6" w14:textId="0999C4CD" w:rsidR="00090DE6" w:rsidRPr="00450FBC" w:rsidRDefault="00090DE6" w:rsidP="00450FBC"/>
    <w:sectPr w:rsidR="00090DE6" w:rsidRPr="00450FBC" w:rsidSect="00130703">
      <w:headerReference w:type="default" r:id="rId10"/>
      <w:footerReference w:type="default" r:id="rId11"/>
      <w:headerReference w:type="first" r:id="rId12"/>
      <w:footerReference w:type="first" r:id="rId13"/>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47E17" w14:textId="77777777" w:rsidR="005B0FCF" w:rsidRDefault="005B0FCF" w:rsidP="00C80F8C">
      <w:r>
        <w:separator/>
      </w:r>
    </w:p>
  </w:endnote>
  <w:endnote w:type="continuationSeparator" w:id="0">
    <w:p w14:paraId="3D30F6CE" w14:textId="77777777" w:rsidR="005B0FCF" w:rsidRDefault="005B0FC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65516BC" w:rsidR="0058724F" w:rsidRPr="00817AAB" w:rsidRDefault="0058724F"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024CC1">
      <w:rPr>
        <w:rFonts w:ascii="Palatino Linotype" w:hAnsi="Palatino Linotype" w:cs="Arial"/>
        <w:b/>
        <w:bCs/>
        <w:noProof/>
      </w:rPr>
      <w:t>15</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024CC1">
      <w:rPr>
        <w:rFonts w:ascii="Palatino Linotype" w:hAnsi="Palatino Linotype" w:cs="Arial"/>
        <w:b/>
        <w:bCs/>
        <w:noProof/>
      </w:rPr>
      <w:t>15</w:t>
    </w:r>
    <w:r w:rsidRPr="00817AAB">
      <w:rPr>
        <w:rFonts w:ascii="Palatino Linotype" w:hAnsi="Palatino Linotype" w:cs="Arial"/>
        <w:b/>
        <w:bCs/>
      </w:rPr>
      <w:fldChar w:fldCharType="end"/>
    </w:r>
  </w:p>
  <w:p w14:paraId="1192A578" w14:textId="77777777" w:rsidR="0058724F" w:rsidRDefault="0058724F" w:rsidP="00935A0D">
    <w:pPr>
      <w:pStyle w:val="Piedepgina"/>
      <w:rPr>
        <w:rFonts w:ascii="Times New Roman" w:hAnsi="Times New Roman" w:cs="Times New Roman"/>
      </w:rPr>
    </w:pPr>
  </w:p>
  <w:p w14:paraId="14A770F8" w14:textId="3FC3D22C" w:rsidR="0058724F" w:rsidRDefault="0058724F"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50ACCE4" w:rsidR="0058724F" w:rsidRDefault="0058724F"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24CC1">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24CC1">
      <w:rPr>
        <w:rFonts w:ascii="Arial" w:hAnsi="Arial" w:cs="Arial"/>
        <w:b/>
        <w:bCs/>
        <w:noProof/>
        <w:sz w:val="20"/>
        <w:szCs w:val="20"/>
      </w:rPr>
      <w:t>15</w:t>
    </w:r>
    <w:r>
      <w:rPr>
        <w:rFonts w:ascii="Arial" w:hAnsi="Arial" w:cs="Arial"/>
        <w:b/>
        <w:bCs/>
        <w:sz w:val="20"/>
        <w:szCs w:val="20"/>
      </w:rPr>
      <w:fldChar w:fldCharType="end"/>
    </w:r>
  </w:p>
  <w:p w14:paraId="5D98ABD5" w14:textId="06A7AC22" w:rsidR="0058724F" w:rsidRDefault="005872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FF575" w14:textId="77777777" w:rsidR="005B0FCF" w:rsidRDefault="005B0FCF" w:rsidP="00C80F8C">
      <w:r>
        <w:separator/>
      </w:r>
    </w:p>
  </w:footnote>
  <w:footnote w:type="continuationSeparator" w:id="0">
    <w:p w14:paraId="58A89620" w14:textId="77777777" w:rsidR="005B0FCF" w:rsidRDefault="005B0FC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01" w:type="dxa"/>
      <w:tblInd w:w="2410" w:type="dxa"/>
      <w:tblLayout w:type="fixed"/>
      <w:tblLook w:val="04A0" w:firstRow="1" w:lastRow="0" w:firstColumn="1" w:lastColumn="0" w:noHBand="0" w:noVBand="1"/>
    </w:tblPr>
    <w:tblGrid>
      <w:gridCol w:w="2693"/>
      <w:gridCol w:w="4308"/>
    </w:tblGrid>
    <w:tr w:rsidR="0058724F" w14:paraId="6B4E3B81" w14:textId="77777777" w:rsidTr="001B198C">
      <w:tc>
        <w:tcPr>
          <w:tcW w:w="2693" w:type="dxa"/>
          <w:vAlign w:val="center"/>
          <w:hideMark/>
        </w:tcPr>
        <w:p w14:paraId="0ABBC6C0" w14:textId="1226DAAF" w:rsidR="0058724F" w:rsidRPr="00B4299A" w:rsidRDefault="0058724F"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4308" w:type="dxa"/>
          <w:vAlign w:val="center"/>
          <w:hideMark/>
        </w:tcPr>
        <w:p w14:paraId="60C471CA" w14:textId="6CFB3B37" w:rsidR="0058724F" w:rsidRPr="00B4299A" w:rsidRDefault="00450FBC" w:rsidP="001B198C">
          <w:pPr>
            <w:ind w:right="514"/>
            <w:rPr>
              <w:rFonts w:ascii="Palatino Linotype" w:hAnsi="Palatino Linotype"/>
              <w:b/>
              <w:szCs w:val="22"/>
              <w:lang w:val="es-ES_tradnl"/>
            </w:rPr>
          </w:pPr>
          <w:r>
            <w:rPr>
              <w:rFonts w:ascii="Palatino Linotype" w:hAnsi="Palatino Linotype" w:cs="Arial"/>
              <w:b/>
              <w:bCs/>
              <w:sz w:val="22"/>
              <w:szCs w:val="22"/>
              <w:lang w:eastAsia="es-MX"/>
            </w:rPr>
            <w:t>15428/INFOEM/IP/RR/2022</w:t>
          </w:r>
        </w:p>
      </w:tc>
    </w:tr>
    <w:tr w:rsidR="0058724F" w14:paraId="31CB780F" w14:textId="77777777" w:rsidTr="001B198C">
      <w:trPr>
        <w:trHeight w:val="228"/>
      </w:trPr>
      <w:tc>
        <w:tcPr>
          <w:tcW w:w="2693" w:type="dxa"/>
          <w:vAlign w:val="center"/>
          <w:hideMark/>
        </w:tcPr>
        <w:p w14:paraId="4F49CB4A" w14:textId="6966D32E" w:rsidR="0058724F" w:rsidRPr="00B4299A" w:rsidRDefault="0058724F" w:rsidP="000F64A8">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4308" w:type="dxa"/>
          <w:vAlign w:val="center"/>
          <w:hideMark/>
        </w:tcPr>
        <w:p w14:paraId="5D08B318" w14:textId="6D6268C5" w:rsidR="0058724F" w:rsidRPr="00B4299A" w:rsidRDefault="00450FBC" w:rsidP="00E95D75">
          <w:pPr>
            <w:ind w:right="514"/>
            <w:jc w:val="both"/>
            <w:rPr>
              <w:rFonts w:ascii="Palatino Linotype" w:hAnsi="Palatino Linotype"/>
              <w:b/>
              <w:szCs w:val="22"/>
              <w:lang w:val="es-ES_tradnl"/>
            </w:rPr>
          </w:pPr>
          <w:r w:rsidRPr="00EC173E">
            <w:rPr>
              <w:rFonts w:ascii="Palatino Linotype" w:hAnsi="Palatino Linotype"/>
              <w:b/>
              <w:sz w:val="22"/>
              <w:szCs w:val="22"/>
            </w:rPr>
            <w:t>Ayuntamiento de Nezahualcóyotl</w:t>
          </w:r>
        </w:p>
      </w:tc>
    </w:tr>
    <w:tr w:rsidR="0058724F" w14:paraId="69050F56" w14:textId="77777777" w:rsidTr="001B198C">
      <w:tc>
        <w:tcPr>
          <w:tcW w:w="2693" w:type="dxa"/>
          <w:vAlign w:val="center"/>
          <w:hideMark/>
        </w:tcPr>
        <w:p w14:paraId="65C9B735" w14:textId="75C78F81" w:rsidR="0058724F" w:rsidRPr="00B4299A" w:rsidRDefault="0058724F"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4308" w:type="dxa"/>
          <w:vAlign w:val="center"/>
          <w:hideMark/>
        </w:tcPr>
        <w:p w14:paraId="06864B57" w14:textId="6DFA8051" w:rsidR="0058724F" w:rsidRPr="00B4299A" w:rsidRDefault="00450FBC" w:rsidP="001B198C">
          <w:pPr>
            <w:ind w:right="514"/>
            <w:rPr>
              <w:rFonts w:ascii="Palatino Linotype" w:hAnsi="Palatino Linotype"/>
              <w:b/>
              <w:szCs w:val="22"/>
              <w:lang w:val="es-ES_tradnl"/>
            </w:rPr>
          </w:pPr>
          <w:r>
            <w:rPr>
              <w:rFonts w:ascii="Palatino Linotype" w:hAnsi="Palatino Linotype"/>
              <w:b/>
              <w:sz w:val="22"/>
              <w:szCs w:val="22"/>
            </w:rPr>
            <w:t>María del Rosario Mejía Ayala</w:t>
          </w:r>
        </w:p>
      </w:tc>
    </w:tr>
  </w:tbl>
  <w:p w14:paraId="0F9141D0" w14:textId="5662C650" w:rsidR="0058724F" w:rsidRDefault="0058724F"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26AF5387">
          <wp:simplePos x="0" y="0"/>
          <wp:positionH relativeFrom="page">
            <wp:posOffset>76200</wp:posOffset>
          </wp:positionH>
          <wp:positionV relativeFrom="paragraph">
            <wp:posOffset>-1019175</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58724F" w:rsidRDefault="0058724F"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5" w:type="dxa"/>
      <w:tblInd w:w="2410" w:type="dxa"/>
      <w:tblLayout w:type="fixed"/>
      <w:tblLook w:val="04A0" w:firstRow="1" w:lastRow="0" w:firstColumn="1" w:lastColumn="0" w:noHBand="0" w:noVBand="1"/>
    </w:tblPr>
    <w:tblGrid>
      <w:gridCol w:w="2693"/>
      <w:gridCol w:w="4822"/>
    </w:tblGrid>
    <w:tr w:rsidR="0058724F" w14:paraId="477E149B" w14:textId="77777777" w:rsidTr="001B198C">
      <w:trPr>
        <w:trHeight w:val="277"/>
      </w:trPr>
      <w:tc>
        <w:tcPr>
          <w:tcW w:w="2693" w:type="dxa"/>
          <w:vAlign w:val="center"/>
          <w:hideMark/>
        </w:tcPr>
        <w:p w14:paraId="5C0586E4" w14:textId="55C5576A" w:rsidR="0058724F" w:rsidRPr="009B3353" w:rsidRDefault="0058724F"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4822" w:type="dxa"/>
          <w:vAlign w:val="center"/>
          <w:hideMark/>
        </w:tcPr>
        <w:p w14:paraId="5B14C95E" w14:textId="223B8C45" w:rsidR="0058724F" w:rsidRPr="009B3353" w:rsidRDefault="00450FBC" w:rsidP="001B198C">
          <w:pPr>
            <w:ind w:right="1028"/>
            <w:rPr>
              <w:rFonts w:ascii="Palatino Linotype" w:hAnsi="Palatino Linotype"/>
              <w:b/>
              <w:szCs w:val="22"/>
              <w:lang w:val="es-ES_tradnl"/>
            </w:rPr>
          </w:pPr>
          <w:r>
            <w:rPr>
              <w:rFonts w:ascii="Palatino Linotype" w:hAnsi="Palatino Linotype" w:cs="Arial"/>
              <w:b/>
              <w:bCs/>
              <w:sz w:val="22"/>
              <w:szCs w:val="22"/>
              <w:lang w:eastAsia="es-MX"/>
            </w:rPr>
            <w:t>15428/INFOEM/IP/RR/2022</w:t>
          </w:r>
        </w:p>
      </w:tc>
    </w:tr>
    <w:tr w:rsidR="0058724F" w14:paraId="5B5BE21C" w14:textId="77777777" w:rsidTr="001B198C">
      <w:tc>
        <w:tcPr>
          <w:tcW w:w="2693" w:type="dxa"/>
          <w:vAlign w:val="center"/>
          <w:hideMark/>
        </w:tcPr>
        <w:p w14:paraId="4AE96902" w14:textId="4E063913" w:rsidR="0058724F" w:rsidRPr="009B3353" w:rsidRDefault="0058724F"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4822" w:type="dxa"/>
          <w:vAlign w:val="center"/>
          <w:hideMark/>
        </w:tcPr>
        <w:p w14:paraId="776E3E60" w14:textId="703F9938" w:rsidR="0058724F" w:rsidRPr="009B3353" w:rsidRDefault="00024CC1" w:rsidP="001B198C">
          <w:pPr>
            <w:ind w:right="1028"/>
            <w:rPr>
              <w:rFonts w:ascii="Palatino Linotype" w:hAnsi="Palatino Linotype"/>
              <w:b/>
              <w:szCs w:val="22"/>
              <w:lang w:val="es-ES_tradnl"/>
            </w:rPr>
          </w:pPr>
          <w:r>
            <w:rPr>
              <w:noProof/>
              <w:lang w:val="es-MX" w:eastAsia="es-MX"/>
            </w:rPr>
            <w:drawing>
              <wp:anchor distT="0" distB="0" distL="114300" distR="114300" simplePos="0" relativeHeight="251659264" behindDoc="1" locked="0" layoutInCell="1" allowOverlap="1" wp14:anchorId="0F18532F" wp14:editId="60CB58C0">
                <wp:simplePos x="0" y="0"/>
                <wp:positionH relativeFrom="page">
                  <wp:posOffset>-4248785</wp:posOffset>
                </wp:positionH>
                <wp:positionV relativeFrom="paragraph">
                  <wp:posOffset>-650875</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b/>
            </w:rPr>
            <w:t xml:space="preserve">XXXX </w:t>
          </w:r>
          <w:proofErr w:type="spellStart"/>
          <w:r>
            <w:rPr>
              <w:rFonts w:ascii="Palatino Linotype" w:hAnsi="Palatino Linotype"/>
              <w:b/>
            </w:rPr>
            <w:t>XXXX</w:t>
          </w:r>
          <w:proofErr w:type="spellEnd"/>
          <w:r>
            <w:rPr>
              <w:rFonts w:ascii="Palatino Linotype" w:hAnsi="Palatino Linotype"/>
              <w:b/>
            </w:rPr>
            <w:t xml:space="preserve"> </w:t>
          </w:r>
          <w:proofErr w:type="spellStart"/>
          <w:r>
            <w:rPr>
              <w:rFonts w:ascii="Palatino Linotype" w:hAnsi="Palatino Linotype"/>
              <w:b/>
            </w:rPr>
            <w:t>XXXX</w:t>
          </w:r>
          <w:proofErr w:type="spellEnd"/>
        </w:p>
      </w:tc>
    </w:tr>
    <w:tr w:rsidR="0058724F" w14:paraId="22601A11" w14:textId="77777777" w:rsidTr="001B198C">
      <w:trPr>
        <w:trHeight w:val="228"/>
      </w:trPr>
      <w:tc>
        <w:tcPr>
          <w:tcW w:w="2693" w:type="dxa"/>
          <w:vAlign w:val="center"/>
          <w:hideMark/>
        </w:tcPr>
        <w:p w14:paraId="6EFE221D" w14:textId="49C5F800" w:rsidR="0058724F" w:rsidRPr="009B3353" w:rsidRDefault="0058724F"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4822" w:type="dxa"/>
          <w:vAlign w:val="center"/>
          <w:hideMark/>
        </w:tcPr>
        <w:p w14:paraId="266F997D" w14:textId="0E4A1043" w:rsidR="0058724F" w:rsidRPr="009B3353" w:rsidRDefault="00450FBC" w:rsidP="00E95D75">
          <w:pPr>
            <w:ind w:right="1028"/>
            <w:jc w:val="both"/>
            <w:rPr>
              <w:rFonts w:ascii="Palatino Linotype" w:eastAsia="Calibri" w:hAnsi="Palatino Linotype"/>
              <w:b/>
              <w:szCs w:val="22"/>
              <w:lang w:val="es-MX" w:eastAsia="en-US"/>
            </w:rPr>
          </w:pPr>
          <w:r>
            <w:rPr>
              <w:rFonts w:ascii="Palatino Linotype" w:hAnsi="Palatino Linotype"/>
              <w:b/>
              <w:sz w:val="22"/>
              <w:szCs w:val="22"/>
            </w:rPr>
            <w:t>Ayuntamiento Nezahualcóyotl</w:t>
          </w:r>
        </w:p>
      </w:tc>
    </w:tr>
    <w:tr w:rsidR="0058724F" w14:paraId="2D6C630E" w14:textId="77777777" w:rsidTr="001B198C">
      <w:tc>
        <w:tcPr>
          <w:tcW w:w="2693" w:type="dxa"/>
          <w:vAlign w:val="center"/>
          <w:hideMark/>
        </w:tcPr>
        <w:p w14:paraId="5BD4C6DB" w14:textId="7CF21504" w:rsidR="0058724F" w:rsidRPr="009B3353" w:rsidRDefault="0058724F"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4822" w:type="dxa"/>
          <w:vAlign w:val="center"/>
          <w:hideMark/>
        </w:tcPr>
        <w:p w14:paraId="0CDDA0BE" w14:textId="4DD6D8B4" w:rsidR="0058724F" w:rsidRPr="009B3353" w:rsidRDefault="00450FBC" w:rsidP="001B198C">
          <w:pPr>
            <w:ind w:right="1028"/>
            <w:rPr>
              <w:rFonts w:ascii="Palatino Linotype" w:hAnsi="Palatino Linotype"/>
              <w:b/>
              <w:szCs w:val="22"/>
              <w:lang w:val="es-ES_tradnl"/>
            </w:rPr>
          </w:pPr>
          <w:r>
            <w:rPr>
              <w:rFonts w:ascii="Palatino Linotype" w:hAnsi="Palatino Linotype"/>
              <w:b/>
              <w:sz w:val="22"/>
              <w:szCs w:val="22"/>
            </w:rPr>
            <w:t>María del Rosario Mejía Ayala</w:t>
          </w:r>
        </w:p>
      </w:tc>
    </w:tr>
  </w:tbl>
  <w:p w14:paraId="59DE3767" w14:textId="1D4AD251" w:rsidR="0058724F" w:rsidRDefault="0058724F"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7A08"/>
    <w:multiLevelType w:val="hybridMultilevel"/>
    <w:tmpl w:val="C444F8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28F4997"/>
    <w:multiLevelType w:val="hybridMultilevel"/>
    <w:tmpl w:val="DF8820CC"/>
    <w:lvl w:ilvl="0" w:tplc="080A0013">
      <w:start w:val="1"/>
      <w:numFmt w:val="upperRoman"/>
      <w:lvlText w:val="%1."/>
      <w:lvlJc w:val="righ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4927ED6"/>
    <w:multiLevelType w:val="hybridMultilevel"/>
    <w:tmpl w:val="E8FEEC04"/>
    <w:lvl w:ilvl="0" w:tplc="FFFFFFFF">
      <w:start w:val="10"/>
      <w:numFmt w:val="decimal"/>
      <w:lvlText w:val="%1."/>
      <w:lvlJc w:val="left"/>
      <w:pPr>
        <w:ind w:left="360" w:hanging="360"/>
      </w:pPr>
      <w:rPr>
        <w:rFonts w:hint="default"/>
        <w:b/>
        <w:i w:val="0"/>
      </w:rPr>
    </w:lvl>
    <w:lvl w:ilvl="1" w:tplc="F4C60022">
      <w:start w:val="1"/>
      <w:numFmt w:val="upperRoman"/>
      <w:lvlText w:val="%2."/>
      <w:lvlJc w:val="right"/>
      <w:pPr>
        <w:ind w:left="1440" w:hanging="360"/>
      </w:pPr>
      <w:rPr>
        <w:b/>
        <w:bCs/>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303A70"/>
    <w:multiLevelType w:val="hybridMultilevel"/>
    <w:tmpl w:val="69AE96AE"/>
    <w:lvl w:ilvl="0" w:tplc="FFFFFFFF">
      <w:start w:val="10"/>
      <w:numFmt w:val="decimal"/>
      <w:lvlText w:val="%1."/>
      <w:lvlJc w:val="left"/>
      <w:pPr>
        <w:ind w:left="360" w:hanging="360"/>
      </w:pPr>
      <w:rPr>
        <w:rFonts w:hint="default"/>
        <w:b/>
        <w:i w:val="0"/>
      </w:rPr>
    </w:lvl>
    <w:lvl w:ilvl="1" w:tplc="03E4972C">
      <w:start w:val="1"/>
      <w:numFmt w:val="upperRoman"/>
      <w:lvlText w:val="%2."/>
      <w:lvlJc w:val="right"/>
      <w:pPr>
        <w:ind w:left="1440" w:hanging="360"/>
      </w:pPr>
      <w:rPr>
        <w:b/>
        <w:bCs/>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EF6AAD"/>
    <w:multiLevelType w:val="hybridMultilevel"/>
    <w:tmpl w:val="DBA6262E"/>
    <w:lvl w:ilvl="0" w:tplc="FFFFFFFF">
      <w:start w:val="1"/>
      <w:numFmt w:val="upperRoman"/>
      <w:lvlText w:val="%1."/>
      <w:lvlJc w:val="right"/>
      <w:pPr>
        <w:ind w:left="1211" w:hanging="360"/>
      </w:pPr>
      <w:rPr>
        <w:rFonts w:hint="default"/>
      </w:rPr>
    </w:lvl>
    <w:lvl w:ilvl="1" w:tplc="080A0017">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7"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34317490"/>
    <w:multiLevelType w:val="hybridMultilevel"/>
    <w:tmpl w:val="4BC2BD9E"/>
    <w:lvl w:ilvl="0" w:tplc="92BE0B36">
      <w:start w:val="1"/>
      <w:numFmt w:val="decimal"/>
      <w:lvlText w:val="%1."/>
      <w:lvlJc w:val="left"/>
      <w:pPr>
        <w:ind w:left="360" w:hanging="360"/>
      </w:pPr>
      <w:rPr>
        <w:rFonts w:ascii="Palatino Linotype" w:hAnsi="Palatino Linotype" w:hint="default"/>
        <w:b/>
        <w:i w:val="0"/>
        <w:color w:val="auto"/>
        <w:sz w:val="24"/>
      </w:rPr>
    </w:lvl>
    <w:lvl w:ilvl="1" w:tplc="65C47E58">
      <w:start w:val="1"/>
      <w:numFmt w:val="lowerLetter"/>
      <w:lvlText w:val="%2)"/>
      <w:lvlJc w:val="left"/>
      <w:pPr>
        <w:ind w:left="1800" w:hanging="720"/>
      </w:pPr>
      <w:rPr>
        <w:b/>
      </w:rPr>
    </w:lvl>
    <w:lvl w:ilvl="2" w:tplc="C8A2758A">
      <w:start w:val="1"/>
      <w:numFmt w:val="lowerRoman"/>
      <w:lvlText w:val="%3."/>
      <w:lvlJc w:val="right"/>
      <w:pPr>
        <w:ind w:left="2160" w:hanging="180"/>
      </w:pPr>
      <w:rPr>
        <w:b/>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0" w15:restartNumberingAfterBreak="0">
    <w:nsid w:val="3C595891"/>
    <w:multiLevelType w:val="hybridMultilevel"/>
    <w:tmpl w:val="F3E64E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3461E3D"/>
    <w:multiLevelType w:val="hybridMultilevel"/>
    <w:tmpl w:val="912A61B8"/>
    <w:lvl w:ilvl="0" w:tplc="ADAC0F46">
      <w:start w:val="1"/>
      <w:numFmt w:val="upperRoman"/>
      <w:lvlText w:val="%1."/>
      <w:lvlJc w:val="right"/>
      <w:pPr>
        <w:ind w:left="720" w:hanging="360"/>
      </w:pPr>
      <w:rPr>
        <w:rFonts w:hint="default"/>
        <w:b/>
      </w:rPr>
    </w:lvl>
    <w:lvl w:ilvl="1" w:tplc="62B63956">
      <w:start w:val="1"/>
      <w:numFmt w:val="lowerLetter"/>
      <w:lvlText w:val="%2)"/>
      <w:lvlJc w:val="left"/>
      <w:pPr>
        <w:ind w:left="1440" w:hanging="360"/>
      </w:pPr>
      <w:rPr>
        <w:rFonts w:hint="default"/>
        <w:b/>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CD41CE"/>
    <w:multiLevelType w:val="hybridMultilevel"/>
    <w:tmpl w:val="DCE0129A"/>
    <w:lvl w:ilvl="0" w:tplc="AAE0F64C">
      <w:start w:val="1"/>
      <w:numFmt w:val="decimal"/>
      <w:lvlText w:val="%1."/>
      <w:lvlJc w:val="left"/>
      <w:pPr>
        <w:ind w:left="720" w:hanging="360"/>
      </w:pPr>
      <w:rPr>
        <w:rFonts w:ascii="Palatino Linotype" w:hAnsi="Palatino Linotype" w:hint="default"/>
        <w:b/>
        <w:i w:val="0"/>
        <w:sz w:val="24"/>
        <w:szCs w:val="24"/>
      </w:rPr>
    </w:lvl>
    <w:lvl w:ilvl="1" w:tplc="A6BAE1D8">
      <w:start w:val="1"/>
      <w:numFmt w:val="upperRoman"/>
      <w:lvlText w:val="%2."/>
      <w:lvlJc w:val="right"/>
      <w:pPr>
        <w:ind w:left="1440" w:hanging="360"/>
      </w:pPr>
      <w:rPr>
        <w:b/>
      </w:rPr>
    </w:lvl>
    <w:lvl w:ilvl="2" w:tplc="0F4E714E">
      <w:start w:val="1"/>
      <w:numFmt w:val="lowerLetter"/>
      <w:lvlText w:val="%3)"/>
      <w:lvlJc w:val="lef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1AF6CC2"/>
    <w:multiLevelType w:val="hybridMultilevel"/>
    <w:tmpl w:val="604CC636"/>
    <w:lvl w:ilvl="0" w:tplc="FFFFFFFF">
      <w:start w:val="1"/>
      <w:numFmt w:val="decimal"/>
      <w:lvlText w:val="%1."/>
      <w:lvlJc w:val="left"/>
      <w:pPr>
        <w:ind w:left="720" w:hanging="360"/>
      </w:pPr>
      <w:rPr>
        <w:rFonts w:ascii="Palatino Linotype" w:hAnsi="Palatino Linotype" w:hint="default"/>
        <w:b/>
        <w:i w:val="0"/>
        <w:sz w:val="24"/>
        <w:szCs w:val="24"/>
      </w:rPr>
    </w:lvl>
    <w:lvl w:ilvl="1" w:tplc="7AD22688">
      <w:start w:val="1"/>
      <w:numFmt w:val="lowerLetter"/>
      <w:lvlText w:val="%2)"/>
      <w:lvlJc w:val="left"/>
      <w:pPr>
        <w:ind w:left="1440" w:hanging="360"/>
      </w:pPr>
      <w:rPr>
        <w:b/>
        <w:bCs/>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A4125F4"/>
    <w:multiLevelType w:val="hybridMultilevel"/>
    <w:tmpl w:val="533E0980"/>
    <w:lvl w:ilvl="0" w:tplc="ADAC0F46">
      <w:start w:val="1"/>
      <w:numFmt w:val="upperRoman"/>
      <w:lvlText w:val="%1."/>
      <w:lvlJc w:val="right"/>
      <w:pPr>
        <w:ind w:left="720" w:hanging="360"/>
      </w:pPr>
      <w:rPr>
        <w:rFonts w:hint="default"/>
        <w:b/>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B330E30"/>
    <w:multiLevelType w:val="hybridMultilevel"/>
    <w:tmpl w:val="66D690E2"/>
    <w:lvl w:ilvl="0" w:tplc="AAE0F64C">
      <w:start w:val="1"/>
      <w:numFmt w:val="decimal"/>
      <w:lvlText w:val="%1."/>
      <w:lvlJc w:val="left"/>
      <w:pPr>
        <w:ind w:left="720" w:hanging="360"/>
      </w:pPr>
      <w:rPr>
        <w:rFonts w:ascii="Palatino Linotype" w:hAnsi="Palatino Linotype" w:hint="default"/>
        <w:b/>
        <w:i w:val="0"/>
        <w:sz w:val="24"/>
        <w:szCs w:val="24"/>
      </w:rPr>
    </w:lvl>
    <w:lvl w:ilvl="1" w:tplc="A6BAE1D8">
      <w:start w:val="1"/>
      <w:numFmt w:val="upperRoman"/>
      <w:lvlText w:val="%2."/>
      <w:lvlJc w:val="right"/>
      <w:pPr>
        <w:ind w:left="1440" w:hanging="360"/>
      </w:pPr>
      <w:rPr>
        <w:b/>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02B190D"/>
    <w:multiLevelType w:val="hybridMultilevel"/>
    <w:tmpl w:val="F8520EE8"/>
    <w:lvl w:ilvl="0" w:tplc="3EF48730">
      <w:start w:val="1"/>
      <w:numFmt w:val="decimal"/>
      <w:lvlText w:val="%1."/>
      <w:lvlJc w:val="left"/>
      <w:pPr>
        <w:ind w:left="644"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659E20E8"/>
    <w:multiLevelType w:val="hybridMultilevel"/>
    <w:tmpl w:val="6B2CD590"/>
    <w:lvl w:ilvl="0" w:tplc="FFFFFFFF">
      <w:start w:val="1"/>
      <w:numFmt w:val="decimal"/>
      <w:lvlText w:val="%1."/>
      <w:lvlJc w:val="left"/>
      <w:pPr>
        <w:ind w:left="720" w:hanging="360"/>
      </w:pPr>
      <w:rPr>
        <w:rFonts w:ascii="Palatino Linotype" w:hAnsi="Palatino Linotype" w:hint="default"/>
        <w:b/>
        <w:i w:val="0"/>
        <w:sz w:val="24"/>
        <w:szCs w:val="24"/>
      </w:rPr>
    </w:lvl>
    <w:lvl w:ilvl="1" w:tplc="7A26705E">
      <w:start w:val="1"/>
      <w:numFmt w:val="lowerLetter"/>
      <w:lvlText w:val="%2)"/>
      <w:lvlJc w:val="left"/>
      <w:pPr>
        <w:ind w:left="1440" w:hanging="360"/>
      </w:pPr>
      <w:rPr>
        <w:b/>
        <w:bCs/>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A661D48"/>
    <w:multiLevelType w:val="hybridMultilevel"/>
    <w:tmpl w:val="364EBADA"/>
    <w:lvl w:ilvl="0" w:tplc="FFFFFFFF">
      <w:start w:val="10"/>
      <w:numFmt w:val="decimal"/>
      <w:lvlText w:val="%1."/>
      <w:lvlJc w:val="left"/>
      <w:pPr>
        <w:ind w:left="360" w:hanging="360"/>
      </w:pPr>
      <w:rPr>
        <w:rFonts w:hint="default"/>
        <w:b/>
        <w:i w:val="0"/>
      </w:rPr>
    </w:lvl>
    <w:lvl w:ilvl="1" w:tplc="F1E2FDDA">
      <w:start w:val="1"/>
      <w:numFmt w:val="upperRoman"/>
      <w:lvlText w:val="%2."/>
      <w:lvlJc w:val="right"/>
      <w:pPr>
        <w:ind w:left="1440" w:hanging="360"/>
      </w:pPr>
      <w:rPr>
        <w:b/>
        <w:bCs/>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0B94BB0"/>
    <w:multiLevelType w:val="hybridMultilevel"/>
    <w:tmpl w:val="1E620F1C"/>
    <w:lvl w:ilvl="0" w:tplc="FA7AA882">
      <w:start w:val="27"/>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0" w15:restartNumberingAfterBreak="0">
    <w:nsid w:val="743204EE"/>
    <w:multiLevelType w:val="hybridMultilevel"/>
    <w:tmpl w:val="2BE2DC74"/>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4"/>
  </w:num>
  <w:num w:numId="2">
    <w:abstractNumId w:val="20"/>
  </w:num>
  <w:num w:numId="3">
    <w:abstractNumId w:val="5"/>
  </w:num>
  <w:num w:numId="4">
    <w:abstractNumId w:val="1"/>
  </w:num>
  <w:num w:numId="5">
    <w:abstractNumId w:val="3"/>
  </w:num>
  <w:num w:numId="6">
    <w:abstractNumId w:val="18"/>
  </w:num>
  <w:num w:numId="7">
    <w:abstractNumId w:val="2"/>
  </w:num>
  <w:num w:numId="8">
    <w:abstractNumId w:val="6"/>
  </w:num>
  <w:num w:numId="9">
    <w:abstractNumId w:val="14"/>
  </w:num>
  <w:num w:numId="10">
    <w:abstractNumId w:val="11"/>
  </w:num>
  <w:num w:numId="11">
    <w:abstractNumId w:val="15"/>
  </w:num>
  <w:num w:numId="12">
    <w:abstractNumId w:val="12"/>
  </w:num>
  <w:num w:numId="13">
    <w:abstractNumId w:val="13"/>
  </w:num>
  <w:num w:numId="14">
    <w:abstractNumId w:val="17"/>
  </w:num>
  <w:num w:numId="15">
    <w:abstractNumId w:val="8"/>
  </w:num>
  <w:num w:numId="16">
    <w:abstractNumId w:val="16"/>
  </w:num>
  <w:num w:numId="17">
    <w:abstractNumId w:val="21"/>
  </w:num>
  <w:num w:numId="18">
    <w:abstractNumId w:val="7"/>
  </w:num>
  <w:num w:numId="19">
    <w:abstractNumId w:val="19"/>
  </w:num>
  <w:num w:numId="20">
    <w:abstractNumId w:val="9"/>
  </w:num>
  <w:num w:numId="21">
    <w:abstractNumId w:val="0"/>
  </w:num>
  <w:num w:numId="2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4CC1"/>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35B0"/>
    <w:rsid w:val="00053D74"/>
    <w:rsid w:val="00054EFE"/>
    <w:rsid w:val="00055938"/>
    <w:rsid w:val="00055F7A"/>
    <w:rsid w:val="00056C37"/>
    <w:rsid w:val="00057073"/>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1D6A"/>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170"/>
    <w:rsid w:val="000A7C0E"/>
    <w:rsid w:val="000B07E5"/>
    <w:rsid w:val="000B0BF3"/>
    <w:rsid w:val="000B1236"/>
    <w:rsid w:val="000B1437"/>
    <w:rsid w:val="000B1693"/>
    <w:rsid w:val="000B17D0"/>
    <w:rsid w:val="000B2B61"/>
    <w:rsid w:val="000B2CE3"/>
    <w:rsid w:val="000B2FE2"/>
    <w:rsid w:val="000B3FFD"/>
    <w:rsid w:val="000B4571"/>
    <w:rsid w:val="000B4E3D"/>
    <w:rsid w:val="000B5351"/>
    <w:rsid w:val="000B57CE"/>
    <w:rsid w:val="000B5961"/>
    <w:rsid w:val="000B69A8"/>
    <w:rsid w:val="000B7101"/>
    <w:rsid w:val="000B7318"/>
    <w:rsid w:val="000B7332"/>
    <w:rsid w:val="000B77BE"/>
    <w:rsid w:val="000B7B5A"/>
    <w:rsid w:val="000C1184"/>
    <w:rsid w:val="000C11BE"/>
    <w:rsid w:val="000C16AF"/>
    <w:rsid w:val="000C1B34"/>
    <w:rsid w:val="000C1C8F"/>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E7511"/>
    <w:rsid w:val="000F1BBF"/>
    <w:rsid w:val="000F219C"/>
    <w:rsid w:val="000F2EB3"/>
    <w:rsid w:val="000F4598"/>
    <w:rsid w:val="000F64A8"/>
    <w:rsid w:val="000F71B5"/>
    <w:rsid w:val="000F7FE2"/>
    <w:rsid w:val="001002A8"/>
    <w:rsid w:val="0010152C"/>
    <w:rsid w:val="00101832"/>
    <w:rsid w:val="00103E4C"/>
    <w:rsid w:val="00104E08"/>
    <w:rsid w:val="00104E35"/>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3F8"/>
    <w:rsid w:val="001227CA"/>
    <w:rsid w:val="00124762"/>
    <w:rsid w:val="00124D16"/>
    <w:rsid w:val="00126994"/>
    <w:rsid w:val="00126F04"/>
    <w:rsid w:val="00127CCA"/>
    <w:rsid w:val="00130642"/>
    <w:rsid w:val="001306E4"/>
    <w:rsid w:val="00130703"/>
    <w:rsid w:val="00130AA5"/>
    <w:rsid w:val="00130BA7"/>
    <w:rsid w:val="00132044"/>
    <w:rsid w:val="00132CE1"/>
    <w:rsid w:val="00135154"/>
    <w:rsid w:val="00135D98"/>
    <w:rsid w:val="00136083"/>
    <w:rsid w:val="001362C2"/>
    <w:rsid w:val="00137C1F"/>
    <w:rsid w:val="00140B8C"/>
    <w:rsid w:val="00141F78"/>
    <w:rsid w:val="00141FA2"/>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3687"/>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198C"/>
    <w:rsid w:val="001B234C"/>
    <w:rsid w:val="001B2379"/>
    <w:rsid w:val="001B3256"/>
    <w:rsid w:val="001B3C02"/>
    <w:rsid w:val="001B5099"/>
    <w:rsid w:val="001B6BDC"/>
    <w:rsid w:val="001B6E23"/>
    <w:rsid w:val="001C085B"/>
    <w:rsid w:val="001C0C3F"/>
    <w:rsid w:val="001C14A6"/>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00D"/>
    <w:rsid w:val="00205361"/>
    <w:rsid w:val="00205ADF"/>
    <w:rsid w:val="002066DF"/>
    <w:rsid w:val="002070E6"/>
    <w:rsid w:val="00212FE4"/>
    <w:rsid w:val="00213228"/>
    <w:rsid w:val="0021442C"/>
    <w:rsid w:val="002155B0"/>
    <w:rsid w:val="002158CB"/>
    <w:rsid w:val="00215922"/>
    <w:rsid w:val="00220958"/>
    <w:rsid w:val="00221545"/>
    <w:rsid w:val="00221B18"/>
    <w:rsid w:val="00221D2C"/>
    <w:rsid w:val="002223DD"/>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1AC1"/>
    <w:rsid w:val="002423FE"/>
    <w:rsid w:val="00242C4A"/>
    <w:rsid w:val="0024380A"/>
    <w:rsid w:val="0024404E"/>
    <w:rsid w:val="002440EB"/>
    <w:rsid w:val="002441D0"/>
    <w:rsid w:val="00244265"/>
    <w:rsid w:val="00244A14"/>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FC2"/>
    <w:rsid w:val="00273204"/>
    <w:rsid w:val="00275080"/>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A7AA7"/>
    <w:rsid w:val="002B0A1D"/>
    <w:rsid w:val="002B0C27"/>
    <w:rsid w:val="002B0EF8"/>
    <w:rsid w:val="002B1708"/>
    <w:rsid w:val="002B1960"/>
    <w:rsid w:val="002B2467"/>
    <w:rsid w:val="002B257D"/>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310"/>
    <w:rsid w:val="002D07B6"/>
    <w:rsid w:val="002D0878"/>
    <w:rsid w:val="002D21B3"/>
    <w:rsid w:val="002D2486"/>
    <w:rsid w:val="002D38CF"/>
    <w:rsid w:val="002D46BF"/>
    <w:rsid w:val="002D4AF1"/>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80"/>
    <w:rsid w:val="00315891"/>
    <w:rsid w:val="00316240"/>
    <w:rsid w:val="0031687C"/>
    <w:rsid w:val="00320B63"/>
    <w:rsid w:val="003217D7"/>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716F"/>
    <w:rsid w:val="003579BC"/>
    <w:rsid w:val="00357D14"/>
    <w:rsid w:val="0036086E"/>
    <w:rsid w:val="00360A55"/>
    <w:rsid w:val="00361B13"/>
    <w:rsid w:val="0036269D"/>
    <w:rsid w:val="00363278"/>
    <w:rsid w:val="003633DD"/>
    <w:rsid w:val="00363ED0"/>
    <w:rsid w:val="003655C3"/>
    <w:rsid w:val="003669E8"/>
    <w:rsid w:val="00366C6B"/>
    <w:rsid w:val="00367026"/>
    <w:rsid w:val="003676B6"/>
    <w:rsid w:val="00367725"/>
    <w:rsid w:val="00367BBB"/>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4CD8"/>
    <w:rsid w:val="00387128"/>
    <w:rsid w:val="00390C86"/>
    <w:rsid w:val="00392E2B"/>
    <w:rsid w:val="00393297"/>
    <w:rsid w:val="00394E20"/>
    <w:rsid w:val="0039652B"/>
    <w:rsid w:val="0039699A"/>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6EE9"/>
    <w:rsid w:val="003B72E9"/>
    <w:rsid w:val="003B7A17"/>
    <w:rsid w:val="003C1D89"/>
    <w:rsid w:val="003C1E90"/>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4D"/>
    <w:rsid w:val="003F09F0"/>
    <w:rsid w:val="003F0CD4"/>
    <w:rsid w:val="003F2479"/>
    <w:rsid w:val="003F2BA9"/>
    <w:rsid w:val="003F3041"/>
    <w:rsid w:val="003F3A6C"/>
    <w:rsid w:val="003F3F5B"/>
    <w:rsid w:val="003F52C2"/>
    <w:rsid w:val="003F58C3"/>
    <w:rsid w:val="003F5CBA"/>
    <w:rsid w:val="003F61FF"/>
    <w:rsid w:val="003F6272"/>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2D8A"/>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BFF"/>
    <w:rsid w:val="00441BF3"/>
    <w:rsid w:val="00443270"/>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0FBC"/>
    <w:rsid w:val="00451737"/>
    <w:rsid w:val="00451E4C"/>
    <w:rsid w:val="00451F5B"/>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559D"/>
    <w:rsid w:val="004763B5"/>
    <w:rsid w:val="00476A24"/>
    <w:rsid w:val="004772B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2F77"/>
    <w:rsid w:val="004B33BC"/>
    <w:rsid w:val="004B36A7"/>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3FA6"/>
    <w:rsid w:val="004D482C"/>
    <w:rsid w:val="004D5AC0"/>
    <w:rsid w:val="004D5FEF"/>
    <w:rsid w:val="004D764F"/>
    <w:rsid w:val="004D7D33"/>
    <w:rsid w:val="004E1EBF"/>
    <w:rsid w:val="004E27AD"/>
    <w:rsid w:val="004E2BC2"/>
    <w:rsid w:val="004E2D51"/>
    <w:rsid w:val="004E37B6"/>
    <w:rsid w:val="004E3AFD"/>
    <w:rsid w:val="004E44D0"/>
    <w:rsid w:val="004E4987"/>
    <w:rsid w:val="004E52D1"/>
    <w:rsid w:val="004E585B"/>
    <w:rsid w:val="004F0A75"/>
    <w:rsid w:val="004F1841"/>
    <w:rsid w:val="004F227C"/>
    <w:rsid w:val="004F2CC0"/>
    <w:rsid w:val="004F3B64"/>
    <w:rsid w:val="004F5243"/>
    <w:rsid w:val="004F5610"/>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17F6C"/>
    <w:rsid w:val="005206C8"/>
    <w:rsid w:val="005218EA"/>
    <w:rsid w:val="00521EE1"/>
    <w:rsid w:val="00523390"/>
    <w:rsid w:val="00523435"/>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3F55"/>
    <w:rsid w:val="00544117"/>
    <w:rsid w:val="00544E0A"/>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24F"/>
    <w:rsid w:val="0058743A"/>
    <w:rsid w:val="005875A9"/>
    <w:rsid w:val="00590D33"/>
    <w:rsid w:val="005921E5"/>
    <w:rsid w:val="00592755"/>
    <w:rsid w:val="00593401"/>
    <w:rsid w:val="005936F2"/>
    <w:rsid w:val="00593DB7"/>
    <w:rsid w:val="00594366"/>
    <w:rsid w:val="00594BC5"/>
    <w:rsid w:val="005954A5"/>
    <w:rsid w:val="005954E9"/>
    <w:rsid w:val="005A0040"/>
    <w:rsid w:val="005A119B"/>
    <w:rsid w:val="005A1564"/>
    <w:rsid w:val="005A163E"/>
    <w:rsid w:val="005A232E"/>
    <w:rsid w:val="005A2689"/>
    <w:rsid w:val="005A3328"/>
    <w:rsid w:val="005A52D3"/>
    <w:rsid w:val="005A6845"/>
    <w:rsid w:val="005A7138"/>
    <w:rsid w:val="005A757D"/>
    <w:rsid w:val="005A7C3F"/>
    <w:rsid w:val="005B00B6"/>
    <w:rsid w:val="005B087C"/>
    <w:rsid w:val="005B0FCF"/>
    <w:rsid w:val="005B112F"/>
    <w:rsid w:val="005B1FED"/>
    <w:rsid w:val="005B2F33"/>
    <w:rsid w:val="005B3671"/>
    <w:rsid w:val="005B3B62"/>
    <w:rsid w:val="005B3D93"/>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2065D"/>
    <w:rsid w:val="0062111F"/>
    <w:rsid w:val="00621380"/>
    <w:rsid w:val="00621BE7"/>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CD0"/>
    <w:rsid w:val="00635EAF"/>
    <w:rsid w:val="00636313"/>
    <w:rsid w:val="00637407"/>
    <w:rsid w:val="00637C16"/>
    <w:rsid w:val="00637CC1"/>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E9E"/>
    <w:rsid w:val="006A03CD"/>
    <w:rsid w:val="006A06FE"/>
    <w:rsid w:val="006A22AD"/>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66B6"/>
    <w:rsid w:val="006B73F9"/>
    <w:rsid w:val="006B7AA1"/>
    <w:rsid w:val="006C05FB"/>
    <w:rsid w:val="006C1330"/>
    <w:rsid w:val="006C1711"/>
    <w:rsid w:val="006C2008"/>
    <w:rsid w:val="006C24A5"/>
    <w:rsid w:val="006C24CD"/>
    <w:rsid w:val="006C3292"/>
    <w:rsid w:val="006C5263"/>
    <w:rsid w:val="006C5282"/>
    <w:rsid w:val="006C60B5"/>
    <w:rsid w:val="006C693D"/>
    <w:rsid w:val="006C7C29"/>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543"/>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21C"/>
    <w:rsid w:val="00745E5B"/>
    <w:rsid w:val="00747AD7"/>
    <w:rsid w:val="00747F78"/>
    <w:rsid w:val="007509CA"/>
    <w:rsid w:val="00750F05"/>
    <w:rsid w:val="00751311"/>
    <w:rsid w:val="00751330"/>
    <w:rsid w:val="00751627"/>
    <w:rsid w:val="00751E19"/>
    <w:rsid w:val="0075239A"/>
    <w:rsid w:val="00754866"/>
    <w:rsid w:val="00755299"/>
    <w:rsid w:val="00755944"/>
    <w:rsid w:val="00755DC0"/>
    <w:rsid w:val="00757444"/>
    <w:rsid w:val="00757D2A"/>
    <w:rsid w:val="00757F23"/>
    <w:rsid w:val="00760BB9"/>
    <w:rsid w:val="00761460"/>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8030F"/>
    <w:rsid w:val="00780906"/>
    <w:rsid w:val="00780D17"/>
    <w:rsid w:val="00782370"/>
    <w:rsid w:val="00782DD9"/>
    <w:rsid w:val="00782EDF"/>
    <w:rsid w:val="007830E3"/>
    <w:rsid w:val="007833FC"/>
    <w:rsid w:val="0078775D"/>
    <w:rsid w:val="00787DB5"/>
    <w:rsid w:val="0079039F"/>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0699"/>
    <w:rsid w:val="007A1080"/>
    <w:rsid w:val="007A1177"/>
    <w:rsid w:val="007A11F1"/>
    <w:rsid w:val="007A1A5F"/>
    <w:rsid w:val="007A2132"/>
    <w:rsid w:val="007A29CA"/>
    <w:rsid w:val="007A32BE"/>
    <w:rsid w:val="007A33E2"/>
    <w:rsid w:val="007A35F6"/>
    <w:rsid w:val="007A49CE"/>
    <w:rsid w:val="007A4E83"/>
    <w:rsid w:val="007A583C"/>
    <w:rsid w:val="007A5F1A"/>
    <w:rsid w:val="007A698D"/>
    <w:rsid w:val="007A7693"/>
    <w:rsid w:val="007B0197"/>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BC8"/>
    <w:rsid w:val="007E07A7"/>
    <w:rsid w:val="007E0B16"/>
    <w:rsid w:val="007E16B7"/>
    <w:rsid w:val="007E24F8"/>
    <w:rsid w:val="007E2D8C"/>
    <w:rsid w:val="007E300D"/>
    <w:rsid w:val="007E3963"/>
    <w:rsid w:val="007E4F8A"/>
    <w:rsid w:val="007E5467"/>
    <w:rsid w:val="007E5CB2"/>
    <w:rsid w:val="007E64E0"/>
    <w:rsid w:val="007E6A21"/>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4B63"/>
    <w:rsid w:val="00805A48"/>
    <w:rsid w:val="00805FB1"/>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152"/>
    <w:rsid w:val="008522D6"/>
    <w:rsid w:val="008531B2"/>
    <w:rsid w:val="0085327E"/>
    <w:rsid w:val="0085526B"/>
    <w:rsid w:val="00856585"/>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76F20"/>
    <w:rsid w:val="00877094"/>
    <w:rsid w:val="00880F98"/>
    <w:rsid w:val="0088137B"/>
    <w:rsid w:val="008813ED"/>
    <w:rsid w:val="00882131"/>
    <w:rsid w:val="0088217A"/>
    <w:rsid w:val="008846F1"/>
    <w:rsid w:val="00884E7E"/>
    <w:rsid w:val="0088510A"/>
    <w:rsid w:val="0088524F"/>
    <w:rsid w:val="00885CAF"/>
    <w:rsid w:val="00885CB3"/>
    <w:rsid w:val="008860BB"/>
    <w:rsid w:val="008863E0"/>
    <w:rsid w:val="00886BFC"/>
    <w:rsid w:val="00887493"/>
    <w:rsid w:val="008876EF"/>
    <w:rsid w:val="008900BC"/>
    <w:rsid w:val="0089164B"/>
    <w:rsid w:val="00891989"/>
    <w:rsid w:val="00891BF9"/>
    <w:rsid w:val="0089236D"/>
    <w:rsid w:val="00892AF9"/>
    <w:rsid w:val="00892AFC"/>
    <w:rsid w:val="00892BC4"/>
    <w:rsid w:val="008934B8"/>
    <w:rsid w:val="00893CC5"/>
    <w:rsid w:val="00893DB2"/>
    <w:rsid w:val="0089436A"/>
    <w:rsid w:val="00894491"/>
    <w:rsid w:val="0089482C"/>
    <w:rsid w:val="008949B5"/>
    <w:rsid w:val="00895379"/>
    <w:rsid w:val="008956BD"/>
    <w:rsid w:val="00895C62"/>
    <w:rsid w:val="0089799D"/>
    <w:rsid w:val="008A0C05"/>
    <w:rsid w:val="008A0CFD"/>
    <w:rsid w:val="008A1F9B"/>
    <w:rsid w:val="008A2018"/>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4E1B"/>
    <w:rsid w:val="008B542E"/>
    <w:rsid w:val="008B590E"/>
    <w:rsid w:val="008B5BE2"/>
    <w:rsid w:val="008B5C38"/>
    <w:rsid w:val="008B6E93"/>
    <w:rsid w:val="008B7691"/>
    <w:rsid w:val="008B7C3E"/>
    <w:rsid w:val="008C04B3"/>
    <w:rsid w:val="008C0694"/>
    <w:rsid w:val="008C06D5"/>
    <w:rsid w:val="008C1208"/>
    <w:rsid w:val="008C1710"/>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253"/>
    <w:rsid w:val="00916B08"/>
    <w:rsid w:val="00917B8D"/>
    <w:rsid w:val="00917EB1"/>
    <w:rsid w:val="00921109"/>
    <w:rsid w:val="00921436"/>
    <w:rsid w:val="009224C5"/>
    <w:rsid w:val="009233BF"/>
    <w:rsid w:val="00923433"/>
    <w:rsid w:val="00923961"/>
    <w:rsid w:val="009239BB"/>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0B01"/>
    <w:rsid w:val="00951598"/>
    <w:rsid w:val="00952919"/>
    <w:rsid w:val="009542AC"/>
    <w:rsid w:val="00954A59"/>
    <w:rsid w:val="00955029"/>
    <w:rsid w:val="00955ADE"/>
    <w:rsid w:val="009573BD"/>
    <w:rsid w:val="0095790B"/>
    <w:rsid w:val="0096079C"/>
    <w:rsid w:val="0096089C"/>
    <w:rsid w:val="0096146C"/>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3362"/>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4B0"/>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D751B"/>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6519"/>
    <w:rsid w:val="00A17823"/>
    <w:rsid w:val="00A17875"/>
    <w:rsid w:val="00A17D0D"/>
    <w:rsid w:val="00A20C97"/>
    <w:rsid w:val="00A20F7B"/>
    <w:rsid w:val="00A22365"/>
    <w:rsid w:val="00A2300C"/>
    <w:rsid w:val="00A2340B"/>
    <w:rsid w:val="00A234AD"/>
    <w:rsid w:val="00A25070"/>
    <w:rsid w:val="00A25AF8"/>
    <w:rsid w:val="00A27150"/>
    <w:rsid w:val="00A27728"/>
    <w:rsid w:val="00A3050F"/>
    <w:rsid w:val="00A30716"/>
    <w:rsid w:val="00A31EDE"/>
    <w:rsid w:val="00A31F2A"/>
    <w:rsid w:val="00A32A88"/>
    <w:rsid w:val="00A32DE9"/>
    <w:rsid w:val="00A3314E"/>
    <w:rsid w:val="00A344AD"/>
    <w:rsid w:val="00A35622"/>
    <w:rsid w:val="00A36ED5"/>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17E4"/>
    <w:rsid w:val="00A721AF"/>
    <w:rsid w:val="00A744CF"/>
    <w:rsid w:val="00A7534A"/>
    <w:rsid w:val="00A757D4"/>
    <w:rsid w:val="00A75821"/>
    <w:rsid w:val="00A7641B"/>
    <w:rsid w:val="00A767EF"/>
    <w:rsid w:val="00A76FB1"/>
    <w:rsid w:val="00A77111"/>
    <w:rsid w:val="00A81037"/>
    <w:rsid w:val="00A81140"/>
    <w:rsid w:val="00A81C19"/>
    <w:rsid w:val="00A82448"/>
    <w:rsid w:val="00A8620C"/>
    <w:rsid w:val="00A8711C"/>
    <w:rsid w:val="00A900E2"/>
    <w:rsid w:val="00A90703"/>
    <w:rsid w:val="00A917E6"/>
    <w:rsid w:val="00A91CCB"/>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938"/>
    <w:rsid w:val="00AC5B93"/>
    <w:rsid w:val="00AC6228"/>
    <w:rsid w:val="00AC6E31"/>
    <w:rsid w:val="00AC6FA3"/>
    <w:rsid w:val="00AC74AC"/>
    <w:rsid w:val="00AC7ABC"/>
    <w:rsid w:val="00AD0514"/>
    <w:rsid w:val="00AD1C3D"/>
    <w:rsid w:val="00AD1D3D"/>
    <w:rsid w:val="00AD2277"/>
    <w:rsid w:val="00AD3598"/>
    <w:rsid w:val="00AD5C04"/>
    <w:rsid w:val="00AE013D"/>
    <w:rsid w:val="00AE125E"/>
    <w:rsid w:val="00AE1D9E"/>
    <w:rsid w:val="00AE34E5"/>
    <w:rsid w:val="00AE4286"/>
    <w:rsid w:val="00AE45EA"/>
    <w:rsid w:val="00AE5719"/>
    <w:rsid w:val="00AE5953"/>
    <w:rsid w:val="00AE5B7C"/>
    <w:rsid w:val="00AE6B73"/>
    <w:rsid w:val="00AE6EC3"/>
    <w:rsid w:val="00AE73E2"/>
    <w:rsid w:val="00AE757B"/>
    <w:rsid w:val="00AF02C2"/>
    <w:rsid w:val="00AF0927"/>
    <w:rsid w:val="00AF12E2"/>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43E"/>
    <w:rsid w:val="00B05E33"/>
    <w:rsid w:val="00B06BA1"/>
    <w:rsid w:val="00B07863"/>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5A40"/>
    <w:rsid w:val="00B461C1"/>
    <w:rsid w:val="00B46853"/>
    <w:rsid w:val="00B47A27"/>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4265"/>
    <w:rsid w:val="00B8497B"/>
    <w:rsid w:val="00B85D36"/>
    <w:rsid w:val="00B86A4A"/>
    <w:rsid w:val="00B86DC2"/>
    <w:rsid w:val="00B86E05"/>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1854"/>
    <w:rsid w:val="00BA1B7A"/>
    <w:rsid w:val="00BA2EE9"/>
    <w:rsid w:val="00BA363C"/>
    <w:rsid w:val="00BA3674"/>
    <w:rsid w:val="00BA36A5"/>
    <w:rsid w:val="00BA3CDE"/>
    <w:rsid w:val="00BA4B2C"/>
    <w:rsid w:val="00BA56BB"/>
    <w:rsid w:val="00BA59AE"/>
    <w:rsid w:val="00BA69F4"/>
    <w:rsid w:val="00BA7F80"/>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421A"/>
    <w:rsid w:val="00BE66D6"/>
    <w:rsid w:val="00BE67A1"/>
    <w:rsid w:val="00BE732D"/>
    <w:rsid w:val="00BF0540"/>
    <w:rsid w:val="00BF059F"/>
    <w:rsid w:val="00BF0748"/>
    <w:rsid w:val="00BF0B64"/>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6490"/>
    <w:rsid w:val="00C16849"/>
    <w:rsid w:val="00C16ECF"/>
    <w:rsid w:val="00C17535"/>
    <w:rsid w:val="00C1778D"/>
    <w:rsid w:val="00C20E42"/>
    <w:rsid w:val="00C22635"/>
    <w:rsid w:val="00C22842"/>
    <w:rsid w:val="00C22DAC"/>
    <w:rsid w:val="00C23048"/>
    <w:rsid w:val="00C23621"/>
    <w:rsid w:val="00C23716"/>
    <w:rsid w:val="00C23792"/>
    <w:rsid w:val="00C24F5E"/>
    <w:rsid w:val="00C255BC"/>
    <w:rsid w:val="00C2653F"/>
    <w:rsid w:val="00C265CC"/>
    <w:rsid w:val="00C265FB"/>
    <w:rsid w:val="00C26973"/>
    <w:rsid w:val="00C273AE"/>
    <w:rsid w:val="00C27C1C"/>
    <w:rsid w:val="00C27C61"/>
    <w:rsid w:val="00C3109F"/>
    <w:rsid w:val="00C32280"/>
    <w:rsid w:val="00C330CA"/>
    <w:rsid w:val="00C3479E"/>
    <w:rsid w:val="00C34A6D"/>
    <w:rsid w:val="00C3500A"/>
    <w:rsid w:val="00C36717"/>
    <w:rsid w:val="00C400E5"/>
    <w:rsid w:val="00C41F83"/>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549E"/>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721C"/>
    <w:rsid w:val="00C673D1"/>
    <w:rsid w:val="00C71059"/>
    <w:rsid w:val="00C716E5"/>
    <w:rsid w:val="00C7183E"/>
    <w:rsid w:val="00C7186E"/>
    <w:rsid w:val="00C71A66"/>
    <w:rsid w:val="00C71FD4"/>
    <w:rsid w:val="00C731DC"/>
    <w:rsid w:val="00C7372B"/>
    <w:rsid w:val="00C73907"/>
    <w:rsid w:val="00C748A4"/>
    <w:rsid w:val="00C74C5A"/>
    <w:rsid w:val="00C76800"/>
    <w:rsid w:val="00C77CD0"/>
    <w:rsid w:val="00C77FCC"/>
    <w:rsid w:val="00C80153"/>
    <w:rsid w:val="00C8083C"/>
    <w:rsid w:val="00C809A7"/>
    <w:rsid w:val="00C80F64"/>
    <w:rsid w:val="00C80F8C"/>
    <w:rsid w:val="00C8162E"/>
    <w:rsid w:val="00C81739"/>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4E67"/>
    <w:rsid w:val="00CA666E"/>
    <w:rsid w:val="00CA66DF"/>
    <w:rsid w:val="00CA7476"/>
    <w:rsid w:val="00CA7C1E"/>
    <w:rsid w:val="00CA7FE3"/>
    <w:rsid w:val="00CB0565"/>
    <w:rsid w:val="00CB14AA"/>
    <w:rsid w:val="00CB1D5A"/>
    <w:rsid w:val="00CB2A57"/>
    <w:rsid w:val="00CB57FD"/>
    <w:rsid w:val="00CB63FB"/>
    <w:rsid w:val="00CB6D69"/>
    <w:rsid w:val="00CB703A"/>
    <w:rsid w:val="00CB7E67"/>
    <w:rsid w:val="00CC0C5D"/>
    <w:rsid w:val="00CC0EE1"/>
    <w:rsid w:val="00CC18AB"/>
    <w:rsid w:val="00CC22DD"/>
    <w:rsid w:val="00CC2BF2"/>
    <w:rsid w:val="00CC30A8"/>
    <w:rsid w:val="00CC3C9F"/>
    <w:rsid w:val="00CC4046"/>
    <w:rsid w:val="00CC4A8B"/>
    <w:rsid w:val="00CC5E23"/>
    <w:rsid w:val="00CC77E3"/>
    <w:rsid w:val="00CD04A8"/>
    <w:rsid w:val="00CD0985"/>
    <w:rsid w:val="00CD2AE3"/>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11EE"/>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0C"/>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257F"/>
    <w:rsid w:val="00D5288E"/>
    <w:rsid w:val="00D53645"/>
    <w:rsid w:val="00D53E41"/>
    <w:rsid w:val="00D547F7"/>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4CDE"/>
    <w:rsid w:val="00D75214"/>
    <w:rsid w:val="00D756D5"/>
    <w:rsid w:val="00D75922"/>
    <w:rsid w:val="00D77B71"/>
    <w:rsid w:val="00D804E1"/>
    <w:rsid w:val="00D80AC4"/>
    <w:rsid w:val="00D81F7D"/>
    <w:rsid w:val="00D83994"/>
    <w:rsid w:val="00D83CE5"/>
    <w:rsid w:val="00D8465C"/>
    <w:rsid w:val="00D85008"/>
    <w:rsid w:val="00D85C95"/>
    <w:rsid w:val="00D87A49"/>
    <w:rsid w:val="00D90475"/>
    <w:rsid w:val="00D90BBF"/>
    <w:rsid w:val="00D9148A"/>
    <w:rsid w:val="00D91C33"/>
    <w:rsid w:val="00D91FB9"/>
    <w:rsid w:val="00D922F3"/>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BA2"/>
    <w:rsid w:val="00DA4C11"/>
    <w:rsid w:val="00DA528D"/>
    <w:rsid w:val="00DA5781"/>
    <w:rsid w:val="00DA63C9"/>
    <w:rsid w:val="00DA6B83"/>
    <w:rsid w:val="00DA6E68"/>
    <w:rsid w:val="00DB143B"/>
    <w:rsid w:val="00DB19E6"/>
    <w:rsid w:val="00DB25BC"/>
    <w:rsid w:val="00DB2606"/>
    <w:rsid w:val="00DB26C3"/>
    <w:rsid w:val="00DB5812"/>
    <w:rsid w:val="00DB5868"/>
    <w:rsid w:val="00DB7C2A"/>
    <w:rsid w:val="00DC057B"/>
    <w:rsid w:val="00DC0595"/>
    <w:rsid w:val="00DC0BE1"/>
    <w:rsid w:val="00DC10E2"/>
    <w:rsid w:val="00DC215D"/>
    <w:rsid w:val="00DC241A"/>
    <w:rsid w:val="00DC2975"/>
    <w:rsid w:val="00DC3B0F"/>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5FAC"/>
    <w:rsid w:val="00DD625F"/>
    <w:rsid w:val="00DD65CC"/>
    <w:rsid w:val="00DD6C50"/>
    <w:rsid w:val="00DD747F"/>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1B25"/>
    <w:rsid w:val="00DF20A4"/>
    <w:rsid w:val="00DF20D1"/>
    <w:rsid w:val="00DF29FB"/>
    <w:rsid w:val="00DF3014"/>
    <w:rsid w:val="00DF3CE0"/>
    <w:rsid w:val="00DF40AC"/>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22BF"/>
    <w:rsid w:val="00E2306B"/>
    <w:rsid w:val="00E233FF"/>
    <w:rsid w:val="00E24F10"/>
    <w:rsid w:val="00E2538E"/>
    <w:rsid w:val="00E30119"/>
    <w:rsid w:val="00E3149E"/>
    <w:rsid w:val="00E31DB5"/>
    <w:rsid w:val="00E31FC0"/>
    <w:rsid w:val="00E324A7"/>
    <w:rsid w:val="00E32EF4"/>
    <w:rsid w:val="00E33369"/>
    <w:rsid w:val="00E3370D"/>
    <w:rsid w:val="00E34890"/>
    <w:rsid w:val="00E35635"/>
    <w:rsid w:val="00E36289"/>
    <w:rsid w:val="00E3649B"/>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335"/>
    <w:rsid w:val="00E53A19"/>
    <w:rsid w:val="00E5452C"/>
    <w:rsid w:val="00E54E16"/>
    <w:rsid w:val="00E54F16"/>
    <w:rsid w:val="00E5532F"/>
    <w:rsid w:val="00E554D7"/>
    <w:rsid w:val="00E55E95"/>
    <w:rsid w:val="00E56BC5"/>
    <w:rsid w:val="00E56D08"/>
    <w:rsid w:val="00E56D19"/>
    <w:rsid w:val="00E57C06"/>
    <w:rsid w:val="00E619AC"/>
    <w:rsid w:val="00E61E9D"/>
    <w:rsid w:val="00E625A0"/>
    <w:rsid w:val="00E62DB9"/>
    <w:rsid w:val="00E62DC6"/>
    <w:rsid w:val="00E63F59"/>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1FAB"/>
    <w:rsid w:val="00E82030"/>
    <w:rsid w:val="00E82231"/>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5D75"/>
    <w:rsid w:val="00E96435"/>
    <w:rsid w:val="00E97A91"/>
    <w:rsid w:val="00EA0165"/>
    <w:rsid w:val="00EA229C"/>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027"/>
    <w:rsid w:val="00EC75E9"/>
    <w:rsid w:val="00ED05A8"/>
    <w:rsid w:val="00ED12AE"/>
    <w:rsid w:val="00ED3020"/>
    <w:rsid w:val="00ED34BE"/>
    <w:rsid w:val="00ED4629"/>
    <w:rsid w:val="00ED4E84"/>
    <w:rsid w:val="00ED6699"/>
    <w:rsid w:val="00ED6A67"/>
    <w:rsid w:val="00ED7CAF"/>
    <w:rsid w:val="00ED7D9E"/>
    <w:rsid w:val="00ED7FAB"/>
    <w:rsid w:val="00EE00F1"/>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A28"/>
    <w:rsid w:val="00F12C04"/>
    <w:rsid w:val="00F134AC"/>
    <w:rsid w:val="00F13EA4"/>
    <w:rsid w:val="00F16720"/>
    <w:rsid w:val="00F16DA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6D3C"/>
    <w:rsid w:val="00F57296"/>
    <w:rsid w:val="00F574F8"/>
    <w:rsid w:val="00F576E4"/>
    <w:rsid w:val="00F600F2"/>
    <w:rsid w:val="00F6065B"/>
    <w:rsid w:val="00F62E09"/>
    <w:rsid w:val="00F63C1F"/>
    <w:rsid w:val="00F65A46"/>
    <w:rsid w:val="00F6635F"/>
    <w:rsid w:val="00F6662F"/>
    <w:rsid w:val="00F66689"/>
    <w:rsid w:val="00F70118"/>
    <w:rsid w:val="00F702B4"/>
    <w:rsid w:val="00F706F1"/>
    <w:rsid w:val="00F70E4A"/>
    <w:rsid w:val="00F743AF"/>
    <w:rsid w:val="00F752C7"/>
    <w:rsid w:val="00F75810"/>
    <w:rsid w:val="00F76A55"/>
    <w:rsid w:val="00F80496"/>
    <w:rsid w:val="00F80729"/>
    <w:rsid w:val="00F80996"/>
    <w:rsid w:val="00F81DCD"/>
    <w:rsid w:val="00F82380"/>
    <w:rsid w:val="00F8375B"/>
    <w:rsid w:val="00F84BAA"/>
    <w:rsid w:val="00F84D35"/>
    <w:rsid w:val="00F86921"/>
    <w:rsid w:val="00F8725D"/>
    <w:rsid w:val="00F87360"/>
    <w:rsid w:val="00F87384"/>
    <w:rsid w:val="00F87C72"/>
    <w:rsid w:val="00F87F8D"/>
    <w:rsid w:val="00F907B2"/>
    <w:rsid w:val="00F90BD9"/>
    <w:rsid w:val="00F90DE0"/>
    <w:rsid w:val="00F92058"/>
    <w:rsid w:val="00F923A7"/>
    <w:rsid w:val="00F930FF"/>
    <w:rsid w:val="00F944D7"/>
    <w:rsid w:val="00F95F34"/>
    <w:rsid w:val="00F97892"/>
    <w:rsid w:val="00F97F78"/>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3EFD"/>
    <w:rsid w:val="00FB48D6"/>
    <w:rsid w:val="00FB52E0"/>
    <w:rsid w:val="00FB53E4"/>
    <w:rsid w:val="00FB59B6"/>
    <w:rsid w:val="00FB75C0"/>
    <w:rsid w:val="00FC12AD"/>
    <w:rsid w:val="00FC17E0"/>
    <w:rsid w:val="00FC21B4"/>
    <w:rsid w:val="00FC3122"/>
    <w:rsid w:val="00FC3695"/>
    <w:rsid w:val="00FC43ED"/>
    <w:rsid w:val="00FC5933"/>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F56D3C"/>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Pr>
      <w:color w:val="605E5C"/>
      <w:shd w:val="clear" w:color="auto" w:fill="E1DFDD"/>
    </w:rPr>
  </w:style>
  <w:style w:type="character" w:customStyle="1" w:styleId="Ttulo3Car">
    <w:name w:val="Título 3 Car"/>
    <w:basedOn w:val="Fuentedeprrafopredeter"/>
    <w:link w:val="Ttulo3"/>
    <w:uiPriority w:val="9"/>
    <w:semiHidden/>
    <w:rsid w:val="00F56D3C"/>
    <w:rPr>
      <w:rFonts w:asciiTheme="majorHAnsi" w:eastAsiaTheme="majorEastAsia" w:hAnsiTheme="majorHAnsi" w:cstheme="majorBidi"/>
      <w:color w:val="243F60" w:themeColor="accent1" w:themeShade="7F"/>
      <w:lang w:val="es-E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6B66B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47506527">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36968503">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5831082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78743483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291119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5179780">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04224670">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65901963">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6686500">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0331712">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228344">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94479.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1603762.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35658-4EF0-4946-8D48-D8A8A31D0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15</Pages>
  <Words>3069</Words>
  <Characters>16882</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DELL</cp:lastModifiedBy>
  <cp:revision>17</cp:revision>
  <cp:lastPrinted>2021-10-21T22:39:00Z</cp:lastPrinted>
  <dcterms:created xsi:type="dcterms:W3CDTF">2022-11-08T19:46:00Z</dcterms:created>
  <dcterms:modified xsi:type="dcterms:W3CDTF">2022-11-28T04:41:00Z</dcterms:modified>
</cp:coreProperties>
</file>