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52A03"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agosto de dos mil veintidós. </w:t>
      </w:r>
    </w:p>
    <w:p w14:paraId="6E4977B3" w14:textId="7B6FA691"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VISTOS</w:t>
      </w:r>
      <w:r w:rsidRPr="00CB14D2">
        <w:rPr>
          <w:rFonts w:ascii="Palatino Linotype" w:eastAsia="Palatino Linotype" w:hAnsi="Palatino Linotype" w:cs="Palatino Linotype"/>
        </w:rPr>
        <w:t xml:space="preserve"> los expedientes formados con motivo de los recursos de revisión </w:t>
      </w:r>
      <w:r w:rsidRPr="00CB14D2">
        <w:rPr>
          <w:rFonts w:ascii="Palatino Linotype" w:eastAsia="Palatino Linotype" w:hAnsi="Palatino Linotype" w:cs="Palatino Linotype"/>
          <w:b/>
        </w:rPr>
        <w:t xml:space="preserve">04259/INFOEM/IP/RR/2022 </w:t>
      </w:r>
      <w:r w:rsidRPr="00CB14D2">
        <w:rPr>
          <w:rFonts w:ascii="Palatino Linotype" w:eastAsia="Palatino Linotype" w:hAnsi="Palatino Linotype" w:cs="Palatino Linotype"/>
        </w:rPr>
        <w:t xml:space="preserve">y </w:t>
      </w:r>
      <w:r w:rsidRPr="00CB14D2">
        <w:rPr>
          <w:rFonts w:ascii="Palatino Linotype" w:eastAsia="Palatino Linotype" w:hAnsi="Palatino Linotype" w:cs="Palatino Linotype"/>
          <w:b/>
        </w:rPr>
        <w:t>04261/INFOEM/IP/RR/2022</w:t>
      </w:r>
      <w:r w:rsidRPr="00CB14D2">
        <w:rPr>
          <w:rFonts w:ascii="Palatino Linotype" w:eastAsia="Palatino Linotype" w:hAnsi="Palatino Linotype" w:cs="Palatino Linotype"/>
        </w:rPr>
        <w:t xml:space="preserve">, </w:t>
      </w:r>
      <w:r w:rsidRPr="00CB14D2">
        <w:rPr>
          <w:rFonts w:ascii="Palatino Linotype" w:eastAsia="Palatino Linotype" w:hAnsi="Palatino Linotype" w:cs="Palatino Linotype"/>
          <w:b/>
        </w:rPr>
        <w:t>acumulados,</w:t>
      </w:r>
      <w:r w:rsidRPr="00CB14D2">
        <w:rPr>
          <w:rFonts w:ascii="Palatino Linotype" w:eastAsia="Palatino Linotype" w:hAnsi="Palatino Linotype" w:cs="Palatino Linotype"/>
        </w:rPr>
        <w:t xml:space="preserve"> interpuestos por</w:t>
      </w:r>
      <w:r w:rsidRPr="00CB14D2">
        <w:rPr>
          <w:rFonts w:ascii="Palatino Linotype" w:eastAsia="Palatino Linotype" w:hAnsi="Palatino Linotype" w:cs="Palatino Linotype"/>
          <w:b/>
        </w:rPr>
        <w:t xml:space="preserve"> </w:t>
      </w:r>
      <w:r w:rsidR="003B39CC" w:rsidRPr="003B39CC">
        <w:rPr>
          <w:rFonts w:ascii="Palatino Linotype" w:eastAsia="Palatino Linotype" w:hAnsi="Palatino Linotype" w:cs="Palatino Linotype"/>
          <w:b/>
        </w:rPr>
        <w:t>Xxxx Xxxx Xxxxxxxx Xxxxxxx</w:t>
      </w:r>
      <w:r w:rsidRPr="00CB14D2">
        <w:rPr>
          <w:rFonts w:ascii="Palatino Linotype" w:eastAsia="Palatino Linotype" w:hAnsi="Palatino Linotype" w:cs="Palatino Linotype"/>
          <w:b/>
        </w:rPr>
        <w:t xml:space="preserve">, </w:t>
      </w:r>
      <w:r w:rsidRPr="00CB14D2">
        <w:rPr>
          <w:rFonts w:ascii="Palatino Linotype" w:eastAsia="Palatino Linotype" w:hAnsi="Palatino Linotype" w:cs="Palatino Linotype"/>
        </w:rPr>
        <w:t>en lo sucesivo</w:t>
      </w:r>
      <w:r w:rsidRPr="00CB14D2">
        <w:rPr>
          <w:rFonts w:ascii="Palatino Linotype" w:eastAsia="Palatino Linotype" w:hAnsi="Palatino Linotype" w:cs="Palatino Linotype"/>
          <w:b/>
        </w:rPr>
        <w:t xml:space="preserve"> </w:t>
      </w:r>
      <w:r w:rsidRPr="00CB14D2">
        <w:rPr>
          <w:rFonts w:ascii="Palatino Linotype" w:eastAsia="Palatino Linotype" w:hAnsi="Palatino Linotype" w:cs="Palatino Linotype"/>
        </w:rPr>
        <w:t xml:space="preserve">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en contra de las respuestas a sus solicitudes por parte del </w:t>
      </w:r>
      <w:r w:rsidRPr="00CB14D2">
        <w:rPr>
          <w:rFonts w:ascii="Palatino Linotype" w:eastAsia="Palatino Linotype" w:hAnsi="Palatino Linotype" w:cs="Palatino Linotype"/>
          <w:b/>
        </w:rPr>
        <w:t xml:space="preserve">Ayuntamiento de Huixquilucan, </w:t>
      </w:r>
      <w:r w:rsidRPr="00CB14D2">
        <w:rPr>
          <w:rFonts w:ascii="Palatino Linotype" w:eastAsia="Palatino Linotype" w:hAnsi="Palatino Linotype" w:cs="Palatino Linotype"/>
        </w:rPr>
        <w:t xml:space="preserve">en lo sucesivo el </w:t>
      </w:r>
      <w:r w:rsidRPr="00CB14D2">
        <w:rPr>
          <w:rFonts w:ascii="Palatino Linotype" w:eastAsia="Palatino Linotype" w:hAnsi="Palatino Linotype" w:cs="Palatino Linotype"/>
          <w:b/>
        </w:rPr>
        <w:t xml:space="preserve">Sujeto Obligado, </w:t>
      </w:r>
      <w:r w:rsidRPr="00CB14D2">
        <w:rPr>
          <w:rFonts w:ascii="Palatino Linotype" w:eastAsia="Palatino Linotype" w:hAnsi="Palatino Linotype" w:cs="Palatino Linotype"/>
        </w:rPr>
        <w:t xml:space="preserve">se procede a dictar la presente resolución con base en los siguientes: </w:t>
      </w:r>
    </w:p>
    <w:p w14:paraId="1381FA3A" w14:textId="77777777" w:rsidR="00DE5ED1" w:rsidRPr="00CB14D2" w:rsidRDefault="00783AE7">
      <w:pPr>
        <w:spacing w:before="240" w:after="240" w:line="360" w:lineRule="auto"/>
        <w:jc w:val="center"/>
        <w:rPr>
          <w:rFonts w:ascii="Palatino Linotype" w:eastAsia="Palatino Linotype" w:hAnsi="Palatino Linotype" w:cs="Palatino Linotype"/>
          <w:b/>
          <w:sz w:val="28"/>
          <w:szCs w:val="28"/>
        </w:rPr>
      </w:pPr>
      <w:r w:rsidRPr="00CB14D2">
        <w:rPr>
          <w:rFonts w:ascii="Palatino Linotype" w:eastAsia="Palatino Linotype" w:hAnsi="Palatino Linotype" w:cs="Palatino Linotype"/>
          <w:b/>
        </w:rPr>
        <w:t>I. A N T E C E D E N T E S</w:t>
      </w:r>
    </w:p>
    <w:p w14:paraId="7C6941A2"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1. Solicitudes de acceso a la información.</w:t>
      </w:r>
      <w:r w:rsidRPr="00CB14D2">
        <w:rPr>
          <w:rFonts w:ascii="Palatino Linotype" w:eastAsia="Palatino Linotype" w:hAnsi="Palatino Linotype" w:cs="Palatino Linotype"/>
        </w:rPr>
        <w:t xml:space="preserve"> Con fecha </w:t>
      </w:r>
      <w:r w:rsidRPr="00CB14D2">
        <w:rPr>
          <w:rFonts w:ascii="Palatino Linotype" w:eastAsia="Palatino Linotype" w:hAnsi="Palatino Linotype" w:cs="Palatino Linotype"/>
          <w:b/>
        </w:rPr>
        <w:t xml:space="preserve">veintitrés de febrero de dos mil veintidós, </w:t>
      </w:r>
      <w:r w:rsidRPr="00CB14D2">
        <w:rPr>
          <w:rFonts w:ascii="Palatino Linotype" w:eastAsia="Palatino Linotype" w:hAnsi="Palatino Linotype" w:cs="Palatino Linotype"/>
        </w:rPr>
        <w:t xml:space="preserve">la parte </w:t>
      </w:r>
      <w:r w:rsidRPr="00CB14D2">
        <w:rPr>
          <w:rFonts w:ascii="Palatino Linotype" w:eastAsia="Palatino Linotype" w:hAnsi="Palatino Linotype" w:cs="Palatino Linotype"/>
          <w:b/>
        </w:rPr>
        <w:t xml:space="preserve">Recurrente </w:t>
      </w:r>
      <w:r w:rsidRPr="00CB14D2">
        <w:rPr>
          <w:rFonts w:ascii="Palatino Linotype" w:eastAsia="Palatino Linotype" w:hAnsi="Palatino Linotype" w:cs="Palatino Linotype"/>
        </w:rPr>
        <w:t xml:space="preserve">presentó, a través del Sistema de Acceso a la Información Mexiquense, en lo subsecuente el </w:t>
      </w:r>
      <w:r w:rsidRPr="00CB14D2">
        <w:rPr>
          <w:rFonts w:ascii="Palatino Linotype" w:eastAsia="Palatino Linotype" w:hAnsi="Palatino Linotype" w:cs="Palatino Linotype"/>
          <w:b/>
        </w:rPr>
        <w:t xml:space="preserve">SAIMEX, </w:t>
      </w:r>
      <w:r w:rsidRPr="00CB14D2">
        <w:rPr>
          <w:rFonts w:ascii="Palatino Linotype" w:eastAsia="Palatino Linotype" w:hAnsi="Palatino Linotype" w:cs="Palatino Linotype"/>
        </w:rPr>
        <w:t xml:space="preserve">ante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las solicitudes de acceso a la información pública, a las que se les asignaron los números </w:t>
      </w:r>
      <w:r w:rsidRPr="00CB14D2">
        <w:rPr>
          <w:rFonts w:ascii="Palatino Linotype" w:eastAsia="Palatino Linotype" w:hAnsi="Palatino Linotype" w:cs="Palatino Linotype"/>
          <w:b/>
        </w:rPr>
        <w:t xml:space="preserve">00196/HUIXQUIL/IP/2022 </w:t>
      </w:r>
      <w:r w:rsidRPr="00CB14D2">
        <w:rPr>
          <w:rFonts w:ascii="Palatino Linotype" w:eastAsia="Palatino Linotype" w:hAnsi="Palatino Linotype" w:cs="Palatino Linotype"/>
        </w:rPr>
        <w:t xml:space="preserve">y </w:t>
      </w:r>
      <w:r w:rsidRPr="00CB14D2">
        <w:rPr>
          <w:rFonts w:ascii="Palatino Linotype" w:eastAsia="Palatino Linotype" w:hAnsi="Palatino Linotype" w:cs="Palatino Linotype"/>
          <w:b/>
        </w:rPr>
        <w:t xml:space="preserve">00197/HUIXQUIL/IP/2022, </w:t>
      </w:r>
      <w:r w:rsidRPr="00CB14D2">
        <w:rPr>
          <w:rFonts w:ascii="Palatino Linotype" w:eastAsia="Palatino Linotype" w:hAnsi="Palatino Linotype" w:cs="Palatino Linotype"/>
        </w:rPr>
        <w:t>mediante las cuales requirió la información siguiente:</w:t>
      </w:r>
    </w:p>
    <w:tbl>
      <w:tblPr>
        <w:tblStyle w:val="afe"/>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DE5ED1" w:rsidRPr="00CB14D2" w14:paraId="6460CA29" w14:textId="77777777">
        <w:trPr>
          <w:jc w:val="center"/>
        </w:trPr>
        <w:tc>
          <w:tcPr>
            <w:tcW w:w="2830" w:type="dxa"/>
            <w:vAlign w:val="center"/>
          </w:tcPr>
          <w:p w14:paraId="6D07D763" w14:textId="77777777" w:rsidR="00DE5ED1" w:rsidRPr="00CB14D2" w:rsidRDefault="00783AE7">
            <w:pPr>
              <w:jc w:val="center"/>
              <w:rPr>
                <w:rFonts w:ascii="Palatino Linotype" w:eastAsia="Palatino Linotype" w:hAnsi="Palatino Linotype" w:cs="Palatino Linotype"/>
              </w:rPr>
            </w:pPr>
            <w:bookmarkStart w:id="0" w:name="_heading=h.gjdgxs" w:colFirst="0" w:colLast="0"/>
            <w:bookmarkEnd w:id="0"/>
            <w:r w:rsidRPr="00CB14D2">
              <w:rPr>
                <w:rFonts w:ascii="Palatino Linotype" w:eastAsia="Palatino Linotype" w:hAnsi="Palatino Linotype" w:cs="Palatino Linotype"/>
                <w:b/>
                <w:sz w:val="20"/>
                <w:szCs w:val="20"/>
              </w:rPr>
              <w:t>Solicitud 00196/HUIXQUIL/IP/2022</w:t>
            </w:r>
          </w:p>
        </w:tc>
        <w:tc>
          <w:tcPr>
            <w:tcW w:w="5998" w:type="dxa"/>
            <w:vAlign w:val="center"/>
          </w:tcPr>
          <w:p w14:paraId="60DEF4C3" w14:textId="77777777" w:rsidR="00DE5ED1" w:rsidRPr="00CB14D2" w:rsidRDefault="00783AE7">
            <w:pPr>
              <w:jc w:val="center"/>
              <w:rPr>
                <w:rFonts w:ascii="Palatino Linotype" w:eastAsia="Palatino Linotype" w:hAnsi="Palatino Linotype" w:cs="Palatino Linotype"/>
                <w:i/>
              </w:rPr>
            </w:pPr>
            <w:r w:rsidRPr="00CB14D2">
              <w:rPr>
                <w:rFonts w:ascii="Palatino Linotype" w:eastAsia="Palatino Linotype" w:hAnsi="Palatino Linotype" w:cs="Palatino Linotype"/>
                <w:i/>
                <w:sz w:val="20"/>
                <w:szCs w:val="20"/>
              </w:rPr>
              <w:t>“Solicito copia certificada del documento que acredite la propiedad o posesión del inmueble marcado con el número 66, del inventario de bienes inmuebles del Ayuntamiento de Huixquilucan, Estado de México, referente a AMPLIACIÓN DE LA VIA PUBLICA, en la Calle Cedros, en el Poblado de Ignacio Allende, Huixquilucan, Estado de México.” (sic)</w:t>
            </w:r>
          </w:p>
        </w:tc>
      </w:tr>
      <w:tr w:rsidR="00DE5ED1" w:rsidRPr="00CB14D2" w14:paraId="6DB431CA" w14:textId="77777777">
        <w:trPr>
          <w:jc w:val="center"/>
        </w:trPr>
        <w:tc>
          <w:tcPr>
            <w:tcW w:w="2830" w:type="dxa"/>
            <w:vAlign w:val="center"/>
          </w:tcPr>
          <w:p w14:paraId="70386141" w14:textId="77777777" w:rsidR="00DE5ED1" w:rsidRPr="00CB14D2" w:rsidRDefault="00783AE7">
            <w:pPr>
              <w:jc w:val="center"/>
              <w:rPr>
                <w:rFonts w:ascii="Palatino Linotype" w:eastAsia="Palatino Linotype" w:hAnsi="Palatino Linotype" w:cs="Palatino Linotype"/>
              </w:rPr>
            </w:pPr>
            <w:r w:rsidRPr="00CB14D2">
              <w:rPr>
                <w:rFonts w:ascii="Palatino Linotype" w:eastAsia="Palatino Linotype" w:hAnsi="Palatino Linotype" w:cs="Palatino Linotype"/>
                <w:b/>
                <w:sz w:val="20"/>
                <w:szCs w:val="20"/>
              </w:rPr>
              <w:lastRenderedPageBreak/>
              <w:t>Solicitud 00197/HUIXQUIL/IP/2022</w:t>
            </w:r>
          </w:p>
        </w:tc>
        <w:tc>
          <w:tcPr>
            <w:tcW w:w="5998" w:type="dxa"/>
            <w:vAlign w:val="center"/>
          </w:tcPr>
          <w:p w14:paraId="3DF7FD10" w14:textId="77777777" w:rsidR="00DE5ED1" w:rsidRPr="00CB14D2" w:rsidRDefault="00783AE7">
            <w:pPr>
              <w:pBdr>
                <w:top w:val="nil"/>
                <w:left w:val="nil"/>
                <w:bottom w:val="nil"/>
                <w:right w:val="nil"/>
                <w:between w:val="nil"/>
              </w:pBdr>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i/>
                <w:sz w:val="20"/>
                <w:szCs w:val="20"/>
              </w:rPr>
              <w:t>“Solicito copia certificada del documento que acredite la donación del inmueble marcado con el número de registro 65, de la fracción XXXVIII D Inventario de bienes inmuebles, relacionado con las obligaciones de transparencia, del Ayuntamiento de Huixquilucan, Estado de México, referente a AMPLIACIÓN DE LA VIA PUBLICA, en la Calle Cedros, en el Poblado de Ignacio Allende, Huixquilucan, Estado de México.” (sic)</w:t>
            </w:r>
          </w:p>
        </w:tc>
      </w:tr>
    </w:tbl>
    <w:p w14:paraId="34E71090" w14:textId="77777777" w:rsidR="00DE5ED1" w:rsidRPr="00CB14D2" w:rsidRDefault="00DE5ED1">
      <w:pPr>
        <w:spacing w:line="360" w:lineRule="auto"/>
        <w:ind w:right="900"/>
        <w:jc w:val="both"/>
        <w:rPr>
          <w:rFonts w:ascii="Palatino Linotype" w:eastAsia="Palatino Linotype" w:hAnsi="Palatino Linotype" w:cs="Palatino Linotype"/>
        </w:rPr>
      </w:pPr>
    </w:p>
    <w:p w14:paraId="1F7339A8" w14:textId="77777777" w:rsidR="00DE5ED1" w:rsidRPr="00CB14D2" w:rsidRDefault="00783AE7">
      <w:pPr>
        <w:spacing w:line="360" w:lineRule="auto"/>
        <w:ind w:right="900"/>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no adjuntó archivos a sus solicitudes.</w:t>
      </w:r>
    </w:p>
    <w:p w14:paraId="2277B79A"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Modalidad de Entrega:</w:t>
      </w:r>
      <w:r w:rsidRPr="00CB14D2">
        <w:rPr>
          <w:rFonts w:ascii="Palatino Linotype" w:eastAsia="Palatino Linotype" w:hAnsi="Palatino Linotype" w:cs="Palatino Linotype"/>
        </w:rPr>
        <w:t xml:space="preserve"> A través del </w:t>
      </w:r>
      <w:r w:rsidRPr="00CB14D2">
        <w:rPr>
          <w:rFonts w:ascii="Palatino Linotype" w:eastAsia="Palatino Linotype" w:hAnsi="Palatino Linotype" w:cs="Palatino Linotype"/>
          <w:b/>
        </w:rPr>
        <w:t xml:space="preserve">SAIMEX </w:t>
      </w:r>
      <w:r w:rsidRPr="00CB14D2">
        <w:rPr>
          <w:rFonts w:ascii="Palatino Linotype" w:eastAsia="Palatino Linotype" w:hAnsi="Palatino Linotype" w:cs="Palatino Linotype"/>
        </w:rPr>
        <w:t xml:space="preserve">y </w:t>
      </w:r>
      <w:r w:rsidRPr="00CB14D2">
        <w:rPr>
          <w:rFonts w:ascii="Palatino Linotype" w:eastAsia="Palatino Linotype" w:hAnsi="Palatino Linotype" w:cs="Palatino Linotype"/>
          <w:b/>
        </w:rPr>
        <w:t xml:space="preserve">copia certificada (con costo), </w:t>
      </w:r>
      <w:r w:rsidRPr="00CB14D2">
        <w:rPr>
          <w:rFonts w:ascii="Palatino Linotype" w:eastAsia="Palatino Linotype" w:hAnsi="Palatino Linotype" w:cs="Palatino Linotype"/>
        </w:rPr>
        <w:t xml:space="preserve">atendiendo a la literalidad de los requerimientos de información, por lo tanto,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deberá atender ambas modalidades de entrega.</w:t>
      </w:r>
    </w:p>
    <w:p w14:paraId="65CB530E"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 xml:space="preserve">2. Respuesta. </w:t>
      </w:r>
      <w:r w:rsidRPr="00CB14D2">
        <w:rPr>
          <w:rFonts w:ascii="Palatino Linotype" w:eastAsia="Palatino Linotype" w:hAnsi="Palatino Linotype" w:cs="Palatino Linotype"/>
        </w:rPr>
        <w:t xml:space="preserve"> Con fecha</w:t>
      </w:r>
      <w:r w:rsidRPr="00CB14D2">
        <w:rPr>
          <w:rFonts w:ascii="Palatino Linotype" w:eastAsia="Palatino Linotype" w:hAnsi="Palatino Linotype" w:cs="Palatino Linotype"/>
          <w:b/>
        </w:rPr>
        <w:t xml:space="preserve"> diecisiete de marzo de dos mil veintidós</w:t>
      </w:r>
      <w:r w:rsidRPr="00CB14D2">
        <w:rPr>
          <w:rFonts w:ascii="Palatino Linotype" w:eastAsia="Palatino Linotype" w:hAnsi="Palatino Linotype" w:cs="Palatino Linotype"/>
        </w:rPr>
        <w:t xml:space="preserve">,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envió su respuesta a las solicitudes de acceso a la información a través de SAIMEX, sustancialmente en los términos siguientes:</w:t>
      </w:r>
    </w:p>
    <w:tbl>
      <w:tblPr>
        <w:tblStyle w:val="af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DE5ED1" w:rsidRPr="00CB14D2" w14:paraId="4A3B74B9" w14:textId="77777777" w:rsidTr="001553DE">
        <w:trPr>
          <w:trHeight w:val="1483"/>
          <w:jc w:val="center"/>
        </w:trPr>
        <w:tc>
          <w:tcPr>
            <w:tcW w:w="2830" w:type="dxa"/>
            <w:vAlign w:val="center"/>
          </w:tcPr>
          <w:p w14:paraId="443E1E32" w14:textId="77777777" w:rsidR="00DE5ED1" w:rsidRPr="00CB14D2" w:rsidRDefault="00783AE7">
            <w:pPr>
              <w:jc w:val="center"/>
              <w:rPr>
                <w:rFonts w:ascii="Palatino Linotype" w:eastAsia="Palatino Linotype" w:hAnsi="Palatino Linotype" w:cs="Palatino Linotype"/>
              </w:rPr>
            </w:pPr>
            <w:r w:rsidRPr="00CB14D2">
              <w:rPr>
                <w:rFonts w:ascii="Palatino Linotype" w:eastAsia="Palatino Linotype" w:hAnsi="Palatino Linotype" w:cs="Palatino Linotype"/>
                <w:b/>
                <w:sz w:val="20"/>
                <w:szCs w:val="20"/>
              </w:rPr>
              <w:t>Solicitud 00196/HUIXQUIL/IP/2022</w:t>
            </w:r>
          </w:p>
        </w:tc>
        <w:tc>
          <w:tcPr>
            <w:tcW w:w="5998" w:type="dxa"/>
            <w:vMerge w:val="restart"/>
            <w:vAlign w:val="center"/>
          </w:tcPr>
          <w:p w14:paraId="1E194366" w14:textId="77777777" w:rsidR="00DE5ED1" w:rsidRPr="00CB14D2" w:rsidRDefault="00783AE7">
            <w:pPr>
              <w:jc w:val="center"/>
              <w:rPr>
                <w:rFonts w:ascii="Palatino Linotype" w:eastAsia="Palatino Linotype" w:hAnsi="Palatino Linotype" w:cs="Palatino Linotype"/>
                <w:i/>
                <w:sz w:val="20"/>
                <w:szCs w:val="20"/>
              </w:rPr>
            </w:pPr>
            <w:r w:rsidRPr="00CB14D2">
              <w:rPr>
                <w:rFonts w:ascii="Palatino Linotype" w:eastAsia="Palatino Linotype" w:hAnsi="Palatino Linotype" w:cs="Palatino Linotype"/>
                <w:i/>
                <w:sz w:val="20"/>
                <w:szCs w:val="20"/>
              </w:rPr>
              <w:t>“...Sobre el particular, esta Unidad de Transparencia en ejercicio de las atribuciones que la Ley le confiere, turno su solicitud de información a la siguiente área administrativa: SECRETARÌA DE H. AYUNTAMIENTO, misma que manifestó lo siguiente: SECRETARÌA DE H. AYUNTAMIENTO: “Se adjunta contestación en formato PDF.”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(sic)</w:t>
            </w:r>
          </w:p>
        </w:tc>
      </w:tr>
      <w:tr w:rsidR="00DE5ED1" w:rsidRPr="00CB14D2" w14:paraId="10BEE716" w14:textId="77777777">
        <w:trPr>
          <w:jc w:val="center"/>
        </w:trPr>
        <w:tc>
          <w:tcPr>
            <w:tcW w:w="2830" w:type="dxa"/>
            <w:vAlign w:val="center"/>
          </w:tcPr>
          <w:p w14:paraId="65F9C0C9" w14:textId="77777777" w:rsidR="00DE5ED1" w:rsidRPr="00CB14D2" w:rsidRDefault="00783AE7">
            <w:pPr>
              <w:jc w:val="center"/>
              <w:rPr>
                <w:rFonts w:ascii="Palatino Linotype" w:eastAsia="Palatino Linotype" w:hAnsi="Palatino Linotype" w:cs="Palatino Linotype"/>
              </w:rPr>
            </w:pPr>
            <w:r w:rsidRPr="00CB14D2">
              <w:rPr>
                <w:rFonts w:ascii="Palatino Linotype" w:eastAsia="Palatino Linotype" w:hAnsi="Palatino Linotype" w:cs="Palatino Linotype"/>
                <w:b/>
                <w:sz w:val="20"/>
                <w:szCs w:val="20"/>
              </w:rPr>
              <w:t>Solicitud 00197/HUIXQUIL/IP/2022</w:t>
            </w:r>
          </w:p>
        </w:tc>
        <w:tc>
          <w:tcPr>
            <w:tcW w:w="5998" w:type="dxa"/>
            <w:vMerge/>
            <w:vAlign w:val="center"/>
          </w:tcPr>
          <w:p w14:paraId="3965C838" w14:textId="77777777" w:rsidR="00DE5ED1" w:rsidRPr="00CB14D2" w:rsidRDefault="00DE5ED1">
            <w:pPr>
              <w:widowControl w:val="0"/>
              <w:pBdr>
                <w:top w:val="nil"/>
                <w:left w:val="nil"/>
                <w:bottom w:val="nil"/>
                <w:right w:val="nil"/>
                <w:between w:val="nil"/>
              </w:pBdr>
              <w:spacing w:line="276" w:lineRule="auto"/>
              <w:rPr>
                <w:rFonts w:ascii="Palatino Linotype" w:eastAsia="Palatino Linotype" w:hAnsi="Palatino Linotype" w:cs="Palatino Linotype"/>
              </w:rPr>
            </w:pPr>
          </w:p>
        </w:tc>
      </w:tr>
    </w:tbl>
    <w:p w14:paraId="06B3E933"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adjuntó los archivos:</w:t>
      </w:r>
    </w:p>
    <w:p w14:paraId="3F05F177"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i/>
        </w:rPr>
        <w:t xml:space="preserve">- “FOLIO 196.pdf”, </w:t>
      </w:r>
      <w:r w:rsidRPr="00CB14D2">
        <w:rPr>
          <w:rFonts w:ascii="Palatino Linotype" w:eastAsia="Palatino Linotype" w:hAnsi="Palatino Linotype" w:cs="Palatino Linotype"/>
        </w:rPr>
        <w:t xml:space="preserve">que contiene el oficio número SHA/129/2022, de fecha veinticinco de febrero de dos mil veintidós, signado por el Secretario del Ayuntamiento, </w:t>
      </w:r>
      <w:r w:rsidRPr="00CB14D2">
        <w:rPr>
          <w:rFonts w:ascii="Palatino Linotype" w:eastAsia="Palatino Linotype" w:hAnsi="Palatino Linotype" w:cs="Palatino Linotype"/>
        </w:rPr>
        <w:lastRenderedPageBreak/>
        <w:t>mediante el cual solicita el apoyo del Director de Servicios Administrativos a efecto de que se realice la búsqueda ardua y exhaustiva en los archivos del Departamento de Patrimonio Municipal, dependencia a su cargo, para dar atención a la solicitud de información 00196/HUIXQUIL/IP/2022.</w:t>
      </w:r>
    </w:p>
    <w:p w14:paraId="620D34F3"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i/>
        </w:rPr>
        <w:t xml:space="preserve">- “FOLIO 197.pdf”, </w:t>
      </w:r>
      <w:r w:rsidRPr="00CB14D2">
        <w:rPr>
          <w:rFonts w:ascii="Palatino Linotype" w:eastAsia="Palatino Linotype" w:hAnsi="Palatino Linotype" w:cs="Palatino Linotype"/>
        </w:rPr>
        <w:t>que contiene el oficio número SHA/128/2022, de fecha veinticinco de febrero de dos mil veintidós, signado por el Secretario del Ayuntamiento, mediante el cual solicita el apoyo del Director de Servicios Administrativos a efecto de que se realice la búsqueda ardua y exhaustiva en los archivos del Departamento de Patrimonio Municipal, dependencia a su cargo, para dar atención a la solicitud de información 00197/HUIXQUIL/IP/2022.</w:t>
      </w:r>
    </w:p>
    <w:p w14:paraId="2FB53C80"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i/>
        </w:rPr>
        <w:t xml:space="preserve">- “196-DSA.pdf”, </w:t>
      </w:r>
      <w:r w:rsidRPr="00CB14D2">
        <w:rPr>
          <w:rFonts w:ascii="Palatino Linotype" w:eastAsia="Palatino Linotype" w:hAnsi="Palatino Linotype" w:cs="Palatino Linotype"/>
        </w:rPr>
        <w:t>que contiene la nota informativa del diecisiete de marzo de dos mil veintidós, mediante la cual el enlace de Transparencia de la Secretaría del Ayuntamiento, señala que se giraron los oficios con número SHA/129/02/2022 y SHA/128/02/2022, respectivamente a efecto de solventar sus solicitudes 00196/HUIXQUIL/IP/2022 y 00197/HUIXQUIL/IP/2022, indicando que se recibió oficio SHA/083/2022 suscrito por el Mtro. Horacio Almanza Zendejas -Director de Servicios Administrativos-, mediante el cual se solicitó se sometiera a consideración del Comité de Transparencia Municipal, la CLASIFICACIÓN DE LA INFORMACIÓN CONFIDENCIAL del contenido del Contrato que solventa las solicitudes de información.</w:t>
      </w:r>
    </w:p>
    <w:p w14:paraId="56DEB564" w14:textId="77777777" w:rsidR="00DE5ED1" w:rsidRPr="00CB14D2" w:rsidRDefault="00783AE7">
      <w:pPr>
        <w:spacing w:before="240" w:after="240" w:line="360" w:lineRule="auto"/>
        <w:ind w:right="49"/>
        <w:jc w:val="both"/>
        <w:rPr>
          <w:rFonts w:ascii="Palatino Linotype" w:eastAsia="Palatino Linotype" w:hAnsi="Palatino Linotype" w:cs="Palatino Linotype"/>
          <w:i/>
        </w:rPr>
      </w:pPr>
      <w:r w:rsidRPr="00CB14D2">
        <w:rPr>
          <w:rFonts w:ascii="Palatino Linotype" w:eastAsia="Palatino Linotype" w:hAnsi="Palatino Linotype" w:cs="Palatino Linotype"/>
          <w:i/>
        </w:rPr>
        <w:t xml:space="preserve">- “197.pdf”, </w:t>
      </w:r>
      <w:r w:rsidRPr="00CB14D2">
        <w:rPr>
          <w:rFonts w:ascii="Palatino Linotype" w:eastAsia="Palatino Linotype" w:hAnsi="Palatino Linotype" w:cs="Palatino Linotype"/>
        </w:rPr>
        <w:t>que contiene la nota informativa del diecisiete de marzo de dos mil veintidós, cuyo contenido fue relacionado en el archivo “</w:t>
      </w:r>
      <w:r w:rsidRPr="00CB14D2">
        <w:rPr>
          <w:rFonts w:ascii="Palatino Linotype" w:eastAsia="Palatino Linotype" w:hAnsi="Palatino Linotype" w:cs="Palatino Linotype"/>
          <w:i/>
        </w:rPr>
        <w:t xml:space="preserve">196-DSA.pdf”, </w:t>
      </w:r>
    </w:p>
    <w:p w14:paraId="38E1B4B1"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 xml:space="preserve">- </w:t>
      </w:r>
      <w:r w:rsidRPr="00CB14D2">
        <w:rPr>
          <w:rFonts w:ascii="Palatino Linotype" w:eastAsia="Palatino Linotype" w:hAnsi="Palatino Linotype" w:cs="Palatino Linotype"/>
          <w:i/>
        </w:rPr>
        <w:t xml:space="preserve">“CSDA- FOLIOS 196 Y 197.pdf”, </w:t>
      </w:r>
      <w:r w:rsidRPr="00CB14D2">
        <w:rPr>
          <w:rFonts w:ascii="Palatino Linotype" w:eastAsia="Palatino Linotype" w:hAnsi="Palatino Linotype" w:cs="Palatino Linotype"/>
        </w:rPr>
        <w:t xml:space="preserve">que contiene el oficio número SHA/083/2022, de fecha diecisiete de marzo de dos mil veintidós, signado por el Director de Servicios Administrativos, mediante el cual, con relación a las solicitudes de información con números de folio 00196/HUIXQUIL/IP/2022 y 00197/HUIXQUIL/IP/2022, informa que los documentos solicitados por el ciudadano incluyen datos personales que requieren el consentimiento de su titular para ser difundidos, ya que comprenden datos de identificación que podrían afectar el derecho a la privacidad e intimidad, los cuales en su conjunto harían a una persona física identificada o identificable, datos que se encuentran contenidos en el contrato de Donación remuneratoria, razón por la cual, con la finalidad de dar cumplimiento a la obligación de proteger los datos personales, solicitó poner a consideración el Comité de Transparencia la clasificación como información confidencial relativa a nombres, apellidos, régimen conyugal y firmas autógrafas, de conformidad con los artículos 4, de la Ley de Protección de Datos Personales en Posesión de Sujetos Obligados del Estado de México y Municipios, 53, fracción X, 137, 143, fracción I, de la Ley de Transparencia y Acceso a la Información Pública del Estado de México y Municipios, 3, 113, fracción I, 118, 119, de la Ley Federal de Transparencia y Acceso a la Información Pública, y 116 de la Ley General de Transparencia y Acceso a la Información Pública. </w:t>
      </w:r>
    </w:p>
    <w:p w14:paraId="45DDAB57"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i/>
        </w:rPr>
        <w:t xml:space="preserve">- “ACUERDO 015.pdf”, </w:t>
      </w:r>
      <w:r w:rsidRPr="00CB14D2">
        <w:rPr>
          <w:rFonts w:ascii="Palatino Linotype" w:eastAsia="Palatino Linotype" w:hAnsi="Palatino Linotype" w:cs="Palatino Linotype"/>
        </w:rPr>
        <w:t>que consiste en el Acta del Comité de Transparencia mediante la cual se aprueba la ampliación del plazo para dar respuesta a las solicitudes de información 00195/HUIXQUIL/IP/2022 y 00198/HUIXQUIL/IP/2022, así como la clasificación de información relacionada con las solicitudes 00196/HUIXQUIL/IP/2022 y 00197/HUIXQUIL/IP/2022, como confidencial.</w:t>
      </w:r>
    </w:p>
    <w:p w14:paraId="6402F58E"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b/>
        </w:rPr>
        <w:lastRenderedPageBreak/>
        <w:t xml:space="preserve">3. Interposición de los recursos de revisión. </w:t>
      </w:r>
      <w:r w:rsidRPr="00CB14D2">
        <w:rPr>
          <w:rFonts w:ascii="Palatino Linotype" w:eastAsia="Palatino Linotype" w:hAnsi="Palatino Linotype" w:cs="Palatino Linotype"/>
        </w:rPr>
        <w:t xml:space="preserve">Inconforme con los términos de la respuesta emitida por parte del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con fecha </w:t>
      </w:r>
      <w:r w:rsidRPr="00CB14D2">
        <w:rPr>
          <w:rFonts w:ascii="Palatino Linotype" w:eastAsia="Palatino Linotype" w:hAnsi="Palatino Linotype" w:cs="Palatino Linotype"/>
          <w:b/>
        </w:rPr>
        <w:t>veintidós de marzo de dos mil veintidós,</w:t>
      </w:r>
      <w:r w:rsidRPr="00CB14D2">
        <w:rPr>
          <w:rFonts w:ascii="Palatino Linotype" w:eastAsia="Palatino Linotype" w:hAnsi="Palatino Linotype" w:cs="Palatino Linotype"/>
        </w:rPr>
        <w:t xml:space="preserve"> 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interpuso los recursos de revisión a través de </w:t>
      </w:r>
      <w:r w:rsidRPr="00CB14D2">
        <w:rPr>
          <w:rFonts w:ascii="Palatino Linotype" w:eastAsia="Palatino Linotype" w:hAnsi="Palatino Linotype" w:cs="Palatino Linotype"/>
          <w:b/>
        </w:rPr>
        <w:t xml:space="preserve">SAIMEX, </w:t>
      </w:r>
      <w:r w:rsidRPr="00CB14D2">
        <w:rPr>
          <w:rFonts w:ascii="Palatino Linotype" w:eastAsia="Palatino Linotype" w:hAnsi="Palatino Linotype" w:cs="Palatino Linotype"/>
        </w:rPr>
        <w:t>en donde se manifestó de la siguiente manera en ambos casos:</w:t>
      </w:r>
    </w:p>
    <w:p w14:paraId="60933754" w14:textId="77777777" w:rsidR="00DE5ED1" w:rsidRPr="00CB14D2" w:rsidRDefault="00783AE7">
      <w:pPr>
        <w:tabs>
          <w:tab w:val="left" w:pos="2745"/>
        </w:tabs>
        <w:spacing w:before="240" w:after="240" w:line="360" w:lineRule="auto"/>
        <w:jc w:val="both"/>
        <w:rPr>
          <w:rFonts w:ascii="Palatino Linotype" w:eastAsia="Palatino Linotype" w:hAnsi="Palatino Linotype" w:cs="Palatino Linotype"/>
          <w:b/>
        </w:rPr>
      </w:pPr>
      <w:r w:rsidRPr="00CB14D2">
        <w:rPr>
          <w:rFonts w:ascii="Palatino Linotype" w:eastAsia="Palatino Linotype" w:hAnsi="Palatino Linotype" w:cs="Palatino Linotype"/>
          <w:b/>
        </w:rPr>
        <w:t xml:space="preserve">Acto impugnado: </w:t>
      </w:r>
    </w:p>
    <w:p w14:paraId="0ABE7D31" w14:textId="77777777" w:rsidR="00DE5ED1" w:rsidRPr="00CB14D2" w:rsidRDefault="00783AE7">
      <w:pPr>
        <w:spacing w:line="360" w:lineRule="auto"/>
        <w:ind w:left="851" w:right="1041"/>
        <w:jc w:val="center"/>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0"/>
          <w:szCs w:val="20"/>
        </w:rPr>
        <w:t>“La respuesta a mi solicitud de la información solicitada” (sic)</w:t>
      </w:r>
    </w:p>
    <w:p w14:paraId="48D574F3" w14:textId="77777777" w:rsidR="00DE5ED1" w:rsidRPr="00CB14D2" w:rsidRDefault="00783AE7">
      <w:pPr>
        <w:spacing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Y Razones o motivos de inconformidad</w:t>
      </w:r>
      <w:r w:rsidRPr="00CB14D2">
        <w:rPr>
          <w:rFonts w:ascii="Palatino Linotype" w:eastAsia="Palatino Linotype" w:hAnsi="Palatino Linotype" w:cs="Palatino Linotype"/>
        </w:rPr>
        <w:t xml:space="preserve">: </w:t>
      </w:r>
    </w:p>
    <w:p w14:paraId="3FF4784D" w14:textId="77777777" w:rsidR="00DE5ED1" w:rsidRPr="00CB14D2" w:rsidRDefault="00783AE7">
      <w:pPr>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 xml:space="preserve">“Conforme lo establecido en el artículo 6 de la Constitución Política de los Estados Unidos Mexicanos, se hizo valer mi derecho de acceso a la información, en la que se realizaron las solicitudes de información números 00196/HUIXQUIL/IP/2022 y 00197/HUIXQUIL/IP/2022, mismas que fueron recibidas por la Unidad de Transparencia, mediante el Sistema de Acceso a la Información Mexiquense (SAIMEX), que fue turnada a la Secretaria del Ayuntamiento del Sujeto Obligado. Derivado de lo anterior, el Secretario del H. Ayuntamiento, mediante oficio No. SHA/128/02/2022, de fecha 25 de febrero de 2022, solicito al Director de Servicios Administrativos, realizar una búsqueda ardua y exhaustiva en los archivos que obran bajo el resguardo del Departamento de Patrimonio Municipal, con el objeto de que informe si localizo la información solicitada. Mediante el oficio No. SHA/083/2022, de fecha 17 de marzo de 2022, el Director de Servicios Administrativos, dio respuesta al Secretario del Ayuntamiento de Huixquilucan, Estado de México, respecto a las solicitudes de información, señalando que en aras de dar cabal cumplimiento a los principios generales establecidos en la ley de la materia, es menester señalar que los documentos solicitados por el ciudadano en su solicitud de información incluyen datos personales que requieren el consentimiento de su titular para ser difundidos, ya que comprenden datos de identificación que podrían afectar e derecho a la privacidad e intimidad, los cuales en su conjunto harían a una persona física identificada o identificable, datos que se encuentran contenidos en el contrato de Donación remuneratoria Derivado de lo anterior, y con la finalidad de dar cumplimiento a la obligación de proteger los datos personales, me permito someter a consideración del Comité de Transparencia Municipal la clasificación como INFORMACIÓN CONFIDENCIAL, de los siguientes datos: Nombres, Apellidos, régimen </w:t>
      </w:r>
      <w:r w:rsidRPr="00CB14D2">
        <w:rPr>
          <w:rFonts w:ascii="Palatino Linotype" w:eastAsia="Palatino Linotype" w:hAnsi="Palatino Linotype" w:cs="Palatino Linotype"/>
          <w:i/>
          <w:sz w:val="22"/>
          <w:szCs w:val="22"/>
        </w:rPr>
        <w:lastRenderedPageBreak/>
        <w:t xml:space="preserve">Conyugal y firmas Autógrafas. En la Nota Informativa, de fecha 17 de marzo de 2022, que no tiene destinatario, la Enlace de Transparencia de la Secretaria del Ayuntamiento, hace referencia a las solicitudes de información números 00196/HUIXQUIL/IP/2022 y 00197/HUIXQUIL/IP/2022, así como a los oficios SHA/129/02/2022 y SHA/128/02/2022, y SHA/083/2022, mediante el cual, se solicitó se sometiera a consideración del Comité de Transparencia, la CLASIFICACIÓN DE LA INFORMACIÓN CONFIDENCIAL del Contrato que solventa las solicitudes de información. No obstante lo anterior, en la misma fecha 17 de marzo de 2022, el Comité de Transparencia Municipal del Ayuntamiento de Huixquilucan, Estado de México, en franca violación a las formalidades legales emite el acuerdo de Clasificación de Información con Carácter de Confidencial, como se expone a continuación: En el oficio No. SHA/083/2022, de fecha 17 de marzo de 2022, por el que Director de Servicios Administrativos, dio respuesta al Secretario del Ayuntamiento de Huixquilucan, Estado de México, se recibió a las 16.40 horas, recibido dicho oficio, la Enlace de Transparencia de la Secretaria del Ayuntamiento, emite Nota Informativa, sin mediar destinatario, por la que hace referencia al oficio antes señalado, mediante el cual, se solicito se sometiera a consideración del Comité, la Clasificación de la Información. El Comité de Transparencia Municipal, del que no se precisa quien lo preside, no se justifica como fue convocado al mismo, en la misma fecha arriba señalada, tomando en cuenta el horario en que fue recibido el oficio No. SHA/083/2022, y porque únicamente firman dos de los integrantes, ni porque estuvo ausente el suplente del Contralor Interno Municipal, así como el mismo Contralor Interno Municipal o no fueron convocados, emite el Acuerdo de Clasificación de Información con carácter de confidencial, tomando como base supuestamente el proyecto de clasificación de información pública como confidencial, presentado por el servidor público habilitado de la Secretaria del H. Ayuntamiento, según se desprende del numeral PRIMERA, del que no consta la propuesta del proyecto que se haya presentado, por el servidor público habilitado, resultando ilegal, incluso inexistente lo actuado por dicho Comité. Lo que el Director de Servicios Administrativos, consideraba someter a consideración del Comité, la clasificación como Información Confidencial de los siguientes datos: Nombres, Apellidos, Régimen Conyugal y Firmas Autógrafas, contenidos en el Contrato de Donación Remuneratoria. Ahora, del supuesto Acuerdo del Comité de Transparencia Municipal, en el numeral SEGUNDO, dice que el acuerdo tiene por objeto aprobar la clasificación con carácter de CONFIDENCIAL, relativa a la información solicitada por el particular en sus solicitudes de información registradas con número de folio 00196/HUIXQUIL/2022 Y </w:t>
      </w:r>
      <w:r w:rsidRPr="00CB14D2">
        <w:rPr>
          <w:rFonts w:ascii="Palatino Linotype" w:eastAsia="Palatino Linotype" w:hAnsi="Palatino Linotype" w:cs="Palatino Linotype"/>
          <w:i/>
          <w:sz w:val="22"/>
          <w:szCs w:val="22"/>
        </w:rPr>
        <w:lastRenderedPageBreak/>
        <w:t>00197/HUIXQUIL/2022, se trata evidentemente de información confidencial, pero el acuerdo, omite precisar a qué información se refiere, puesto que indebidamente el Comité, hace referencia a la información solicitada por el particular, sin justificar porque considera que la información es confidencial, lo que resulta incorrecto el actuar del cuerpo colegiado, si es que haya sesionado. En el numeral TERCERO del supuesto acuerdo, dice que la información a la fecha de la emisión del presente acuerdo se clasifica como confidencial, de acuerdo a lo que se detalla a continuación, SECCIONES CLASIFICADAS COMO CONFIDENCIAL Toda la información requerida por el particular en sus solicitudes de información registradas con número de folio 00196/HUIXQUIL/2022 Y 00197/HUIXQUIL/2022 De donde se puede apreciar que clasifican como confidencial, toda la información solicitada, lo que resulta absurdo dicha determinación, quedando evidente lo arbitrario del actuar del Colegiado, del que señala que la MOTIVACIÓN DE LA CLASIFICACIÓN, son las solicitudes de información a través del Sistema SAIMEX, no obstante que, diga más adelante que se actualiza la hipótesis contenida en el artículo 143 fracción I, de la Ley de Transparencia y Acceso a la Información Pública del Estado de México y Municipios; siendo el caso, que conforme a lo establecido en la ley de la materia, debía ser una clasificación parcial de la información contenida en el Contrato de Donación Remuneratoria, para que el sujeto obligado, proceda a realizar una versión pública, pero no determinar en forma incorrecta, transgrediendo la ley. Asimismo, resulta ilegal, que el acuerdo que se recurre, en el numeral CUARTO, diga que la información antes señalada permanecerá con ese carácter de manera permanente a partir de la emisión del presente acuerdo, cuando la información señalada en el acuerdo, se refiere a toda la información requerida por el particular, lo que resulta desproporcionado, excediéndose el Comité, en lo solicitado por el sujeto obligado, que se refería a los datos: Nombres, Apellidos, Régimen Conyugal y Firmas Autógrafas, contenidos en el Contrato de Donación Remuneratoria, con lo que se puede evidenciar, no querer dar cumplimiento a lo que establece la normatividad. El Acuerdo que se recurre, no cumple con lo establecido en el artículo 177 de la Ley de Transparencia Estatal, con lo que queda evidenciado, lo ilegal y arbitrario con lo que se conducen los servidores públicos del Ayuntamiento de Huixquilucan, Estado de México.” (sic)</w:t>
      </w:r>
    </w:p>
    <w:p w14:paraId="20B7FCA3"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b/>
        </w:rPr>
        <w:t xml:space="preserve">Anexos: </w:t>
      </w:r>
      <w:r w:rsidRPr="00CB14D2">
        <w:rPr>
          <w:rFonts w:ascii="Palatino Linotype" w:eastAsia="Palatino Linotype" w:hAnsi="Palatino Linotype" w:cs="Palatino Linotype"/>
        </w:rPr>
        <w:t xml:space="preserve">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no adjuntó archivos.</w:t>
      </w:r>
    </w:p>
    <w:p w14:paraId="4D63CAD0"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lastRenderedPageBreak/>
        <w:t>4. Turno.</w:t>
      </w:r>
      <w:r w:rsidRPr="00CB14D2">
        <w:rPr>
          <w:rFonts w:ascii="Palatino Linotype" w:eastAsia="Palatino Linotype" w:hAnsi="Palatino Linotype" w:cs="Palatino Linotype"/>
          <w:b/>
          <w:sz w:val="28"/>
          <w:szCs w:val="28"/>
        </w:rPr>
        <w:t xml:space="preserve"> </w:t>
      </w:r>
      <w:r w:rsidRPr="00CB14D2">
        <w:rPr>
          <w:rFonts w:ascii="Palatino Linotype" w:eastAsia="Palatino Linotype" w:hAnsi="Palatino Linotype" w:cs="Palatino Linotype"/>
        </w:rPr>
        <w:t>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Pr="00CB14D2">
        <w:rPr>
          <w:rFonts w:ascii="Palatino Linotype" w:eastAsia="Palatino Linotype" w:hAnsi="Palatino Linotype" w:cs="Palatino Linotype"/>
          <w:b/>
        </w:rPr>
        <w:t xml:space="preserve"> Guadalupe Ramírez Peña </w:t>
      </w:r>
      <w:r w:rsidRPr="00CB14D2">
        <w:rPr>
          <w:rFonts w:ascii="Palatino Linotype" w:eastAsia="Palatino Linotype" w:hAnsi="Palatino Linotype" w:cs="Palatino Linotype"/>
        </w:rPr>
        <w:t>y</w:t>
      </w:r>
      <w:r w:rsidRPr="00CB14D2">
        <w:rPr>
          <w:rFonts w:ascii="Palatino Linotype" w:eastAsia="Palatino Linotype" w:hAnsi="Palatino Linotype" w:cs="Palatino Linotype"/>
          <w:b/>
        </w:rPr>
        <w:t xml:space="preserve"> Luis Gustavo Parra Noriega, </w:t>
      </w:r>
      <w:r w:rsidRPr="00CB14D2">
        <w:rPr>
          <w:rFonts w:ascii="Palatino Linotype" w:eastAsia="Palatino Linotype" w:hAnsi="Palatino Linotype" w:cs="Palatino Linotype"/>
        </w:rPr>
        <w:t>a efecto de que analizaran sobre su admisión o su desechamiento.</w:t>
      </w:r>
    </w:p>
    <w:p w14:paraId="08685FFD" w14:textId="77777777" w:rsidR="00DE5ED1" w:rsidRPr="00CB14D2" w:rsidRDefault="00783AE7">
      <w:pPr>
        <w:spacing w:before="240" w:after="240" w:line="360" w:lineRule="auto"/>
        <w:jc w:val="both"/>
        <w:rPr>
          <w:rFonts w:ascii="Palatino Linotype" w:eastAsia="Palatino Linotype" w:hAnsi="Palatino Linotype" w:cs="Palatino Linotype"/>
          <w:b/>
        </w:rPr>
      </w:pPr>
      <w:r w:rsidRPr="00CB14D2">
        <w:rPr>
          <w:rFonts w:ascii="Palatino Linotype" w:eastAsia="Palatino Linotype" w:hAnsi="Palatino Linotype" w:cs="Palatino Linotype"/>
          <w:b/>
        </w:rPr>
        <w:t>5.</w:t>
      </w:r>
      <w:r w:rsidRPr="00CB14D2">
        <w:rPr>
          <w:rFonts w:ascii="Palatino Linotype" w:eastAsia="Palatino Linotype" w:hAnsi="Palatino Linotype" w:cs="Palatino Linotype"/>
          <w:b/>
          <w:i/>
        </w:rPr>
        <w:t xml:space="preserve"> </w:t>
      </w:r>
      <w:r w:rsidRPr="00CB14D2">
        <w:rPr>
          <w:rFonts w:ascii="Palatino Linotype" w:eastAsia="Palatino Linotype" w:hAnsi="Palatino Linotype" w:cs="Palatino Linotype"/>
          <w:b/>
        </w:rPr>
        <w:t>Admisión de los Recursos de revisión.</w:t>
      </w:r>
      <w:r w:rsidRPr="00CB14D2">
        <w:rPr>
          <w:rFonts w:ascii="Palatino Linotype" w:eastAsia="Palatino Linotype" w:hAnsi="Palatino Linotype" w:cs="Palatino Linotype"/>
          <w:sz w:val="28"/>
          <w:szCs w:val="28"/>
        </w:rPr>
        <w:t xml:space="preserve"> </w:t>
      </w:r>
      <w:r w:rsidRPr="00CB14D2">
        <w:rPr>
          <w:rFonts w:ascii="Palatino Linotype" w:eastAsia="Palatino Linotype" w:hAnsi="Palatino Linotype" w:cs="Palatino Linotype"/>
        </w:rPr>
        <w:t>Con fechas</w:t>
      </w:r>
      <w:r w:rsidRPr="00CB14D2">
        <w:rPr>
          <w:rFonts w:ascii="Palatino Linotype" w:eastAsia="Palatino Linotype" w:hAnsi="Palatino Linotype" w:cs="Palatino Linotype"/>
          <w:b/>
        </w:rPr>
        <w:t xml:space="preserve"> veinticuatro y veinticinco de marzo de dos mil veintidós, </w:t>
      </w:r>
      <w:r w:rsidRPr="00CB14D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presentara su informe justificado.</w:t>
      </w:r>
    </w:p>
    <w:p w14:paraId="273718E5" w14:textId="77777777" w:rsidR="00DE5ED1" w:rsidRPr="00CB14D2" w:rsidRDefault="00783AE7">
      <w:pPr>
        <w:widowControl w:val="0"/>
        <w:spacing w:before="240" w:after="240" w:line="360" w:lineRule="auto"/>
        <w:jc w:val="both"/>
        <w:rPr>
          <w:rFonts w:ascii="Palatino Linotype" w:eastAsia="Palatino Linotype" w:hAnsi="Palatino Linotype" w:cs="Palatino Linotype"/>
          <w:b/>
        </w:rPr>
      </w:pPr>
      <w:r w:rsidRPr="00CB14D2">
        <w:rPr>
          <w:rFonts w:ascii="Palatino Linotype" w:eastAsia="Palatino Linotype" w:hAnsi="Palatino Linotype" w:cs="Palatino Linotype"/>
          <w:b/>
        </w:rPr>
        <w:t xml:space="preserve">6. Acumulación de los recursos de revisión. </w:t>
      </w:r>
      <w:r w:rsidRPr="00CB14D2">
        <w:rPr>
          <w:rFonts w:ascii="Palatino Linotype" w:eastAsia="Palatino Linotype" w:hAnsi="Palatino Linotype" w:cs="Palatino Linotype"/>
        </w:rPr>
        <w:t xml:space="preserve">Al respecto cabe señalar, que el Pleno de este Instituto, en la </w:t>
      </w:r>
      <w:r w:rsidRPr="00CB14D2">
        <w:rPr>
          <w:rFonts w:ascii="Palatino Linotype" w:eastAsia="Palatino Linotype" w:hAnsi="Palatino Linotype" w:cs="Palatino Linotype"/>
          <w:b/>
        </w:rPr>
        <w:t>Décimo Segunda Sesión Ordinaria</w:t>
      </w:r>
      <w:r w:rsidRPr="00CB14D2">
        <w:rPr>
          <w:rFonts w:ascii="Palatino Linotype" w:eastAsia="Palatino Linotype" w:hAnsi="Palatino Linotype" w:cs="Palatino Linotype"/>
        </w:rPr>
        <w:t xml:space="preserve"> de fecha</w:t>
      </w:r>
      <w:r w:rsidRPr="00CB14D2">
        <w:rPr>
          <w:rFonts w:ascii="Palatino Linotype" w:eastAsia="Palatino Linotype" w:hAnsi="Palatino Linotype" w:cs="Palatino Linotype"/>
          <w:b/>
        </w:rPr>
        <w:t xml:space="preserve"> treinta de marzo de dos mil veintidós</w:t>
      </w:r>
      <w:r w:rsidRPr="00CB14D2">
        <w:rPr>
          <w:rFonts w:ascii="Palatino Linotype" w:eastAsia="Palatino Linotype" w:hAnsi="Palatino Linotype" w:cs="Palatino Linotype"/>
        </w:rPr>
        <w:t xml:space="preserve">, ordenó la acumulación de los expedientes citados y el turno de los mismos a la Comisionada </w:t>
      </w:r>
      <w:r w:rsidRPr="00CB14D2">
        <w:rPr>
          <w:rFonts w:ascii="Palatino Linotype" w:eastAsia="Palatino Linotype" w:hAnsi="Palatino Linotype" w:cs="Palatino Linotype"/>
          <w:b/>
        </w:rPr>
        <w:t xml:space="preserve">Guadalupe Ramírez Peña, </w:t>
      </w:r>
      <w:r w:rsidRPr="00CB14D2">
        <w:rPr>
          <w:rFonts w:ascii="Palatino Linotype" w:eastAsia="Palatino Linotype" w:hAnsi="Palatino Linotype" w:cs="Palatino Linotype"/>
        </w:rPr>
        <w:t>para que formulara y presentara el proyecto de resolución correspondiente, notificándose a las partes.</w:t>
      </w:r>
    </w:p>
    <w:p w14:paraId="07C2D493" w14:textId="77777777" w:rsidR="00DE5ED1" w:rsidRPr="00CB14D2" w:rsidRDefault="00783AE7">
      <w:pPr>
        <w:widowControl w:val="0"/>
        <w:spacing w:before="240" w:after="240" w:line="360" w:lineRule="auto"/>
        <w:jc w:val="both"/>
        <w:rPr>
          <w:rFonts w:ascii="Palatino Linotype" w:eastAsia="Palatino Linotype" w:hAnsi="Palatino Linotype" w:cs="Palatino Linotype"/>
          <w:b/>
        </w:rPr>
      </w:pPr>
      <w:r w:rsidRPr="00CB14D2">
        <w:rPr>
          <w:rFonts w:ascii="Palatino Linotype" w:eastAsia="Palatino Linotype" w:hAnsi="Palatino Linotype" w:cs="Palatino Linotype"/>
        </w:rPr>
        <w:t xml:space="preserve">Lo anterior de conformidad con lo dispuesto en el artículo 18 del Código de Procedimientos Administrativos del Estado de México, de aplicación supletoria en términos del artículo 195 de la Ley de Transparencia y Acceso a la Información </w:t>
      </w:r>
      <w:r w:rsidRPr="00CB14D2">
        <w:rPr>
          <w:rFonts w:ascii="Palatino Linotype" w:eastAsia="Palatino Linotype" w:hAnsi="Palatino Linotype" w:cs="Palatino Linotype"/>
        </w:rPr>
        <w:lastRenderedPageBreak/>
        <w:t xml:space="preserve">Pública del Estado de México y Municipios, que a la letra señalan:  </w:t>
      </w:r>
    </w:p>
    <w:p w14:paraId="5861B489" w14:textId="77777777" w:rsidR="00DE5ED1" w:rsidRPr="00CB14D2" w:rsidRDefault="00783AE7">
      <w:pPr>
        <w:widowControl w:val="0"/>
        <w:spacing w:before="240" w:after="240"/>
        <w:ind w:left="851" w:right="902"/>
        <w:jc w:val="both"/>
        <w:rPr>
          <w:rFonts w:ascii="Palatino Linotype" w:eastAsia="Palatino Linotype" w:hAnsi="Palatino Linotype" w:cs="Palatino Linotype"/>
          <w:b/>
          <w:i/>
          <w:sz w:val="22"/>
          <w:szCs w:val="22"/>
        </w:rPr>
      </w:pPr>
      <w:r w:rsidRPr="00CB14D2">
        <w:rPr>
          <w:rFonts w:ascii="Palatino Linotype" w:eastAsia="Palatino Linotype" w:hAnsi="Palatino Linotype" w:cs="Palatino Linotype"/>
          <w:b/>
          <w:i/>
          <w:sz w:val="22"/>
          <w:szCs w:val="22"/>
        </w:rPr>
        <w:t>Código de Procedimientos Administrativos del Estado de México</w:t>
      </w:r>
    </w:p>
    <w:p w14:paraId="3757E142" w14:textId="77777777" w:rsidR="00DE5ED1" w:rsidRPr="00CB14D2" w:rsidRDefault="00783AE7">
      <w:pPr>
        <w:widowControl w:val="0"/>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18.-</w:t>
      </w:r>
      <w:r w:rsidRPr="00CB14D2">
        <w:rPr>
          <w:rFonts w:ascii="Palatino Linotype" w:eastAsia="Palatino Linotype" w:hAnsi="Palatino Linotype" w:cs="Palatino Linotype"/>
          <w:i/>
          <w:sz w:val="22"/>
          <w:szCs w:val="22"/>
        </w:rPr>
        <w:t xml:space="preserve"> </w:t>
      </w:r>
      <w:r w:rsidRPr="00CB14D2">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CB14D2">
        <w:rPr>
          <w:rFonts w:ascii="Palatino Linotype" w:eastAsia="Palatino Linotype" w:hAnsi="Palatino Linotype" w:cs="Palatino Linotype"/>
          <w:i/>
          <w:sz w:val="22"/>
          <w:szCs w:val="22"/>
        </w:rPr>
        <w:t xml:space="preserve"> o a petición de parte, </w:t>
      </w:r>
      <w:r w:rsidRPr="00CB14D2">
        <w:rPr>
          <w:rFonts w:ascii="Palatino Linotype" w:eastAsia="Palatino Linotype" w:hAnsi="Palatino Linotype" w:cs="Palatino Linotype"/>
          <w:b/>
          <w:i/>
          <w:sz w:val="22"/>
          <w:szCs w:val="22"/>
        </w:rPr>
        <w:t>cuando las partes</w:t>
      </w:r>
      <w:r w:rsidRPr="00CB14D2">
        <w:rPr>
          <w:rFonts w:ascii="Palatino Linotype" w:eastAsia="Palatino Linotype" w:hAnsi="Palatino Linotype" w:cs="Palatino Linotype"/>
          <w:i/>
          <w:sz w:val="22"/>
          <w:szCs w:val="22"/>
        </w:rPr>
        <w:t xml:space="preserve"> o los actos administrativos sean iguales, se trate de actos conexos o </w:t>
      </w:r>
      <w:r w:rsidRPr="00CB14D2">
        <w:rPr>
          <w:rFonts w:ascii="Palatino Linotype" w:eastAsia="Palatino Linotype" w:hAnsi="Palatino Linotype" w:cs="Palatino Linotype"/>
          <w:b/>
          <w:i/>
          <w:sz w:val="22"/>
          <w:szCs w:val="22"/>
        </w:rPr>
        <w:t>resulte conveniente el trámite unificado de los asuntos, para evitar la emisión de resoluciones contradictorias</w:t>
      </w:r>
      <w:r w:rsidRPr="00CB14D2">
        <w:rPr>
          <w:rFonts w:ascii="Palatino Linotype" w:eastAsia="Palatino Linotype" w:hAnsi="Palatino Linotype" w:cs="Palatino Linotype"/>
          <w:i/>
          <w:sz w:val="22"/>
          <w:szCs w:val="22"/>
        </w:rPr>
        <w:t>. La misma regla se aplicará, en lo conducente, para la separación de los expedientes.”</w:t>
      </w:r>
    </w:p>
    <w:p w14:paraId="4169739F" w14:textId="77777777" w:rsidR="00DE5ED1" w:rsidRPr="00CB14D2" w:rsidRDefault="00783AE7">
      <w:pPr>
        <w:widowControl w:val="0"/>
        <w:spacing w:before="120" w:after="120"/>
        <w:ind w:left="851" w:right="902"/>
        <w:jc w:val="both"/>
        <w:rPr>
          <w:rFonts w:ascii="Palatino Linotype" w:eastAsia="Palatino Linotype" w:hAnsi="Palatino Linotype" w:cs="Palatino Linotype"/>
          <w:b/>
          <w:i/>
          <w:sz w:val="22"/>
          <w:szCs w:val="22"/>
        </w:rPr>
      </w:pPr>
      <w:r w:rsidRPr="00CB14D2">
        <w:rPr>
          <w:rFonts w:ascii="Palatino Linotype" w:eastAsia="Palatino Linotype" w:hAnsi="Palatino Linotype" w:cs="Palatino Linotype"/>
          <w:b/>
          <w:i/>
          <w:sz w:val="22"/>
          <w:szCs w:val="22"/>
        </w:rPr>
        <w:t>Ley de Transparencia y Acceso a la Información Pública del Estado de México y Municipios</w:t>
      </w:r>
    </w:p>
    <w:p w14:paraId="05858204" w14:textId="77777777" w:rsidR="00DE5ED1" w:rsidRPr="00CB14D2" w:rsidRDefault="00783AE7">
      <w:pPr>
        <w:widowControl w:val="0"/>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195.-</w:t>
      </w:r>
      <w:r w:rsidRPr="00CB14D2">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6DD99277" w14:textId="77777777" w:rsidR="00DE5ED1" w:rsidRPr="00CB14D2" w:rsidRDefault="00783AE7">
      <w:pPr>
        <w:spacing w:before="240" w:after="240" w:line="360" w:lineRule="auto"/>
        <w:jc w:val="both"/>
        <w:rPr>
          <w:rFonts w:ascii="Palatino Linotype" w:eastAsia="Palatino Linotype" w:hAnsi="Palatino Linotype" w:cs="Palatino Linotype"/>
        </w:rPr>
      </w:pPr>
      <w:bookmarkStart w:id="1" w:name="_heading=h.4d34og8" w:colFirst="0" w:colLast="0"/>
      <w:bookmarkEnd w:id="1"/>
      <w:r w:rsidRPr="00CB14D2">
        <w:rPr>
          <w:rFonts w:ascii="Palatino Linotype" w:eastAsia="Palatino Linotype" w:hAnsi="Palatino Linotype" w:cs="Palatino Linotype"/>
          <w:b/>
        </w:rPr>
        <w:t>7. Manifestaciones</w:t>
      </w:r>
      <w:r w:rsidRPr="00CB14D2">
        <w:rPr>
          <w:rFonts w:ascii="Palatino Linotype" w:eastAsia="Palatino Linotype" w:hAnsi="Palatino Linotype" w:cs="Palatino Linotype"/>
        </w:rPr>
        <w:t>.</w:t>
      </w:r>
      <w:r w:rsidRPr="00CB14D2">
        <w:rPr>
          <w:rFonts w:ascii="Palatino Linotype" w:eastAsia="Palatino Linotype" w:hAnsi="Palatino Linotype" w:cs="Palatino Linotype"/>
          <w:sz w:val="28"/>
          <w:szCs w:val="28"/>
        </w:rPr>
        <w:t xml:space="preserve"> </w:t>
      </w:r>
      <w:r w:rsidRPr="00CB14D2">
        <w:rPr>
          <w:rFonts w:ascii="Palatino Linotype" w:eastAsia="Palatino Linotype" w:hAnsi="Palatino Linotype" w:cs="Palatino Linotype"/>
        </w:rPr>
        <w:t xml:space="preserve">En fecha </w:t>
      </w:r>
      <w:r w:rsidRPr="00CB14D2">
        <w:rPr>
          <w:rFonts w:ascii="Palatino Linotype" w:eastAsia="Palatino Linotype" w:hAnsi="Palatino Linotype" w:cs="Palatino Linotype"/>
          <w:b/>
        </w:rPr>
        <w:t xml:space="preserve">cinco de abril de dos mil veintidós, </w:t>
      </w:r>
      <w:r w:rsidRPr="00CB14D2">
        <w:rPr>
          <w:rFonts w:ascii="Palatino Linotype" w:eastAsia="Palatino Linotype" w:hAnsi="Palatino Linotype" w:cs="Palatino Linotype"/>
        </w:rPr>
        <w:t xml:space="preserve">el </w:t>
      </w:r>
      <w:r w:rsidRPr="00CB14D2">
        <w:rPr>
          <w:rFonts w:ascii="Palatino Linotype" w:eastAsia="Palatino Linotype" w:hAnsi="Palatino Linotype" w:cs="Palatino Linotype"/>
          <w:b/>
        </w:rPr>
        <w:t xml:space="preserve">Sujeto Obligado </w:t>
      </w:r>
      <w:r w:rsidRPr="00CB14D2">
        <w:rPr>
          <w:rFonts w:ascii="Palatino Linotype" w:eastAsia="Palatino Linotype" w:hAnsi="Palatino Linotype" w:cs="Palatino Linotype"/>
        </w:rPr>
        <w:t xml:space="preserve">remitió, a través del SAIMEX, sus informes justificados, acompañados de los oficios SHA/267/2022 y SHA/268/2022, signados por el Secretario del Ayuntamiento, documentos mediante los cuales se ratifica en todas y cada una de sus partes, la contestación otorgada a las solicitudes de información, no obstante, se hicieron del conocimiento de la parte </w:t>
      </w:r>
      <w:r w:rsidRPr="00CB14D2">
        <w:rPr>
          <w:rFonts w:ascii="Palatino Linotype" w:eastAsia="Palatino Linotype" w:hAnsi="Palatino Linotype" w:cs="Palatino Linotype"/>
          <w:b/>
        </w:rPr>
        <w:t xml:space="preserve">Recurrente </w:t>
      </w:r>
      <w:r w:rsidRPr="00CB14D2">
        <w:rPr>
          <w:rFonts w:ascii="Palatino Linotype" w:eastAsia="Palatino Linotype" w:hAnsi="Palatino Linotype" w:cs="Palatino Linotype"/>
        </w:rPr>
        <w:t>a efecto de que manifestara lo que a su derecho estimara conveniente, siendo omisa en ejercer dicha prerrogativa.</w:t>
      </w:r>
    </w:p>
    <w:p w14:paraId="4ED4D637"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8. Ampliación del término para resolver</w:t>
      </w:r>
      <w:r w:rsidRPr="00CB14D2">
        <w:rPr>
          <w:rFonts w:ascii="Palatino Linotype" w:eastAsia="Palatino Linotype" w:hAnsi="Palatino Linotype" w:cs="Palatino Linotype"/>
        </w:rPr>
        <w:t xml:space="preserve">. En fecha </w:t>
      </w:r>
      <w:r w:rsidRPr="00CB14D2">
        <w:rPr>
          <w:rFonts w:ascii="Palatino Linotype" w:eastAsia="Palatino Linotype" w:hAnsi="Palatino Linotype" w:cs="Palatino Linotype"/>
          <w:b/>
        </w:rPr>
        <w:t>dieciséis de mayo de dos mil veintidós</w:t>
      </w:r>
      <w:r w:rsidRPr="00CB14D2">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562AE6E7"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E90D79"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5B6C7D3"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1CE6F0"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FD42D46" w14:textId="77777777" w:rsidR="00DE5ED1" w:rsidRPr="00CB14D2" w:rsidRDefault="00783AE7">
      <w:pPr>
        <w:spacing w:before="240" w:after="240" w:line="360" w:lineRule="auto"/>
        <w:jc w:val="both"/>
        <w:rPr>
          <w:rFonts w:ascii="Palatino Linotype" w:eastAsia="Palatino Linotype" w:hAnsi="Palatino Linotype" w:cs="Palatino Linotype"/>
          <w:strike/>
        </w:rPr>
      </w:pPr>
      <w:r w:rsidRPr="00CB14D2">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9D9B717" w14:textId="77777777" w:rsidR="00DE5ED1" w:rsidRPr="00CB14D2" w:rsidRDefault="00783AE7">
      <w:pPr>
        <w:numPr>
          <w:ilvl w:val="0"/>
          <w:numId w:val="1"/>
        </w:num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051BB5A" w14:textId="77777777" w:rsidR="00DE5ED1" w:rsidRPr="00CB14D2" w:rsidRDefault="00783AE7">
      <w:pPr>
        <w:numPr>
          <w:ilvl w:val="0"/>
          <w:numId w:val="1"/>
        </w:num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Actividad Procesal del interesado. Acciones u omisiones del interesado.</w:t>
      </w:r>
    </w:p>
    <w:p w14:paraId="0A8D6F46" w14:textId="77777777" w:rsidR="00DE5ED1" w:rsidRPr="00CB14D2" w:rsidRDefault="00783AE7">
      <w:pPr>
        <w:numPr>
          <w:ilvl w:val="0"/>
          <w:numId w:val="1"/>
        </w:num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Conducta de la Autoridad: Las Acciones u omisiones realizadas en el procedimiento. Así como si la autoridad actuó con la debida diligencia.</w:t>
      </w:r>
    </w:p>
    <w:p w14:paraId="6EF28268" w14:textId="77777777" w:rsidR="00DE5ED1" w:rsidRPr="00CB14D2" w:rsidRDefault="00783AE7">
      <w:pPr>
        <w:spacing w:before="240" w:after="240" w:line="360" w:lineRule="auto"/>
        <w:ind w:left="567"/>
        <w:jc w:val="both"/>
        <w:rPr>
          <w:rFonts w:ascii="Palatino Linotype" w:eastAsia="Palatino Linotype" w:hAnsi="Palatino Linotype" w:cs="Palatino Linotype"/>
        </w:rPr>
      </w:pPr>
      <w:r w:rsidRPr="00CB14D2">
        <w:rPr>
          <w:rFonts w:ascii="Palatino Linotype" w:eastAsia="Palatino Linotype" w:hAnsi="Palatino Linotype" w:cs="Palatino Linotype"/>
        </w:rPr>
        <w:t>d) La afectación generada en la situación jurídica de la persona involucrada en el proceso: Violación a sus derechos humanos.</w:t>
      </w:r>
    </w:p>
    <w:p w14:paraId="6881AF8A"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238205E" w14:textId="77777777" w:rsidR="00DE5ED1" w:rsidRPr="00CB14D2" w:rsidRDefault="00783AE7">
      <w:pPr>
        <w:spacing w:before="240" w:after="240" w:line="360" w:lineRule="auto"/>
        <w:jc w:val="both"/>
        <w:rPr>
          <w:rFonts w:ascii="Palatino Linotype" w:eastAsia="Palatino Linotype" w:hAnsi="Palatino Linotype" w:cs="Palatino Linotype"/>
          <w:b/>
        </w:rPr>
      </w:pPr>
      <w:r w:rsidRPr="00CB14D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B14D2">
        <w:rPr>
          <w:rFonts w:ascii="Palatino Linotype" w:eastAsia="Palatino Linotype" w:hAnsi="Palatino Linotype" w:cs="Palatino Linotype"/>
          <w:i/>
        </w:rPr>
        <w:t xml:space="preserve">“TÉRMINOS PROCESALES. PARA DETERMINAR SI UN FUNCIONARIO JUDICIAL ACTUÓ </w:t>
      </w:r>
      <w:r w:rsidRPr="00CB14D2">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CB14D2">
        <w:rPr>
          <w:rFonts w:ascii="Palatino Linotype" w:eastAsia="Palatino Linotype" w:hAnsi="Palatino Linotype" w:cs="Palatino Linotype"/>
        </w:rPr>
        <w:t>, visible en la Gaceta del Seminario Judicial de la Federación con el registro digital 205635.</w:t>
      </w:r>
    </w:p>
    <w:p w14:paraId="4E3E8AD1"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605781"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B09D911" w14:textId="77777777" w:rsidR="00DE5ED1" w:rsidRPr="00CB14D2" w:rsidRDefault="00783AE7">
      <w:pPr>
        <w:spacing w:before="120" w:after="120"/>
        <w:ind w:left="851" w:right="902"/>
        <w:jc w:val="both"/>
        <w:rPr>
          <w:rFonts w:ascii="Palatino Linotype" w:eastAsia="Palatino Linotype" w:hAnsi="Palatino Linotype" w:cs="Palatino Linotype"/>
          <w:sz w:val="22"/>
          <w:szCs w:val="22"/>
        </w:rPr>
      </w:pPr>
      <w:r w:rsidRPr="00CB14D2">
        <w:rPr>
          <w:rFonts w:ascii="Palatino Linotype" w:eastAsia="Palatino Linotype" w:hAnsi="Palatino Linotype" w:cs="Palatino Linotype"/>
        </w:rPr>
        <w:t xml:space="preserve"> </w:t>
      </w: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b/>
          <w:i/>
          <w:sz w:val="22"/>
          <w:szCs w:val="22"/>
        </w:rPr>
        <w:t>PLAZO RAZONABLE PARA RESOLVER. DIMENSIÓN Y EFECTOS DE ESTE CONCEPTO CUANDO SE ADUCE EXCESIVA CARGA DE TRABAJO</w:t>
      </w: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sz w:val="22"/>
          <w:szCs w:val="22"/>
        </w:rPr>
        <w:t xml:space="preserve"> consultable en el Seminario Judicial de la Federación y su gaceta, con el registro digital 2002351.</w:t>
      </w:r>
    </w:p>
    <w:p w14:paraId="63D9158C" w14:textId="77777777" w:rsidR="00DE5ED1" w:rsidRPr="00CB14D2" w:rsidRDefault="00783AE7">
      <w:pPr>
        <w:spacing w:before="120" w:after="120"/>
        <w:ind w:left="851" w:right="902"/>
        <w:jc w:val="both"/>
        <w:rPr>
          <w:rFonts w:ascii="Palatino Linotype" w:eastAsia="Palatino Linotype" w:hAnsi="Palatino Linotype" w:cs="Palatino Linotype"/>
          <w:sz w:val="22"/>
          <w:szCs w:val="22"/>
        </w:rPr>
      </w:pP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sz w:val="22"/>
          <w:szCs w:val="22"/>
        </w:rPr>
        <w:t xml:space="preserve">, visible en el </w:t>
      </w:r>
      <w:r w:rsidRPr="00CB14D2">
        <w:rPr>
          <w:rFonts w:ascii="Palatino Linotype" w:eastAsia="Palatino Linotype" w:hAnsi="Palatino Linotype" w:cs="Palatino Linotype"/>
          <w:sz w:val="22"/>
          <w:szCs w:val="22"/>
        </w:rPr>
        <w:lastRenderedPageBreak/>
        <w:t>Seminario Judicial de la Federación y su gaceta, con el registro digital 2002350.</w:t>
      </w:r>
    </w:p>
    <w:p w14:paraId="1A1C9ACA"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66B05AF" w14:textId="77777777" w:rsidR="00DE5ED1" w:rsidRPr="00CB14D2" w:rsidRDefault="00783AE7">
      <w:pPr>
        <w:spacing w:after="240" w:line="360" w:lineRule="auto"/>
        <w:jc w:val="both"/>
        <w:rPr>
          <w:rFonts w:ascii="Palatino Linotype" w:eastAsia="Palatino Linotype" w:hAnsi="Palatino Linotype" w:cs="Palatino Linotype"/>
          <w:b/>
        </w:rPr>
      </w:pPr>
      <w:r w:rsidRPr="00CB14D2">
        <w:rPr>
          <w:rFonts w:ascii="Palatino Linotype" w:eastAsia="Palatino Linotype" w:hAnsi="Palatino Linotype" w:cs="Palatino Linotype"/>
          <w:b/>
        </w:rPr>
        <w:t>9.</w:t>
      </w:r>
      <w:r w:rsidRPr="00CB14D2">
        <w:rPr>
          <w:rFonts w:ascii="Palatino Linotype" w:eastAsia="Palatino Linotype" w:hAnsi="Palatino Linotype" w:cs="Palatino Linotype"/>
        </w:rPr>
        <w:t xml:space="preserve"> </w:t>
      </w:r>
      <w:r w:rsidRPr="00CB14D2">
        <w:rPr>
          <w:rFonts w:ascii="Palatino Linotype" w:eastAsia="Palatino Linotype" w:hAnsi="Palatino Linotype" w:cs="Palatino Linotype"/>
          <w:b/>
        </w:rPr>
        <w:t xml:space="preserve">Cierre de instrucción. </w:t>
      </w:r>
      <w:r w:rsidRPr="00CB14D2">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Pr="00CB14D2">
        <w:rPr>
          <w:rFonts w:ascii="Palatino Linotype" w:eastAsia="Palatino Linotype" w:hAnsi="Palatino Linotype" w:cs="Palatino Linotype"/>
          <w:b/>
        </w:rPr>
        <w:t>doce de julio de dos mil veintidós,</w:t>
      </w:r>
      <w:r w:rsidRPr="00CB14D2">
        <w:rPr>
          <w:rFonts w:ascii="Palatino Linotype" w:eastAsia="Palatino Linotype" w:hAnsi="Palatino Linotype" w:cs="Palatino Linotype"/>
        </w:rPr>
        <w:t xml:space="preserve"> se determinó el cierre de instrucción en términos de la fracción VI del artículo 185 de la Ley de Transparencia y Acceso a la Información Pública del Estado de México y Municipios.</w:t>
      </w:r>
    </w:p>
    <w:p w14:paraId="62C5DD4B" w14:textId="77777777" w:rsidR="00DE5ED1" w:rsidRPr="00CB14D2" w:rsidRDefault="00783AE7">
      <w:pPr>
        <w:widowControl w:val="0"/>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En razón de que fue debidamente sustanciado los expedientes electrónicos y no existe diligencia pendiente de desahogo, se emite la Resolución que conforme a Derecho proceda, de acuerdo con los siguientes: </w:t>
      </w:r>
    </w:p>
    <w:p w14:paraId="5BC77477" w14:textId="77777777" w:rsidR="00DE5ED1" w:rsidRPr="00CB14D2" w:rsidRDefault="00783AE7">
      <w:pPr>
        <w:widowControl w:val="0"/>
        <w:spacing w:before="240" w:after="240" w:line="360" w:lineRule="auto"/>
        <w:jc w:val="center"/>
        <w:rPr>
          <w:rFonts w:ascii="Palatino Linotype" w:eastAsia="Palatino Linotype" w:hAnsi="Palatino Linotype" w:cs="Palatino Linotype"/>
          <w:b/>
        </w:rPr>
      </w:pPr>
      <w:r w:rsidRPr="00CB14D2">
        <w:rPr>
          <w:rFonts w:ascii="Palatino Linotype" w:eastAsia="Palatino Linotype" w:hAnsi="Palatino Linotype" w:cs="Palatino Linotype"/>
          <w:b/>
        </w:rPr>
        <w:t>II. C O N S I D E R A N D O S</w:t>
      </w:r>
    </w:p>
    <w:p w14:paraId="0DCBDA7E"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Primero. Competencia.</w:t>
      </w:r>
      <w:r w:rsidRPr="00CB14D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sidRPr="00CB14D2">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6089BE68" w14:textId="77777777" w:rsidR="00DE5ED1" w:rsidRPr="00CB14D2" w:rsidRDefault="00783AE7">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CB14D2">
        <w:rPr>
          <w:rFonts w:ascii="Palatino Linotype" w:eastAsia="Palatino Linotype" w:hAnsi="Palatino Linotype" w:cs="Palatino Linotype"/>
          <w:b/>
        </w:rPr>
        <w:t>Segundo. Oportunidad y Procedibilidad de los Recursos de Revisión</w:t>
      </w:r>
      <w:r w:rsidRPr="00CB14D2">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F5A832F"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remitió las respuestas a las solicitudes de información el día </w:t>
      </w:r>
      <w:r w:rsidRPr="00CB14D2">
        <w:rPr>
          <w:rFonts w:ascii="Palatino Linotype" w:eastAsia="Palatino Linotype" w:hAnsi="Palatino Linotype" w:cs="Palatino Linotype"/>
          <w:b/>
        </w:rPr>
        <w:t xml:space="preserve">diecisiete de marzo de dos mil veintidós, </w:t>
      </w:r>
      <w:r w:rsidRPr="00CB14D2">
        <w:rPr>
          <w:rFonts w:ascii="Palatino Linotype" w:eastAsia="Palatino Linotype" w:hAnsi="Palatino Linotype" w:cs="Palatino Linotype"/>
        </w:rPr>
        <w:t xml:space="preserve">mientras que los recursos de revisión interpuestos por 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se tuvieron por presentados el día </w:t>
      </w:r>
      <w:r w:rsidRPr="00CB14D2">
        <w:rPr>
          <w:rFonts w:ascii="Palatino Linotype" w:eastAsia="Palatino Linotype" w:hAnsi="Palatino Linotype" w:cs="Palatino Linotype"/>
          <w:b/>
        </w:rPr>
        <w:t xml:space="preserve"> veintidós de marzo de dos mil veintidós</w:t>
      </w:r>
      <w:r w:rsidRPr="00CB14D2">
        <w:rPr>
          <w:rFonts w:ascii="Palatino Linotype" w:eastAsia="Palatino Linotype" w:hAnsi="Palatino Linotype" w:cs="Palatino Linotype"/>
        </w:rPr>
        <w:t>, esto es, el segundo día hábil posterior en que tuvo conocimiento de la respuesta impugnada, en cada uno de las solicitudes de información.</w:t>
      </w:r>
    </w:p>
    <w:p w14:paraId="6E676F06" w14:textId="77777777" w:rsidR="00DE5ED1" w:rsidRPr="00CB14D2" w:rsidRDefault="00783AE7">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CB14D2">
        <w:rPr>
          <w:rFonts w:ascii="Palatino Linotype" w:eastAsia="Palatino Linotype" w:hAnsi="Palatino Linotype" w:cs="Palatino Linotype"/>
        </w:rPr>
        <w:t xml:space="preserve">En este sentido, al considerar las fechas en que se formularon las solicitudes y la fecha en que respondió a estas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así como la fecha en que se interpusieron los recursos de revisión, se concluye que los presentes recursos de revisión se encuentran dentro de los márgenes temporales previstos las disposiciones legales referidas.</w:t>
      </w:r>
    </w:p>
    <w:p w14:paraId="111B27ED"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59D7748E"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II del ordenamiento legal citado, que a la letra dice: </w:t>
      </w:r>
    </w:p>
    <w:p w14:paraId="399F5409"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b/>
          <w:i/>
          <w:sz w:val="22"/>
          <w:szCs w:val="22"/>
        </w:rPr>
        <w:t>Artículo 179.</w:t>
      </w:r>
      <w:r w:rsidRPr="00CB14D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067BF0D" w14:textId="77777777" w:rsidR="00DE5ED1" w:rsidRPr="00CB14D2" w:rsidRDefault="00783AE7">
      <w:pPr>
        <w:spacing w:before="120" w:after="120"/>
        <w:ind w:left="1134" w:right="902"/>
        <w:jc w:val="both"/>
        <w:rPr>
          <w:rFonts w:ascii="Palatino Linotype" w:eastAsia="Palatino Linotype" w:hAnsi="Palatino Linotype" w:cs="Palatino Linotype"/>
          <w:b/>
          <w:i/>
          <w:sz w:val="22"/>
          <w:szCs w:val="22"/>
        </w:rPr>
      </w:pPr>
      <w:r w:rsidRPr="00CB14D2">
        <w:rPr>
          <w:rFonts w:ascii="Palatino Linotype" w:eastAsia="Palatino Linotype" w:hAnsi="Palatino Linotype" w:cs="Palatino Linotype"/>
          <w:b/>
          <w:i/>
          <w:sz w:val="22"/>
          <w:szCs w:val="22"/>
        </w:rPr>
        <w:t>...</w:t>
      </w:r>
    </w:p>
    <w:p w14:paraId="17193123"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II. </w:t>
      </w:r>
      <w:r w:rsidRPr="00CB14D2">
        <w:rPr>
          <w:rFonts w:ascii="Palatino Linotype" w:eastAsia="Palatino Linotype" w:hAnsi="Palatino Linotype" w:cs="Palatino Linotype"/>
          <w:i/>
          <w:sz w:val="22"/>
          <w:szCs w:val="22"/>
        </w:rPr>
        <w:t>La clasificación de la información</w:t>
      </w:r>
      <w:r w:rsidRPr="00CB14D2">
        <w:rPr>
          <w:rFonts w:ascii="Palatino Linotype" w:eastAsia="Palatino Linotype" w:hAnsi="Palatino Linotype" w:cs="Palatino Linotype"/>
          <w:b/>
          <w:i/>
          <w:sz w:val="22"/>
          <w:szCs w:val="22"/>
        </w:rPr>
        <w:t>;</w:t>
      </w:r>
      <w:r w:rsidRPr="00CB14D2">
        <w:rPr>
          <w:rFonts w:ascii="Palatino Linotype" w:eastAsia="Palatino Linotype" w:hAnsi="Palatino Linotype" w:cs="Palatino Linotype"/>
          <w:i/>
          <w:sz w:val="22"/>
          <w:szCs w:val="22"/>
        </w:rPr>
        <w:t>”</w:t>
      </w:r>
    </w:p>
    <w:p w14:paraId="3C7ED645"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 xml:space="preserve">Tercero. Materia de la revisión. </w:t>
      </w:r>
      <w:r w:rsidRPr="00CB14D2">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CB14D2">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CB14D2">
        <w:rPr>
          <w:rFonts w:ascii="Palatino Linotype" w:eastAsia="Palatino Linotype" w:hAnsi="Palatino Linotype" w:cs="Palatino Linotype"/>
        </w:rPr>
        <w:t xml:space="preserve">de 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o en su defecto, en caso de ser procedente, ordenar la entrega de información oportuna.</w:t>
      </w:r>
    </w:p>
    <w:p w14:paraId="68EEE4A3" w14:textId="77777777" w:rsidR="00DE5ED1" w:rsidRPr="00CB14D2" w:rsidRDefault="00783AE7">
      <w:pPr>
        <w:spacing w:before="240" w:after="240" w:line="360" w:lineRule="auto"/>
        <w:ind w:right="51"/>
        <w:jc w:val="both"/>
        <w:rPr>
          <w:rFonts w:ascii="Palatino Linotype" w:eastAsia="Palatino Linotype" w:hAnsi="Palatino Linotype" w:cs="Palatino Linotype"/>
        </w:rPr>
      </w:pPr>
      <w:r w:rsidRPr="00CB14D2">
        <w:rPr>
          <w:rFonts w:ascii="Palatino Linotype" w:eastAsia="Palatino Linotype" w:hAnsi="Palatino Linotype" w:cs="Palatino Linotype"/>
          <w:b/>
        </w:rPr>
        <w:t xml:space="preserve">Cuarto. Estudio del asunto. </w:t>
      </w:r>
      <w:r w:rsidRPr="00CB14D2">
        <w:rPr>
          <w:rFonts w:ascii="Palatino Linotype" w:eastAsia="Palatino Linotype" w:hAnsi="Palatino Linotype" w:cs="Palatino Linotype"/>
        </w:rPr>
        <w:t xml:space="preserve">Del análisis de las solicitudes de información, motivo de los recursos de revisión que ahora se resuelven se advierte que la parte </w:t>
      </w:r>
      <w:r w:rsidRPr="00CB14D2">
        <w:rPr>
          <w:rFonts w:ascii="Palatino Linotype" w:eastAsia="Palatino Linotype" w:hAnsi="Palatino Linotype" w:cs="Palatino Linotype"/>
          <w:b/>
        </w:rPr>
        <w:lastRenderedPageBreak/>
        <w:t>Recurrente</w:t>
      </w:r>
      <w:r w:rsidRPr="00CB14D2">
        <w:rPr>
          <w:rFonts w:ascii="Palatino Linotype" w:eastAsia="Palatino Linotype" w:hAnsi="Palatino Linotype" w:cs="Palatino Linotype"/>
        </w:rPr>
        <w:t xml:space="preserve"> requirió al </w:t>
      </w:r>
      <w:r w:rsidRPr="00CB14D2">
        <w:rPr>
          <w:rFonts w:ascii="Palatino Linotype" w:eastAsia="Palatino Linotype" w:hAnsi="Palatino Linotype" w:cs="Palatino Linotype"/>
          <w:b/>
        </w:rPr>
        <w:t xml:space="preserve">Sujeto Obligado </w:t>
      </w:r>
      <w:r w:rsidRPr="00CB14D2">
        <w:rPr>
          <w:rFonts w:ascii="Palatino Linotype" w:eastAsia="Palatino Linotype" w:hAnsi="Palatino Linotype" w:cs="Palatino Linotype"/>
        </w:rPr>
        <w:t>le proporcione, información consistente en lo siguiente:</w:t>
      </w:r>
    </w:p>
    <w:p w14:paraId="2FC63DAC" w14:textId="77777777" w:rsidR="00DE5ED1" w:rsidRPr="00CB14D2" w:rsidRDefault="00783AE7">
      <w:pPr>
        <w:spacing w:before="240" w:after="240" w:line="360" w:lineRule="auto"/>
        <w:ind w:right="51"/>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Referente a </w:t>
      </w:r>
      <w:r w:rsidRPr="00CB14D2">
        <w:rPr>
          <w:rFonts w:ascii="Palatino Linotype" w:eastAsia="Palatino Linotype" w:hAnsi="Palatino Linotype" w:cs="Palatino Linotype"/>
          <w:b/>
        </w:rPr>
        <w:t>ampliación de la vía pública</w:t>
      </w:r>
      <w:r w:rsidRPr="00CB14D2">
        <w:rPr>
          <w:rFonts w:ascii="Palatino Linotype" w:eastAsia="Palatino Linotype" w:hAnsi="Palatino Linotype" w:cs="Palatino Linotype"/>
        </w:rPr>
        <w:t>, en la Calle Cedros, en el Poblado de Ignacio Allende, Huixquilucan, Estado de México.</w:t>
      </w:r>
    </w:p>
    <w:p w14:paraId="6338BE02" w14:textId="2CD331C4" w:rsidR="00DE5ED1" w:rsidRPr="00CB14D2" w:rsidRDefault="00783AE7" w:rsidP="001553DE">
      <w:pPr>
        <w:spacing w:before="240" w:after="240" w:line="360" w:lineRule="auto"/>
        <w:ind w:left="284" w:right="51"/>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1. Copia certificada del documento que acredite la propiedad o posesión del inmueble marcado con el número </w:t>
      </w:r>
      <w:r w:rsidR="001553DE" w:rsidRPr="00CB14D2">
        <w:rPr>
          <w:rFonts w:ascii="Palatino Linotype" w:eastAsia="Palatino Linotype" w:hAnsi="Palatino Linotype" w:cs="Palatino Linotype"/>
        </w:rPr>
        <w:t>0</w:t>
      </w:r>
      <w:r w:rsidRPr="00CB14D2">
        <w:rPr>
          <w:rFonts w:ascii="Palatino Linotype" w:eastAsia="Palatino Linotype" w:hAnsi="Palatino Linotype" w:cs="Palatino Linotype"/>
        </w:rPr>
        <w:t>66 del inventario de bienes inmuebles.</w:t>
      </w:r>
    </w:p>
    <w:p w14:paraId="12DE3A5B" w14:textId="3D28E4A0" w:rsidR="00DE5ED1" w:rsidRPr="00CB14D2" w:rsidRDefault="00783AE7" w:rsidP="001553DE">
      <w:pPr>
        <w:spacing w:before="240" w:after="240" w:line="360" w:lineRule="auto"/>
        <w:ind w:left="284" w:right="51"/>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2. Copia certificada del documento que acredite la donación del inmueble marcado con el número de registro </w:t>
      </w:r>
      <w:r w:rsidR="001553DE" w:rsidRPr="00CB14D2">
        <w:rPr>
          <w:rFonts w:ascii="Palatino Linotype" w:eastAsia="Palatino Linotype" w:hAnsi="Palatino Linotype" w:cs="Palatino Linotype"/>
        </w:rPr>
        <w:t>0</w:t>
      </w:r>
      <w:r w:rsidRPr="00CB14D2">
        <w:rPr>
          <w:rFonts w:ascii="Palatino Linotype" w:eastAsia="Palatino Linotype" w:hAnsi="Palatino Linotype" w:cs="Palatino Linotype"/>
        </w:rPr>
        <w:t>65, de la fracción XXXVIII del Inventario de bienes inmuebles, relacionado con las obligaciones de transparencia, del Ayuntamiento de Huixquilucan, Estado de México.</w:t>
      </w:r>
    </w:p>
    <w:p w14:paraId="7271708D"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t>Cabe mencionar que este Organismo Garante procedió a consultar en el portal de Información Pública de Oficio Mexiquense, IPOMEX, la información referida por la persona solicitante, localizando en lo correspondiente a la fracción XXXVIII, del artículo 92</w:t>
      </w:r>
      <w:r w:rsidRPr="00CB14D2">
        <w:rPr>
          <w:rFonts w:ascii="Palatino Linotype" w:eastAsia="Palatino Linotype" w:hAnsi="Palatino Linotype" w:cs="Palatino Linotype"/>
          <w:vertAlign w:val="superscript"/>
        </w:rPr>
        <w:footnoteReference w:id="1"/>
      </w:r>
      <w:r w:rsidRPr="00CB14D2">
        <w:rPr>
          <w:rFonts w:ascii="Palatino Linotype" w:eastAsia="Palatino Linotype" w:hAnsi="Palatino Linotype" w:cs="Palatino Linotype"/>
        </w:rPr>
        <w:t xml:space="preserve"> de la Ley de Transparencia y Acceso a la Información Pública del Estado de México y Municipios, lo siguiente:</w:t>
      </w:r>
    </w:p>
    <w:p w14:paraId="04F7B39C" w14:textId="3C472734" w:rsidR="00DE5ED1" w:rsidRPr="00CB14D2" w:rsidRDefault="0004202A">
      <w:pPr>
        <w:spacing w:before="240" w:after="240" w:line="360" w:lineRule="auto"/>
        <w:ind w:right="49"/>
        <w:jc w:val="center"/>
        <w:rPr>
          <w:rFonts w:ascii="Palatino Linotype" w:eastAsia="Palatino Linotype" w:hAnsi="Palatino Linotype" w:cs="Palatino Linotype"/>
        </w:rPr>
      </w:pPr>
      <w:r w:rsidRPr="00CB14D2">
        <w:rPr>
          <w:rFonts w:ascii="Palatino Linotype" w:hAnsi="Palatino Linotype"/>
          <w:noProof/>
          <w:sz w:val="20"/>
          <w:szCs w:val="20"/>
        </w:rPr>
        <w:lastRenderedPageBreak/>
        <mc:AlternateContent>
          <mc:Choice Requires="wps">
            <w:drawing>
              <wp:anchor distT="0" distB="0" distL="114300" distR="114300" simplePos="0" relativeHeight="251663360" behindDoc="0" locked="0" layoutInCell="1" allowOverlap="1" wp14:anchorId="10B7D44E" wp14:editId="6AF17231">
                <wp:simplePos x="0" y="0"/>
                <wp:positionH relativeFrom="column">
                  <wp:posOffset>4139565</wp:posOffset>
                </wp:positionH>
                <wp:positionV relativeFrom="paragraph">
                  <wp:posOffset>602615</wp:posOffset>
                </wp:positionV>
                <wp:extent cx="200025" cy="1409700"/>
                <wp:effectExtent l="0" t="19050" r="28575" b="19050"/>
                <wp:wrapNone/>
                <wp:docPr id="5" name="Cerrar llave 5"/>
                <wp:cNvGraphicFramePr/>
                <a:graphic xmlns:a="http://schemas.openxmlformats.org/drawingml/2006/main">
                  <a:graphicData uri="http://schemas.microsoft.com/office/word/2010/wordprocessingShape">
                    <wps:wsp>
                      <wps:cNvSpPr/>
                      <wps:spPr>
                        <a:xfrm>
                          <a:off x="0" y="0"/>
                          <a:ext cx="200025" cy="1409700"/>
                        </a:xfrm>
                        <a:prstGeom prst="rightBrace">
                          <a:avLst/>
                        </a:prstGeom>
                        <a:ln w="28575">
                          <a:solidFill>
                            <a:srgbClr val="C0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C336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 o:spid="_x0000_s1026" type="#_x0000_t88" style="position:absolute;margin-left:325.95pt;margin-top:47.45pt;width:15.7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" adj="255" strokecolor="#c00000" strokeweight="2.25pt"/>
            </w:pict>
          </mc:Fallback>
        </mc:AlternateContent>
      </w:r>
      <w:r w:rsidR="001553DE" w:rsidRPr="00CB14D2">
        <w:rPr>
          <w:rFonts w:ascii="Palatino Linotype" w:hAnsi="Palatino Linotype"/>
          <w:noProof/>
          <w:sz w:val="20"/>
          <w:szCs w:val="20"/>
        </w:rPr>
        <w:drawing>
          <wp:inline distT="0" distB="0" distL="0" distR="0" wp14:anchorId="13E22ED7" wp14:editId="694C3D47">
            <wp:extent cx="4500000" cy="405389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8191"/>
                    <a:stretch/>
                  </pic:blipFill>
                  <pic:spPr bwMode="auto">
                    <a:xfrm>
                      <a:off x="0" y="0"/>
                      <a:ext cx="4500000" cy="4053896"/>
                    </a:xfrm>
                    <a:prstGeom prst="rect">
                      <a:avLst/>
                    </a:prstGeom>
                    <a:noFill/>
                    <a:ln>
                      <a:noFill/>
                    </a:ln>
                    <a:extLst>
                      <a:ext uri="{53640926-AAD7-44D8-BBD7-CCE9431645EC}">
                        <a14:shadowObscured xmlns:a14="http://schemas.microsoft.com/office/drawing/2010/main"/>
                      </a:ext>
                    </a:extLst>
                  </pic:spPr>
                </pic:pic>
              </a:graphicData>
            </a:graphic>
          </wp:inline>
        </w:drawing>
      </w:r>
    </w:p>
    <w:p w14:paraId="47455536" w14:textId="39E93739" w:rsidR="001553DE" w:rsidRPr="00CB14D2" w:rsidRDefault="002446D7">
      <w:pPr>
        <w:spacing w:before="240" w:after="240" w:line="360" w:lineRule="auto"/>
        <w:ind w:right="49"/>
        <w:jc w:val="center"/>
        <w:rPr>
          <w:rFonts w:ascii="Palatino Linotype" w:hAnsi="Palatino Linotype"/>
          <w:noProof/>
          <w:sz w:val="20"/>
          <w:szCs w:val="20"/>
        </w:rPr>
      </w:pPr>
      <w:r w:rsidRPr="00CB14D2">
        <w:rPr>
          <w:rFonts w:ascii="Palatino Linotype" w:hAnsi="Palatino Linotype"/>
          <w:noProof/>
          <w:sz w:val="20"/>
          <w:szCs w:val="20"/>
        </w:rPr>
        <mc:AlternateContent>
          <mc:Choice Requires="wps">
            <w:drawing>
              <wp:anchor distT="0" distB="0" distL="114300" distR="114300" simplePos="0" relativeHeight="251659264" behindDoc="0" locked="0" layoutInCell="1" allowOverlap="1" wp14:anchorId="42F86983" wp14:editId="6A0E5093">
                <wp:simplePos x="0" y="0"/>
                <wp:positionH relativeFrom="margin">
                  <wp:align>right</wp:align>
                </wp:positionH>
                <wp:positionV relativeFrom="paragraph">
                  <wp:posOffset>31115</wp:posOffset>
                </wp:positionV>
                <wp:extent cx="5505450" cy="279082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505450" cy="2790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E2E"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45pt" to="815.8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" strokecolor="black [3200]" strokeweight="2pt">
                <v:shadow on="t" color="black" opacity="24903f" origin=",.5" offset="0,.55556mm"/>
                <w10:wrap anchorx="margin"/>
              </v:line>
            </w:pict>
          </mc:Fallback>
        </mc:AlternateContent>
      </w:r>
    </w:p>
    <w:p w14:paraId="1F0C7488" w14:textId="24EA6726" w:rsidR="001553DE" w:rsidRPr="00CB14D2" w:rsidRDefault="002446D7">
      <w:pPr>
        <w:spacing w:before="240" w:after="240" w:line="360" w:lineRule="auto"/>
        <w:ind w:right="49"/>
        <w:jc w:val="center"/>
        <w:rPr>
          <w:rFonts w:ascii="Palatino Linotype" w:hAnsi="Palatino Linotype"/>
          <w:noProof/>
          <w:sz w:val="20"/>
          <w:szCs w:val="20"/>
        </w:rPr>
      </w:pPr>
      <w:r w:rsidRPr="00CB14D2">
        <w:rPr>
          <w:rFonts w:ascii="Palatino Linotype" w:hAnsi="Palatino Linotype"/>
          <w:noProof/>
          <w:sz w:val="20"/>
          <w:szCs w:val="20"/>
        </w:rPr>
        <w:lastRenderedPageBreak/>
        <mc:AlternateContent>
          <mc:Choice Requires="wps">
            <w:drawing>
              <wp:anchor distT="0" distB="0" distL="114300" distR="114300" simplePos="0" relativeHeight="251661312" behindDoc="0" locked="0" layoutInCell="1" allowOverlap="1" wp14:anchorId="4F83D201" wp14:editId="4A9C492D">
                <wp:simplePos x="0" y="0"/>
                <wp:positionH relativeFrom="column">
                  <wp:posOffset>3901440</wp:posOffset>
                </wp:positionH>
                <wp:positionV relativeFrom="paragraph">
                  <wp:posOffset>650240</wp:posOffset>
                </wp:positionV>
                <wp:extent cx="200025" cy="1409700"/>
                <wp:effectExtent l="0" t="19050" r="28575" b="19050"/>
                <wp:wrapNone/>
                <wp:docPr id="2" name="Cerrar llave 2"/>
                <wp:cNvGraphicFramePr/>
                <a:graphic xmlns:a="http://schemas.openxmlformats.org/drawingml/2006/main">
                  <a:graphicData uri="http://schemas.microsoft.com/office/word/2010/wordprocessingShape">
                    <wps:wsp>
                      <wps:cNvSpPr/>
                      <wps:spPr>
                        <a:xfrm>
                          <a:off x="0" y="0"/>
                          <a:ext cx="200025" cy="1409700"/>
                        </a:xfrm>
                        <a:prstGeom prst="rightBrace">
                          <a:avLst/>
                        </a:prstGeom>
                        <a:ln w="28575">
                          <a:solidFill>
                            <a:srgbClr val="C0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2E32" id="Cerrar llave 2" o:spid="_x0000_s1026" type="#_x0000_t88" style="position:absolute;margin-left:307.2pt;margin-top:51.2pt;width:15.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" adj="255" strokecolor="#c00000" strokeweight="2.25pt"/>
            </w:pict>
          </mc:Fallback>
        </mc:AlternateContent>
      </w:r>
      <w:r w:rsidR="001553DE" w:rsidRPr="00CB14D2">
        <w:rPr>
          <w:rFonts w:ascii="Palatino Linotype" w:hAnsi="Palatino Linotype"/>
          <w:noProof/>
          <w:sz w:val="20"/>
          <w:szCs w:val="20"/>
        </w:rPr>
        <w:drawing>
          <wp:inline distT="0" distB="0" distL="0" distR="0" wp14:anchorId="20D9759F" wp14:editId="0409DE65">
            <wp:extent cx="4500000" cy="399794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8345"/>
                    <a:stretch/>
                  </pic:blipFill>
                  <pic:spPr bwMode="auto">
                    <a:xfrm>
                      <a:off x="0" y="0"/>
                      <a:ext cx="4500000" cy="3997944"/>
                    </a:xfrm>
                    <a:prstGeom prst="rect">
                      <a:avLst/>
                    </a:prstGeom>
                    <a:noFill/>
                    <a:ln>
                      <a:noFill/>
                    </a:ln>
                    <a:extLst>
                      <a:ext uri="{53640926-AAD7-44D8-BBD7-CCE9431645EC}">
                        <a14:shadowObscured xmlns:a14="http://schemas.microsoft.com/office/drawing/2010/main"/>
                      </a:ext>
                    </a:extLst>
                  </pic:spPr>
                </pic:pic>
              </a:graphicData>
            </a:graphic>
          </wp:inline>
        </w:drawing>
      </w:r>
    </w:p>
    <w:p w14:paraId="020D62FF" w14:textId="1B7660A1" w:rsidR="001553DE" w:rsidRPr="00CB14D2" w:rsidRDefault="001553DE">
      <w:pPr>
        <w:spacing w:before="240" w:after="240" w:line="360" w:lineRule="auto"/>
        <w:ind w:right="49"/>
        <w:jc w:val="both"/>
        <w:rPr>
          <w:rFonts w:ascii="Palatino Linotype" w:eastAsia="Palatino Linotype" w:hAnsi="Palatino Linotype" w:cs="Palatino Linotype"/>
          <w:i/>
        </w:rPr>
      </w:pPr>
      <w:r w:rsidRPr="00CB14D2">
        <w:rPr>
          <w:rFonts w:ascii="Palatino Linotype" w:eastAsia="Palatino Linotype" w:hAnsi="Palatino Linotype" w:cs="Palatino Linotype"/>
        </w:rPr>
        <w:t xml:space="preserve">De las imágenes anteriores se </w:t>
      </w:r>
      <w:r w:rsidR="0004202A" w:rsidRPr="00CB14D2">
        <w:rPr>
          <w:rFonts w:ascii="Palatino Linotype" w:eastAsia="Palatino Linotype" w:hAnsi="Palatino Linotype" w:cs="Palatino Linotype"/>
        </w:rPr>
        <w:t xml:space="preserve">despende </w:t>
      </w:r>
      <w:r w:rsidRPr="00CB14D2">
        <w:rPr>
          <w:rFonts w:ascii="Palatino Linotype" w:eastAsia="Palatino Linotype" w:hAnsi="Palatino Linotype" w:cs="Palatino Linotype"/>
        </w:rPr>
        <w:t xml:space="preserve">que </w:t>
      </w:r>
      <w:r w:rsidR="004D1E36" w:rsidRPr="00CB14D2">
        <w:rPr>
          <w:rFonts w:ascii="Palatino Linotype" w:eastAsia="Palatino Linotype" w:hAnsi="Palatino Linotype" w:cs="Palatino Linotype"/>
        </w:rPr>
        <w:t xml:space="preserve">el registro </w:t>
      </w:r>
      <w:r w:rsidR="004D1E36" w:rsidRPr="00CB14D2">
        <w:rPr>
          <w:rFonts w:ascii="Palatino Linotype" w:eastAsia="Palatino Linotype" w:hAnsi="Palatino Linotype" w:cs="Palatino Linotype"/>
          <w:b/>
          <w:bCs/>
        </w:rPr>
        <w:t>065</w:t>
      </w:r>
      <w:r w:rsidR="004D1E36" w:rsidRPr="00CB14D2">
        <w:rPr>
          <w:rFonts w:ascii="Palatino Linotype" w:eastAsia="Palatino Linotype" w:hAnsi="Palatino Linotype" w:cs="Palatino Linotype"/>
        </w:rPr>
        <w:t xml:space="preserve"> </w:t>
      </w:r>
      <w:r w:rsidR="004D1E36" w:rsidRPr="00CB14D2">
        <w:rPr>
          <w:rFonts w:ascii="Palatino Linotype" w:eastAsia="Palatino Linotype" w:hAnsi="Palatino Linotype" w:cs="Palatino Linotype"/>
          <w:iCs/>
        </w:rPr>
        <w:t xml:space="preserve">corresponde con la </w:t>
      </w:r>
      <w:r w:rsidR="004D1E36" w:rsidRPr="00CB14D2">
        <w:rPr>
          <w:rFonts w:ascii="Palatino Linotype" w:eastAsia="Palatino Linotype" w:hAnsi="Palatino Linotype" w:cs="Palatino Linotype"/>
          <w:i/>
        </w:rPr>
        <w:t>AMPLIACIÓN DE LA VÍA PÚBLICA</w:t>
      </w:r>
      <w:r w:rsidR="004D1E36" w:rsidRPr="00CB14D2">
        <w:rPr>
          <w:rFonts w:ascii="Palatino Linotype" w:eastAsia="Palatino Linotype" w:hAnsi="Palatino Linotype" w:cs="Palatino Linotype"/>
          <w:iCs/>
        </w:rPr>
        <w:t xml:space="preserve">, ubicada en la </w:t>
      </w:r>
      <w:r w:rsidR="004D1E36" w:rsidRPr="00CB14D2">
        <w:rPr>
          <w:rFonts w:ascii="Palatino Linotype" w:eastAsia="Palatino Linotype" w:hAnsi="Palatino Linotype" w:cs="Palatino Linotype"/>
          <w:i/>
        </w:rPr>
        <w:t>calle Cedro</w:t>
      </w:r>
      <w:r w:rsidR="004D1E36" w:rsidRPr="00CB14D2">
        <w:rPr>
          <w:rFonts w:ascii="Palatino Linotype" w:eastAsia="Palatino Linotype" w:hAnsi="Palatino Linotype" w:cs="Palatino Linotype"/>
          <w:iCs/>
        </w:rPr>
        <w:t xml:space="preserve">, que se localiza en el </w:t>
      </w:r>
      <w:r w:rsidR="004D1E36" w:rsidRPr="00CB14D2">
        <w:rPr>
          <w:rFonts w:ascii="Palatino Linotype" w:eastAsia="Palatino Linotype" w:hAnsi="Palatino Linotype" w:cs="Palatino Linotype"/>
          <w:i/>
        </w:rPr>
        <w:t>Pueblo Ignacio Allende</w:t>
      </w:r>
      <w:r w:rsidR="004D1E36" w:rsidRPr="00CB14D2">
        <w:rPr>
          <w:rFonts w:ascii="Palatino Linotype" w:eastAsia="Palatino Linotype" w:hAnsi="Palatino Linotype" w:cs="Palatino Linotype"/>
          <w:iCs/>
        </w:rPr>
        <w:t xml:space="preserve">, mientras que el registro </w:t>
      </w:r>
      <w:r w:rsidR="004D1E36" w:rsidRPr="00CB14D2">
        <w:rPr>
          <w:rFonts w:ascii="Palatino Linotype" w:eastAsia="Palatino Linotype" w:hAnsi="Palatino Linotype" w:cs="Palatino Linotype"/>
          <w:b/>
          <w:bCs/>
          <w:iCs/>
        </w:rPr>
        <w:t>066</w:t>
      </w:r>
      <w:r w:rsidR="004D1E36" w:rsidRPr="00CB14D2">
        <w:rPr>
          <w:rFonts w:ascii="Palatino Linotype" w:eastAsia="Palatino Linotype" w:hAnsi="Palatino Linotype" w:cs="Palatino Linotype"/>
          <w:iCs/>
        </w:rPr>
        <w:t xml:space="preserve"> corresponde con una </w:t>
      </w:r>
      <w:r w:rsidR="004D1E36" w:rsidRPr="00CB14D2">
        <w:rPr>
          <w:rFonts w:ascii="Palatino Linotype" w:eastAsia="Palatino Linotype" w:hAnsi="Palatino Linotype" w:cs="Palatino Linotype"/>
          <w:i/>
        </w:rPr>
        <w:t>RESERVA MUNICIPAL</w:t>
      </w:r>
      <w:r w:rsidR="004D1E36" w:rsidRPr="00CB14D2">
        <w:rPr>
          <w:rFonts w:ascii="Palatino Linotype" w:eastAsia="Palatino Linotype" w:hAnsi="Palatino Linotype" w:cs="Palatino Linotype"/>
          <w:iCs/>
        </w:rPr>
        <w:t xml:space="preserve">, ubicada en la </w:t>
      </w:r>
      <w:r w:rsidR="004D1E36" w:rsidRPr="00CB14D2">
        <w:rPr>
          <w:rFonts w:ascii="Palatino Linotype" w:eastAsia="Palatino Linotype" w:hAnsi="Palatino Linotype" w:cs="Palatino Linotype"/>
          <w:i/>
        </w:rPr>
        <w:t>carretera San Ramón</w:t>
      </w:r>
      <w:r w:rsidR="004D1E36" w:rsidRPr="00CB14D2">
        <w:rPr>
          <w:rFonts w:ascii="Palatino Linotype" w:eastAsia="Palatino Linotype" w:hAnsi="Palatino Linotype" w:cs="Palatino Linotype"/>
          <w:iCs/>
        </w:rPr>
        <w:t xml:space="preserve">, que se localiza en el </w:t>
      </w:r>
      <w:r w:rsidR="004D1E36" w:rsidRPr="00CB14D2">
        <w:rPr>
          <w:rFonts w:ascii="Palatino Linotype" w:eastAsia="Palatino Linotype" w:hAnsi="Palatino Linotype" w:cs="Palatino Linotype"/>
          <w:i/>
        </w:rPr>
        <w:t>Barrio San Ramón.</w:t>
      </w:r>
    </w:p>
    <w:p w14:paraId="4DC63D39" w14:textId="69741B84" w:rsidR="001115AA" w:rsidRPr="00CB14D2" w:rsidRDefault="0004202A" w:rsidP="001115AA">
      <w:pPr>
        <w:spacing w:before="240" w:after="240" w:line="360" w:lineRule="auto"/>
        <w:ind w:right="49"/>
        <w:jc w:val="both"/>
        <w:rPr>
          <w:rFonts w:ascii="Palatino Linotype" w:hAnsi="Palatino Linotype"/>
          <w:b/>
          <w:bCs/>
          <w:noProof/>
        </w:rPr>
      </w:pPr>
      <w:r w:rsidRPr="00CB14D2">
        <w:rPr>
          <w:rFonts w:ascii="Palatino Linotype" w:hAnsi="Palatino Linotype"/>
          <w:noProof/>
        </w:rPr>
        <w:t>En esta tesitura, podemos advertir que el</w:t>
      </w:r>
      <w:r w:rsidRPr="00CB14D2">
        <w:rPr>
          <w:rFonts w:ascii="Palatino Linotype" w:hAnsi="Palatino Linotype"/>
          <w:b/>
          <w:bCs/>
          <w:noProof/>
        </w:rPr>
        <w:t xml:space="preserve"> registro 066</w:t>
      </w:r>
      <w:r w:rsidR="001115AA" w:rsidRPr="00CB14D2">
        <w:rPr>
          <w:rFonts w:ascii="Palatino Linotype" w:hAnsi="Palatino Linotype"/>
          <w:b/>
          <w:bCs/>
          <w:noProof/>
        </w:rPr>
        <w:t xml:space="preserve"> </w:t>
      </w:r>
      <w:r w:rsidR="001115AA" w:rsidRPr="00CB14D2">
        <w:rPr>
          <w:rFonts w:ascii="Palatino Linotype" w:hAnsi="Palatino Linotype"/>
          <w:noProof/>
        </w:rPr>
        <w:t>de la fracción XXXVIII, inciso D, del articulo 92</w:t>
      </w:r>
      <w:r w:rsidRPr="00CB14D2">
        <w:rPr>
          <w:rFonts w:ascii="Palatino Linotype" w:hAnsi="Palatino Linotype"/>
          <w:b/>
          <w:bCs/>
          <w:noProof/>
        </w:rPr>
        <w:t xml:space="preserve"> </w:t>
      </w:r>
      <w:r w:rsidR="001115AA" w:rsidRPr="00CB14D2">
        <w:rPr>
          <w:rFonts w:ascii="Palatino Linotype" w:hAnsi="Palatino Linotype"/>
          <w:noProof/>
        </w:rPr>
        <w:t xml:space="preserve">de la Ley de la Materia Local, </w:t>
      </w:r>
      <w:r w:rsidRPr="00CB14D2">
        <w:rPr>
          <w:rFonts w:ascii="Palatino Linotype" w:hAnsi="Palatino Linotype"/>
          <w:b/>
          <w:bCs/>
          <w:noProof/>
        </w:rPr>
        <w:t xml:space="preserve">no corresponde con la materia de la solicitud </w:t>
      </w:r>
      <w:r w:rsidRPr="00CB14D2">
        <w:rPr>
          <w:rFonts w:ascii="Palatino Linotype" w:eastAsia="Palatino Linotype" w:hAnsi="Palatino Linotype" w:cs="Palatino Linotype"/>
          <w:b/>
        </w:rPr>
        <w:t>00196/HUIXQUIL/IP/2022</w:t>
      </w:r>
      <w:r w:rsidRPr="00CB14D2">
        <w:rPr>
          <w:rFonts w:ascii="Palatino Linotype" w:hAnsi="Palatino Linotype"/>
          <w:b/>
          <w:bCs/>
          <w:noProof/>
        </w:rPr>
        <w:t xml:space="preserve"> </w:t>
      </w:r>
      <w:r w:rsidR="005F09AD" w:rsidRPr="00CB14D2">
        <w:rPr>
          <w:rFonts w:ascii="Palatino Linotype" w:hAnsi="Palatino Linotype"/>
          <w:noProof/>
        </w:rPr>
        <w:t xml:space="preserve">atendiendo a literidad de </w:t>
      </w:r>
      <w:r w:rsidR="00D946C9" w:rsidRPr="00CB14D2">
        <w:rPr>
          <w:rFonts w:ascii="Palatino Linotype" w:hAnsi="Palatino Linotype"/>
          <w:noProof/>
        </w:rPr>
        <w:t xml:space="preserve">la misma </w:t>
      </w:r>
      <w:r w:rsidR="005F09AD" w:rsidRPr="00CB14D2">
        <w:rPr>
          <w:rFonts w:ascii="Palatino Linotype" w:hAnsi="Palatino Linotype"/>
          <w:noProof/>
        </w:rPr>
        <w:t xml:space="preserve">según consta en el antecendente 1 de la presente resolución, </w:t>
      </w:r>
      <w:r w:rsidR="00D946C9" w:rsidRPr="00CB14D2">
        <w:rPr>
          <w:rFonts w:ascii="Palatino Linotype" w:hAnsi="Palatino Linotype"/>
          <w:noProof/>
        </w:rPr>
        <w:t>toda vez que</w:t>
      </w:r>
      <w:r w:rsidRPr="00CB14D2">
        <w:rPr>
          <w:rFonts w:ascii="Palatino Linotype" w:hAnsi="Palatino Linotype"/>
          <w:noProof/>
        </w:rPr>
        <w:t xml:space="preserve"> esta versa sobre </w:t>
      </w:r>
      <w:r w:rsidRPr="00CB14D2">
        <w:rPr>
          <w:rFonts w:ascii="Palatino Linotype" w:hAnsi="Palatino Linotype"/>
          <w:noProof/>
        </w:rPr>
        <w:lastRenderedPageBreak/>
        <w:t>el</w:t>
      </w:r>
      <w:r w:rsidRPr="00CB14D2">
        <w:rPr>
          <w:rFonts w:ascii="Palatino Linotype" w:hAnsi="Palatino Linotype"/>
          <w:b/>
          <w:bCs/>
          <w:noProof/>
        </w:rPr>
        <w:t xml:space="preserve"> </w:t>
      </w:r>
      <w:r w:rsidRPr="00CB14D2">
        <w:rPr>
          <w:rFonts w:ascii="Palatino Linotype" w:hAnsi="Palatino Linotype"/>
          <w:b/>
          <w:bCs/>
          <w:i/>
          <w:iCs/>
          <w:noProof/>
        </w:rPr>
        <w:t xml:space="preserve">INMUEBLE RELACIONADO CON LA </w:t>
      </w:r>
      <w:r w:rsidRPr="00CB14D2">
        <w:rPr>
          <w:rFonts w:ascii="Palatino Linotype" w:hAnsi="Palatino Linotype"/>
          <w:b/>
          <w:bCs/>
          <w:i/>
          <w:iCs/>
          <w:noProof/>
          <w:u w:val="single"/>
        </w:rPr>
        <w:t>AMPLIACIÓN DE LA VÍA PÚBLICA EN LA CALLE CEDRO</w:t>
      </w:r>
      <w:r w:rsidR="005F09AD" w:rsidRPr="00CB14D2">
        <w:rPr>
          <w:rFonts w:ascii="Palatino Linotype" w:hAnsi="Palatino Linotype"/>
          <w:b/>
          <w:bCs/>
          <w:i/>
          <w:iCs/>
          <w:noProof/>
          <w:u w:val="single"/>
        </w:rPr>
        <w:t>S</w:t>
      </w:r>
      <w:r w:rsidRPr="00CB14D2">
        <w:rPr>
          <w:rFonts w:ascii="Palatino Linotype" w:hAnsi="Palatino Linotype"/>
          <w:b/>
          <w:bCs/>
          <w:i/>
          <w:iCs/>
          <w:noProof/>
        </w:rPr>
        <w:t xml:space="preserve">, EN EL </w:t>
      </w:r>
      <w:r w:rsidRPr="00CB14D2">
        <w:rPr>
          <w:rFonts w:ascii="Palatino Linotype" w:hAnsi="Palatino Linotype"/>
          <w:b/>
          <w:bCs/>
          <w:i/>
          <w:iCs/>
          <w:noProof/>
          <w:u w:val="single"/>
        </w:rPr>
        <w:t>POBLADO DE IGNACIO ALLENDE</w:t>
      </w:r>
      <w:r w:rsidRPr="00CB14D2">
        <w:rPr>
          <w:rFonts w:ascii="Palatino Linotype" w:hAnsi="Palatino Linotype"/>
          <w:b/>
          <w:bCs/>
          <w:i/>
          <w:iCs/>
          <w:noProof/>
        </w:rPr>
        <w:t>,</w:t>
      </w:r>
      <w:r w:rsidR="005F09AD" w:rsidRPr="00CB14D2">
        <w:rPr>
          <w:rFonts w:ascii="Palatino Linotype" w:hAnsi="Palatino Linotype"/>
          <w:b/>
          <w:bCs/>
          <w:i/>
          <w:iCs/>
          <w:noProof/>
        </w:rPr>
        <w:t xml:space="preserve"> </w:t>
      </w:r>
      <w:r w:rsidR="005F09AD" w:rsidRPr="00CB14D2">
        <w:rPr>
          <w:rFonts w:ascii="Palatino Linotype" w:hAnsi="Palatino Linotype"/>
          <w:noProof/>
        </w:rPr>
        <w:t>no así sobre la RESERVA MUNICIPAL que se detalla en el registro</w:t>
      </w:r>
      <w:r w:rsidR="00187ED4" w:rsidRPr="00CB14D2">
        <w:rPr>
          <w:rFonts w:ascii="Palatino Linotype" w:hAnsi="Palatino Linotype"/>
          <w:noProof/>
        </w:rPr>
        <w:t xml:space="preserve"> 066</w:t>
      </w:r>
      <w:r w:rsidR="005F09AD" w:rsidRPr="00CB14D2">
        <w:rPr>
          <w:rFonts w:ascii="Palatino Linotype" w:hAnsi="Palatino Linotype"/>
          <w:noProof/>
        </w:rPr>
        <w:t>, concluyendo este Organismo Garante</w:t>
      </w:r>
      <w:r w:rsidR="00D946C9" w:rsidRPr="00CB14D2">
        <w:rPr>
          <w:rFonts w:ascii="Palatino Linotype" w:hAnsi="Palatino Linotype"/>
          <w:noProof/>
        </w:rPr>
        <w:t>,</w:t>
      </w:r>
      <w:r w:rsidR="005F09AD" w:rsidRPr="00CB14D2">
        <w:rPr>
          <w:rFonts w:ascii="Palatino Linotype" w:hAnsi="Palatino Linotype"/>
          <w:noProof/>
        </w:rPr>
        <w:t xml:space="preserve"> que por un error material, el particular hizo referencia al registro 066, argumento que se rubustece</w:t>
      </w:r>
      <w:r w:rsidR="00133EDC" w:rsidRPr="00CB14D2">
        <w:rPr>
          <w:rFonts w:ascii="Palatino Linotype" w:hAnsi="Palatino Linotype"/>
          <w:noProof/>
        </w:rPr>
        <w:t xml:space="preserve"> </w:t>
      </w:r>
      <w:r w:rsidR="005F09AD" w:rsidRPr="00CB14D2">
        <w:rPr>
          <w:rFonts w:ascii="Palatino Linotype" w:hAnsi="Palatino Linotype"/>
          <w:noProof/>
        </w:rPr>
        <w:t>si tomamos en consideración que</w:t>
      </w:r>
      <w:r w:rsidR="00133EDC" w:rsidRPr="00CB14D2">
        <w:rPr>
          <w:rFonts w:ascii="Palatino Linotype" w:hAnsi="Palatino Linotype"/>
          <w:noProof/>
        </w:rPr>
        <w:t xml:space="preserve"> el particular </w:t>
      </w:r>
      <w:r w:rsidR="005F09AD" w:rsidRPr="00CB14D2">
        <w:rPr>
          <w:rFonts w:ascii="Palatino Linotype" w:hAnsi="Palatino Linotype"/>
          <w:noProof/>
        </w:rPr>
        <w:t>presentó</w:t>
      </w:r>
      <w:r w:rsidR="00187ED4" w:rsidRPr="00CB14D2">
        <w:rPr>
          <w:rFonts w:ascii="Palatino Linotype" w:hAnsi="Palatino Linotype"/>
          <w:noProof/>
        </w:rPr>
        <w:t xml:space="preserve"> con minutos de diferencia, </w:t>
      </w:r>
      <w:r w:rsidR="00FE12AE" w:rsidRPr="00CB14D2">
        <w:rPr>
          <w:rFonts w:ascii="Palatino Linotype" w:hAnsi="Palatino Linotype"/>
          <w:noProof/>
        </w:rPr>
        <w:t xml:space="preserve">una segunda </w:t>
      </w:r>
      <w:r w:rsidR="00133EDC" w:rsidRPr="00CB14D2">
        <w:rPr>
          <w:rFonts w:ascii="Palatino Linotype" w:hAnsi="Palatino Linotype"/>
          <w:noProof/>
        </w:rPr>
        <w:t>sol</w:t>
      </w:r>
      <w:r w:rsidR="00187ED4" w:rsidRPr="00CB14D2">
        <w:rPr>
          <w:rFonts w:ascii="Palatino Linotype" w:hAnsi="Palatino Linotype"/>
          <w:noProof/>
        </w:rPr>
        <w:t>i</w:t>
      </w:r>
      <w:r w:rsidR="00133EDC" w:rsidRPr="00CB14D2">
        <w:rPr>
          <w:rFonts w:ascii="Palatino Linotype" w:hAnsi="Palatino Linotype"/>
          <w:noProof/>
        </w:rPr>
        <w:t>cit</w:t>
      </w:r>
      <w:r w:rsidR="00FE12AE" w:rsidRPr="00CB14D2">
        <w:rPr>
          <w:rFonts w:ascii="Palatino Linotype" w:hAnsi="Palatino Linotype"/>
          <w:noProof/>
        </w:rPr>
        <w:t>u</w:t>
      </w:r>
      <w:r w:rsidR="00133EDC" w:rsidRPr="00CB14D2">
        <w:rPr>
          <w:rFonts w:ascii="Palatino Linotype" w:hAnsi="Palatino Linotype"/>
          <w:noProof/>
        </w:rPr>
        <w:t xml:space="preserve">d de información </w:t>
      </w:r>
      <w:r w:rsidR="00FE12AE" w:rsidRPr="00CB14D2">
        <w:rPr>
          <w:rFonts w:ascii="Palatino Linotype" w:hAnsi="Palatino Linotype"/>
          <w:noProof/>
        </w:rPr>
        <w:t xml:space="preserve">a la cual se le asignó el numero de folio </w:t>
      </w:r>
      <w:r w:rsidR="00133EDC" w:rsidRPr="00CB14D2">
        <w:rPr>
          <w:rFonts w:ascii="Palatino Linotype" w:eastAsia="Palatino Linotype" w:hAnsi="Palatino Linotype" w:cs="Palatino Linotype"/>
          <w:b/>
        </w:rPr>
        <w:t>00197/HUIXQUIL/IP/2022</w:t>
      </w:r>
      <w:r w:rsidR="00FE12AE" w:rsidRPr="00CB14D2">
        <w:rPr>
          <w:rFonts w:ascii="Palatino Linotype" w:hAnsi="Palatino Linotype"/>
          <w:noProof/>
        </w:rPr>
        <w:t>, mediante l</w:t>
      </w:r>
      <w:r w:rsidR="001115AA" w:rsidRPr="00CB14D2">
        <w:rPr>
          <w:rFonts w:ascii="Palatino Linotype" w:hAnsi="Palatino Linotype"/>
          <w:noProof/>
        </w:rPr>
        <w:t xml:space="preserve">a cual </w:t>
      </w:r>
      <w:r w:rsidR="00187ED4" w:rsidRPr="00CB14D2">
        <w:rPr>
          <w:rFonts w:ascii="Palatino Linotype" w:hAnsi="Palatino Linotype"/>
          <w:noProof/>
        </w:rPr>
        <w:t>hizo referencia al</w:t>
      </w:r>
      <w:r w:rsidR="001115AA" w:rsidRPr="00CB14D2">
        <w:rPr>
          <w:rFonts w:ascii="Palatino Linotype" w:hAnsi="Palatino Linotype"/>
          <w:noProof/>
        </w:rPr>
        <w:t xml:space="preserve"> registro </w:t>
      </w:r>
      <w:r w:rsidR="001115AA" w:rsidRPr="00CB14D2">
        <w:rPr>
          <w:rFonts w:ascii="Palatino Linotype" w:hAnsi="Palatino Linotype"/>
          <w:b/>
          <w:bCs/>
          <w:noProof/>
        </w:rPr>
        <w:t>065</w:t>
      </w:r>
      <w:r w:rsidR="00D946C9" w:rsidRPr="00CB14D2">
        <w:rPr>
          <w:rFonts w:ascii="Palatino Linotype" w:hAnsi="Palatino Linotype"/>
          <w:b/>
          <w:bCs/>
          <w:noProof/>
        </w:rPr>
        <w:t xml:space="preserve">, en el cual se describen los detalles de </w:t>
      </w:r>
      <w:r w:rsidR="001115AA" w:rsidRPr="00CB14D2">
        <w:rPr>
          <w:rFonts w:ascii="Palatino Linotype" w:eastAsia="Palatino Linotype" w:hAnsi="Palatino Linotype" w:cs="Palatino Linotype"/>
          <w:b/>
          <w:bCs/>
        </w:rPr>
        <w:t>la ampliación de la vía pública localizada en la Calle Cedro, localizada en el poblado Ignacio Allende en Huixquilucan</w:t>
      </w:r>
      <w:r w:rsidR="001115AA" w:rsidRPr="00CB14D2">
        <w:rPr>
          <w:rFonts w:ascii="Palatino Linotype" w:eastAsia="Palatino Linotype" w:hAnsi="Palatino Linotype" w:cs="Palatino Linotype"/>
        </w:rPr>
        <w:t xml:space="preserve">, tal y como </w:t>
      </w:r>
      <w:r w:rsidR="00187ED4" w:rsidRPr="00CB14D2">
        <w:rPr>
          <w:rFonts w:ascii="Palatino Linotype" w:eastAsia="Palatino Linotype" w:hAnsi="Palatino Linotype" w:cs="Palatino Linotype"/>
        </w:rPr>
        <w:t xml:space="preserve">se precisó </w:t>
      </w:r>
      <w:r w:rsidR="00D946C9" w:rsidRPr="00CB14D2">
        <w:rPr>
          <w:rFonts w:ascii="Palatino Linotype" w:eastAsia="Palatino Linotype" w:hAnsi="Palatino Linotype" w:cs="Palatino Linotype"/>
        </w:rPr>
        <w:t xml:space="preserve">en ambas solicitudes de información, por lo que se </w:t>
      </w:r>
      <w:r w:rsidR="00187ED4" w:rsidRPr="00CB14D2">
        <w:rPr>
          <w:rFonts w:ascii="Palatino Linotype" w:eastAsia="Palatino Linotype" w:hAnsi="Palatino Linotype" w:cs="Palatino Linotype"/>
        </w:rPr>
        <w:t>colige</w:t>
      </w:r>
      <w:r w:rsidR="00D946C9" w:rsidRPr="00CB14D2">
        <w:rPr>
          <w:rFonts w:ascii="Palatino Linotype" w:eastAsia="Palatino Linotype" w:hAnsi="Palatino Linotype" w:cs="Palatino Linotype"/>
        </w:rPr>
        <w:t xml:space="preserve"> que </w:t>
      </w:r>
      <w:r w:rsidR="00D946C9" w:rsidRPr="00CB14D2">
        <w:rPr>
          <w:rFonts w:ascii="Palatino Linotype" w:eastAsia="Palatino Linotype" w:hAnsi="Palatino Linotype" w:cs="Palatino Linotype"/>
          <w:b/>
          <w:bCs/>
        </w:rPr>
        <w:t>el registro correcto es el 065.</w:t>
      </w:r>
    </w:p>
    <w:p w14:paraId="111A33EC" w14:textId="6CA3B5A6" w:rsidR="00DE5ED1" w:rsidRPr="00CB14D2" w:rsidRDefault="00187ED4">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t>Ahora bien, e</w:t>
      </w:r>
      <w:r w:rsidR="00783AE7" w:rsidRPr="00CB14D2">
        <w:rPr>
          <w:rFonts w:ascii="Palatino Linotype" w:eastAsia="Palatino Linotype" w:hAnsi="Palatino Linotype" w:cs="Palatino Linotype"/>
        </w:rPr>
        <w:t xml:space="preserve">n respuesta, el </w:t>
      </w:r>
      <w:r w:rsidR="00783AE7" w:rsidRPr="00CB14D2">
        <w:rPr>
          <w:rFonts w:ascii="Palatino Linotype" w:eastAsia="Palatino Linotype" w:hAnsi="Palatino Linotype" w:cs="Palatino Linotype"/>
          <w:b/>
        </w:rPr>
        <w:t xml:space="preserve">Sujeto Obligado, </w:t>
      </w:r>
      <w:r w:rsidR="00783AE7" w:rsidRPr="00CB14D2">
        <w:rPr>
          <w:rFonts w:ascii="Palatino Linotype" w:eastAsia="Palatino Linotype" w:hAnsi="Palatino Linotype" w:cs="Palatino Linotype"/>
        </w:rPr>
        <w:t>a través de la Unidad de Transparencia, hizo del conocimiento de la persona solicitante los siguientes documentos:</w:t>
      </w:r>
    </w:p>
    <w:p w14:paraId="35469F08"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t>- Oficio número SHA/129/2022, de fecha veinticinco de febrero de dos mil veintidós, signado por el Secretario del Ayuntamiento, mediante el cual solicita el apoyo del Director de Servicios Administrativos a efecto de que se realice la búsqueda ardua y exhaustiva en los archivos del Departamento de Patrimonio Municipal, dependencia a su cargo, para dar atención a la solicitud de información 00196/HUIXQUIL/IP/2022.</w:t>
      </w:r>
    </w:p>
    <w:p w14:paraId="714FB585"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i/>
        </w:rPr>
        <w:t xml:space="preserve">- </w:t>
      </w:r>
      <w:r w:rsidRPr="00CB14D2">
        <w:rPr>
          <w:rFonts w:ascii="Palatino Linotype" w:eastAsia="Palatino Linotype" w:hAnsi="Palatino Linotype" w:cs="Palatino Linotype"/>
        </w:rPr>
        <w:t xml:space="preserve">Oficio número SHA/128/2022, de fecha veinticinco de febrero de dos mil veintidós, signado por el Secretario del Ayuntamiento, mediante el cual solicita el apoyo del </w:t>
      </w:r>
      <w:r w:rsidRPr="00CB14D2">
        <w:rPr>
          <w:rFonts w:ascii="Palatino Linotype" w:eastAsia="Palatino Linotype" w:hAnsi="Palatino Linotype" w:cs="Palatino Linotype"/>
        </w:rPr>
        <w:lastRenderedPageBreak/>
        <w:t>Director de Servicios Administrativos a efecto de que se realice la búsqueda ardua y exhaustiva en los archivos del Departamento de Patrimonio Municipal, dependencia a su cargo, para dar atención a la solicitud de información 00197/HUIXQUIL/IP/2022.</w:t>
      </w:r>
    </w:p>
    <w:p w14:paraId="19F39153"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i/>
        </w:rPr>
        <w:t xml:space="preserve">- </w:t>
      </w:r>
      <w:r w:rsidRPr="00CB14D2">
        <w:rPr>
          <w:rFonts w:ascii="Palatino Linotype" w:eastAsia="Palatino Linotype" w:hAnsi="Palatino Linotype" w:cs="Palatino Linotype"/>
        </w:rPr>
        <w:t>Nota informativa del diecisiete de marzo de dos mil veintidós, mediante la cual el enlace de Transparencia de la Secretaría del Ayuntamiento, señala que se giraron los oficios con número SHA/129/02/2022 y SHA/128/02/2022, respectivamente a efecto de solventar sus solicitudes 00196/HUIXQUIL/IP/2022 y 00197/HUIXQUIL/IP/2022, indicando que se recibió oficio SHA/083/2022 suscrito por el Mtro. Horacio Almanza Zendejas -</w:t>
      </w:r>
      <w:r w:rsidRPr="00CB14D2">
        <w:rPr>
          <w:rFonts w:ascii="Palatino Linotype" w:eastAsia="Palatino Linotype" w:hAnsi="Palatino Linotype" w:cs="Palatino Linotype"/>
          <w:sz w:val="22"/>
          <w:szCs w:val="22"/>
        </w:rPr>
        <w:t>Director de Servicios Administrativos</w:t>
      </w:r>
      <w:r w:rsidRPr="00CB14D2">
        <w:rPr>
          <w:rFonts w:ascii="Palatino Linotype" w:eastAsia="Palatino Linotype" w:hAnsi="Palatino Linotype" w:cs="Palatino Linotype"/>
        </w:rPr>
        <w:t>-, mediante el cual se solicitó se sometiera a consideración del Comité de Transparencia Municipal, la CLASIFICACIÓN DE LA INFORMACIÓN CONFIDENCIAL del contenido del Contrato que solventa las solicitudes de información.</w:t>
      </w:r>
    </w:p>
    <w:p w14:paraId="301AE71C"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i/>
        </w:rPr>
        <w:t xml:space="preserve">- </w:t>
      </w:r>
      <w:r w:rsidRPr="00CB14D2">
        <w:rPr>
          <w:rFonts w:ascii="Palatino Linotype" w:eastAsia="Palatino Linotype" w:hAnsi="Palatino Linotype" w:cs="Palatino Linotype"/>
        </w:rPr>
        <w:t xml:space="preserve">Oficio número SHA/083/2022, de fecha diecisiete de marzo de dos mil veintidós, signado por el Director de Servicios Administrativos, mediante el cual, con relación a las solicitudes de información con números de folio 00196/HUIXQUIL/IP/2022 y 00197/HUIXQUIL/IP/2022, informa que los documentos solicitados por el ciudadano incluyen datos personales que requieren el consentimiento de su titular para ser difundidos, ya que comprenden datos de identificación que podrían afectar el derecho a la privacidad e intimidad, los cuales en su conjunto harían a una persona física identificada o identificable, datos que se encuentran contenidos en el </w:t>
      </w:r>
      <w:r w:rsidRPr="00CB14D2">
        <w:rPr>
          <w:rFonts w:ascii="Palatino Linotype" w:eastAsia="Palatino Linotype" w:hAnsi="Palatino Linotype" w:cs="Palatino Linotype"/>
        </w:rPr>
        <w:lastRenderedPageBreak/>
        <w:t xml:space="preserve">contrato de </w:t>
      </w:r>
      <w:r w:rsidRPr="00CB14D2">
        <w:rPr>
          <w:rFonts w:ascii="Palatino Linotype" w:eastAsia="Palatino Linotype" w:hAnsi="Palatino Linotype" w:cs="Palatino Linotype"/>
          <w:b/>
          <w:u w:val="single"/>
        </w:rPr>
        <w:t>Donación remuneratoria</w:t>
      </w:r>
      <w:r w:rsidRPr="00CB14D2">
        <w:rPr>
          <w:rFonts w:ascii="Palatino Linotype" w:eastAsia="Palatino Linotype" w:hAnsi="Palatino Linotype" w:cs="Palatino Linotype"/>
        </w:rPr>
        <w:t xml:space="preserve">, razón por la cual, con la finalidad de dar cumplimiento a la obligación de proteger los datos personales, solicitó poner a consideración el Comité de Transparencia la clasificación como información confidencial relativa a nombres, apellidos, régimen conyugal y firmas autógrafas, de conformidad con los artículos 4, de la Ley de Protección de Datos Personales en Posesión de Sujetos Obligados del Estado de México y Municipios, 53, fracción X, 137, 143, fracción I, de la Ley de Transparencia y Acceso a la Información Pública del Estado de México y Municipios, 3, 113, fracción I, 118, 119, de la Ley Federal de Transparencia y Acceso a la Información Pública, y 116 de la Ley General de Transparencia y Acceso a la Información Pública. </w:t>
      </w:r>
    </w:p>
    <w:p w14:paraId="1320DB5E"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i/>
        </w:rPr>
        <w:t xml:space="preserve">- </w:t>
      </w:r>
      <w:r w:rsidRPr="00CB14D2">
        <w:rPr>
          <w:rFonts w:ascii="Palatino Linotype" w:eastAsia="Palatino Linotype" w:hAnsi="Palatino Linotype" w:cs="Palatino Linotype"/>
        </w:rPr>
        <w:t xml:space="preserve">Acta de Clasificación de Información con carácter de Confidencial del Comité de Transparencia mediante la cual se aprueba la clasificación de la información solicitada por el particular en las solicitudes 00196/HUIXQUIL/IP/2022 y 00197/HUIXQUIL/IP/2022, como confidencial, con fundamento en los artículos 6, fracción I, de la Constitución Política de los Estados Unidos Mexicanos; 5, fracción I de la Constitución Política del Estado Libre y Soberano de México; 3, fracciones XX, XXI. XXIII y XLV, 24, fracción VI,  47, último párrafo, 49, fracción VIII, 52, 53, fracción X, 91, 122, 128, 132, 133, 137 y 143, fracción I y demás relativos y aplicables de la Ley de Transparencia y Acceso a la Información Pública del Estado de México y Municipios;  los numerales cuarenta y seis y cuarenta y ocho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w:t>
      </w:r>
      <w:r w:rsidRPr="00CB14D2">
        <w:rPr>
          <w:rFonts w:ascii="Palatino Linotype" w:eastAsia="Palatino Linotype" w:hAnsi="Palatino Linotype" w:cs="Palatino Linotype"/>
        </w:rPr>
        <w:lastRenderedPageBreak/>
        <w:t xml:space="preserve">sujetos obligados por la Ley de Transparencia y Acceso a la Información Pública del Estado de México y Municipios así como los lineamientos generales en materia de clasificación y desclasificación de la información.  </w:t>
      </w:r>
    </w:p>
    <w:p w14:paraId="6E8C4F7B"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Bajo tales argumentos, al no estar conforme con los términos de la respuesta proporcionada, la persona solicitante interpuso el recurso de revisión que nos ocupa, mediante el cual señaló como motivo de inconformidad, en lo medular, la clasificación de la información, al considerar que el Comité de Transparencia violó las formalidades legales con la emisión del acuerdo de clasificación de la información con carácter de confidencial, mismas que expuso en los términos que se precisan en el antecedente 3 de la presente resolución, asimismo, señala que el Director de Servicios Administrativos, propuso someter a consideración del Comité, la clasificación como Información Confidencial de los siguientes datos: nombres, apellidos, régimen conyugal y firmas autógrafas, contenidos en el Contrato de Donación Remuneratoria, no obstante, el Comité clasificó como confidencial, toda la información solicitada, sin justificar los motivos por los cuales se considera que la información es confidencial, finalmente, puntualizó que, conforme a lo establecido en la ley de la materia, debía ser una clasificación parcial de la información contenida en el Contrato de Donación Remuneratoria, a efecto de que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procediera a realizar una versión pública.</w:t>
      </w:r>
    </w:p>
    <w:p w14:paraId="17D21394"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Cabe señalar que no pasa desapercibido para este Organismo Garante que, como parte de sus motivos de inconformidad, el particular realizó diversos planteamientos subjetivos, ante lo cual se puntualiza que el derecho al acceso a la </w:t>
      </w:r>
      <w:r w:rsidRPr="00CB14D2">
        <w:rPr>
          <w:rFonts w:ascii="Palatino Linotype" w:eastAsia="Palatino Linotype" w:hAnsi="Palatino Linotype" w:cs="Palatino Linotype"/>
        </w:rPr>
        <w:lastRenderedPageBreak/>
        <w:t xml:space="preserve">información pública constituye una prerrogativa para acceder a documentos o registros de información pública generada o en posesión de los sujetos obligados,  motivo por el cual, este Órgano Garante reitera que dichas manifestaciones no son susceptibles de ser tomadas en consideración, toda vez que, no constituyen el ejercicio de un derecho de acceso a la información pública, sino más bien el ejercicio de un derecho de expresión, </w:t>
      </w:r>
      <w:r w:rsidRPr="00CB14D2">
        <w:rPr>
          <w:rFonts w:ascii="Palatino Linotype" w:eastAsia="Palatino Linotype" w:hAnsi="Palatino Linotype" w:cs="Palatino Linotype"/>
          <w:b/>
        </w:rPr>
        <w:t>cuya finalidad consiste en dar mayor énfasis a sus</w:t>
      </w:r>
      <w:r w:rsidRPr="00CB14D2">
        <w:rPr>
          <w:rFonts w:ascii="Palatino Linotype" w:eastAsia="Palatino Linotype" w:hAnsi="Palatino Linotype" w:cs="Palatino Linotype"/>
        </w:rPr>
        <w:t xml:space="preserve"> </w:t>
      </w:r>
      <w:r w:rsidRPr="00CB14D2">
        <w:rPr>
          <w:rFonts w:ascii="Palatino Linotype" w:eastAsia="Palatino Linotype" w:hAnsi="Palatino Linotype" w:cs="Palatino Linotype"/>
          <w:b/>
        </w:rPr>
        <w:t>motivos de inconformidad</w:t>
      </w:r>
      <w:r w:rsidRPr="00CB14D2">
        <w:rPr>
          <w:rFonts w:ascii="Palatino Linotype" w:eastAsia="Palatino Linotype" w:hAnsi="Palatino Linotype" w:cs="Palatino Linotype"/>
        </w:rPr>
        <w:t>, en este sentido, se trata de manifestaciones sobre las cuales este Instituto no está facultado para pronunciarse.</w:t>
      </w:r>
    </w:p>
    <w:p w14:paraId="7145CBD6"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Admitidos los presentes recursos de revisión, en términos del artículo 185 fracción II</w:t>
      </w:r>
      <w:r w:rsidRPr="00CB14D2">
        <w:rPr>
          <w:rFonts w:ascii="Palatino Linotype" w:eastAsia="Palatino Linotype" w:hAnsi="Palatino Linotype" w:cs="Palatino Linotype"/>
          <w:vertAlign w:val="superscript"/>
        </w:rPr>
        <w:footnoteReference w:id="2"/>
      </w:r>
      <w:r w:rsidRPr="00CB14D2">
        <w:rPr>
          <w:rFonts w:ascii="Palatino Linotype" w:eastAsia="Palatino Linotype" w:hAnsi="Palatino Linotype" w:cs="Palatino Linotype"/>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14:paraId="1DA9BDFD"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Al respecto,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mediante su informe justificado ratificó en lo sustancial la respuesta emitida en primera instancia, con base en el pronunciamiento del Secretario del Ayuntamiento, quien se manifestó en los siguientes términos en ambos casos:</w:t>
      </w:r>
    </w:p>
    <w:p w14:paraId="13EA6675" w14:textId="77777777" w:rsidR="00DE5ED1" w:rsidRPr="00CB14D2" w:rsidRDefault="00783AE7">
      <w:pPr>
        <w:spacing w:before="240" w:line="360" w:lineRule="auto"/>
        <w:jc w:val="center"/>
        <w:rPr>
          <w:rFonts w:ascii="Palatino Linotype" w:eastAsia="Palatino Linotype" w:hAnsi="Palatino Linotype" w:cs="Palatino Linotype"/>
        </w:rPr>
      </w:pPr>
      <w:r w:rsidRPr="00CB14D2">
        <w:rPr>
          <w:rFonts w:ascii="Palatino Linotype" w:eastAsia="Palatino Linotype" w:hAnsi="Palatino Linotype" w:cs="Palatino Linotype"/>
          <w:noProof/>
        </w:rPr>
        <w:lastRenderedPageBreak/>
        <w:drawing>
          <wp:inline distT="0" distB="0" distL="0" distR="0" wp14:anchorId="6BBA6F63" wp14:editId="6A502BDD">
            <wp:extent cx="4860000" cy="2489150"/>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860000" cy="2489150"/>
                    </a:xfrm>
                    <a:prstGeom prst="rect">
                      <a:avLst/>
                    </a:prstGeom>
                    <a:ln/>
                  </pic:spPr>
                </pic:pic>
              </a:graphicData>
            </a:graphic>
          </wp:inline>
        </w:drawing>
      </w:r>
    </w:p>
    <w:p w14:paraId="22695E4A" w14:textId="77777777" w:rsidR="00DE5ED1" w:rsidRPr="00CB14D2" w:rsidRDefault="00783AE7">
      <w:pPr>
        <w:spacing w:after="240" w:line="360" w:lineRule="auto"/>
        <w:jc w:val="center"/>
        <w:rPr>
          <w:rFonts w:ascii="Palatino Linotype" w:eastAsia="Palatino Linotype" w:hAnsi="Palatino Linotype" w:cs="Palatino Linotype"/>
        </w:rPr>
      </w:pPr>
      <w:r w:rsidRPr="00CB14D2">
        <w:rPr>
          <w:rFonts w:ascii="Palatino Linotype" w:eastAsia="Palatino Linotype" w:hAnsi="Palatino Linotype" w:cs="Palatino Linotype"/>
          <w:noProof/>
        </w:rPr>
        <w:drawing>
          <wp:inline distT="0" distB="0" distL="0" distR="0" wp14:anchorId="20AFA3B7" wp14:editId="0D286293">
            <wp:extent cx="4860000" cy="514440"/>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860000" cy="514440"/>
                    </a:xfrm>
                    <a:prstGeom prst="rect">
                      <a:avLst/>
                    </a:prstGeom>
                    <a:ln/>
                  </pic:spPr>
                </pic:pic>
              </a:graphicData>
            </a:graphic>
          </wp:inline>
        </w:drawing>
      </w:r>
    </w:p>
    <w:p w14:paraId="3F52F0CF"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En esta tesitura, de las constancias que integran los expedientes electrónicos  relacionados con los recursos de revisión materia de estudio, se colige que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materia de las solicitudes de información</w:t>
      </w:r>
      <w:r w:rsidRPr="00CB14D2">
        <w:rPr>
          <w:rFonts w:ascii="Palatino Linotype" w:eastAsia="Palatino Linotype" w:hAnsi="Palatino Linotype" w:cs="Palatino Linotype"/>
          <w:i/>
          <w:sz w:val="20"/>
          <w:szCs w:val="20"/>
        </w:rPr>
        <w:t xml:space="preserve">, </w:t>
      </w:r>
      <w:r w:rsidRPr="00CB14D2">
        <w:rPr>
          <w:rFonts w:ascii="Palatino Linotype" w:eastAsia="Palatino Linotype" w:hAnsi="Palatino Linotype" w:cs="Palatino Linotype"/>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w:t>
      </w:r>
    </w:p>
    <w:p w14:paraId="6BED0A51" w14:textId="77777777" w:rsidR="00DE5ED1" w:rsidRPr="00CB14D2" w:rsidRDefault="00783AE7">
      <w:pPr>
        <w:spacing w:before="240" w:after="24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lastRenderedPageBreak/>
        <w:t>“Artículo 12. Quienes generen, recopilen, administren, manejen, procesen, archiven o conserven información pública serán responsables de la misma</w:t>
      </w:r>
      <w:r w:rsidRPr="00CB14D2">
        <w:rPr>
          <w:rFonts w:ascii="Palatino Linotype" w:eastAsia="Palatino Linotype" w:hAnsi="Palatino Linotype" w:cs="Palatino Linotype"/>
          <w:i/>
          <w:sz w:val="22"/>
          <w:szCs w:val="22"/>
        </w:rPr>
        <w:t xml:space="preserve"> en los términos de las disposiciones jurídicas aplicables. </w:t>
      </w:r>
    </w:p>
    <w:p w14:paraId="7FB1AC73" w14:textId="77777777" w:rsidR="00DE5ED1" w:rsidRPr="00CB14D2" w:rsidRDefault="00783AE7">
      <w:pPr>
        <w:spacing w:before="240" w:after="24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B14D2">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5E31AEB0" w14:textId="77777777" w:rsidR="00DE5ED1" w:rsidRPr="00CB14D2" w:rsidRDefault="00783AE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Por consiguiente, se procede al análisis de los requerimientos planteados por persona solicitante y la respuesta proporcionada por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330779F8" w14:textId="77777777" w:rsidR="00DE5ED1" w:rsidRPr="00CB14D2" w:rsidRDefault="00783AE7">
      <w:pPr>
        <w:spacing w:before="240" w:after="240" w:line="360" w:lineRule="auto"/>
        <w:ind w:right="51"/>
        <w:jc w:val="both"/>
        <w:rPr>
          <w:rFonts w:ascii="Palatino Linotype" w:eastAsia="Palatino Linotype" w:hAnsi="Palatino Linotype" w:cs="Palatino Linotype"/>
        </w:rPr>
      </w:pPr>
      <w:r w:rsidRPr="00CB14D2">
        <w:rPr>
          <w:rFonts w:ascii="Palatino Linotype" w:eastAsia="Palatino Linotype" w:hAnsi="Palatino Linotype" w:cs="Palatino Linotype"/>
        </w:rPr>
        <w:t>Asimismo, se debe resaltar que con las manifestaciones hechas valer por el Director de Servicios Administrativos, quien tiene a su cargo, entre otros, al Departamento de Patrimonio Municipal, de conformidad con el artículo 82, inciso b), del Reglamento Orgánico de la Administración Pública Municipal de Huixquilucan</w:t>
      </w:r>
      <w:r w:rsidRPr="00CB14D2">
        <w:rPr>
          <w:rFonts w:ascii="Palatino Linotype" w:eastAsia="Palatino Linotype" w:hAnsi="Palatino Linotype" w:cs="Palatino Linotype"/>
          <w:vertAlign w:val="superscript"/>
        </w:rPr>
        <w:footnoteReference w:id="3"/>
      </w:r>
      <w:r w:rsidRPr="00CB14D2">
        <w:rPr>
          <w:rFonts w:ascii="Palatino Linotype" w:eastAsia="Palatino Linotype" w:hAnsi="Palatino Linotype" w:cs="Palatino Linotype"/>
        </w:rPr>
        <w:t xml:space="preserve">, éste no niega contar con el soporte documental que dé cuenta de la donación que acredite la propiedad del bien inmueble relacionado con la ampliación de la vía pública en la Calle Cedros, del Poblado de Ignacio Allende, Huixquilucan, Estado de México, información que fue solicitada por el particular, sino por el contrario, asume que la tiene de manera explícita, tan es así que se en atención a la solicitud consideró necesario someter a consideración de los integrantes del Comité de </w:t>
      </w:r>
      <w:r w:rsidRPr="00CB14D2">
        <w:rPr>
          <w:rFonts w:ascii="Palatino Linotype" w:eastAsia="Palatino Linotype" w:hAnsi="Palatino Linotype" w:cs="Palatino Linotype"/>
        </w:rPr>
        <w:lastRenderedPageBreak/>
        <w:t>Transparencia la clasificación como información confidencial del nombre, apellidos, régimen conyugal y firmas autógrafas, al relacionarse con datos personales de identificación que podrían afectar el derecho a la privacidad e intimidad requieren el consentimiento de su titular para ser difundidos.</w:t>
      </w:r>
    </w:p>
    <w:p w14:paraId="40DEE560" w14:textId="77777777" w:rsidR="00DE5ED1" w:rsidRPr="00CB14D2" w:rsidRDefault="00783AE7">
      <w:pPr>
        <w:spacing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t>A efecto de robustecer lo anterior, sirve de sustento el criterio orientador 29/10 emitido por el Instituto Nacional de Transparencia, Acceso a la Información y Protección de Datos Personales, INAI</w:t>
      </w:r>
      <w:r w:rsidRPr="00CB14D2">
        <w:rPr>
          <w:rFonts w:ascii="Palatino Linotype" w:eastAsia="Palatino Linotype" w:hAnsi="Palatino Linotype" w:cs="Palatino Linotype"/>
          <w:b/>
        </w:rPr>
        <w:t xml:space="preserve">, </w:t>
      </w:r>
      <w:r w:rsidRPr="00CB14D2">
        <w:rPr>
          <w:rFonts w:ascii="Palatino Linotype" w:eastAsia="Palatino Linotype" w:hAnsi="Palatino Linotype" w:cs="Palatino Linotype"/>
        </w:rPr>
        <w:t xml:space="preserve">el cual refiere lo siguiente: </w:t>
      </w:r>
    </w:p>
    <w:p w14:paraId="42127C40" w14:textId="77777777" w:rsidR="00DE5ED1" w:rsidRPr="00CB14D2" w:rsidRDefault="00783AE7">
      <w:pPr>
        <w:spacing w:before="67"/>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“La clasificación y la inexistencia de información son conceptos que no pueden coexistir. </w:t>
      </w:r>
      <w:r w:rsidRPr="00CB14D2">
        <w:rPr>
          <w:rFonts w:ascii="Palatino Linotype" w:eastAsia="Palatino Linotype" w:hAnsi="Palatino Linotype" w:cs="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CB14D2">
        <w:rPr>
          <w:rFonts w:ascii="Palatino Linotype" w:eastAsia="Palatino Linotype" w:hAnsi="Palatino Linotype" w:cs="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CB14D2">
        <w:rPr>
          <w:rFonts w:ascii="Palatino Linotype" w:eastAsia="Palatino Linotype" w:hAnsi="Palatino Linotype" w:cs="Palatino Linotype"/>
          <w:i/>
          <w:sz w:val="22"/>
          <w:szCs w:val="22"/>
        </w:rPr>
        <w:t>.”</w:t>
      </w:r>
    </w:p>
    <w:p w14:paraId="5A357E10"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De esta manera, se procede al análisis de la información proporcionada por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a efecto de determinar si es suficiente para tener por colmado el derecho de acceso a la información de la parte recurrente, o en su defecto ordenar la entrega del o los documentos que lo satisfagan.</w:t>
      </w:r>
    </w:p>
    <w:p w14:paraId="51320B58" w14:textId="77777777" w:rsidR="00DE5ED1" w:rsidRPr="00CB14D2" w:rsidRDefault="00783AE7">
      <w:pPr>
        <w:spacing w:before="240" w:after="240" w:line="360" w:lineRule="auto"/>
        <w:ind w:right="51"/>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En esta tesitura, por cuanto hace a los motivos de inconformidad, debe mencionarse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7EA1F84" w14:textId="77777777" w:rsidR="00DE5ED1" w:rsidRPr="00CB14D2" w:rsidRDefault="00783AE7">
      <w:pPr>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“Artículo 91. </w:t>
      </w:r>
      <w:r w:rsidRPr="00CB14D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BC7B7B0"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CB14D2">
        <w:rPr>
          <w:rFonts w:ascii="Palatino Linotype" w:eastAsia="Palatino Linotype" w:hAnsi="Palatino Linotype" w:cs="Palatino Linotype"/>
          <w:sz w:val="18"/>
          <w:szCs w:val="18"/>
        </w:rPr>
        <w:t xml:space="preserve">. </w:t>
      </w:r>
    </w:p>
    <w:p w14:paraId="77DE9F45"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De manera que, la Ley de Transparencia y Acceso a la Información Pública del Estado de México y Municipios, en su artículo 143 prevé los siguientes supuestos para clasificar la información como confidencial:</w:t>
      </w:r>
    </w:p>
    <w:p w14:paraId="32910D15" w14:textId="77777777" w:rsidR="00DE5ED1" w:rsidRPr="00CB14D2" w:rsidRDefault="00783AE7">
      <w:pPr>
        <w:spacing w:before="120" w:after="120"/>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Artículo 143. </w:t>
      </w:r>
      <w:r w:rsidRPr="00CB14D2">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01AFB194" w14:textId="77777777" w:rsidR="00DE5ED1" w:rsidRPr="00CB14D2" w:rsidRDefault="00783AE7">
      <w:pPr>
        <w:spacing w:before="120" w:after="120"/>
        <w:ind w:left="1134" w:right="900"/>
        <w:jc w:val="both"/>
        <w:rPr>
          <w:rFonts w:ascii="Palatino Linotype" w:eastAsia="Palatino Linotype" w:hAnsi="Palatino Linotype" w:cs="Palatino Linotype"/>
          <w:b/>
          <w:i/>
          <w:sz w:val="22"/>
          <w:szCs w:val="22"/>
          <w:u w:val="single"/>
        </w:rPr>
      </w:pPr>
      <w:r w:rsidRPr="00CB14D2">
        <w:rPr>
          <w:rFonts w:ascii="Palatino Linotype" w:eastAsia="Palatino Linotype" w:hAnsi="Palatino Linotype" w:cs="Palatino Linotype"/>
          <w:b/>
          <w:i/>
          <w:sz w:val="22"/>
          <w:szCs w:val="22"/>
        </w:rPr>
        <w:lastRenderedPageBreak/>
        <w:t>I.</w:t>
      </w:r>
      <w:r w:rsidRPr="00CB14D2">
        <w:rPr>
          <w:rFonts w:ascii="Palatino Linotype" w:eastAsia="Palatino Linotype" w:hAnsi="Palatino Linotype" w:cs="Palatino Linotype"/>
          <w:b/>
          <w:i/>
          <w:sz w:val="22"/>
          <w:szCs w:val="22"/>
          <w:u w:val="single"/>
        </w:rPr>
        <w:t xml:space="preserve"> Se refiera a la información privada y los datos personales concernientes a una persona física o jurídico colectiva identificada o identificable;</w:t>
      </w:r>
    </w:p>
    <w:p w14:paraId="4C3C312A" w14:textId="77777777" w:rsidR="00DE5ED1" w:rsidRPr="00CB14D2" w:rsidRDefault="00783AE7">
      <w:pPr>
        <w:spacing w:before="120" w:after="120"/>
        <w:ind w:left="1134"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II. </w:t>
      </w:r>
      <w:r w:rsidRPr="00CB14D2">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C36ED28" w14:textId="77777777" w:rsidR="00DE5ED1" w:rsidRPr="00CB14D2" w:rsidRDefault="00783AE7">
      <w:pPr>
        <w:spacing w:before="120" w:after="120"/>
        <w:ind w:left="1134"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III. </w:t>
      </w:r>
      <w:r w:rsidRPr="00CB14D2">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2234DA4B" w14:textId="77777777" w:rsidR="00DE5ED1" w:rsidRPr="00CB14D2" w:rsidRDefault="00783AE7">
      <w:pPr>
        <w:spacing w:before="120" w:after="120"/>
        <w:ind w:left="851" w:right="900"/>
        <w:jc w:val="both"/>
        <w:rPr>
          <w:rFonts w:ascii="Palatino Linotype" w:eastAsia="Palatino Linotype" w:hAnsi="Palatino Linotype" w:cs="Palatino Linotype"/>
          <w:b/>
          <w:i/>
          <w:sz w:val="22"/>
          <w:szCs w:val="22"/>
          <w:u w:val="single"/>
        </w:rPr>
      </w:pPr>
      <w:r w:rsidRPr="00CB14D2">
        <w:rPr>
          <w:rFonts w:ascii="Palatino Linotype" w:eastAsia="Palatino Linotype" w:hAnsi="Palatino Linotype" w:cs="Palatino Linotype"/>
          <w:b/>
          <w:i/>
          <w:sz w:val="22"/>
          <w:szCs w:val="22"/>
          <w:u w:val="single"/>
        </w:rPr>
        <w:t>La información confidencial no estará sujeta a temporalidad alguna y sólo podrán tener acceso a ella los titulares de la misma, sus representantes y los servidores públicos facultados para ello.</w:t>
      </w:r>
    </w:p>
    <w:p w14:paraId="60A74304" w14:textId="77777777" w:rsidR="00DE5ED1" w:rsidRPr="00CB14D2" w:rsidRDefault="00783AE7">
      <w:pPr>
        <w:spacing w:before="120" w:after="120"/>
        <w:ind w:left="709"/>
        <w:jc w:val="both"/>
        <w:rPr>
          <w:rFonts w:ascii="Palatino Linotype" w:eastAsia="Palatino Linotype" w:hAnsi="Palatino Linotype" w:cs="Palatino Linotype"/>
          <w:b/>
          <w:u w:val="single"/>
        </w:rPr>
      </w:pPr>
      <w:r w:rsidRPr="00CB14D2">
        <w:rPr>
          <w:rFonts w:ascii="Palatino Linotype" w:eastAsia="Palatino Linotype" w:hAnsi="Palatino Linotype" w:cs="Palatino Linotype"/>
          <w:b/>
          <w:i/>
          <w:sz w:val="22"/>
          <w:szCs w:val="22"/>
          <w:u w:val="single"/>
        </w:rPr>
        <w:t>No se considerará confidencial la información que se encuentre en los registros públicos o en fuentes de acceso público, ni tampoco la que sea considerada por la presente ley como información pública.”</w:t>
      </w:r>
    </w:p>
    <w:p w14:paraId="0BC2CD25"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B44AC01" w14:textId="77777777" w:rsidR="00DE5ED1" w:rsidRPr="00CB14D2" w:rsidRDefault="00783AE7">
      <w:pPr>
        <w:numPr>
          <w:ilvl w:val="0"/>
          <w:numId w:val="2"/>
        </w:numPr>
        <w:tabs>
          <w:tab w:val="left" w:pos="851"/>
        </w:tabs>
        <w:spacing w:before="280" w:line="360" w:lineRule="auto"/>
        <w:ind w:left="567" w:firstLine="0"/>
        <w:jc w:val="both"/>
        <w:rPr>
          <w:rFonts w:ascii="Palatino Linotype" w:eastAsia="Palatino Linotype" w:hAnsi="Palatino Linotype" w:cs="Palatino Linotype"/>
        </w:rPr>
      </w:pPr>
      <w:r w:rsidRPr="00CB14D2">
        <w:rPr>
          <w:rFonts w:ascii="Palatino Linotype" w:eastAsia="Palatino Linotype" w:hAnsi="Palatino Linotype" w:cs="Palatino Linotype"/>
        </w:rPr>
        <w:t>Se reciba una solicitud de acceso a la información;</w:t>
      </w:r>
    </w:p>
    <w:p w14:paraId="2487789C" w14:textId="77777777" w:rsidR="00DE5ED1" w:rsidRPr="00CB14D2" w:rsidRDefault="00783AE7">
      <w:pPr>
        <w:numPr>
          <w:ilvl w:val="0"/>
          <w:numId w:val="2"/>
        </w:numPr>
        <w:tabs>
          <w:tab w:val="left" w:pos="851"/>
        </w:tabs>
        <w:spacing w:line="360" w:lineRule="auto"/>
        <w:ind w:left="567" w:firstLine="0"/>
        <w:jc w:val="both"/>
        <w:rPr>
          <w:rFonts w:ascii="Palatino Linotype" w:eastAsia="Palatino Linotype" w:hAnsi="Palatino Linotype" w:cs="Palatino Linotype"/>
        </w:rPr>
      </w:pPr>
      <w:r w:rsidRPr="00CB14D2">
        <w:rPr>
          <w:rFonts w:ascii="Palatino Linotype" w:eastAsia="Palatino Linotype" w:hAnsi="Palatino Linotype" w:cs="Palatino Linotype"/>
        </w:rPr>
        <w:t>Se determine mediante resolución de autoridad competente; y/o</w:t>
      </w:r>
    </w:p>
    <w:p w14:paraId="7C2AAEC4" w14:textId="77777777" w:rsidR="00DE5ED1" w:rsidRPr="00CB14D2" w:rsidRDefault="00783AE7">
      <w:pPr>
        <w:numPr>
          <w:ilvl w:val="0"/>
          <w:numId w:val="2"/>
        </w:numPr>
        <w:tabs>
          <w:tab w:val="left" w:pos="851"/>
        </w:tabs>
        <w:spacing w:after="280" w:line="360" w:lineRule="auto"/>
        <w:ind w:left="567" w:firstLine="0"/>
        <w:jc w:val="both"/>
        <w:rPr>
          <w:rFonts w:ascii="Palatino Linotype" w:eastAsia="Palatino Linotype" w:hAnsi="Palatino Linotype" w:cs="Palatino Linotype"/>
        </w:rPr>
      </w:pPr>
      <w:r w:rsidRPr="00CB14D2">
        <w:rPr>
          <w:rFonts w:ascii="Palatino Linotype" w:eastAsia="Palatino Linotype" w:hAnsi="Palatino Linotype" w:cs="Palatino Linotype"/>
        </w:rPr>
        <w:t>Se generen versiones públicas para dar cumplimiento a las obligaciones de transparencia previstas en la Ley.</w:t>
      </w:r>
    </w:p>
    <w:p w14:paraId="0C7F9AF4"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Por cuando hace a la elaboración de versiones públicas, debe considerarse que dentro de los datos personales que pudieran contenerse se destacan los datos personales sensibles, los cuales son aquellos referentes de la esfera de su titular cuya </w:t>
      </w:r>
      <w:r w:rsidRPr="00CB14D2">
        <w:rPr>
          <w:rFonts w:ascii="Palatino Linotype" w:eastAsia="Palatino Linotype" w:hAnsi="Palatino Linotype" w:cs="Palatino Linotype"/>
        </w:rPr>
        <w:lastRenderedPageBreak/>
        <w:t>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RPr="00CB14D2">
        <w:rPr>
          <w:rFonts w:ascii="Palatino Linotype" w:eastAsia="Palatino Linotype" w:hAnsi="Palatino Linotype" w:cs="Palatino Linotype"/>
          <w:vertAlign w:val="superscript"/>
        </w:rPr>
        <w:footnoteReference w:id="4"/>
      </w:r>
      <w:r w:rsidRPr="00CB14D2">
        <w:rPr>
          <w:rFonts w:ascii="Palatino Linotype" w:eastAsia="Palatino Linotype" w:hAnsi="Palatino Linotype" w:cs="Palatino Linotype"/>
        </w:rPr>
        <w:t>, fracción XII de la Ley de Protección de Datos Personales en Posesión de Sujetos Obligados del Estado de México y Municipios.</w:t>
      </w:r>
    </w:p>
    <w:p w14:paraId="16683EF6" w14:textId="77777777" w:rsidR="00DE5ED1" w:rsidRPr="00CB14D2" w:rsidRDefault="00783AE7">
      <w:pPr>
        <w:spacing w:before="280" w:after="280" w:line="360" w:lineRule="auto"/>
        <w:ind w:right="51"/>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De igual forma, es de precisar que la clasificación de la información no se da por el simple mandato de la Ley, sino que es necesario que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49, fracciones II y VIII, 53, </w:t>
      </w:r>
      <w:r w:rsidRPr="00CB14D2">
        <w:rPr>
          <w:rFonts w:ascii="Palatino Linotype" w:eastAsia="Palatino Linotype" w:hAnsi="Palatino Linotype" w:cs="Palatino Linotype"/>
        </w:rPr>
        <w:lastRenderedPageBreak/>
        <w:t>fracción X y 59, fracción V, de la Ley de Transparencia y Acceso a la Información Pública del Estado de México y Municipios, a saber:</w:t>
      </w:r>
    </w:p>
    <w:p w14:paraId="38441F50" w14:textId="77777777" w:rsidR="00DE5ED1" w:rsidRPr="00CB14D2" w:rsidRDefault="00783AE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b/>
          <w:i/>
          <w:sz w:val="22"/>
          <w:szCs w:val="22"/>
        </w:rPr>
        <w:t>Artículo 49</w:t>
      </w:r>
      <w:r w:rsidRPr="00CB14D2">
        <w:rPr>
          <w:rFonts w:ascii="Palatino Linotype" w:eastAsia="Palatino Linotype" w:hAnsi="Palatino Linotype" w:cs="Palatino Linotype"/>
          <w:i/>
          <w:sz w:val="22"/>
          <w:szCs w:val="22"/>
        </w:rPr>
        <w:t xml:space="preserve">. Los </w:t>
      </w:r>
      <w:r w:rsidRPr="00CB14D2">
        <w:rPr>
          <w:rFonts w:ascii="Palatino Linotype" w:eastAsia="Palatino Linotype" w:hAnsi="Palatino Linotype" w:cs="Palatino Linotype"/>
          <w:b/>
          <w:i/>
          <w:sz w:val="22"/>
          <w:szCs w:val="22"/>
        </w:rPr>
        <w:t>Comités de Transparencia</w:t>
      </w:r>
      <w:r w:rsidRPr="00CB14D2">
        <w:rPr>
          <w:rFonts w:ascii="Palatino Linotype" w:eastAsia="Palatino Linotype" w:hAnsi="Palatino Linotype" w:cs="Palatino Linotype"/>
          <w:i/>
          <w:sz w:val="22"/>
          <w:szCs w:val="22"/>
        </w:rPr>
        <w:t xml:space="preserve"> tendrán las siguientes atribuciones:</w:t>
      </w:r>
    </w:p>
    <w:p w14:paraId="2871FF87" w14:textId="77777777" w:rsidR="00DE5ED1" w:rsidRPr="00CB14D2" w:rsidRDefault="00783AE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3864B21D" w14:textId="77777777" w:rsidR="00DE5ED1" w:rsidRPr="00CB14D2" w:rsidRDefault="00783AE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w:t>
      </w:r>
      <w:r w:rsidRPr="00CB14D2">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A11D4BC" w14:textId="77777777" w:rsidR="00DE5ED1" w:rsidRPr="00CB14D2" w:rsidRDefault="00783AE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691AEDBC" w14:textId="77777777" w:rsidR="00DE5ED1" w:rsidRPr="00CB14D2" w:rsidRDefault="00783AE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VIII</w:t>
      </w:r>
      <w:r w:rsidRPr="00CB14D2">
        <w:rPr>
          <w:rFonts w:ascii="Palatino Linotype" w:eastAsia="Palatino Linotype" w:hAnsi="Palatino Linotype" w:cs="Palatino Linotype"/>
          <w:i/>
          <w:sz w:val="22"/>
          <w:szCs w:val="22"/>
        </w:rPr>
        <w:t>. Aprobar, modificar o revocar la clasificación de la información</w:t>
      </w:r>
    </w:p>
    <w:p w14:paraId="491F4367" w14:textId="77777777" w:rsidR="00DE5ED1" w:rsidRPr="00CB14D2" w:rsidRDefault="00783AE7">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CB14D2">
        <w:rPr>
          <w:rFonts w:ascii="Palatino Linotype" w:eastAsia="Palatino Linotype" w:hAnsi="Palatino Linotype" w:cs="Palatino Linotype"/>
          <w:b/>
          <w:i/>
          <w:sz w:val="22"/>
          <w:szCs w:val="22"/>
        </w:rPr>
        <w:t>...</w:t>
      </w:r>
    </w:p>
    <w:p w14:paraId="4F6994CB" w14:textId="77777777" w:rsidR="00DE5ED1" w:rsidRPr="00CB14D2" w:rsidRDefault="00783AE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53</w:t>
      </w:r>
      <w:r w:rsidRPr="00CB14D2">
        <w:rPr>
          <w:rFonts w:ascii="Palatino Linotype" w:eastAsia="Palatino Linotype" w:hAnsi="Palatino Linotype" w:cs="Palatino Linotype"/>
          <w:i/>
          <w:sz w:val="22"/>
          <w:szCs w:val="22"/>
        </w:rPr>
        <w:t xml:space="preserve">. Las </w:t>
      </w:r>
      <w:r w:rsidRPr="00CB14D2">
        <w:rPr>
          <w:rFonts w:ascii="Palatino Linotype" w:eastAsia="Palatino Linotype" w:hAnsi="Palatino Linotype" w:cs="Palatino Linotype"/>
          <w:b/>
          <w:i/>
          <w:sz w:val="22"/>
          <w:szCs w:val="22"/>
        </w:rPr>
        <w:t xml:space="preserve">Unidades de Transparencia </w:t>
      </w:r>
      <w:r w:rsidRPr="00CB14D2">
        <w:rPr>
          <w:rFonts w:ascii="Palatino Linotype" w:eastAsia="Palatino Linotype" w:hAnsi="Palatino Linotype" w:cs="Palatino Linotype"/>
          <w:i/>
          <w:sz w:val="22"/>
          <w:szCs w:val="22"/>
        </w:rPr>
        <w:t>tendrán las siguientes funciones:</w:t>
      </w:r>
    </w:p>
    <w:p w14:paraId="207E0970" w14:textId="77777777" w:rsidR="00DE5ED1" w:rsidRPr="00CB14D2" w:rsidRDefault="00783AE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1E3CD16D" w14:textId="77777777" w:rsidR="00DE5ED1" w:rsidRPr="00CB14D2" w:rsidRDefault="00783AE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X.</w:t>
      </w:r>
      <w:r w:rsidRPr="00CB14D2">
        <w:rPr>
          <w:rFonts w:ascii="Palatino Linotype" w:eastAsia="Palatino Linotype" w:hAnsi="Palatino Linotype" w:cs="Palatino Linotype"/>
          <w:i/>
          <w:sz w:val="22"/>
          <w:szCs w:val="22"/>
        </w:rPr>
        <w:t xml:space="preserve"> Presentar ante el Comité, el proyecto de clasificación de información;</w:t>
      </w:r>
    </w:p>
    <w:p w14:paraId="1E3AFDDE" w14:textId="77777777" w:rsidR="00DE5ED1" w:rsidRPr="00CB14D2" w:rsidRDefault="00783AE7">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CB14D2">
        <w:rPr>
          <w:rFonts w:ascii="Palatino Linotype" w:eastAsia="Palatino Linotype" w:hAnsi="Palatino Linotype" w:cs="Palatino Linotype"/>
          <w:b/>
          <w:i/>
          <w:sz w:val="22"/>
          <w:szCs w:val="22"/>
        </w:rPr>
        <w:t>...</w:t>
      </w:r>
    </w:p>
    <w:p w14:paraId="5829FB20" w14:textId="77777777" w:rsidR="00DE5ED1" w:rsidRPr="00CB14D2" w:rsidRDefault="00783AE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59</w:t>
      </w:r>
      <w:r w:rsidRPr="00CB14D2">
        <w:rPr>
          <w:rFonts w:ascii="Palatino Linotype" w:eastAsia="Palatino Linotype" w:hAnsi="Palatino Linotype" w:cs="Palatino Linotype"/>
          <w:i/>
          <w:sz w:val="22"/>
          <w:szCs w:val="22"/>
        </w:rPr>
        <w:t xml:space="preserve">. Los </w:t>
      </w:r>
      <w:r w:rsidRPr="00CB14D2">
        <w:rPr>
          <w:rFonts w:ascii="Palatino Linotype" w:eastAsia="Palatino Linotype" w:hAnsi="Palatino Linotype" w:cs="Palatino Linotype"/>
          <w:b/>
          <w:i/>
          <w:sz w:val="22"/>
          <w:szCs w:val="22"/>
        </w:rPr>
        <w:t>servidores públicos habilitados</w:t>
      </w:r>
      <w:r w:rsidRPr="00CB14D2">
        <w:rPr>
          <w:rFonts w:ascii="Palatino Linotype" w:eastAsia="Palatino Linotype" w:hAnsi="Palatino Linotype" w:cs="Palatino Linotype"/>
          <w:i/>
          <w:sz w:val="22"/>
          <w:szCs w:val="22"/>
        </w:rPr>
        <w:t xml:space="preserve"> tendrán las funciones siguientes:</w:t>
      </w:r>
    </w:p>
    <w:p w14:paraId="5D93CD6B" w14:textId="77777777" w:rsidR="00DE5ED1" w:rsidRPr="00CB14D2" w:rsidRDefault="00783AE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0A3C7710" w14:textId="77777777" w:rsidR="00DE5ED1" w:rsidRPr="00CB14D2" w:rsidRDefault="00783AE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V.</w:t>
      </w:r>
      <w:r w:rsidRPr="00CB14D2">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4CB05796"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En el caso que nos ocupa, como se advierte de las constancias que obran en expedientes en los que se actúa, a través del oficio número SHA/083/2022, de fecha diecisiete de marzo de dos mil veintidós, el Director de Servicios Administrativos como Servidor Público Habilitado competente, informó que los documentos solicitados por el ciudadano incluían datos personales que requieren el </w:t>
      </w:r>
      <w:r w:rsidRPr="00CB14D2">
        <w:rPr>
          <w:rFonts w:ascii="Palatino Linotype" w:eastAsia="Palatino Linotype" w:hAnsi="Palatino Linotype" w:cs="Palatino Linotype"/>
        </w:rPr>
        <w:lastRenderedPageBreak/>
        <w:t>consentimiento de su titular para ser difundidos, por lo que solicitó poner a consideración el Comité de Transparencia la clasificación como información confidencial relativa a nombres, apellidos, régimen conyugal y firmas autógrafas, sin embargo, si bien dicha propuesta se sometió a consideración del referido Comité, y este aprobó la clasificación, no se advierte que se hubieran seguido las formalidades previstas en el artículo 168 de la Ley de la Materia, a saber:</w:t>
      </w:r>
    </w:p>
    <w:p w14:paraId="241CE6DE"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b/>
          <w:i/>
          <w:sz w:val="22"/>
          <w:szCs w:val="22"/>
        </w:rPr>
        <w:t>Artículo 168</w:t>
      </w:r>
      <w:r w:rsidRPr="00CB14D2">
        <w:rPr>
          <w:rFonts w:ascii="Palatino Linotype" w:eastAsia="Palatino Linotype" w:hAnsi="Palatino Linotype" w:cs="Palatino Linotype"/>
          <w:i/>
          <w:sz w:val="22"/>
          <w:szCs w:val="22"/>
        </w:rPr>
        <w:t xml:space="preserve">. En caso de que los sujetos obligados consideren que los documentos o la información deban ser clasificados, se sujetará a lo siguiente: </w:t>
      </w:r>
    </w:p>
    <w:p w14:paraId="03D1902B"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w:t>
      </w:r>
      <w:r w:rsidRPr="00CB14D2">
        <w:rPr>
          <w:rFonts w:ascii="Palatino Linotype" w:eastAsia="Palatino Linotype" w:hAnsi="Palatino Linotype" w:cs="Palatino Linotype"/>
          <w:i/>
          <w:sz w:val="22"/>
          <w:szCs w:val="22"/>
        </w:rPr>
        <w:t xml:space="preserve"> El Área deberá remitir la solicitud, </w:t>
      </w:r>
      <w:r w:rsidRPr="00CB14D2">
        <w:rPr>
          <w:rFonts w:ascii="Palatino Linotype" w:eastAsia="Palatino Linotype" w:hAnsi="Palatino Linotype" w:cs="Palatino Linotype"/>
          <w:b/>
          <w:i/>
          <w:sz w:val="22"/>
          <w:szCs w:val="22"/>
        </w:rPr>
        <w:t xml:space="preserve">así como un escrito en el </w:t>
      </w:r>
      <w:r w:rsidRPr="00CB14D2">
        <w:rPr>
          <w:rFonts w:ascii="Palatino Linotype" w:eastAsia="Palatino Linotype" w:hAnsi="Palatino Linotype" w:cs="Palatino Linotype"/>
          <w:b/>
          <w:i/>
          <w:sz w:val="22"/>
          <w:szCs w:val="22"/>
          <w:u w:val="single"/>
        </w:rPr>
        <w:t>que funde y motive la clasificación</w:t>
      </w:r>
      <w:r w:rsidRPr="00CB14D2">
        <w:rPr>
          <w:rFonts w:ascii="Palatino Linotype" w:eastAsia="Palatino Linotype" w:hAnsi="Palatino Linotype" w:cs="Palatino Linotype"/>
          <w:b/>
          <w:i/>
          <w:sz w:val="22"/>
          <w:szCs w:val="22"/>
        </w:rPr>
        <w:t xml:space="preserve"> al Comité de Transparencia</w:t>
      </w:r>
      <w:r w:rsidRPr="00CB14D2">
        <w:rPr>
          <w:rFonts w:ascii="Palatino Linotype" w:eastAsia="Palatino Linotype" w:hAnsi="Palatino Linotype" w:cs="Palatino Linotype"/>
          <w:i/>
          <w:sz w:val="22"/>
          <w:szCs w:val="22"/>
        </w:rPr>
        <w:t>, mismo que deberá resolver para:</w:t>
      </w:r>
    </w:p>
    <w:p w14:paraId="199479F8" w14:textId="77777777" w:rsidR="00DE5ED1" w:rsidRPr="00CB14D2" w:rsidRDefault="00783AE7">
      <w:pPr>
        <w:spacing w:before="120" w:after="120"/>
        <w:ind w:left="1418"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w:t>
      </w:r>
      <w:r w:rsidRPr="00CB14D2">
        <w:rPr>
          <w:rFonts w:ascii="Palatino Linotype" w:eastAsia="Palatino Linotype" w:hAnsi="Palatino Linotype" w:cs="Palatino Linotype"/>
          <w:i/>
          <w:sz w:val="22"/>
          <w:szCs w:val="22"/>
        </w:rPr>
        <w:t xml:space="preserve"> </w:t>
      </w:r>
      <w:r w:rsidRPr="00CB14D2">
        <w:rPr>
          <w:rFonts w:ascii="Palatino Linotype" w:eastAsia="Palatino Linotype" w:hAnsi="Palatino Linotype" w:cs="Palatino Linotype"/>
          <w:b/>
          <w:i/>
          <w:sz w:val="22"/>
          <w:szCs w:val="22"/>
        </w:rPr>
        <w:t>Confirmar la clasificación</w:t>
      </w:r>
      <w:r w:rsidRPr="00CB14D2">
        <w:rPr>
          <w:rFonts w:ascii="Palatino Linotype" w:eastAsia="Palatino Linotype" w:hAnsi="Palatino Linotype" w:cs="Palatino Linotype"/>
          <w:i/>
          <w:sz w:val="22"/>
          <w:szCs w:val="22"/>
        </w:rPr>
        <w:t xml:space="preserve">; </w:t>
      </w:r>
    </w:p>
    <w:p w14:paraId="7017E958" w14:textId="77777777" w:rsidR="00DE5ED1" w:rsidRPr="00CB14D2" w:rsidRDefault="00783AE7">
      <w:pPr>
        <w:spacing w:before="120" w:after="120"/>
        <w:ind w:left="1418"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b)</w:t>
      </w:r>
      <w:r w:rsidRPr="00CB14D2">
        <w:rPr>
          <w:rFonts w:ascii="Palatino Linotype" w:eastAsia="Palatino Linotype" w:hAnsi="Palatino Linotype" w:cs="Palatino Linotype"/>
          <w:i/>
          <w:sz w:val="22"/>
          <w:szCs w:val="22"/>
        </w:rPr>
        <w:t xml:space="preserve"> </w:t>
      </w:r>
      <w:r w:rsidRPr="00CB14D2">
        <w:rPr>
          <w:rFonts w:ascii="Palatino Linotype" w:eastAsia="Palatino Linotype" w:hAnsi="Palatino Linotype" w:cs="Palatino Linotype"/>
          <w:b/>
          <w:i/>
          <w:sz w:val="22"/>
          <w:szCs w:val="22"/>
        </w:rPr>
        <w:t>Modificar. la clasificación y otorgar total o parcialmente el acceso a la informació</w:t>
      </w:r>
      <w:r w:rsidRPr="00CB14D2">
        <w:rPr>
          <w:rFonts w:ascii="Palatino Linotype" w:eastAsia="Palatino Linotype" w:hAnsi="Palatino Linotype" w:cs="Palatino Linotype"/>
          <w:i/>
          <w:sz w:val="22"/>
          <w:szCs w:val="22"/>
        </w:rPr>
        <w:t xml:space="preserve">n; y </w:t>
      </w:r>
    </w:p>
    <w:p w14:paraId="605FD565" w14:textId="77777777" w:rsidR="00DE5ED1" w:rsidRPr="00CB14D2" w:rsidRDefault="00783AE7">
      <w:pPr>
        <w:spacing w:before="120" w:after="120"/>
        <w:ind w:left="1418"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c)</w:t>
      </w:r>
      <w:r w:rsidRPr="00CB14D2">
        <w:rPr>
          <w:rFonts w:ascii="Palatino Linotype" w:eastAsia="Palatino Linotype" w:hAnsi="Palatino Linotype" w:cs="Palatino Linotype"/>
          <w:i/>
          <w:sz w:val="22"/>
          <w:szCs w:val="22"/>
        </w:rPr>
        <w:t xml:space="preserve"> Revocar la clasificación y conceder el acceso a la información. </w:t>
      </w:r>
    </w:p>
    <w:p w14:paraId="578A6A6B"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w:t>
      </w:r>
      <w:r w:rsidRPr="00CB14D2">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 </w:t>
      </w:r>
    </w:p>
    <w:p w14:paraId="742165D5"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III</w:t>
      </w:r>
      <w:r w:rsidRPr="00CB14D2">
        <w:rPr>
          <w:rFonts w:ascii="Palatino Linotype" w:eastAsia="Palatino Linotype" w:hAnsi="Palatino Linotype" w:cs="Palatino Linotype"/>
          <w:i/>
          <w:sz w:val="22"/>
          <w:szCs w:val="22"/>
        </w:rPr>
        <w:t>. La resolución del Comité de Transparencia será notificada al interesado en el plazo de respuesta a la solicitud que establece esta Ley.”</w:t>
      </w:r>
    </w:p>
    <w:p w14:paraId="404C89D9"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Asimismo, es importante mencionar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o </w:t>
      </w:r>
      <w:r w:rsidRPr="00CB14D2">
        <w:rPr>
          <w:rFonts w:ascii="Palatino Linotype" w:eastAsia="Palatino Linotype" w:hAnsi="Palatino Linotype" w:cs="Palatino Linotype"/>
        </w:rPr>
        <w:lastRenderedPageBreak/>
        <w:t>confidencial, así como especificando las razones o circunstancias especiales que lo llevaron a concluir que el caso particular se ajusta al supuesto previsto por la norma legal invocada como fundamento, como se lee:</w:t>
      </w:r>
    </w:p>
    <w:p w14:paraId="53513235" w14:textId="77777777" w:rsidR="00DE5ED1" w:rsidRPr="00CB14D2" w:rsidRDefault="00783AE7">
      <w:pPr>
        <w:spacing w:before="120" w:after="120"/>
        <w:ind w:left="851" w:right="900"/>
        <w:jc w:val="both"/>
        <w:rPr>
          <w:rFonts w:ascii="Palatino Linotype" w:eastAsia="Palatino Linotype" w:hAnsi="Palatino Linotype" w:cs="Palatino Linotype"/>
          <w:b/>
          <w:i/>
          <w:sz w:val="22"/>
          <w:szCs w:val="22"/>
        </w:rPr>
      </w:pPr>
      <w:r w:rsidRPr="00CB14D2">
        <w:rPr>
          <w:rFonts w:ascii="Palatino Linotype" w:eastAsia="Palatino Linotype" w:hAnsi="Palatino Linotype" w:cs="Palatino Linotype"/>
          <w:b/>
          <w:i/>
          <w:sz w:val="22"/>
          <w:szCs w:val="22"/>
        </w:rPr>
        <w:t>“Octavo</w:t>
      </w:r>
      <w:r w:rsidRPr="00CB14D2">
        <w:rPr>
          <w:rFonts w:ascii="Palatino Linotype" w:eastAsia="Palatino Linotype" w:hAnsi="Palatino Linotype" w:cs="Palatino Linotype"/>
          <w:i/>
          <w:sz w:val="22"/>
          <w:szCs w:val="22"/>
        </w:rPr>
        <w:t xml:space="preserve">. Para fundar la clasificación de la información </w:t>
      </w:r>
      <w:r w:rsidRPr="00CB14D2">
        <w:rPr>
          <w:rFonts w:ascii="Palatino Linotype" w:eastAsia="Palatino Linotype" w:hAnsi="Palatino Linotype" w:cs="Palatino Linotype"/>
          <w:b/>
          <w:i/>
          <w:sz w:val="22"/>
          <w:szCs w:val="22"/>
        </w:rPr>
        <w:t>se debe señalar el artículo, fracción, inciso, párrafo o numeral de la ley o tratado internacional suscrito por el Estado mexicano que expresamente le otorga el carácter de reservada o confidencial.</w:t>
      </w:r>
    </w:p>
    <w:p w14:paraId="6CFFF611" w14:textId="77777777" w:rsidR="00DE5ED1" w:rsidRPr="00CB14D2" w:rsidRDefault="00783AE7">
      <w:pPr>
        <w:spacing w:before="120" w:after="120"/>
        <w:ind w:left="851" w:right="900"/>
        <w:jc w:val="both"/>
        <w:rPr>
          <w:rFonts w:ascii="Palatino Linotype" w:eastAsia="Palatino Linotype" w:hAnsi="Palatino Linotype" w:cs="Palatino Linotype"/>
          <w:b/>
          <w:i/>
          <w:sz w:val="22"/>
          <w:szCs w:val="22"/>
        </w:rPr>
      </w:pPr>
      <w:r w:rsidRPr="00CB14D2">
        <w:rPr>
          <w:rFonts w:ascii="Palatino Linotype" w:eastAsia="Palatino Linotype" w:hAnsi="Palatino Linotype" w:cs="Palatino Linotype"/>
          <w:i/>
          <w:sz w:val="22"/>
          <w:szCs w:val="22"/>
        </w:rPr>
        <w:t xml:space="preserve">Para motivar la clasificación </w:t>
      </w:r>
      <w:r w:rsidRPr="00CB14D2">
        <w:rPr>
          <w:rFonts w:ascii="Palatino Linotype" w:eastAsia="Palatino Linotype" w:hAnsi="Palatino Linotype" w:cs="Palatino Linotype"/>
          <w:b/>
          <w:i/>
          <w:sz w:val="22"/>
          <w:szCs w:val="22"/>
        </w:rPr>
        <w:t>se deberán señalar las razones o circunstancias especiales que lo llevaron a concluir que el caso particular se ajusta al supuesto previsto por la norma legal invocada como fundamento.</w:t>
      </w:r>
    </w:p>
    <w:p w14:paraId="328FC9B6" w14:textId="77777777" w:rsidR="00DE5ED1" w:rsidRPr="00CB14D2" w:rsidRDefault="00783AE7">
      <w:pPr>
        <w:spacing w:before="120" w:after="120"/>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513A155F" w14:textId="77777777" w:rsidR="00DE5ED1" w:rsidRPr="00CB14D2" w:rsidRDefault="00783AE7">
      <w:pPr>
        <w:spacing w:before="120" w:after="120"/>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C52B793" w14:textId="77777777" w:rsidR="00DE5ED1" w:rsidRPr="00CB14D2" w:rsidRDefault="00783AE7">
      <w:pPr>
        <w:spacing w:before="120" w:after="120"/>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C5968FB"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Asimismo, sirve de sustento a lo anterior, la Tesis jurisprudencial número I.4º.A. J/43, publicada en el Semanario Judicial de la Federación y su Gaceta, bajo el número de registro 175,082; que a la letra dice:</w:t>
      </w:r>
    </w:p>
    <w:p w14:paraId="1D1D3236" w14:textId="77777777" w:rsidR="00DE5ED1" w:rsidRPr="00CB14D2" w:rsidRDefault="00DE5ED1">
      <w:pPr>
        <w:spacing w:line="360" w:lineRule="auto"/>
        <w:jc w:val="both"/>
        <w:rPr>
          <w:rFonts w:ascii="Palatino Linotype" w:eastAsia="Palatino Linotype" w:hAnsi="Palatino Linotype" w:cs="Palatino Linotype"/>
          <w:sz w:val="10"/>
          <w:szCs w:val="10"/>
        </w:rPr>
      </w:pPr>
    </w:p>
    <w:p w14:paraId="041C10F8" w14:textId="77777777" w:rsidR="00DE5ED1" w:rsidRPr="00CB14D2" w:rsidRDefault="00783AE7">
      <w:pPr>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CB14D2">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CB14D2">
        <w:rPr>
          <w:rFonts w:ascii="Palatino Linotype" w:eastAsia="Palatino Linotype" w:hAnsi="Palatino Linotype" w:cs="Palatino Linotype"/>
          <w:b/>
          <w:i/>
          <w:sz w:val="22"/>
          <w:szCs w:val="22"/>
        </w:rPr>
        <w:t xml:space="preserve">conozca el "para qué" de la conducta de la autoridad, lo que se traduce en darle a conocer en detalle </w:t>
      </w:r>
      <w:r w:rsidRPr="00CB14D2">
        <w:rPr>
          <w:rFonts w:ascii="Palatino Linotype" w:eastAsia="Palatino Linotype" w:hAnsi="Palatino Linotype" w:cs="Palatino Linotype"/>
          <w:b/>
          <w:i/>
          <w:sz w:val="22"/>
          <w:szCs w:val="22"/>
        </w:rPr>
        <w:lastRenderedPageBreak/>
        <w:t>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B14D2">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B14D2">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B14D2">
        <w:rPr>
          <w:rFonts w:ascii="Palatino Linotype" w:eastAsia="Palatino Linotype" w:hAnsi="Palatino Linotype" w:cs="Palatino Linotype"/>
          <w:i/>
          <w:sz w:val="22"/>
          <w:szCs w:val="22"/>
        </w:rPr>
        <w:t> del que se deduzca la relación de pertenencia lógica de los hechos al derecho invocado, que es la subsunción.”</w:t>
      </w:r>
    </w:p>
    <w:p w14:paraId="43C3BB48"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De igual forma, tomando en consideración los términos de la respuesta proporcionada a las solicitudes,  tiene aplicación lo establecido en los </w:t>
      </w:r>
      <w:r w:rsidRPr="00CB14D2">
        <w:rPr>
          <w:rFonts w:ascii="Palatino Linotype" w:eastAsia="Palatino Linotype" w:hAnsi="Palatino Linotype" w:cs="Palatino Linotype"/>
          <w:i/>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CB14D2">
        <w:rPr>
          <w:rFonts w:ascii="Palatino Linotype" w:eastAsia="Palatino Linotype" w:hAnsi="Palatino Linotype" w:cs="Palatino Linotype"/>
        </w:rPr>
        <w:t>, en su numeral CUARENTA Y SEIS y CUARENTA Y OCHO, a saber:</w:t>
      </w:r>
    </w:p>
    <w:p w14:paraId="46F4940B"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“CUARENTA Y SEIS</w:t>
      </w:r>
      <w:r w:rsidRPr="00CB14D2">
        <w:rPr>
          <w:rFonts w:ascii="Palatino Linotype" w:eastAsia="Palatino Linotype" w:hAnsi="Palatino Linotype" w:cs="Palatino Linotype"/>
          <w:i/>
          <w:sz w:val="22"/>
          <w:szCs w:val="22"/>
        </w:rPr>
        <w:t>.- En el supuesto de que la información estuviera clasificada, el responsable de la Unidad de Información deberá turnar la solicitud al Comité de Información para su análisis y resolución.</w:t>
      </w:r>
    </w:p>
    <w:p w14:paraId="2FE05080"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4B7D048F"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CUARENTA Y OCHO</w:t>
      </w:r>
      <w:r w:rsidRPr="00CB14D2">
        <w:rPr>
          <w:rFonts w:ascii="Palatino Linotype" w:eastAsia="Palatino Linotype" w:hAnsi="Palatino Linotype" w:cs="Palatino Linotype"/>
          <w:i/>
          <w:sz w:val="22"/>
          <w:szCs w:val="22"/>
        </w:rPr>
        <w:t xml:space="preserve">.- La resolución que emita el Comité de Información para la confirmación de la clasificación de la información como confidencial deberá precisar: </w:t>
      </w:r>
    </w:p>
    <w:p w14:paraId="1624B56C"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w:t>
      </w:r>
      <w:r w:rsidRPr="00CB14D2">
        <w:rPr>
          <w:rFonts w:ascii="Palatino Linotype" w:eastAsia="Palatino Linotype" w:hAnsi="Palatino Linotype" w:cs="Palatino Linotype"/>
          <w:i/>
          <w:sz w:val="22"/>
          <w:szCs w:val="22"/>
        </w:rPr>
        <w:t xml:space="preserve"> Lugar y fecha de la resolución; </w:t>
      </w:r>
    </w:p>
    <w:p w14:paraId="1950B10D"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b)</w:t>
      </w:r>
      <w:r w:rsidRPr="00CB14D2">
        <w:rPr>
          <w:rFonts w:ascii="Palatino Linotype" w:eastAsia="Palatino Linotype" w:hAnsi="Palatino Linotype" w:cs="Palatino Linotype"/>
          <w:i/>
          <w:sz w:val="22"/>
          <w:szCs w:val="22"/>
        </w:rPr>
        <w:t xml:space="preserve"> El nombre del solicitante;</w:t>
      </w:r>
    </w:p>
    <w:p w14:paraId="47A4F7C5"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lastRenderedPageBreak/>
        <w:t>c)</w:t>
      </w:r>
      <w:r w:rsidRPr="00CB14D2">
        <w:rPr>
          <w:rFonts w:ascii="Palatino Linotype" w:eastAsia="Palatino Linotype" w:hAnsi="Palatino Linotype" w:cs="Palatino Linotype"/>
          <w:i/>
          <w:sz w:val="22"/>
          <w:szCs w:val="22"/>
        </w:rPr>
        <w:t xml:space="preserve"> La información solicitada; </w:t>
      </w:r>
    </w:p>
    <w:p w14:paraId="1EC21550"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d)</w:t>
      </w:r>
      <w:r w:rsidRPr="00CB14D2">
        <w:rPr>
          <w:rFonts w:ascii="Palatino Linotype" w:eastAsia="Palatino Linotype" w:hAnsi="Palatino Linotype" w:cs="Palatino Linotype"/>
          <w:i/>
          <w:sz w:val="22"/>
          <w:szCs w:val="22"/>
        </w:rPr>
        <w:t xml:space="preserve"> El razonamiento lógico que se demuestre que la información se encuentra en alguna o algunas de las hipótesis previstas en el artículo 143 de la Ley, </w:t>
      </w:r>
      <w:r w:rsidRPr="00CB14D2">
        <w:rPr>
          <w:rFonts w:ascii="Palatino Linotype" w:eastAsia="Palatino Linotype" w:hAnsi="Palatino Linotype" w:cs="Palatino Linotype"/>
          <w:b/>
          <w:i/>
          <w:sz w:val="22"/>
          <w:szCs w:val="22"/>
        </w:rPr>
        <w:t>debiéndose invocar el artículo, fracción, y supuesto que se actualiza</w:t>
      </w:r>
      <w:r w:rsidRPr="00CB14D2">
        <w:rPr>
          <w:rFonts w:ascii="Palatino Linotype" w:eastAsia="Palatino Linotype" w:hAnsi="Palatino Linotype" w:cs="Palatino Linotype"/>
          <w:i/>
          <w:sz w:val="22"/>
          <w:szCs w:val="22"/>
        </w:rPr>
        <w:t xml:space="preserve">; </w:t>
      </w:r>
    </w:p>
    <w:p w14:paraId="16B86240"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e)</w:t>
      </w:r>
      <w:r w:rsidRPr="00CB14D2">
        <w:rPr>
          <w:rFonts w:ascii="Palatino Linotype" w:eastAsia="Palatino Linotype" w:hAnsi="Palatino Linotype" w:cs="Palatino Linotype"/>
          <w:i/>
          <w:sz w:val="22"/>
          <w:szCs w:val="22"/>
        </w:rPr>
        <w:t xml:space="preserve"> El número del acuerdo emitido por el Comité de Información mediante el cual se clasificó la información; </w:t>
      </w:r>
    </w:p>
    <w:p w14:paraId="3A9DEFF7"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f)</w:t>
      </w:r>
      <w:r w:rsidRPr="00CB14D2">
        <w:rPr>
          <w:rFonts w:ascii="Palatino Linotype" w:eastAsia="Palatino Linotype" w:hAnsi="Palatino Linotype" w:cs="Palatino Linotype"/>
          <w:i/>
          <w:sz w:val="22"/>
          <w:szCs w:val="22"/>
        </w:rPr>
        <w:t xml:space="preserve"> El informe al solicitante de que tiene el derecho a interponer el recurso de revisión respectivo, en el término de 15 días hábiles contados a partir del día siguiente de que haya surtido sus efectos la notificación de dicho acuerdo; </w:t>
      </w:r>
    </w:p>
    <w:p w14:paraId="580BB1D8"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g)</w:t>
      </w:r>
      <w:r w:rsidRPr="00CB14D2">
        <w:rPr>
          <w:rFonts w:ascii="Palatino Linotype" w:eastAsia="Palatino Linotype" w:hAnsi="Palatino Linotype" w:cs="Palatino Linotype"/>
          <w:i/>
          <w:sz w:val="22"/>
          <w:szCs w:val="22"/>
        </w:rPr>
        <w:t xml:space="preserve"> Los nombres y firmas autógrafas de los integrantes del Comité de Información”</w:t>
      </w:r>
    </w:p>
    <w:p w14:paraId="53B28083"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Así, del análisis efectuado en el Acta del Comité de Transparencia, se concluyó que no cumple con las formalidades precisadas en el párrafo anteriores, tal y como se demuestra a continuación:</w:t>
      </w:r>
    </w:p>
    <w:tbl>
      <w:tblPr>
        <w:tblStyle w:val="a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320"/>
      </w:tblGrid>
      <w:tr w:rsidR="00DE5ED1" w:rsidRPr="00CB14D2" w14:paraId="13DE2F83" w14:textId="77777777">
        <w:tc>
          <w:tcPr>
            <w:tcW w:w="2263" w:type="dxa"/>
            <w:vAlign w:val="center"/>
          </w:tcPr>
          <w:p w14:paraId="31D8812B" w14:textId="77777777" w:rsidR="00DE5ED1" w:rsidRPr="00CB14D2" w:rsidRDefault="00783AE7">
            <w:pPr>
              <w:jc w:val="center"/>
              <w:rPr>
                <w:rFonts w:ascii="Palatino Linotype" w:eastAsia="Palatino Linotype" w:hAnsi="Palatino Linotype" w:cs="Palatino Linotype"/>
                <w:b/>
                <w:sz w:val="20"/>
                <w:szCs w:val="20"/>
              </w:rPr>
            </w:pPr>
            <w:r w:rsidRPr="00CB14D2">
              <w:rPr>
                <w:rFonts w:ascii="Palatino Linotype" w:eastAsia="Palatino Linotype" w:hAnsi="Palatino Linotype" w:cs="Palatino Linotype"/>
                <w:b/>
                <w:sz w:val="20"/>
                <w:szCs w:val="20"/>
              </w:rPr>
              <w:t>REQUISITOS</w:t>
            </w:r>
          </w:p>
        </w:tc>
        <w:tc>
          <w:tcPr>
            <w:tcW w:w="5245" w:type="dxa"/>
            <w:vAlign w:val="center"/>
          </w:tcPr>
          <w:p w14:paraId="59E02C94" w14:textId="77777777" w:rsidR="00DE5ED1" w:rsidRPr="00CB14D2" w:rsidRDefault="00783AE7">
            <w:pPr>
              <w:jc w:val="center"/>
              <w:rPr>
                <w:rFonts w:ascii="Palatino Linotype" w:eastAsia="Palatino Linotype" w:hAnsi="Palatino Linotype" w:cs="Palatino Linotype"/>
                <w:b/>
                <w:sz w:val="20"/>
                <w:szCs w:val="20"/>
              </w:rPr>
            </w:pPr>
            <w:r w:rsidRPr="00CB14D2">
              <w:rPr>
                <w:rFonts w:ascii="Palatino Linotype" w:eastAsia="Palatino Linotype" w:hAnsi="Palatino Linotype" w:cs="Palatino Linotype"/>
                <w:b/>
                <w:sz w:val="20"/>
                <w:szCs w:val="20"/>
              </w:rPr>
              <w:t>ACUERDO</w:t>
            </w:r>
          </w:p>
        </w:tc>
        <w:tc>
          <w:tcPr>
            <w:tcW w:w="1320" w:type="dxa"/>
            <w:vAlign w:val="center"/>
          </w:tcPr>
          <w:p w14:paraId="081B216E" w14:textId="77777777" w:rsidR="00DE5ED1" w:rsidRPr="00CB14D2" w:rsidRDefault="00783AE7">
            <w:pPr>
              <w:jc w:val="center"/>
              <w:rPr>
                <w:rFonts w:ascii="Palatino Linotype" w:eastAsia="Palatino Linotype" w:hAnsi="Palatino Linotype" w:cs="Palatino Linotype"/>
                <w:b/>
                <w:sz w:val="20"/>
                <w:szCs w:val="20"/>
              </w:rPr>
            </w:pPr>
            <w:r w:rsidRPr="00CB14D2">
              <w:rPr>
                <w:rFonts w:ascii="Palatino Linotype" w:eastAsia="Palatino Linotype" w:hAnsi="Palatino Linotype" w:cs="Palatino Linotype"/>
                <w:b/>
                <w:sz w:val="20"/>
                <w:szCs w:val="20"/>
              </w:rPr>
              <w:t>¿CUMPLE?</w:t>
            </w:r>
          </w:p>
        </w:tc>
      </w:tr>
      <w:tr w:rsidR="00DE5ED1" w:rsidRPr="00CB14D2" w14:paraId="125A2458" w14:textId="77777777">
        <w:trPr>
          <w:trHeight w:val="1794"/>
        </w:trPr>
        <w:tc>
          <w:tcPr>
            <w:tcW w:w="2263" w:type="dxa"/>
            <w:vAlign w:val="center"/>
          </w:tcPr>
          <w:p w14:paraId="4DD1710E"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t>Lugar y fecha de la resolución</w:t>
            </w:r>
          </w:p>
        </w:tc>
        <w:tc>
          <w:tcPr>
            <w:tcW w:w="5245" w:type="dxa"/>
            <w:vAlign w:val="center"/>
          </w:tcPr>
          <w:p w14:paraId="76EB1653" w14:textId="77777777" w:rsidR="00DE5ED1" w:rsidRPr="00CB14D2" w:rsidRDefault="00783AE7">
            <w:pPr>
              <w:spacing w:before="240" w:after="240" w:line="360" w:lineRule="auto"/>
              <w:jc w:val="center"/>
              <w:rPr>
                <w:rFonts w:ascii="Palatino Linotype" w:eastAsia="Palatino Linotype" w:hAnsi="Palatino Linotype" w:cs="Palatino Linotype"/>
              </w:rPr>
            </w:pPr>
            <w:r w:rsidRPr="00CB14D2">
              <w:object w:dxaOrig="5025" w:dyaOrig="435" w14:anchorId="615A5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1.05pt" o:ole="">
                  <v:imagedata r:id="rId12" o:title=""/>
                </v:shape>
                <o:OLEObject Type="Embed" ProgID="PBrush" ShapeID="_x0000_i1025" DrawAspect="Content" ObjectID="_1723992267" r:id="rId13"/>
              </w:object>
            </w:r>
          </w:p>
        </w:tc>
        <w:tc>
          <w:tcPr>
            <w:tcW w:w="1320" w:type="dxa"/>
            <w:vAlign w:val="center"/>
          </w:tcPr>
          <w:p w14:paraId="33C4721A" w14:textId="77777777" w:rsidR="00DE5ED1" w:rsidRPr="00CB14D2" w:rsidRDefault="00783AE7">
            <w:pPr>
              <w:spacing w:before="240" w:after="240" w:line="360" w:lineRule="auto"/>
              <w:jc w:val="center"/>
              <w:rPr>
                <w:rFonts w:ascii="Palatino Linotype" w:eastAsia="Palatino Linotype" w:hAnsi="Palatino Linotype" w:cs="Palatino Linotype"/>
                <w:b/>
                <w:sz w:val="20"/>
                <w:szCs w:val="20"/>
              </w:rPr>
            </w:pPr>
            <w:r w:rsidRPr="00CB14D2">
              <w:rPr>
                <w:rFonts w:ascii="Palatino Linotype" w:eastAsia="Palatino Linotype" w:hAnsi="Palatino Linotype" w:cs="Palatino Linotype"/>
                <w:b/>
                <w:sz w:val="20"/>
                <w:szCs w:val="20"/>
              </w:rPr>
              <w:t>SI</w:t>
            </w:r>
          </w:p>
        </w:tc>
      </w:tr>
      <w:tr w:rsidR="00DE5ED1" w:rsidRPr="00CB14D2" w14:paraId="52B4DBF1" w14:textId="77777777">
        <w:tc>
          <w:tcPr>
            <w:tcW w:w="2263" w:type="dxa"/>
            <w:vAlign w:val="center"/>
          </w:tcPr>
          <w:p w14:paraId="2730EFBB"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t>Número de solicitud de información</w:t>
            </w:r>
          </w:p>
        </w:tc>
        <w:tc>
          <w:tcPr>
            <w:tcW w:w="5245" w:type="dxa"/>
            <w:vAlign w:val="center"/>
          </w:tcPr>
          <w:p w14:paraId="1B698F69" w14:textId="77777777" w:rsidR="00DE5ED1" w:rsidRPr="00CB14D2" w:rsidRDefault="00783AE7">
            <w:pPr>
              <w:spacing w:before="240" w:after="240" w:line="360" w:lineRule="auto"/>
              <w:jc w:val="center"/>
              <w:rPr>
                <w:rFonts w:ascii="Palatino Linotype" w:eastAsia="Palatino Linotype" w:hAnsi="Palatino Linotype" w:cs="Palatino Linotype"/>
              </w:rPr>
            </w:pPr>
            <w:r w:rsidRPr="00CB14D2">
              <w:object w:dxaOrig="5025" w:dyaOrig="1245" w14:anchorId="6120D14A">
                <v:shape id="_x0000_i1026" type="#_x0000_t75" style="width:251.3pt;height:62.5pt" o:ole="">
                  <v:imagedata r:id="rId14" o:title=""/>
                </v:shape>
                <o:OLEObject Type="Embed" ProgID="PBrush" ShapeID="_x0000_i1026" DrawAspect="Content" ObjectID="_1723992268" r:id="rId15"/>
              </w:object>
            </w:r>
          </w:p>
        </w:tc>
        <w:tc>
          <w:tcPr>
            <w:tcW w:w="1320" w:type="dxa"/>
            <w:vAlign w:val="center"/>
          </w:tcPr>
          <w:p w14:paraId="3BAF64A5" w14:textId="77777777" w:rsidR="00DE5ED1" w:rsidRPr="00CB14D2" w:rsidRDefault="00783AE7">
            <w:pPr>
              <w:spacing w:before="240" w:after="240" w:line="360" w:lineRule="auto"/>
              <w:jc w:val="center"/>
              <w:rPr>
                <w:rFonts w:ascii="Palatino Linotype" w:eastAsia="Palatino Linotype" w:hAnsi="Palatino Linotype" w:cs="Palatino Linotype"/>
                <w:b/>
                <w:sz w:val="20"/>
                <w:szCs w:val="20"/>
              </w:rPr>
            </w:pPr>
            <w:r w:rsidRPr="00CB14D2">
              <w:rPr>
                <w:rFonts w:ascii="Palatino Linotype" w:eastAsia="Palatino Linotype" w:hAnsi="Palatino Linotype" w:cs="Palatino Linotype"/>
                <w:b/>
                <w:sz w:val="20"/>
                <w:szCs w:val="20"/>
              </w:rPr>
              <w:t>SI</w:t>
            </w:r>
          </w:p>
        </w:tc>
      </w:tr>
      <w:tr w:rsidR="00DE5ED1" w:rsidRPr="00CB14D2" w14:paraId="7504F48C" w14:textId="77777777">
        <w:tc>
          <w:tcPr>
            <w:tcW w:w="2263" w:type="dxa"/>
            <w:vAlign w:val="center"/>
          </w:tcPr>
          <w:p w14:paraId="7F6689C2"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lastRenderedPageBreak/>
              <w:t>Información solicitada</w:t>
            </w:r>
          </w:p>
        </w:tc>
        <w:tc>
          <w:tcPr>
            <w:tcW w:w="5245" w:type="dxa"/>
            <w:vAlign w:val="center"/>
          </w:tcPr>
          <w:p w14:paraId="1BBFD62F" w14:textId="77777777" w:rsidR="00DE5ED1" w:rsidRPr="00CB14D2" w:rsidRDefault="00783AE7">
            <w:pPr>
              <w:spacing w:before="240" w:after="240" w:line="360" w:lineRule="auto"/>
              <w:jc w:val="center"/>
              <w:rPr>
                <w:rFonts w:ascii="Palatino Linotype" w:eastAsia="Palatino Linotype" w:hAnsi="Palatino Linotype" w:cs="Palatino Linotype"/>
              </w:rPr>
            </w:pPr>
            <w:r w:rsidRPr="00CB14D2">
              <w:object w:dxaOrig="5025" w:dyaOrig="1470" w14:anchorId="4309E5D0">
                <v:shape id="_x0000_i1027" type="#_x0000_t75" style="width:251.3pt;height:73.35pt" o:ole="">
                  <v:imagedata r:id="rId16" o:title=""/>
                </v:shape>
                <o:OLEObject Type="Embed" ProgID="PBrush" ShapeID="_x0000_i1027" DrawAspect="Content" ObjectID="_1723992269" r:id="rId17"/>
              </w:object>
            </w:r>
          </w:p>
        </w:tc>
        <w:tc>
          <w:tcPr>
            <w:tcW w:w="1320" w:type="dxa"/>
            <w:vAlign w:val="center"/>
          </w:tcPr>
          <w:p w14:paraId="2988828C" w14:textId="77777777" w:rsidR="00DE5ED1" w:rsidRPr="00CB14D2" w:rsidRDefault="00783AE7">
            <w:pPr>
              <w:spacing w:before="240" w:after="240" w:line="360" w:lineRule="auto"/>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b/>
                <w:sz w:val="20"/>
                <w:szCs w:val="20"/>
              </w:rPr>
              <w:t>SI</w:t>
            </w:r>
          </w:p>
        </w:tc>
      </w:tr>
      <w:tr w:rsidR="00DE5ED1" w:rsidRPr="00CB14D2" w14:paraId="7AEB26DC" w14:textId="77777777">
        <w:tc>
          <w:tcPr>
            <w:tcW w:w="2263" w:type="dxa"/>
            <w:vAlign w:val="center"/>
          </w:tcPr>
          <w:p w14:paraId="5A2687D5"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t>Razonamiento lógico que demuestre que la información se</w:t>
            </w:r>
          </w:p>
          <w:p w14:paraId="1335E2A7"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t>encuentra en alguna o algunas de las hipótesis previstas en el artículo 143</w:t>
            </w:r>
          </w:p>
          <w:p w14:paraId="1544E634"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t>de la Ley.</w:t>
            </w:r>
          </w:p>
          <w:p w14:paraId="0F4021F3" w14:textId="77777777" w:rsidR="00DE5ED1" w:rsidRPr="00CB14D2" w:rsidRDefault="00DE5ED1">
            <w:pPr>
              <w:widowControl w:val="0"/>
              <w:jc w:val="center"/>
              <w:rPr>
                <w:rFonts w:ascii="Palatino Linotype" w:eastAsia="Palatino Linotype" w:hAnsi="Palatino Linotype" w:cs="Palatino Linotype"/>
                <w:sz w:val="20"/>
                <w:szCs w:val="20"/>
              </w:rPr>
            </w:pPr>
          </w:p>
        </w:tc>
        <w:tc>
          <w:tcPr>
            <w:tcW w:w="5245" w:type="dxa"/>
            <w:vAlign w:val="center"/>
          </w:tcPr>
          <w:p w14:paraId="2A631E93" w14:textId="77777777" w:rsidR="00DE5ED1" w:rsidRPr="00CB14D2" w:rsidRDefault="00783AE7">
            <w:pPr>
              <w:spacing w:before="240" w:after="240" w:line="360" w:lineRule="auto"/>
              <w:jc w:val="both"/>
            </w:pPr>
            <w:r w:rsidRPr="00CB14D2">
              <w:object w:dxaOrig="5025" w:dyaOrig="2895" w14:anchorId="6DC245E9">
                <v:shape id="_x0000_i1028" type="#_x0000_t75" style="width:251.3pt;height:145.35pt" o:ole="">
                  <v:imagedata r:id="rId18" o:title="" cropbottom="31974f"/>
                </v:shape>
                <o:OLEObject Type="Embed" ProgID="PBrush" ShapeID="_x0000_i1028" DrawAspect="Content" ObjectID="_1723992270" r:id="rId19"/>
              </w:object>
            </w:r>
          </w:p>
          <w:p w14:paraId="3798C931" w14:textId="77777777" w:rsidR="00DE5ED1" w:rsidRPr="00CB14D2" w:rsidRDefault="00783AE7">
            <w:pPr>
              <w:spacing w:before="240" w:after="240" w:line="360" w:lineRule="auto"/>
              <w:jc w:val="both"/>
            </w:pPr>
            <w:r w:rsidRPr="00CB14D2">
              <w:object w:dxaOrig="5025" w:dyaOrig="2685" w14:anchorId="5100E452">
                <v:shape id="_x0000_i1029" type="#_x0000_t75" style="width:251.3pt;height:134.5pt" o:ole="">
                  <v:imagedata r:id="rId18" o:title="" croptop="34339f"/>
                </v:shape>
                <o:OLEObject Type="Embed" ProgID="PBrush" ShapeID="_x0000_i1029" DrawAspect="Content" ObjectID="_1723992271" r:id="rId20"/>
              </w:object>
            </w:r>
          </w:p>
          <w:p w14:paraId="7B6B23D4" w14:textId="77777777" w:rsidR="00DE5ED1" w:rsidRPr="00CB14D2" w:rsidRDefault="00783AE7">
            <w:pPr>
              <w:spacing w:before="240" w:after="240" w:line="360" w:lineRule="auto"/>
              <w:jc w:val="both"/>
            </w:pPr>
            <w:r w:rsidRPr="00CB14D2">
              <w:object w:dxaOrig="5025" w:dyaOrig="2250" w14:anchorId="2A43EE30">
                <v:shape id="_x0000_i1030" type="#_x0000_t75" style="width:251.3pt;height:112.1pt" o:ole="">
                  <v:imagedata r:id="rId21" o:title=""/>
                </v:shape>
                <o:OLEObject Type="Embed" ProgID="PBrush" ShapeID="_x0000_i1030" DrawAspect="Content" ObjectID="_1723992272" r:id="rId22"/>
              </w:object>
            </w:r>
          </w:p>
          <w:p w14:paraId="584A83B6" w14:textId="77777777" w:rsidR="00DE5ED1" w:rsidRPr="00CB14D2" w:rsidRDefault="00783AE7">
            <w:pPr>
              <w:spacing w:before="240" w:after="240" w:line="360" w:lineRule="auto"/>
              <w:jc w:val="both"/>
            </w:pPr>
            <w:r w:rsidRPr="00CB14D2">
              <w:object w:dxaOrig="5025" w:dyaOrig="4380" w14:anchorId="0B157D75">
                <v:shape id="_x0000_i1031" type="#_x0000_t75" style="width:251.3pt;height:219.4pt" o:ole="">
                  <v:imagedata r:id="rId23" o:title=""/>
                </v:shape>
                <o:OLEObject Type="Embed" ProgID="PBrush" ShapeID="_x0000_i1031" DrawAspect="Content" ObjectID="_1723992273" r:id="rId24"/>
              </w:object>
            </w:r>
          </w:p>
        </w:tc>
        <w:tc>
          <w:tcPr>
            <w:tcW w:w="1320" w:type="dxa"/>
            <w:vAlign w:val="center"/>
          </w:tcPr>
          <w:p w14:paraId="3DABB529" w14:textId="77777777" w:rsidR="00DE5ED1" w:rsidRPr="00CB14D2" w:rsidRDefault="00783AE7">
            <w:pPr>
              <w:spacing w:before="240" w:after="240" w:line="360" w:lineRule="auto"/>
              <w:jc w:val="center"/>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lastRenderedPageBreak/>
              <w:t>PARCIALMENTE</w:t>
            </w:r>
          </w:p>
          <w:p w14:paraId="7F51A9C7" w14:textId="77777777" w:rsidR="00DE5ED1" w:rsidRPr="00CB14D2" w:rsidRDefault="00783AE7">
            <w:pPr>
              <w:spacing w:before="240" w:after="240"/>
              <w:jc w:val="center"/>
              <w:rPr>
                <w:rFonts w:ascii="Palatino Linotype" w:eastAsia="Palatino Linotype" w:hAnsi="Palatino Linotype" w:cs="Palatino Linotype"/>
                <w:sz w:val="18"/>
                <w:szCs w:val="18"/>
              </w:rPr>
            </w:pPr>
            <w:r w:rsidRPr="00CB14D2">
              <w:rPr>
                <w:rFonts w:ascii="Palatino Linotype" w:eastAsia="Palatino Linotype" w:hAnsi="Palatino Linotype" w:cs="Palatino Linotype"/>
                <w:sz w:val="18"/>
                <w:szCs w:val="18"/>
              </w:rPr>
              <w:t>En virtud de que si bien se señala como fundamento el artículo 143, fracción I de la Ley de la Materia, no motivó el por qué el caso concreto se ajustaba a la norma jurídica legal invocada.</w:t>
            </w:r>
          </w:p>
        </w:tc>
      </w:tr>
      <w:tr w:rsidR="00DE5ED1" w:rsidRPr="00CB14D2" w14:paraId="6728AC8E" w14:textId="77777777">
        <w:tc>
          <w:tcPr>
            <w:tcW w:w="2263" w:type="dxa"/>
            <w:vAlign w:val="center"/>
          </w:tcPr>
          <w:p w14:paraId="2A3EB198"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t>Número de acuerdo emitido</w:t>
            </w:r>
          </w:p>
        </w:tc>
        <w:tc>
          <w:tcPr>
            <w:tcW w:w="5245" w:type="dxa"/>
            <w:vAlign w:val="center"/>
          </w:tcPr>
          <w:p w14:paraId="422FEECF" w14:textId="77777777" w:rsidR="00DE5ED1" w:rsidRPr="00CB14D2" w:rsidRDefault="00783AE7">
            <w:pPr>
              <w:spacing w:before="240" w:after="240" w:line="360" w:lineRule="auto"/>
              <w:jc w:val="center"/>
              <w:rPr>
                <w:rFonts w:ascii="Palatino Linotype" w:eastAsia="Palatino Linotype" w:hAnsi="Palatino Linotype" w:cs="Palatino Linotype"/>
              </w:rPr>
            </w:pPr>
            <w:r w:rsidRPr="00CB14D2">
              <w:rPr>
                <w:rFonts w:ascii="Palatino Linotype" w:eastAsia="Palatino Linotype" w:hAnsi="Palatino Linotype" w:cs="Palatino Linotype"/>
                <w:sz w:val="20"/>
                <w:szCs w:val="20"/>
              </w:rPr>
              <w:t>No se advierte.</w:t>
            </w:r>
          </w:p>
        </w:tc>
        <w:tc>
          <w:tcPr>
            <w:tcW w:w="1320" w:type="dxa"/>
            <w:vAlign w:val="center"/>
          </w:tcPr>
          <w:p w14:paraId="43E945D4" w14:textId="77777777" w:rsidR="00DE5ED1" w:rsidRPr="00CB14D2" w:rsidRDefault="00783AE7">
            <w:pPr>
              <w:spacing w:before="240" w:after="240" w:line="360" w:lineRule="auto"/>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b/>
                <w:sz w:val="20"/>
                <w:szCs w:val="20"/>
              </w:rPr>
              <w:t>NO</w:t>
            </w:r>
          </w:p>
        </w:tc>
      </w:tr>
      <w:tr w:rsidR="00DE5ED1" w:rsidRPr="00CB14D2" w14:paraId="0487F942" w14:textId="77777777">
        <w:tc>
          <w:tcPr>
            <w:tcW w:w="2263" w:type="dxa"/>
            <w:vAlign w:val="center"/>
          </w:tcPr>
          <w:p w14:paraId="1E70BBEC"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t>Hacer del conocimiento del solicitante que puede interponer el Recurso de Revisión respectivo en un término de 15 días</w:t>
            </w:r>
          </w:p>
        </w:tc>
        <w:tc>
          <w:tcPr>
            <w:tcW w:w="5245" w:type="dxa"/>
            <w:vAlign w:val="center"/>
          </w:tcPr>
          <w:p w14:paraId="65E61BA2" w14:textId="77777777" w:rsidR="00DE5ED1" w:rsidRPr="00CB14D2" w:rsidRDefault="00783AE7">
            <w:pPr>
              <w:spacing w:before="240" w:after="240" w:line="360" w:lineRule="auto"/>
              <w:jc w:val="center"/>
              <w:rPr>
                <w:rFonts w:ascii="Palatino Linotype" w:eastAsia="Palatino Linotype" w:hAnsi="Palatino Linotype" w:cs="Palatino Linotype"/>
              </w:rPr>
            </w:pPr>
            <w:r w:rsidRPr="00CB14D2">
              <w:rPr>
                <w:rFonts w:ascii="Palatino Linotype" w:eastAsia="Palatino Linotype" w:hAnsi="Palatino Linotype" w:cs="Palatino Linotype"/>
                <w:sz w:val="20"/>
                <w:szCs w:val="20"/>
              </w:rPr>
              <w:t>No se advierte.</w:t>
            </w:r>
          </w:p>
        </w:tc>
        <w:tc>
          <w:tcPr>
            <w:tcW w:w="1320" w:type="dxa"/>
            <w:vAlign w:val="center"/>
          </w:tcPr>
          <w:p w14:paraId="47BEF9F5" w14:textId="77777777" w:rsidR="00DE5ED1" w:rsidRPr="00CB14D2" w:rsidRDefault="00783AE7">
            <w:pPr>
              <w:spacing w:before="240" w:after="240" w:line="360" w:lineRule="auto"/>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b/>
                <w:sz w:val="20"/>
                <w:szCs w:val="20"/>
              </w:rPr>
              <w:t>NO</w:t>
            </w:r>
          </w:p>
        </w:tc>
      </w:tr>
      <w:tr w:rsidR="00DE5ED1" w:rsidRPr="00CB14D2" w14:paraId="1B3085EC" w14:textId="77777777">
        <w:tc>
          <w:tcPr>
            <w:tcW w:w="2263" w:type="dxa"/>
            <w:vAlign w:val="center"/>
          </w:tcPr>
          <w:p w14:paraId="6F7216DD" w14:textId="77777777" w:rsidR="00DE5ED1" w:rsidRPr="00CB14D2" w:rsidRDefault="00783AE7">
            <w:pPr>
              <w:widowControl w:val="0"/>
              <w:jc w:val="center"/>
              <w:rPr>
                <w:rFonts w:ascii="Palatino Linotype" w:eastAsia="Palatino Linotype" w:hAnsi="Palatino Linotype" w:cs="Palatino Linotype"/>
                <w:sz w:val="20"/>
                <w:szCs w:val="20"/>
              </w:rPr>
            </w:pPr>
            <w:r w:rsidRPr="00CB14D2">
              <w:rPr>
                <w:rFonts w:ascii="Palatino Linotype" w:eastAsia="Palatino Linotype" w:hAnsi="Palatino Linotype" w:cs="Palatino Linotype"/>
                <w:sz w:val="20"/>
                <w:szCs w:val="20"/>
              </w:rPr>
              <w:t>Nombres y firmas de los integrantes del Comité</w:t>
            </w:r>
          </w:p>
        </w:tc>
        <w:tc>
          <w:tcPr>
            <w:tcW w:w="5245" w:type="dxa"/>
            <w:vAlign w:val="center"/>
          </w:tcPr>
          <w:p w14:paraId="06E41DD7" w14:textId="77777777" w:rsidR="00DE5ED1" w:rsidRPr="00CB14D2" w:rsidRDefault="00783AE7">
            <w:pPr>
              <w:spacing w:before="240" w:after="240" w:line="360" w:lineRule="auto"/>
              <w:jc w:val="center"/>
            </w:pPr>
            <w:r w:rsidRPr="00CB14D2">
              <w:object w:dxaOrig="5025" w:dyaOrig="2640" w14:anchorId="527AB90F">
                <v:shape id="_x0000_i1032" type="#_x0000_t75" style="width:251.3pt;height:132.45pt" o:ole="">
                  <v:imagedata r:id="rId25" o:title=""/>
                </v:shape>
                <o:OLEObject Type="Embed" ProgID="PBrush" ShapeID="_x0000_i1032" DrawAspect="Content" ObjectID="_1723992274" r:id="rId26"/>
              </w:object>
            </w:r>
          </w:p>
        </w:tc>
        <w:tc>
          <w:tcPr>
            <w:tcW w:w="1320" w:type="dxa"/>
            <w:vAlign w:val="center"/>
          </w:tcPr>
          <w:p w14:paraId="785976D3" w14:textId="77777777" w:rsidR="00DE5ED1" w:rsidRPr="00CB14D2" w:rsidRDefault="00783AE7">
            <w:pPr>
              <w:spacing w:before="240" w:after="240" w:line="360" w:lineRule="auto"/>
              <w:jc w:val="center"/>
              <w:rPr>
                <w:rFonts w:ascii="Palatino Linotype" w:eastAsia="Palatino Linotype" w:hAnsi="Palatino Linotype" w:cs="Palatino Linotype"/>
                <w:b/>
                <w:sz w:val="20"/>
                <w:szCs w:val="20"/>
              </w:rPr>
            </w:pPr>
            <w:r w:rsidRPr="00CB14D2">
              <w:rPr>
                <w:rFonts w:ascii="Palatino Linotype" w:eastAsia="Palatino Linotype" w:hAnsi="Palatino Linotype" w:cs="Palatino Linotype"/>
                <w:b/>
                <w:sz w:val="12"/>
                <w:szCs w:val="12"/>
              </w:rPr>
              <w:t>PARCIALMENTE</w:t>
            </w:r>
          </w:p>
        </w:tc>
      </w:tr>
    </w:tbl>
    <w:p w14:paraId="2F8E7F95"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Como se advierte, el acuerdo no cumplió con la totalidad de los elementos que establecen los Lineamientos para la Recepción, Trámite y Resolución de las solicitudes de Acceso a la Información Pública, en virtud de que no se encuentra debidamente fundada y motivada, pues no se exponen concretamente las razones que explican que la información de mérito actualiza el supuesto jurídico legal invocado, dejando al solicitante en estado de incertidumbre, al no conocer o comprender porque su derecho de acceso a la información ha sido restringido.</w:t>
      </w:r>
    </w:p>
    <w:p w14:paraId="08C15099"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Asimismo, tampoco se advierte el número del acuerdo emitido, mediante el  cual los integrantes del Comité de Transparencia aprobaron la referida clasificación de la información, siendo importante mencionar que de conformidad con el párrafo segundo de la Ley de Transparencia y Acceso a la Información Pública del Estado de México y Municipios, el Comité de Transparencia adoptará sus resoluciones por mayoría de votos, y, en caso de empate, la o el Presidente tendrá voto de calidad; tampoco se hace del conocimiento de la persona solicitante sobre el derecho que le asiste para interponer el recurso de revisión; y, finalmente, no se advierte que el referido Comité se hubiera integrado como lo establecen los artículos 45 y 46 de la Ley de Transparencia y Acceso a la Información Pública del Estado de México y Municipios.</w:t>
      </w:r>
    </w:p>
    <w:p w14:paraId="7B3DAC69"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Derivado de lo expuesto, es evidente que el derecho de acceso a la información del particular no puede tenerse por atendido, toda vez que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no justificó debidamente la restricción al mismo.</w:t>
      </w:r>
    </w:p>
    <w:p w14:paraId="080C2625"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 xml:space="preserve">Aunado a lo anterior, tomando en consideración la naturaleza de la información que es tema hoy de estudio, no se considera que la misma actualice algún supuesto de clasificación como información reservada o confidencial </w:t>
      </w:r>
      <w:r w:rsidRPr="00CB14D2">
        <w:rPr>
          <w:rFonts w:ascii="Palatino Linotype" w:eastAsia="Palatino Linotype" w:hAnsi="Palatino Linotype" w:cs="Palatino Linotype"/>
          <w:b/>
          <w:u w:val="single"/>
        </w:rPr>
        <w:t>en su totalidad</w:t>
      </w:r>
      <w:r w:rsidRPr="00CB14D2">
        <w:rPr>
          <w:rFonts w:ascii="Palatino Linotype" w:eastAsia="Palatino Linotype" w:hAnsi="Palatino Linotype" w:cs="Palatino Linotype"/>
        </w:rPr>
        <w:t>, por lo que es procedente hacer entrega de la misma mediante versión pública, para lo cual se deberán observar las previsiones del considerando siguiente.</w:t>
      </w:r>
    </w:p>
    <w:p w14:paraId="551FFF6E" w14:textId="31FFC890" w:rsidR="00DE5ED1" w:rsidRPr="00CB14D2" w:rsidRDefault="0064771B">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Asimismo</w:t>
      </w:r>
      <w:r w:rsidR="00783AE7" w:rsidRPr="00CB14D2">
        <w:rPr>
          <w:rFonts w:ascii="Palatino Linotype" w:eastAsia="Palatino Linotype" w:hAnsi="Palatino Linotype" w:cs="Palatino Linotype"/>
        </w:rPr>
        <w:t>, es imprescindible mencionar que los bienes inmuebles propiedad del municipio, así como las donaciones que reciban, son parte de la hacienda pública municipal, conforme al artículo 97, fracciones I y VI de la Ley Orgánica Municipal del Estado de México, a saber:</w:t>
      </w:r>
    </w:p>
    <w:p w14:paraId="4796FC52" w14:textId="77777777" w:rsidR="00DE5ED1" w:rsidRPr="00CB14D2" w:rsidRDefault="00783AE7">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“Artículo 97.- </w:t>
      </w:r>
      <w:r w:rsidRPr="00CB14D2">
        <w:rPr>
          <w:rFonts w:ascii="Palatino Linotype" w:eastAsia="Palatino Linotype" w:hAnsi="Palatino Linotype" w:cs="Palatino Linotype"/>
          <w:i/>
          <w:sz w:val="22"/>
          <w:szCs w:val="22"/>
        </w:rPr>
        <w:t xml:space="preserve">La hacienda pública municipal se integra por: </w:t>
      </w:r>
    </w:p>
    <w:p w14:paraId="065ABC12" w14:textId="77777777" w:rsidR="00DE5ED1" w:rsidRPr="00CB14D2" w:rsidRDefault="00783AE7">
      <w:pPr>
        <w:ind w:left="1134" w:right="902"/>
        <w:jc w:val="both"/>
        <w:rPr>
          <w:rFonts w:ascii="Palatino Linotype" w:eastAsia="Palatino Linotype" w:hAnsi="Palatino Linotype" w:cs="Palatino Linotype"/>
          <w:i/>
          <w:sz w:val="22"/>
          <w:szCs w:val="22"/>
        </w:rPr>
      </w:pPr>
      <w:bookmarkStart w:id="4" w:name="_heading=h.tyjcwt" w:colFirst="0" w:colLast="0"/>
      <w:bookmarkEnd w:id="4"/>
      <w:r w:rsidRPr="00CB14D2">
        <w:rPr>
          <w:rFonts w:ascii="Palatino Linotype" w:eastAsia="Palatino Linotype" w:hAnsi="Palatino Linotype" w:cs="Palatino Linotype"/>
          <w:b/>
          <w:i/>
          <w:sz w:val="22"/>
          <w:szCs w:val="22"/>
        </w:rPr>
        <w:t>I.</w:t>
      </w:r>
      <w:r w:rsidRPr="00CB14D2">
        <w:rPr>
          <w:rFonts w:ascii="Palatino Linotype" w:eastAsia="Palatino Linotype" w:hAnsi="Palatino Linotype" w:cs="Palatino Linotype"/>
          <w:i/>
          <w:sz w:val="22"/>
          <w:szCs w:val="22"/>
        </w:rPr>
        <w:t xml:space="preserve"> Los bienes muebles e inmuebles propiedad del municipio;</w:t>
      </w:r>
    </w:p>
    <w:p w14:paraId="61EDAFB1" w14:textId="77777777" w:rsidR="00DE5ED1" w:rsidRPr="00CB14D2" w:rsidRDefault="00783AE7">
      <w:pPr>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7679F922" w14:textId="77777777" w:rsidR="00DE5ED1" w:rsidRPr="00CB14D2" w:rsidRDefault="00783AE7">
      <w:pPr>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VI</w:t>
      </w:r>
      <w:r w:rsidRPr="00CB14D2">
        <w:rPr>
          <w:rFonts w:ascii="Palatino Linotype" w:eastAsia="Palatino Linotype" w:hAnsi="Palatino Linotype" w:cs="Palatino Linotype"/>
          <w:i/>
          <w:sz w:val="22"/>
          <w:szCs w:val="22"/>
        </w:rPr>
        <w:t>. Las donaciones, herencias y legados que reciban. “</w:t>
      </w:r>
    </w:p>
    <w:p w14:paraId="40577367" w14:textId="54B1CA6C" w:rsidR="00DE5ED1" w:rsidRPr="00CB14D2" w:rsidRDefault="0064771B">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De igual forma</w:t>
      </w:r>
      <w:r w:rsidR="00783AE7" w:rsidRPr="00CB14D2">
        <w:rPr>
          <w:rFonts w:ascii="Palatino Linotype" w:eastAsia="Palatino Linotype" w:hAnsi="Palatino Linotype" w:cs="Palatino Linotype"/>
        </w:rPr>
        <w:t>, no obsta mencionar que  el artículo 6º, apartado A, de la Constitución Política de los Estados Unidos Mexicanos</w:t>
      </w:r>
      <w:r w:rsidR="00783AE7" w:rsidRPr="00CB14D2">
        <w:rPr>
          <w:rFonts w:ascii="Palatino Linotype" w:eastAsia="Palatino Linotype" w:hAnsi="Palatino Linotype" w:cs="Palatino Linotype"/>
          <w:i/>
        </w:rPr>
        <w:t xml:space="preserve">, </w:t>
      </w:r>
      <w:r w:rsidR="00783AE7" w:rsidRPr="00CB14D2">
        <w:rPr>
          <w:rFonts w:ascii="Palatino Linotype" w:eastAsia="Palatino Linotype" w:hAnsi="Palatino Linotype" w:cs="Palatino Linotype"/>
        </w:rPr>
        <w:t>establece que toda información en posesión de cualquier autoridad, entidad, órgano y organismo federal, estatal y municipal, es pública y sólo podrá ser reservada temporalmente por razones de interés público en los términos que fijen las leyes, y que en la interpretación del derecho deberá prevalecer el principio de máxima publicidad, aunado a ello, también señala que los sujetos obligados deberán conservar sus documentos en archivos administrativos actualizados.</w:t>
      </w:r>
    </w:p>
    <w:p w14:paraId="75F31F8A"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A su vez, el artículo 5º, párrafo trigésimo segundo, fracción I, de la Constitución Política del Estado Libre y Soberano de México, en su parte conducente dispone lo siguiente:</w:t>
      </w:r>
    </w:p>
    <w:p w14:paraId="0B0DEB45" w14:textId="77777777" w:rsidR="00DE5ED1" w:rsidRPr="00CB14D2" w:rsidRDefault="00783AE7">
      <w:pPr>
        <w:spacing w:before="240" w:after="24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b/>
          <w:i/>
          <w:sz w:val="22"/>
          <w:szCs w:val="22"/>
        </w:rPr>
        <w:t>I</w:t>
      </w:r>
      <w:r w:rsidRPr="00CB14D2">
        <w:rPr>
          <w:rFonts w:ascii="Palatino Linotype" w:eastAsia="Palatino Linotype" w:hAnsi="Palatino Linotype" w:cs="Palatino Linotype"/>
          <w:i/>
          <w:sz w:val="22"/>
          <w:szCs w:val="22"/>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076C8A"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Por lo tanto, se arriba a la convicción de que el derecho de acceso a la información se garantiza mediante la elaboración, manejo y conservación del patrimonio documental y al reconocerse como un derecho fundamental es que todo sujeto obligado debe ceñirse en su actuar a la conservación patrimonial de sus archivos documentales y posteriormente al acceso de la información pública gubernamental. </w:t>
      </w:r>
    </w:p>
    <w:p w14:paraId="27DBC5FF"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Por su parte, el artículo, 4 párrafo segundo de Ley de Transparencia y Acceso a la Información Pública del Estado de México y Municipios, señala que la información pública es toda aquella que sea generada, obtenida, adquirida, transformada, administrada o en posesión de los sujetos obligados, y la misma debe ser accesible </w:t>
      </w:r>
      <w:r w:rsidRPr="00CB14D2">
        <w:rPr>
          <w:rFonts w:ascii="Palatino Linotype" w:eastAsia="Palatino Linotype" w:hAnsi="Palatino Linotype" w:cs="Palatino Linotype"/>
        </w:rPr>
        <w:lastRenderedPageBreak/>
        <w:t>de manera permanente a cualquier persona, siempre privilegiando el principio de máxima publicidad, tal y como se lee de su artículo 4, segundo párrafo, a saber:</w:t>
      </w:r>
    </w:p>
    <w:p w14:paraId="354795A3" w14:textId="77777777" w:rsidR="00DE5ED1" w:rsidRPr="00CB14D2" w:rsidRDefault="00783AE7">
      <w:pPr>
        <w:spacing w:before="240" w:after="240"/>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4</w:t>
      </w:r>
      <w:r w:rsidRPr="00CB14D2">
        <w:rPr>
          <w:rFonts w:ascii="Palatino Linotype" w:eastAsia="Palatino Linotype" w:hAnsi="Palatino Linotype" w:cs="Palatino Linotype"/>
          <w:i/>
          <w:sz w:val="22"/>
          <w:szCs w:val="22"/>
        </w:rPr>
        <w:t xml:space="preserve"> […]</w:t>
      </w:r>
    </w:p>
    <w:p w14:paraId="16446B6E" w14:textId="77777777" w:rsidR="00DE5ED1" w:rsidRPr="00CB14D2" w:rsidRDefault="00783AE7">
      <w:pPr>
        <w:spacing w:before="240" w:after="240"/>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B14D2">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DA0CF0" w14:textId="77777777" w:rsidR="00DE5ED1" w:rsidRPr="00CB14D2" w:rsidRDefault="00783AE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De ahí que se destaque que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cuenta con el deber de entregar la información pública que obre en sus archivos cuando la misma les sea solicitada, para satisfacer las solicitudes de acceso a la información que les sean formuladas; más aún si la misma se trata de información pública de oficio, la cual se relaciona con aquella que se genere de acuerdo con sus facultades, atribuciones señaladas por la Ley de la Materia, así como de interés público, es decir, aquella que resulta relevante o beneficiosa para la sociedad y no simplemente de interés individual y cuya divulgación resulta útil para que el público comprenda las actividades que llevan a cabo los Sujetos Obligados, tal y como se desprende del artículo 3, fracción XXII de la Ley en análisis, que a la letra señala lo siguiente:</w:t>
      </w:r>
    </w:p>
    <w:p w14:paraId="1D2F32F3"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“Artículo 3. </w:t>
      </w:r>
      <w:r w:rsidRPr="00CB14D2">
        <w:rPr>
          <w:rFonts w:ascii="Palatino Linotype" w:eastAsia="Palatino Linotype" w:hAnsi="Palatino Linotype" w:cs="Palatino Linotype"/>
          <w:i/>
          <w:sz w:val="22"/>
          <w:szCs w:val="22"/>
          <w:u w:val="single"/>
        </w:rPr>
        <w:t>Para los efectos de la presente Ley se entenderá por</w:t>
      </w:r>
      <w:r w:rsidRPr="00CB14D2">
        <w:rPr>
          <w:rFonts w:ascii="Palatino Linotype" w:eastAsia="Palatino Linotype" w:hAnsi="Palatino Linotype" w:cs="Palatino Linotype"/>
          <w:i/>
          <w:sz w:val="22"/>
          <w:szCs w:val="22"/>
        </w:rPr>
        <w:t>:</w:t>
      </w:r>
    </w:p>
    <w:p w14:paraId="36C24D00"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5710BFBB"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lastRenderedPageBreak/>
        <w:t>XXII. Información de interés público:</w:t>
      </w:r>
      <w:r w:rsidRPr="00CB14D2">
        <w:rPr>
          <w:rFonts w:ascii="Palatino Linotype" w:eastAsia="Palatino Linotype" w:hAnsi="Palatino Linotype" w:cs="Palatino Linotype"/>
          <w:i/>
          <w:sz w:val="22"/>
          <w:szCs w:val="22"/>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389854C2" w14:textId="2EB3BA48"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De igual forma, de acuerdo con el pronunciamiento vertido por el Director de Servicios Administrativos, no pasa desapercibido para este Organismo Garante que el acto jurídico mediante el cual se </w:t>
      </w:r>
      <w:r w:rsidR="00C35D69" w:rsidRPr="00CB14D2">
        <w:rPr>
          <w:rFonts w:ascii="Palatino Linotype" w:eastAsia="Palatino Linotype" w:hAnsi="Palatino Linotype" w:cs="Palatino Linotype"/>
        </w:rPr>
        <w:t>obtuvo</w:t>
      </w:r>
      <w:r w:rsidRPr="00CB14D2">
        <w:rPr>
          <w:rFonts w:ascii="Palatino Linotype" w:eastAsia="Palatino Linotype" w:hAnsi="Palatino Linotype" w:cs="Palatino Linotype"/>
        </w:rPr>
        <w:t xml:space="preserve"> el bien inmueble relacionado con la ampliación de la vía pública, fue una </w:t>
      </w:r>
      <w:r w:rsidRPr="00CB14D2">
        <w:rPr>
          <w:rFonts w:ascii="Palatino Linotype" w:eastAsia="Palatino Linotype" w:hAnsi="Palatino Linotype" w:cs="Palatino Linotype"/>
          <w:b/>
          <w:u w:val="single"/>
        </w:rPr>
        <w:t>donación remuneratoria</w:t>
      </w:r>
      <w:r w:rsidRPr="00CB14D2">
        <w:rPr>
          <w:rFonts w:ascii="Palatino Linotype" w:eastAsia="Palatino Linotype" w:hAnsi="Palatino Linotype" w:cs="Palatino Linotype"/>
        </w:rPr>
        <w:t xml:space="preserve">, por lo que se entiende que hubo una contraprestación para la obtención de dicho bien, siendo evidente que la información materia de las solicitudes reviste el carácter de público, al relacionarse con la erogación de recursos públicos que el </w:t>
      </w:r>
      <w:r w:rsidRPr="00CB14D2">
        <w:rPr>
          <w:rFonts w:ascii="Palatino Linotype" w:eastAsia="Palatino Linotype" w:hAnsi="Palatino Linotype" w:cs="Palatino Linotype"/>
          <w:b/>
        </w:rPr>
        <w:t xml:space="preserve">Sujeto Obligado </w:t>
      </w:r>
      <w:r w:rsidRPr="00CB14D2">
        <w:rPr>
          <w:rFonts w:ascii="Palatino Linotype" w:eastAsia="Palatino Linotype" w:hAnsi="Palatino Linotype" w:cs="Palatino Linotype"/>
        </w:rPr>
        <w:t>debe transparentar.</w:t>
      </w:r>
    </w:p>
    <w:p w14:paraId="46F85890"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A efecto de sustentar lo anterior, es aplicable el contenido del artículo 23, párrafo segundo de la </w:t>
      </w:r>
    </w:p>
    <w:p w14:paraId="406A6E18"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23.</w:t>
      </w:r>
      <w:r w:rsidRPr="00CB14D2">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4E0E6A21"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1A0A64E8"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 xml:space="preserve">Los sujetos obligados deberán hacer pública </w:t>
      </w:r>
      <w:r w:rsidRPr="00CB14D2">
        <w:rPr>
          <w:rFonts w:ascii="Palatino Linotype" w:eastAsia="Palatino Linotype" w:hAnsi="Palatino Linotype" w:cs="Palatino Linotype"/>
          <w:b/>
          <w:i/>
          <w:sz w:val="22"/>
          <w:szCs w:val="22"/>
        </w:rPr>
        <w:t xml:space="preserve">toda aquella información relativa a los montos y </w:t>
      </w:r>
      <w:r w:rsidRPr="00CB14D2">
        <w:rPr>
          <w:rFonts w:ascii="Palatino Linotype" w:eastAsia="Palatino Linotype" w:hAnsi="Palatino Linotype" w:cs="Palatino Linotype"/>
          <w:b/>
          <w:i/>
          <w:sz w:val="22"/>
          <w:szCs w:val="22"/>
          <w:u w:val="single"/>
        </w:rPr>
        <w:t>las personas a quienes entreguen</w:t>
      </w:r>
      <w:r w:rsidRPr="00CB14D2">
        <w:rPr>
          <w:rFonts w:ascii="Palatino Linotype" w:eastAsia="Palatino Linotype" w:hAnsi="Palatino Linotype" w:cs="Palatino Linotype"/>
          <w:i/>
          <w:sz w:val="22"/>
          <w:szCs w:val="22"/>
        </w:rPr>
        <w:t xml:space="preserve">, </w:t>
      </w:r>
      <w:r w:rsidRPr="00CB14D2">
        <w:rPr>
          <w:rFonts w:ascii="Palatino Linotype" w:eastAsia="Palatino Linotype" w:hAnsi="Palatino Linotype" w:cs="Palatino Linotype"/>
          <w:b/>
          <w:i/>
          <w:sz w:val="22"/>
          <w:szCs w:val="22"/>
        </w:rPr>
        <w:t>por cualquier motivo, recursos públicos</w:t>
      </w:r>
      <w:r w:rsidRPr="00CB14D2">
        <w:rPr>
          <w:rFonts w:ascii="Palatino Linotype" w:eastAsia="Palatino Linotype" w:hAnsi="Palatino Linotype" w:cs="Palatino Linotype"/>
          <w:i/>
          <w:sz w:val="22"/>
          <w:szCs w:val="22"/>
        </w:rPr>
        <w:t>, así como los informes que dichas personas les entreguen sobre el uso y destino de dichos recursos.</w:t>
      </w:r>
    </w:p>
    <w:p w14:paraId="1BCDE7DC" w14:textId="77777777" w:rsidR="00DE5ED1" w:rsidRPr="00CB14D2" w:rsidRDefault="00783AE7">
      <w:pPr>
        <w:spacing w:before="120" w:after="120"/>
        <w:ind w:left="851" w:right="902"/>
        <w:jc w:val="both"/>
        <w:rPr>
          <w:rFonts w:ascii="Palatino Linotype" w:eastAsia="Palatino Linotype" w:hAnsi="Palatino Linotype" w:cs="Palatino Linotype"/>
          <w:b/>
          <w:i/>
          <w:sz w:val="22"/>
          <w:szCs w:val="22"/>
        </w:rPr>
      </w:pPr>
      <w:r w:rsidRPr="00CB14D2">
        <w:rPr>
          <w:rFonts w:ascii="Palatino Linotype" w:eastAsia="Palatino Linotype" w:hAnsi="Palatino Linotype" w:cs="Palatino Linotype"/>
          <w:b/>
          <w:i/>
          <w:sz w:val="22"/>
          <w:szCs w:val="22"/>
        </w:rPr>
        <w:t>...</w:t>
      </w:r>
    </w:p>
    <w:p w14:paraId="454492A7"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24.</w:t>
      </w:r>
      <w:r w:rsidRPr="00CB14D2">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72BADF31"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0611426E"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lastRenderedPageBreak/>
        <w:t>XVIII</w:t>
      </w:r>
      <w:r w:rsidRPr="00CB14D2">
        <w:rPr>
          <w:rFonts w:ascii="Palatino Linotype" w:eastAsia="Palatino Linotype" w:hAnsi="Palatino Linotype" w:cs="Palatino Linotype"/>
          <w:i/>
          <w:sz w:val="22"/>
          <w:szCs w:val="22"/>
        </w:rPr>
        <w:t xml:space="preserve">. </w:t>
      </w:r>
      <w:r w:rsidRPr="00CB14D2">
        <w:rPr>
          <w:rFonts w:ascii="Palatino Linotype" w:eastAsia="Palatino Linotype" w:hAnsi="Palatino Linotype" w:cs="Palatino Linotype"/>
          <w:b/>
          <w:i/>
          <w:sz w:val="22"/>
          <w:szCs w:val="22"/>
        </w:rPr>
        <w:t xml:space="preserve">Hacer pública toda aquella información relativa a los montos y las </w:t>
      </w:r>
      <w:r w:rsidRPr="00CB14D2">
        <w:rPr>
          <w:rFonts w:ascii="Palatino Linotype" w:eastAsia="Palatino Linotype" w:hAnsi="Palatino Linotype" w:cs="Palatino Linotype"/>
          <w:b/>
          <w:i/>
          <w:sz w:val="22"/>
          <w:szCs w:val="22"/>
          <w:u w:val="single"/>
        </w:rPr>
        <w:t>personas a quienes entreguen</w:t>
      </w:r>
      <w:r w:rsidRPr="00CB14D2">
        <w:rPr>
          <w:rFonts w:ascii="Palatino Linotype" w:eastAsia="Palatino Linotype" w:hAnsi="Palatino Linotype" w:cs="Palatino Linotype"/>
          <w:b/>
          <w:i/>
          <w:sz w:val="22"/>
          <w:szCs w:val="22"/>
        </w:rPr>
        <w:t>, por cualquier motivo, recursos públicos</w:t>
      </w:r>
      <w:r w:rsidRPr="00CB14D2">
        <w:rPr>
          <w:rFonts w:ascii="Palatino Linotype" w:eastAsia="Palatino Linotype" w:hAnsi="Palatino Linotype" w:cs="Palatino Linotype"/>
          <w:i/>
          <w:sz w:val="22"/>
          <w:szCs w:val="22"/>
        </w:rPr>
        <w:t xml:space="preserve">, así como los informes que dichas personas les entreguen sobre el uso y destino de dichos recursos; </w:t>
      </w:r>
    </w:p>
    <w:p w14:paraId="5F2E3187"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De los preceptos citados se advierte que los entes públicos tienen la obligación de difundir toda aquella información relativa a los montos y las personas a quienes entreguen, por cualquier motivo, recursos públicos, así como los informes que dichas personas entreguen sobre el uso y destino de dichos recursos.</w:t>
      </w:r>
    </w:p>
    <w:p w14:paraId="0A2EF165"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En consecuencia, en el caso concreto, contrario a lo manifestado por el Servidor Público Habilitado, el nombre y apellidos, así como la firma autógrafa de la o las personas que recibieron la remuneración por la donación del bien inmueble en favor del ayuntamiento es información que debe ser de conocimiento público.</w:t>
      </w:r>
    </w:p>
    <w:p w14:paraId="45EF7201"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Respecto al tema de las firmas autógrafas, además debe mencionarse, que si bien,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por regla general constituye un dato personal que debe ser protegido, sin embargo, en el caso de servidores públicos  que emiten un acto de autoridad, en ejercicio de las atribuciones que les fueron conferidas, así como personas físicas o sus representantes y personas morales, a través de sus representantes, que resulten beneficiadas con dichos actos, la firma  no conserva el carácter de confidencial y por tanto no deben ser testados, al ser este dato </w:t>
      </w:r>
      <w:r w:rsidRPr="00CB14D2">
        <w:rPr>
          <w:rFonts w:ascii="Palatino Linotype" w:eastAsia="Palatino Linotype" w:hAnsi="Palatino Linotype" w:cs="Palatino Linotype"/>
        </w:rPr>
        <w:lastRenderedPageBreak/>
        <w:t>el medio por el cual se le da validez al acto jurídico de que se trate, en el presente caso, la donación remuneratoria.</w:t>
      </w:r>
    </w:p>
    <w:p w14:paraId="0DF560B1" w14:textId="43AF6335"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Por otro lado, respecto al régimen conyugal se precisa que el estado civil constituye un atributo de la personalidad que se refiere a la posición que ocupa una persona en relación con la familia; en razón de lo anterior, por su propia naturaleza es considerado como un dato personal, en virtud de que incide en la esfera privada de los particulares y, por ello, es clasificado con fundamento en el artículo 143, fracción I, de la Ley de Transparencia y Acceso a la Información Pública del Estado de México y Municipios, de conformidad con el considerando siguiente.</w:t>
      </w:r>
    </w:p>
    <w:p w14:paraId="4FC41D86" w14:textId="6E232C14" w:rsidR="007A20CF" w:rsidRPr="00CB14D2" w:rsidRDefault="0064771B" w:rsidP="007A20CF">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Aunado a lo anterior, es de señalar que no escapa de la óptica de este Organismo Garante que la persona solicitante requirió el documento que acredite la propiedad o posesión del inmueble, y el documento que acredite la donación, siendo necesario precisar</w:t>
      </w:r>
      <w:r w:rsidR="003F56BB" w:rsidRPr="00CB14D2">
        <w:rPr>
          <w:rFonts w:ascii="Palatino Linotype" w:eastAsia="Palatino Linotype" w:hAnsi="Palatino Linotype" w:cs="Palatino Linotype"/>
        </w:rPr>
        <w:t xml:space="preserve"> que si bien</w:t>
      </w:r>
      <w:r w:rsidR="000D1608" w:rsidRPr="00CB14D2">
        <w:rPr>
          <w:rFonts w:ascii="Palatino Linotype" w:eastAsia="Palatino Linotype" w:hAnsi="Palatino Linotype" w:cs="Palatino Linotype"/>
        </w:rPr>
        <w:t>.</w:t>
      </w:r>
      <w:r w:rsidR="003F56BB" w:rsidRPr="00CB14D2">
        <w:rPr>
          <w:rFonts w:ascii="Palatino Linotype" w:eastAsia="Palatino Linotype" w:hAnsi="Palatino Linotype" w:cs="Palatino Linotype"/>
        </w:rPr>
        <w:t xml:space="preserve"> en el argot coloquial, la propiedad y la posesión son conceptos tratados como sinónimos, lo cierto es que desde un punto de vista técnicamente jurídico se refieren a categorías de derechos distintos, que tienen efectos jurídicos legales diferentes, toda vez que el </w:t>
      </w:r>
      <w:r w:rsidR="003F56BB" w:rsidRPr="00CB14D2">
        <w:rPr>
          <w:rFonts w:ascii="Palatino Linotype" w:eastAsia="Palatino Linotype" w:hAnsi="Palatino Linotype" w:cs="Palatino Linotype"/>
          <w:b/>
          <w:bCs/>
          <w:i/>
          <w:iCs/>
        </w:rPr>
        <w:t>poseedor</w:t>
      </w:r>
      <w:r w:rsidR="003F56BB" w:rsidRPr="00CB14D2">
        <w:rPr>
          <w:rFonts w:ascii="Palatino Linotype" w:eastAsia="Palatino Linotype" w:hAnsi="Palatino Linotype" w:cs="Palatino Linotype"/>
        </w:rPr>
        <w:t xml:space="preserve"> de un bien ejerce sobre él un </w:t>
      </w:r>
      <w:r w:rsidR="003F56BB" w:rsidRPr="00CB14D2">
        <w:rPr>
          <w:rFonts w:ascii="Palatino Linotype" w:eastAsia="Palatino Linotype" w:hAnsi="Palatino Linotype" w:cs="Palatino Linotype"/>
          <w:i/>
          <w:iCs/>
        </w:rPr>
        <w:t>poder de hecho,</w:t>
      </w:r>
      <w:r w:rsidR="000B083A" w:rsidRPr="00CB14D2">
        <w:rPr>
          <w:rFonts w:ascii="Palatino Linotype" w:eastAsia="Palatino Linotype" w:hAnsi="Palatino Linotype" w:cs="Palatino Linotype"/>
          <w:i/>
          <w:iCs/>
        </w:rPr>
        <w:t xml:space="preserve"> </w:t>
      </w:r>
      <w:r w:rsidR="000B083A" w:rsidRPr="00CB14D2">
        <w:rPr>
          <w:rFonts w:ascii="Palatino Linotype" w:eastAsia="Palatino Linotype" w:hAnsi="Palatino Linotype" w:cs="Palatino Linotype"/>
        </w:rPr>
        <w:t>es decir, tiene la cosa</w:t>
      </w:r>
      <w:r w:rsidR="000D1608" w:rsidRPr="00CB14D2">
        <w:rPr>
          <w:rFonts w:ascii="Palatino Linotype" w:eastAsia="Palatino Linotype" w:hAnsi="Palatino Linotype" w:cs="Palatino Linotype"/>
        </w:rPr>
        <w:t xml:space="preserve"> o el bien</w:t>
      </w:r>
      <w:r w:rsidR="000B083A" w:rsidRPr="00CB14D2">
        <w:rPr>
          <w:rFonts w:ascii="Palatino Linotype" w:eastAsia="Palatino Linotype" w:hAnsi="Palatino Linotype" w:cs="Palatino Linotype"/>
        </w:rPr>
        <w:t xml:space="preserve"> bajo su poder únicamente en el ánimo de ser el dueño de el, por ejemplo derivado de un contrato de arrendamiento o de comodato, </w:t>
      </w:r>
      <w:r w:rsidR="007A20CF" w:rsidRPr="00CB14D2">
        <w:rPr>
          <w:rFonts w:ascii="Palatino Linotype" w:eastAsia="Palatino Linotype" w:hAnsi="Palatino Linotype" w:cs="Palatino Linotype"/>
        </w:rPr>
        <w:t xml:space="preserve">teniendo el </w:t>
      </w:r>
      <w:r w:rsidR="000B083A" w:rsidRPr="00CB14D2">
        <w:rPr>
          <w:rFonts w:ascii="Palatino Linotype" w:eastAsia="Palatino Linotype" w:hAnsi="Palatino Linotype" w:cs="Palatino Linotype"/>
        </w:rPr>
        <w:t xml:space="preserve">arrendatario </w:t>
      </w:r>
      <w:r w:rsidR="007A20CF" w:rsidRPr="00CB14D2">
        <w:rPr>
          <w:rFonts w:ascii="Palatino Linotype" w:eastAsia="Palatino Linotype" w:hAnsi="Palatino Linotype" w:cs="Palatino Linotype"/>
        </w:rPr>
        <w:t>el uso y goce de</w:t>
      </w:r>
      <w:r w:rsidR="000D1608" w:rsidRPr="00CB14D2">
        <w:rPr>
          <w:rFonts w:ascii="Palatino Linotype" w:eastAsia="Palatino Linotype" w:hAnsi="Palatino Linotype" w:cs="Palatino Linotype"/>
        </w:rPr>
        <w:t xml:space="preserve">l bien </w:t>
      </w:r>
      <w:r w:rsidR="007A20CF" w:rsidRPr="00CB14D2">
        <w:rPr>
          <w:rFonts w:ascii="Palatino Linotype" w:eastAsia="Palatino Linotype" w:hAnsi="Palatino Linotype" w:cs="Palatino Linotype"/>
        </w:rPr>
        <w:t>y el comodatario únicamente el uso</w:t>
      </w:r>
      <w:r w:rsidR="000B083A" w:rsidRPr="00CB14D2">
        <w:rPr>
          <w:rFonts w:ascii="Palatino Linotype" w:eastAsia="Palatino Linotype" w:hAnsi="Palatino Linotype" w:cs="Palatino Linotype"/>
        </w:rPr>
        <w:t xml:space="preserve">; mientras que el </w:t>
      </w:r>
      <w:r w:rsidR="000B083A" w:rsidRPr="00CB14D2">
        <w:rPr>
          <w:rFonts w:ascii="Palatino Linotype" w:eastAsia="Palatino Linotype" w:hAnsi="Palatino Linotype" w:cs="Palatino Linotype"/>
          <w:b/>
          <w:bCs/>
          <w:i/>
          <w:iCs/>
        </w:rPr>
        <w:t>propietario</w:t>
      </w:r>
      <w:r w:rsidR="000B083A" w:rsidRPr="00CB14D2">
        <w:rPr>
          <w:rFonts w:ascii="Palatino Linotype" w:eastAsia="Palatino Linotype" w:hAnsi="Palatino Linotype" w:cs="Palatino Linotype"/>
        </w:rPr>
        <w:t xml:space="preserve"> </w:t>
      </w:r>
      <w:r w:rsidR="007A20CF" w:rsidRPr="00CB14D2">
        <w:rPr>
          <w:rFonts w:ascii="Palatino Linotype" w:eastAsia="Palatino Linotype" w:hAnsi="Palatino Linotype" w:cs="Palatino Linotype"/>
        </w:rPr>
        <w:t>tiene el</w:t>
      </w:r>
      <w:r w:rsidR="000B083A" w:rsidRPr="00CB14D2">
        <w:rPr>
          <w:rFonts w:ascii="Palatino Linotype" w:eastAsia="Palatino Linotype" w:hAnsi="Palatino Linotype" w:cs="Palatino Linotype"/>
        </w:rPr>
        <w:t xml:space="preserve"> dominio pleno de la cosa</w:t>
      </w:r>
      <w:r w:rsidR="000D1608" w:rsidRPr="00CB14D2">
        <w:rPr>
          <w:rFonts w:ascii="Palatino Linotype" w:eastAsia="Palatino Linotype" w:hAnsi="Palatino Linotype" w:cs="Palatino Linotype"/>
        </w:rPr>
        <w:t xml:space="preserve"> o bien</w:t>
      </w:r>
      <w:r w:rsidR="000B083A" w:rsidRPr="00CB14D2">
        <w:rPr>
          <w:rFonts w:ascii="Palatino Linotype" w:eastAsia="Palatino Linotype" w:hAnsi="Palatino Linotype" w:cs="Palatino Linotype"/>
        </w:rPr>
        <w:t xml:space="preserve">, que incluye </w:t>
      </w:r>
      <w:r w:rsidR="007A20CF" w:rsidRPr="00CB14D2">
        <w:rPr>
          <w:rFonts w:ascii="Palatino Linotype" w:eastAsia="Palatino Linotype" w:hAnsi="Palatino Linotype" w:cs="Palatino Linotype"/>
        </w:rPr>
        <w:t xml:space="preserve">además del uso y goce, el disfrute de la cosa, lo que se traduce en la mayor cantidad de facultades posibles que alguien pueda tener sobre </w:t>
      </w:r>
      <w:r w:rsidR="000D1608" w:rsidRPr="00CB14D2">
        <w:rPr>
          <w:rFonts w:ascii="Palatino Linotype" w:eastAsia="Palatino Linotype" w:hAnsi="Palatino Linotype" w:cs="Palatino Linotype"/>
        </w:rPr>
        <w:t xml:space="preserve">un </w:t>
      </w:r>
      <w:r w:rsidR="007A20CF" w:rsidRPr="00CB14D2">
        <w:rPr>
          <w:rFonts w:ascii="Palatino Linotype" w:eastAsia="Palatino Linotype" w:hAnsi="Palatino Linotype" w:cs="Palatino Linotype"/>
        </w:rPr>
        <w:t xml:space="preserve">bien, </w:t>
      </w:r>
      <w:r w:rsidR="000D1608" w:rsidRPr="00CB14D2">
        <w:rPr>
          <w:rFonts w:ascii="Palatino Linotype" w:eastAsia="Palatino Linotype" w:hAnsi="Palatino Linotype" w:cs="Palatino Linotype"/>
        </w:rPr>
        <w:t xml:space="preserve">por ejemplo </w:t>
      </w:r>
      <w:r w:rsidR="007A20CF" w:rsidRPr="00CB14D2">
        <w:rPr>
          <w:rFonts w:ascii="Palatino Linotype" w:hAnsi="Palatino Linotype"/>
        </w:rPr>
        <w:t>vender</w:t>
      </w:r>
      <w:r w:rsidR="000D1608" w:rsidRPr="00CB14D2">
        <w:rPr>
          <w:rFonts w:ascii="Palatino Linotype" w:hAnsi="Palatino Linotype"/>
        </w:rPr>
        <w:t>lo</w:t>
      </w:r>
      <w:r w:rsidR="007A20CF" w:rsidRPr="00CB14D2">
        <w:rPr>
          <w:rFonts w:ascii="Palatino Linotype" w:hAnsi="Palatino Linotype"/>
        </w:rPr>
        <w:t xml:space="preserve">, </w:t>
      </w:r>
      <w:r w:rsidR="007A20CF" w:rsidRPr="00CB14D2">
        <w:rPr>
          <w:rFonts w:ascii="Palatino Linotype" w:hAnsi="Palatino Linotype"/>
        </w:rPr>
        <w:lastRenderedPageBreak/>
        <w:t>donar</w:t>
      </w:r>
      <w:r w:rsidR="000D1608" w:rsidRPr="00CB14D2">
        <w:rPr>
          <w:rFonts w:ascii="Palatino Linotype" w:hAnsi="Palatino Linotype"/>
        </w:rPr>
        <w:t xml:space="preserve">lo, </w:t>
      </w:r>
      <w:r w:rsidR="007A20CF" w:rsidRPr="00CB14D2">
        <w:rPr>
          <w:rFonts w:ascii="Palatino Linotype" w:hAnsi="Palatino Linotype"/>
        </w:rPr>
        <w:t>constituir hipotecas, abandonar o consumir el bien, excluir a otros, entre otros derechos</w:t>
      </w:r>
      <w:r w:rsidR="000D1608" w:rsidRPr="00CB14D2">
        <w:rPr>
          <w:rFonts w:ascii="Palatino Linotype" w:hAnsi="Palatino Linotype"/>
        </w:rPr>
        <w:t xml:space="preserve"> o facultades</w:t>
      </w:r>
      <w:r w:rsidR="007A20CF" w:rsidRPr="00CB14D2">
        <w:rPr>
          <w:rFonts w:ascii="Palatino Linotype" w:hAnsi="Palatino Linotype"/>
        </w:rPr>
        <w:t>.</w:t>
      </w:r>
    </w:p>
    <w:p w14:paraId="7870DBEA" w14:textId="09F1D3B7" w:rsidR="0023775D" w:rsidRPr="00CB14D2" w:rsidRDefault="000D1608">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En el presente caso, recordemos que el </w:t>
      </w:r>
      <w:r w:rsidRPr="00CB14D2">
        <w:rPr>
          <w:rFonts w:ascii="Palatino Linotype" w:eastAsia="Palatino Linotype" w:hAnsi="Palatino Linotype" w:cs="Palatino Linotype"/>
          <w:b/>
          <w:bCs/>
        </w:rPr>
        <w:t>Sujeto Obligado</w:t>
      </w:r>
      <w:r w:rsidRPr="00CB14D2">
        <w:rPr>
          <w:rFonts w:ascii="Palatino Linotype" w:eastAsia="Palatino Linotype" w:hAnsi="Palatino Linotype" w:cs="Palatino Linotype"/>
        </w:rPr>
        <w:t xml:space="preserve"> reconoció que </w:t>
      </w:r>
      <w:r w:rsidR="00C35D69" w:rsidRPr="00CB14D2">
        <w:rPr>
          <w:rFonts w:ascii="Palatino Linotype" w:eastAsia="Palatino Linotype" w:hAnsi="Palatino Linotype" w:cs="Palatino Linotype"/>
        </w:rPr>
        <w:t>obtuvo</w:t>
      </w:r>
      <w:r w:rsidRPr="00CB14D2">
        <w:rPr>
          <w:rFonts w:ascii="Palatino Linotype" w:eastAsia="Palatino Linotype" w:hAnsi="Palatino Linotype" w:cs="Palatino Linotype"/>
        </w:rPr>
        <w:t xml:space="preserve"> el bien mediante un</w:t>
      </w:r>
      <w:r w:rsidR="007C209E" w:rsidRPr="00CB14D2">
        <w:rPr>
          <w:rFonts w:ascii="Palatino Linotype" w:eastAsia="Palatino Linotype" w:hAnsi="Palatino Linotype" w:cs="Palatino Linotype"/>
        </w:rPr>
        <w:t xml:space="preserve"> contrato de</w:t>
      </w:r>
      <w:r w:rsidRPr="00CB14D2">
        <w:rPr>
          <w:rFonts w:ascii="Palatino Linotype" w:eastAsia="Palatino Linotype" w:hAnsi="Palatino Linotype" w:cs="Palatino Linotype"/>
        </w:rPr>
        <w:t xml:space="preserve"> </w:t>
      </w:r>
      <w:r w:rsidRPr="00CB14D2">
        <w:rPr>
          <w:rFonts w:ascii="Palatino Linotype" w:eastAsia="Palatino Linotype" w:hAnsi="Palatino Linotype" w:cs="Palatino Linotype"/>
          <w:i/>
          <w:iCs/>
        </w:rPr>
        <w:t xml:space="preserve">donación remuneratoria, </w:t>
      </w:r>
      <w:r w:rsidRPr="00CB14D2">
        <w:rPr>
          <w:rFonts w:ascii="Palatino Linotype" w:eastAsia="Palatino Linotype" w:hAnsi="Palatino Linotype" w:cs="Palatino Linotype"/>
        </w:rPr>
        <w:t xml:space="preserve">acto mediante el cual </w:t>
      </w:r>
      <w:r w:rsidR="007C209E" w:rsidRPr="00CB14D2">
        <w:rPr>
          <w:rFonts w:ascii="Palatino Linotype" w:eastAsia="Palatino Linotype" w:hAnsi="Palatino Linotype" w:cs="Palatino Linotype"/>
        </w:rPr>
        <w:t xml:space="preserve">el o los donantes transfirieron </w:t>
      </w:r>
      <w:r w:rsidRPr="00CB14D2">
        <w:rPr>
          <w:rFonts w:ascii="Palatino Linotype" w:eastAsia="Palatino Linotype" w:hAnsi="Palatino Linotype" w:cs="Palatino Linotype"/>
        </w:rPr>
        <w:t>el dominio o la plena propiedad del inmueble</w:t>
      </w:r>
      <w:r w:rsidR="007C209E" w:rsidRPr="00CB14D2">
        <w:rPr>
          <w:rFonts w:ascii="Palatino Linotype" w:eastAsia="Palatino Linotype" w:hAnsi="Palatino Linotype" w:cs="Palatino Linotype"/>
        </w:rPr>
        <w:t xml:space="preserve"> de referencia</w:t>
      </w:r>
      <w:r w:rsidRPr="00CB14D2">
        <w:rPr>
          <w:rFonts w:ascii="Palatino Linotype" w:eastAsia="Palatino Linotype" w:hAnsi="Palatino Linotype" w:cs="Palatino Linotype"/>
        </w:rPr>
        <w:t>, en favor del Ayuntamiento</w:t>
      </w:r>
      <w:r w:rsidR="0023775D" w:rsidRPr="00CB14D2">
        <w:rPr>
          <w:rFonts w:ascii="Palatino Linotype" w:eastAsia="Palatino Linotype" w:hAnsi="Palatino Linotype" w:cs="Palatino Linotype"/>
        </w:rPr>
        <w:t>,</w:t>
      </w:r>
      <w:r w:rsidRPr="00CB14D2">
        <w:rPr>
          <w:rFonts w:ascii="Palatino Linotype" w:eastAsia="Palatino Linotype" w:hAnsi="Palatino Linotype" w:cs="Palatino Linotype"/>
        </w:rPr>
        <w:t xml:space="preserve"> </w:t>
      </w:r>
      <w:r w:rsidR="0023775D" w:rsidRPr="00CB14D2">
        <w:rPr>
          <w:rFonts w:ascii="Palatino Linotype" w:eastAsia="Palatino Linotype" w:hAnsi="Palatino Linotype" w:cs="Palatino Linotype"/>
        </w:rPr>
        <w:t>como</w:t>
      </w:r>
      <w:r w:rsidR="007C209E" w:rsidRPr="00CB14D2">
        <w:rPr>
          <w:rFonts w:ascii="Palatino Linotype" w:eastAsia="Palatino Linotype" w:hAnsi="Palatino Linotype" w:cs="Palatino Linotype"/>
        </w:rPr>
        <w:t xml:space="preserve"> donatario</w:t>
      </w:r>
      <w:r w:rsidR="0023775D" w:rsidRPr="00CB14D2">
        <w:rPr>
          <w:rFonts w:ascii="Palatino Linotype" w:eastAsia="Palatino Linotype" w:hAnsi="Palatino Linotype" w:cs="Palatino Linotype"/>
        </w:rPr>
        <w:t>, adquiriendo en consecuencia, la calidad de propietario del mismo.</w:t>
      </w:r>
    </w:p>
    <w:p w14:paraId="53C07D78" w14:textId="6DE8EE95" w:rsidR="0023775D" w:rsidRPr="00CB14D2" w:rsidRDefault="0023775D">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Derivado de lo anterior, se </w:t>
      </w:r>
      <w:r w:rsidR="00C35D69" w:rsidRPr="00CB14D2">
        <w:rPr>
          <w:rFonts w:ascii="Palatino Linotype" w:eastAsia="Palatino Linotype" w:hAnsi="Palatino Linotype" w:cs="Palatino Linotype"/>
        </w:rPr>
        <w:t>puntualiza</w:t>
      </w:r>
      <w:r w:rsidRPr="00CB14D2">
        <w:rPr>
          <w:rFonts w:ascii="Palatino Linotype" w:eastAsia="Palatino Linotype" w:hAnsi="Palatino Linotype" w:cs="Palatino Linotype"/>
        </w:rPr>
        <w:t xml:space="preserve"> que el soporte documental que dé cuenta de la donación </w:t>
      </w:r>
      <w:r w:rsidR="00C35D69" w:rsidRPr="00CB14D2">
        <w:rPr>
          <w:rFonts w:ascii="Palatino Linotype" w:eastAsia="Palatino Linotype" w:hAnsi="Palatino Linotype" w:cs="Palatino Linotype"/>
        </w:rPr>
        <w:t xml:space="preserve">del bien inmueble referido por el particular </w:t>
      </w:r>
      <w:r w:rsidRPr="00CB14D2">
        <w:rPr>
          <w:rFonts w:ascii="Palatino Linotype" w:eastAsia="Palatino Linotype" w:hAnsi="Palatino Linotype" w:cs="Palatino Linotype"/>
        </w:rPr>
        <w:t xml:space="preserve">en favor del municipio, acreditará también la propiedad municipal </w:t>
      </w:r>
      <w:r w:rsidR="00C35D69" w:rsidRPr="00CB14D2">
        <w:rPr>
          <w:rFonts w:ascii="Palatino Linotype" w:eastAsia="Palatino Linotype" w:hAnsi="Palatino Linotype" w:cs="Palatino Linotype"/>
        </w:rPr>
        <w:t>del mismo.</w:t>
      </w:r>
    </w:p>
    <w:p w14:paraId="198B0EFD"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Finalmente, de la lectura de las solicitudes de información, no pasa desapercibido que el particular, requirió la entrega del soporte documental, mediante copia certificada, siendo necesario señalar que dicha modalidad de entrega recae en el supuesto previsto en el artículo 174 fracciones I, III y párrafo segundo de la Ley de Transparencia y Acceso a la Información Pública del Estado de México y Municipios, a saber:</w:t>
      </w:r>
    </w:p>
    <w:p w14:paraId="06CACB97"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174.</w:t>
      </w:r>
      <w:r w:rsidRPr="00CB14D2">
        <w:rPr>
          <w:rFonts w:ascii="Palatino Linotype" w:eastAsia="Palatino Linotype" w:hAnsi="Palatino Linotype" w:cs="Palatino Linotype"/>
          <w:i/>
          <w:sz w:val="22"/>
          <w:szCs w:val="22"/>
        </w:rPr>
        <w:t xml:space="preserve"> En caso de existir costos para obtener la información deberán cubrirse de manera previa a la entrega y no podrán ser superiores a la suma de: </w:t>
      </w:r>
    </w:p>
    <w:p w14:paraId="2CF124DE"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w:t>
      </w:r>
      <w:r w:rsidRPr="00CB14D2">
        <w:rPr>
          <w:rFonts w:ascii="Palatino Linotype" w:eastAsia="Palatino Linotype" w:hAnsi="Palatino Linotype" w:cs="Palatino Linotype"/>
          <w:i/>
          <w:sz w:val="22"/>
          <w:szCs w:val="22"/>
        </w:rPr>
        <w:t xml:space="preserve"> El costo de los materiales utilizados en la reproducción de la información;</w:t>
      </w:r>
    </w:p>
    <w:p w14:paraId="3A20174A"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7C2A4606"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III.</w:t>
      </w:r>
      <w:r w:rsidRPr="00CB14D2">
        <w:rPr>
          <w:rFonts w:ascii="Palatino Linotype" w:eastAsia="Palatino Linotype" w:hAnsi="Palatino Linotype" w:cs="Palatino Linotype"/>
          <w:i/>
          <w:sz w:val="22"/>
          <w:szCs w:val="22"/>
        </w:rPr>
        <w:t xml:space="preserve"> El pago de la certificación de los documentos, cuando proceda.</w:t>
      </w:r>
    </w:p>
    <w:p w14:paraId="7CCD53B4"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w:t>
      </w:r>
      <w:r w:rsidRPr="00CB14D2">
        <w:rPr>
          <w:rFonts w:ascii="Palatino Linotype" w:eastAsia="Palatino Linotype" w:hAnsi="Palatino Linotype" w:cs="Palatino Linotype"/>
          <w:i/>
          <w:sz w:val="22"/>
          <w:szCs w:val="22"/>
        </w:rPr>
        <w:t>..</w:t>
      </w:r>
    </w:p>
    <w:p w14:paraId="6C112696"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lastRenderedPageBreak/>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CB14D2">
        <w:rPr>
          <w:rFonts w:ascii="Palatino Linotype" w:eastAsia="Palatino Linotype" w:hAnsi="Palatino Linotype" w:cs="Palatino Linotype"/>
        </w:rPr>
        <w:t>.</w:t>
      </w:r>
      <w:r w:rsidRPr="00CB14D2">
        <w:rPr>
          <w:rFonts w:ascii="Palatino Linotype" w:eastAsia="Palatino Linotype" w:hAnsi="Palatino Linotype" w:cs="Palatino Linotype"/>
          <w:i/>
          <w:sz w:val="22"/>
          <w:szCs w:val="22"/>
        </w:rPr>
        <w:t>”</w:t>
      </w:r>
    </w:p>
    <w:p w14:paraId="69022E9E"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Y,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13C3536B" w14:textId="77777777" w:rsidR="00DE5ED1" w:rsidRPr="00CB14D2" w:rsidRDefault="00783AE7">
      <w:pPr>
        <w:spacing w:before="280" w:after="280" w:line="360" w:lineRule="auto"/>
        <w:ind w:firstLine="1"/>
        <w:jc w:val="both"/>
        <w:rPr>
          <w:rFonts w:ascii="Palatino Linotype" w:eastAsia="Palatino Linotype" w:hAnsi="Palatino Linotype" w:cs="Palatino Linotype"/>
        </w:rPr>
      </w:pPr>
      <w:r w:rsidRPr="00CB14D2">
        <w:rPr>
          <w:rFonts w:ascii="Palatino Linotype" w:eastAsia="Palatino Linotype" w:hAnsi="Palatino Linotype" w:cs="Palatino Linotype"/>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4763F88D" w14:textId="77777777" w:rsidR="00DE5ED1" w:rsidRPr="00CB14D2" w:rsidRDefault="00783AE7">
      <w:pPr>
        <w:spacing w:line="360" w:lineRule="auto"/>
        <w:ind w:firstLine="1"/>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 xml:space="preserve">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a realizar el pago establecido en el artículo 148, fracción II del Código Financiero.</w:t>
      </w:r>
    </w:p>
    <w:p w14:paraId="61431A67" w14:textId="77777777" w:rsidR="00DE5ED1" w:rsidRPr="00CB14D2" w:rsidRDefault="00783AE7">
      <w:pPr>
        <w:spacing w:line="360" w:lineRule="auto"/>
        <w:ind w:firstLine="1"/>
        <w:jc w:val="center"/>
        <w:rPr>
          <w:rFonts w:ascii="Palatino Linotype" w:eastAsia="Palatino Linotype" w:hAnsi="Palatino Linotype" w:cs="Palatino Linotype"/>
        </w:rPr>
      </w:pPr>
      <w:r w:rsidRPr="00CB14D2">
        <w:rPr>
          <w:rFonts w:ascii="Palatino Linotype" w:eastAsia="Palatino Linotype" w:hAnsi="Palatino Linotype" w:cs="Palatino Linotype"/>
          <w:noProof/>
        </w:rPr>
        <w:drawing>
          <wp:inline distT="0" distB="0" distL="0" distR="0" wp14:anchorId="491A6032" wp14:editId="13E93FA6">
            <wp:extent cx="4140000" cy="1621422"/>
            <wp:effectExtent l="0" t="0" r="0" b="0"/>
            <wp:docPr id="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b="37757"/>
                    <a:stretch>
                      <a:fillRect/>
                    </a:stretch>
                  </pic:blipFill>
                  <pic:spPr>
                    <a:xfrm>
                      <a:off x="0" y="0"/>
                      <a:ext cx="4140000" cy="1621422"/>
                    </a:xfrm>
                    <a:prstGeom prst="rect">
                      <a:avLst/>
                    </a:prstGeom>
                    <a:ln/>
                  </pic:spPr>
                </pic:pic>
              </a:graphicData>
            </a:graphic>
          </wp:inline>
        </w:drawing>
      </w:r>
      <w:r w:rsidRPr="00CB14D2">
        <w:rPr>
          <w:noProof/>
        </w:rPr>
        <mc:AlternateContent>
          <mc:Choice Requires="wpg">
            <w:drawing>
              <wp:anchor distT="0" distB="0" distL="114300" distR="114300" simplePos="0" relativeHeight="251658240" behindDoc="0" locked="0" layoutInCell="1" hidden="0" allowOverlap="1" wp14:anchorId="763B82D7" wp14:editId="64177381">
                <wp:simplePos x="0" y="0"/>
                <wp:positionH relativeFrom="column">
                  <wp:posOffset>711200</wp:posOffset>
                </wp:positionH>
                <wp:positionV relativeFrom="paragraph">
                  <wp:posOffset>1181100</wp:posOffset>
                </wp:positionV>
                <wp:extent cx="4180083" cy="501936"/>
                <wp:effectExtent l="0" t="0" r="0" b="0"/>
                <wp:wrapNone/>
                <wp:docPr id="59" name=""/>
                <wp:cNvGraphicFramePr/>
                <a:graphic xmlns:a="http://schemas.openxmlformats.org/drawingml/2006/main">
                  <a:graphicData uri="http://schemas.microsoft.com/office/word/2010/wordprocessingShape">
                    <wps:wsp>
                      <wps:cNvSpPr/>
                      <wps:spPr>
                        <a:xfrm>
                          <a:off x="3275009" y="3548082"/>
                          <a:ext cx="4141983" cy="463836"/>
                        </a:xfrm>
                        <a:prstGeom prst="rect">
                          <a:avLst/>
                        </a:prstGeom>
                        <a:noFill/>
                        <a:ln w="38100" cap="flat" cmpd="sng">
                          <a:solidFill>
                            <a:srgbClr val="C00000"/>
                          </a:solidFill>
                          <a:prstDash val="solid"/>
                          <a:round/>
                          <a:headEnd type="none" w="sm" len="sm"/>
                          <a:tailEnd type="none" w="sm" len="sm"/>
                        </a:ln>
                      </wps:spPr>
                      <wps:txbx>
                        <w:txbxContent>
                          <w:p w14:paraId="3889DA3B" w14:textId="77777777" w:rsidR="00DE5ED1" w:rsidRDefault="00DE5ED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wp:posOffset>
                </wp:positionH>
                <wp:positionV relativeFrom="paragraph">
                  <wp:posOffset>1181100</wp:posOffset>
                </wp:positionV>
                <wp:extent cx="4180083" cy="501936"/>
                <wp:effectExtent b="0" l="0" r="0" t="0"/>
                <wp:wrapNone/>
                <wp:docPr id="59"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4180083" cy="501936"/>
                        </a:xfrm>
                        <a:prstGeom prst="rect"/>
                        <a:ln/>
                      </pic:spPr>
                    </pic:pic>
                  </a:graphicData>
                </a:graphic>
              </wp:anchor>
            </w:drawing>
          </mc:Fallback>
        </mc:AlternateContent>
      </w:r>
    </w:p>
    <w:p w14:paraId="6658D1CF"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En este sentido, es evidente que la entrega de la información al particular mediante copias certificadas procederá una vez que se acredite el pago de derechos correspondiente.</w:t>
      </w:r>
    </w:p>
    <w:p w14:paraId="7875DDB8" w14:textId="77777777" w:rsidR="00DE5ED1" w:rsidRPr="00CB14D2" w:rsidRDefault="00783AE7">
      <w:pPr>
        <w:spacing w:before="280" w:after="28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Dicha modalidad de entrega en copias certificadas no implica que se tenga que acudir ante un notario o fedatario público, sino que faculta a los servidores públicos para que expidan certificaciones de los documentos solicitados que obran en los archivos de las dependencias o entidades en copia simple u original según sea el caso.</w:t>
      </w:r>
    </w:p>
    <w:p w14:paraId="5CC7CEC8" w14:textId="77777777" w:rsidR="00DE5ED1" w:rsidRPr="00CB14D2" w:rsidRDefault="00783AE7">
      <w:pPr>
        <w:spacing w:after="16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Al respecto, el Poder Judicial de la Federación ha establecido que los servidores públicos tendrán la facultad para la expedición de copias respecto de los </w:t>
      </w:r>
      <w:r w:rsidRPr="00CB14D2">
        <w:rPr>
          <w:rFonts w:ascii="Palatino Linotype" w:eastAsia="Palatino Linotype" w:hAnsi="Palatino Linotype" w:cs="Palatino Linotype"/>
        </w:rPr>
        <w:lastRenderedPageBreak/>
        <w:t xml:space="preserve">documentos que obren en sus archivos, y que el derecho de los particulares de solicitar copias es respecto de los documentos que obran en las oficinas públicas. </w:t>
      </w:r>
    </w:p>
    <w:p w14:paraId="7854C112" w14:textId="77777777" w:rsidR="00DE5ED1" w:rsidRPr="00CB14D2" w:rsidRDefault="00783AE7">
      <w:pPr>
        <w:spacing w:after="16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CB14D2">
        <w:rPr>
          <w:rFonts w:ascii="Palatino Linotype" w:eastAsia="Palatino Linotype" w:hAnsi="Palatino Linotype" w:cs="Palatino Linotype"/>
          <w:vertAlign w:val="superscript"/>
        </w:rPr>
        <w:footnoteReference w:id="5"/>
      </w:r>
    </w:p>
    <w:p w14:paraId="667FB763" w14:textId="77777777" w:rsidR="00DE5ED1" w:rsidRPr="00CB14D2" w:rsidRDefault="00783AE7">
      <w:pPr>
        <w:spacing w:after="16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Sirve de fundamentación a lo antes expresado, el criterio 2/09 del entonces Instituto Federal de Acceso a la Información Pública y Protección de Datos Personales que se transcribe a continuación para la claridad de las razones que justifican la actuación de este órgano garante.</w:t>
      </w:r>
    </w:p>
    <w:p w14:paraId="4CAB47E0" w14:textId="77777777" w:rsidR="00DE5ED1" w:rsidRPr="00CB14D2" w:rsidRDefault="00783AE7">
      <w:pPr>
        <w:spacing w:after="160"/>
        <w:ind w:left="851" w:right="900"/>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“Copias certificadas. La certificación prevista en la Ley Federal de Transparencia y Acceso a la Información Pública Gubernamental corrobora que el documento es una copia fiel del que obra en los archivos de la dependencia o entidad.</w:t>
      </w:r>
      <w:r w:rsidRPr="00CB14D2">
        <w:rPr>
          <w:rFonts w:ascii="Palatino Linotype" w:eastAsia="Palatino Linotype" w:hAnsi="Palatino Linotype" w:cs="Palatino Linotype"/>
          <w:i/>
          <w:sz w:val="22"/>
          <w:szCs w:val="22"/>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w:t>
      </w:r>
      <w:r w:rsidRPr="00CB14D2">
        <w:rPr>
          <w:rFonts w:ascii="Palatino Linotype" w:eastAsia="Palatino Linotype" w:hAnsi="Palatino Linotype" w:cs="Palatino Linotype"/>
          <w:i/>
          <w:sz w:val="22"/>
          <w:szCs w:val="22"/>
        </w:rPr>
        <w:lastRenderedPageBreak/>
        <w:t>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61F14054" w14:textId="77777777" w:rsidR="00DE5ED1" w:rsidRPr="00CB14D2" w:rsidRDefault="00783AE7">
      <w:pPr>
        <w:spacing w:before="240" w:after="240" w:line="360" w:lineRule="auto"/>
        <w:ind w:right="49"/>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Ahora bien, para la entrega de la información certificada tal y como fue solicitada por el particular en el asunto que nos ocupa,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deberá hacer del conocimiento de 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vía SAIMEX</w:t>
      </w:r>
      <w:r w:rsidRPr="00CB14D2">
        <w:rPr>
          <w:rFonts w:ascii="Palatino Linotype" w:eastAsia="Palatino Linotype" w:hAnsi="Palatino Linotype" w:cs="Palatino Linotype"/>
          <w:b/>
        </w:rPr>
        <w:t xml:space="preserve">, </w:t>
      </w:r>
      <w:r w:rsidRPr="00CB14D2">
        <w:rPr>
          <w:rFonts w:ascii="Palatino Linotype" w:eastAsia="Palatino Linotype" w:hAnsi="Palatino Linotype" w:cs="Palatino Linotype"/>
          <w:b/>
          <w:u w:val="single"/>
        </w:rPr>
        <w:t>el costo total por la reproducción y certificación de la información requerida,</w:t>
      </w:r>
      <w:r w:rsidRPr="00CB14D2">
        <w:rPr>
          <w:rFonts w:ascii="Palatino Linotype" w:eastAsia="Palatino Linotype" w:hAnsi="Palatino Linotype" w:cs="Palatino Linotype"/>
        </w:rPr>
        <w:t xml:space="preserve"> así como</w:t>
      </w:r>
      <w:r w:rsidRPr="00CB14D2">
        <w:rPr>
          <w:rFonts w:ascii="Palatino Linotype" w:eastAsia="Palatino Linotype" w:hAnsi="Palatino Linotype" w:cs="Palatino Linotype"/>
          <w:b/>
        </w:rPr>
        <w:t xml:space="preserve"> </w:t>
      </w:r>
      <w:r w:rsidRPr="00CB14D2">
        <w:rPr>
          <w:rFonts w:ascii="Palatino Linotype" w:eastAsia="Palatino Linotype" w:hAnsi="Palatino Linotype" w:cs="Palatino Linotype"/>
        </w:rPr>
        <w:t>el procedimiento para la entrega de la misma en el que se establezca: procedimiento para realizar el pago correspondiente, lugar, día y horarios en los que podrá presentarse a recoger las copias certificadas y el nombre del o los servidores públicos que le atenderán.</w:t>
      </w:r>
    </w:p>
    <w:p w14:paraId="7F3DBC31"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Quinto. Versión Pública.</w:t>
      </w:r>
      <w:r w:rsidRPr="00CB14D2">
        <w:rPr>
          <w:rFonts w:ascii="Palatino Linotype" w:eastAsia="Palatino Linotype" w:hAnsi="Palatino Linotype" w:cs="Palatino Linotype"/>
          <w:sz w:val="28"/>
          <w:szCs w:val="28"/>
        </w:rPr>
        <w:t xml:space="preserve"> </w:t>
      </w:r>
      <w:r w:rsidRPr="00CB14D2">
        <w:rPr>
          <w:rFonts w:ascii="Palatino Linotype" w:eastAsia="Palatino Linotype" w:hAnsi="Palatino Linotype" w:cs="Palatino Linotype"/>
        </w:rPr>
        <w:t>Finalmente, debe señalarse que de ser el caso en que los documentos que vayan a ser entregados por el</w:t>
      </w:r>
      <w:r w:rsidRPr="00CB14D2">
        <w:rPr>
          <w:rFonts w:ascii="Palatino Linotype" w:eastAsia="Palatino Linotype" w:hAnsi="Palatino Linotype" w:cs="Palatino Linotype"/>
          <w:b/>
        </w:rPr>
        <w:t xml:space="preserve"> Sujeto Obligado</w:t>
      </w:r>
      <w:r w:rsidRPr="00CB14D2">
        <w:rPr>
          <w:rFonts w:ascii="Palatino Linotype" w:eastAsia="Palatino Linotype" w:hAnsi="Palatino Linotype" w:cs="Palatino Linotype"/>
        </w:rPr>
        <w:t xml:space="preserve">, para dar cumplimiento a la presente resolución, contengan datos que deban ser clasificados, </w:t>
      </w:r>
      <w:r w:rsidRPr="00CB14D2">
        <w:rPr>
          <w:rFonts w:ascii="Palatino Linotype" w:eastAsia="Palatino Linotype" w:hAnsi="Palatino Linotype" w:cs="Palatino Linotype"/>
        </w:rPr>
        <w:lastRenderedPageBreak/>
        <w:t xml:space="preserve">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7E69904B"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2D18E0D"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r w:rsidRPr="00CB14D2">
        <w:rPr>
          <w:rFonts w:ascii="Palatino Linotype" w:eastAsia="Palatino Linotype" w:hAnsi="Palatino Linotype" w:cs="Palatino Linotype"/>
          <w:b/>
          <w:i/>
          <w:sz w:val="22"/>
          <w:szCs w:val="22"/>
        </w:rPr>
        <w:t>Artículo 3</w:t>
      </w:r>
      <w:r w:rsidRPr="00CB14D2">
        <w:rPr>
          <w:rFonts w:ascii="Palatino Linotype" w:eastAsia="Palatino Linotype" w:hAnsi="Palatino Linotype" w:cs="Palatino Linotype"/>
          <w:i/>
          <w:sz w:val="22"/>
          <w:szCs w:val="22"/>
        </w:rPr>
        <w:t>. Para los efectos de la presente Ley se entenderá por:</w:t>
      </w:r>
    </w:p>
    <w:p w14:paraId="2C43457E"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2BCDB22A"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IX. Datos personales</w:t>
      </w:r>
      <w:r w:rsidRPr="00CB14D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D38C25D"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XX. Información clasificada</w:t>
      </w:r>
      <w:r w:rsidRPr="00CB14D2">
        <w:rPr>
          <w:rFonts w:ascii="Palatino Linotype" w:eastAsia="Palatino Linotype" w:hAnsi="Palatino Linotype" w:cs="Palatino Linotype"/>
          <w:i/>
          <w:sz w:val="22"/>
          <w:szCs w:val="22"/>
        </w:rPr>
        <w:t>: Aquella considerada por la presente Ley como reservada o confidencial;</w:t>
      </w:r>
    </w:p>
    <w:p w14:paraId="558519BD"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 xml:space="preserve">XXI. Información confidencial: </w:t>
      </w:r>
      <w:r w:rsidRPr="00CB14D2">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E394B16"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XLV. Versión pública:</w:t>
      </w:r>
      <w:r w:rsidRPr="00CB14D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7028C9F"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27D96C88"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91.</w:t>
      </w:r>
      <w:r w:rsidRPr="00CB14D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B255CCB"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132.</w:t>
      </w:r>
      <w:r w:rsidRPr="00CB14D2">
        <w:rPr>
          <w:rFonts w:ascii="Palatino Linotype" w:eastAsia="Palatino Linotype" w:hAnsi="Palatino Linotype" w:cs="Palatino Linotype"/>
          <w:i/>
          <w:sz w:val="22"/>
          <w:szCs w:val="22"/>
        </w:rPr>
        <w:t xml:space="preserve"> La clasificación de la información se llevará a cabo en el momento en que:</w:t>
      </w:r>
    </w:p>
    <w:p w14:paraId="4365CB36"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w:t>
      </w:r>
      <w:r w:rsidRPr="00CB14D2">
        <w:rPr>
          <w:rFonts w:ascii="Palatino Linotype" w:eastAsia="Palatino Linotype" w:hAnsi="Palatino Linotype" w:cs="Palatino Linotype"/>
          <w:i/>
          <w:sz w:val="22"/>
          <w:szCs w:val="22"/>
        </w:rPr>
        <w:t>. Se reciba una solicitud de acceso a la información;</w:t>
      </w:r>
    </w:p>
    <w:p w14:paraId="3331ACF0"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lastRenderedPageBreak/>
        <w:t>II.</w:t>
      </w:r>
      <w:r w:rsidRPr="00CB14D2">
        <w:rPr>
          <w:rFonts w:ascii="Palatino Linotype" w:eastAsia="Palatino Linotype" w:hAnsi="Palatino Linotype" w:cs="Palatino Linotype"/>
          <w:i/>
          <w:sz w:val="22"/>
          <w:szCs w:val="22"/>
        </w:rPr>
        <w:t xml:space="preserve"> Se determine mediante resolución de autoridad competente; o</w:t>
      </w:r>
    </w:p>
    <w:p w14:paraId="13C43042"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III.</w:t>
      </w:r>
      <w:r w:rsidRPr="00CB14D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87C08E0"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w:t>
      </w:r>
    </w:p>
    <w:p w14:paraId="796D5C5A"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Artículo 143</w:t>
      </w:r>
      <w:r w:rsidRPr="00CB14D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37CE6DF"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w:t>
      </w:r>
      <w:r w:rsidRPr="00CB14D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9B1F4B9"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w:t>
      </w:r>
      <w:r w:rsidRPr="00CB14D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B060C7C"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III.</w:t>
      </w:r>
      <w:r w:rsidRPr="00CB14D2">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219E27E"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612AF67"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5DFBBAB"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32F39E8"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14:paraId="05CD4842"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“Quincuagésimo sexto</w:t>
      </w:r>
      <w:r w:rsidRPr="00CB14D2">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F59D0B0"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Quincuagésimo séptimo</w:t>
      </w:r>
      <w:r w:rsidRPr="00CB14D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3A7B912"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w:t>
      </w:r>
      <w:r w:rsidRPr="00CB14D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473A5CD"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w:t>
      </w:r>
      <w:r w:rsidRPr="00CB14D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3ACA781" w14:textId="77777777" w:rsidR="00DE5ED1" w:rsidRPr="00CB14D2" w:rsidRDefault="00783AE7">
      <w:pPr>
        <w:spacing w:before="120" w:after="120"/>
        <w:ind w:left="1134"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III.</w:t>
      </w:r>
      <w:r w:rsidRPr="00CB14D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1A2C76B"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3CC93F9E" w14:textId="77777777" w:rsidR="00DE5ED1" w:rsidRPr="00CB14D2" w:rsidRDefault="00783AE7">
      <w:pPr>
        <w:spacing w:before="120" w:after="120"/>
        <w:ind w:left="851" w:right="902"/>
        <w:jc w:val="both"/>
        <w:rPr>
          <w:rFonts w:ascii="Palatino Linotype" w:eastAsia="Palatino Linotype" w:hAnsi="Palatino Linotype" w:cs="Palatino Linotype"/>
          <w:i/>
          <w:sz w:val="22"/>
          <w:szCs w:val="22"/>
        </w:rPr>
      </w:pPr>
      <w:r w:rsidRPr="00CB14D2">
        <w:rPr>
          <w:rFonts w:ascii="Palatino Linotype" w:eastAsia="Palatino Linotype" w:hAnsi="Palatino Linotype" w:cs="Palatino Linotype"/>
          <w:b/>
          <w:i/>
          <w:sz w:val="22"/>
          <w:szCs w:val="22"/>
        </w:rPr>
        <w:t>Quincuagésimo octavo</w:t>
      </w:r>
      <w:r w:rsidRPr="00CB14D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0F9A71E2"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w:t>
      </w:r>
      <w:r w:rsidRPr="00CB14D2">
        <w:rPr>
          <w:rFonts w:ascii="Palatino Linotype" w:eastAsia="Palatino Linotype" w:hAnsi="Palatino Linotype" w:cs="Palatino Linotype"/>
        </w:rPr>
        <w:lastRenderedPageBreak/>
        <w:t>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30FAAA4"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DE5ED1" w:rsidRPr="00CB14D2" w14:paraId="40596549" w14:textId="77777777" w:rsidTr="00DE5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7B12309D" w14:textId="77777777" w:rsidR="00DE5ED1" w:rsidRPr="00CB14D2" w:rsidRDefault="00783AE7">
            <w:pPr>
              <w:jc w:val="center"/>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Parcial</w:t>
            </w:r>
          </w:p>
        </w:tc>
        <w:tc>
          <w:tcPr>
            <w:tcW w:w="4414" w:type="dxa"/>
            <w:gridSpan w:val="2"/>
          </w:tcPr>
          <w:p w14:paraId="03DFEB7A" w14:textId="77777777" w:rsidR="00DE5ED1" w:rsidRPr="00CB14D2" w:rsidRDefault="00783AE7">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Total</w:t>
            </w:r>
          </w:p>
        </w:tc>
      </w:tr>
      <w:tr w:rsidR="00DE5ED1" w:rsidRPr="00CB14D2" w14:paraId="29576AC4" w14:textId="77777777" w:rsidTr="00DE5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08F83AD" w14:textId="77777777" w:rsidR="00DE5ED1" w:rsidRPr="00CB14D2" w:rsidRDefault="00783AE7">
            <w:pPr>
              <w:jc w:val="center"/>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Concepto</w:t>
            </w:r>
          </w:p>
        </w:tc>
        <w:tc>
          <w:tcPr>
            <w:tcW w:w="3421" w:type="dxa"/>
          </w:tcPr>
          <w:p w14:paraId="5CBB5BBD" w14:textId="77777777" w:rsidR="00DE5ED1" w:rsidRPr="00CB14D2" w:rsidRDefault="00783AE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Dónde</w:t>
            </w:r>
          </w:p>
        </w:tc>
        <w:tc>
          <w:tcPr>
            <w:tcW w:w="968" w:type="dxa"/>
          </w:tcPr>
          <w:p w14:paraId="1ABB3DF9" w14:textId="77777777" w:rsidR="00DE5ED1" w:rsidRPr="00CB14D2" w:rsidRDefault="00783AE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Concepto</w:t>
            </w:r>
          </w:p>
        </w:tc>
        <w:tc>
          <w:tcPr>
            <w:tcW w:w="3446" w:type="dxa"/>
          </w:tcPr>
          <w:p w14:paraId="1C454AE8" w14:textId="77777777" w:rsidR="00DE5ED1" w:rsidRPr="00CB14D2" w:rsidRDefault="00783AE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Dónde</w:t>
            </w:r>
          </w:p>
        </w:tc>
      </w:tr>
      <w:tr w:rsidR="00DE5ED1" w:rsidRPr="00CB14D2" w14:paraId="52DC2560" w14:textId="77777777" w:rsidTr="00DE5ED1">
        <w:tc>
          <w:tcPr>
            <w:cnfStyle w:val="001000000000" w:firstRow="0" w:lastRow="0" w:firstColumn="1" w:lastColumn="0" w:oddVBand="0" w:evenVBand="0" w:oddHBand="0" w:evenHBand="0" w:firstRowFirstColumn="0" w:firstRowLastColumn="0" w:lastRowFirstColumn="0" w:lastRowLastColumn="0"/>
            <w:tcW w:w="8828" w:type="dxa"/>
            <w:gridSpan w:val="4"/>
          </w:tcPr>
          <w:p w14:paraId="19A7BBCB" w14:textId="77777777" w:rsidR="00DE5ED1" w:rsidRPr="00CB14D2" w:rsidRDefault="00783AE7">
            <w:pPr>
              <w:jc w:val="center"/>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Sello oficial o logotipo del sujeto obligado</w:t>
            </w:r>
          </w:p>
        </w:tc>
      </w:tr>
      <w:tr w:rsidR="00DE5ED1" w:rsidRPr="00CB14D2" w14:paraId="34B3BDDE" w14:textId="77777777" w:rsidTr="00DE5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292AA6A"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Fecha de clasificación</w:t>
            </w:r>
          </w:p>
        </w:tc>
        <w:tc>
          <w:tcPr>
            <w:tcW w:w="3421" w:type="dxa"/>
          </w:tcPr>
          <w:p w14:paraId="2FA09CD8"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FADD95E"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Fecha de clasificación</w:t>
            </w:r>
          </w:p>
        </w:tc>
        <w:tc>
          <w:tcPr>
            <w:tcW w:w="3446" w:type="dxa"/>
          </w:tcPr>
          <w:p w14:paraId="0B78CF42"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E5ED1" w:rsidRPr="00CB14D2" w14:paraId="2A7E1401" w14:textId="77777777" w:rsidTr="00DE5ED1">
        <w:tc>
          <w:tcPr>
            <w:cnfStyle w:val="001000000000" w:firstRow="0" w:lastRow="0" w:firstColumn="1" w:lastColumn="0" w:oddVBand="0" w:evenVBand="0" w:oddHBand="0" w:evenHBand="0" w:firstRowFirstColumn="0" w:firstRowLastColumn="0" w:lastRowFirstColumn="0" w:lastRowLastColumn="0"/>
            <w:tcW w:w="993" w:type="dxa"/>
          </w:tcPr>
          <w:p w14:paraId="6E87AB89"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Área</w:t>
            </w:r>
          </w:p>
        </w:tc>
        <w:tc>
          <w:tcPr>
            <w:tcW w:w="3421" w:type="dxa"/>
          </w:tcPr>
          <w:p w14:paraId="65CCA852"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señalará el nombre del área del cual es titular quien clasifica.</w:t>
            </w:r>
          </w:p>
        </w:tc>
        <w:tc>
          <w:tcPr>
            <w:tcW w:w="968" w:type="dxa"/>
          </w:tcPr>
          <w:p w14:paraId="77622DDF"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Área</w:t>
            </w:r>
          </w:p>
        </w:tc>
        <w:tc>
          <w:tcPr>
            <w:tcW w:w="3446" w:type="dxa"/>
          </w:tcPr>
          <w:p w14:paraId="0C86CD49"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señalará el nombre del área de la cual es el titular quien clasifica.</w:t>
            </w:r>
          </w:p>
        </w:tc>
      </w:tr>
      <w:tr w:rsidR="00DE5ED1" w:rsidRPr="00CB14D2" w14:paraId="55CAB461" w14:textId="77777777" w:rsidTr="00DE5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1D243D4"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Información reservada</w:t>
            </w:r>
          </w:p>
        </w:tc>
        <w:tc>
          <w:tcPr>
            <w:tcW w:w="3421" w:type="dxa"/>
          </w:tcPr>
          <w:p w14:paraId="3A80F136"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FB26C3F"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Reservado</w:t>
            </w:r>
          </w:p>
        </w:tc>
        <w:tc>
          <w:tcPr>
            <w:tcW w:w="3446" w:type="dxa"/>
          </w:tcPr>
          <w:p w14:paraId="7AEF9F99"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Leyenda de información RESERVADA.</w:t>
            </w:r>
          </w:p>
        </w:tc>
      </w:tr>
      <w:tr w:rsidR="00DE5ED1" w:rsidRPr="00CB14D2" w14:paraId="6F409DF6" w14:textId="77777777" w:rsidTr="00DE5ED1">
        <w:tc>
          <w:tcPr>
            <w:cnfStyle w:val="001000000000" w:firstRow="0" w:lastRow="0" w:firstColumn="1" w:lastColumn="0" w:oddVBand="0" w:evenVBand="0" w:oddHBand="0" w:evenHBand="0" w:firstRowFirstColumn="0" w:firstRowLastColumn="0" w:lastRowFirstColumn="0" w:lastRowLastColumn="0"/>
            <w:tcW w:w="993" w:type="dxa"/>
          </w:tcPr>
          <w:p w14:paraId="5C76DA8F"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Fundamento legal</w:t>
            </w:r>
          </w:p>
        </w:tc>
        <w:tc>
          <w:tcPr>
            <w:tcW w:w="3421" w:type="dxa"/>
          </w:tcPr>
          <w:p w14:paraId="56AB7A50"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B802B27"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Periodo de reserva</w:t>
            </w:r>
          </w:p>
        </w:tc>
        <w:tc>
          <w:tcPr>
            <w:tcW w:w="3446" w:type="dxa"/>
          </w:tcPr>
          <w:p w14:paraId="4F0433B6"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E5ED1" w:rsidRPr="00CB14D2" w14:paraId="1D01B575" w14:textId="77777777" w:rsidTr="00DE5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CF8E633"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Ampliación del periodo de reserva</w:t>
            </w:r>
          </w:p>
        </w:tc>
        <w:tc>
          <w:tcPr>
            <w:tcW w:w="3421" w:type="dxa"/>
          </w:tcPr>
          <w:p w14:paraId="13A3E183"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10F0DCC"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Fundamento legal</w:t>
            </w:r>
          </w:p>
        </w:tc>
        <w:tc>
          <w:tcPr>
            <w:tcW w:w="3446" w:type="dxa"/>
          </w:tcPr>
          <w:p w14:paraId="09910F39"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E5ED1" w:rsidRPr="00CB14D2" w14:paraId="71C2672E" w14:textId="77777777" w:rsidTr="00DE5ED1">
        <w:tc>
          <w:tcPr>
            <w:cnfStyle w:val="001000000000" w:firstRow="0" w:lastRow="0" w:firstColumn="1" w:lastColumn="0" w:oddVBand="0" w:evenVBand="0" w:oddHBand="0" w:evenHBand="0" w:firstRowFirstColumn="0" w:firstRowLastColumn="0" w:lastRowFirstColumn="0" w:lastRowLastColumn="0"/>
            <w:tcW w:w="993" w:type="dxa"/>
          </w:tcPr>
          <w:p w14:paraId="659B025F"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Confidencial</w:t>
            </w:r>
          </w:p>
        </w:tc>
        <w:tc>
          <w:tcPr>
            <w:tcW w:w="3421" w:type="dxa"/>
          </w:tcPr>
          <w:p w14:paraId="06B6F18C"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35D4514"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Ampliación del periodo de reserva</w:t>
            </w:r>
          </w:p>
        </w:tc>
        <w:tc>
          <w:tcPr>
            <w:tcW w:w="3446" w:type="dxa"/>
          </w:tcPr>
          <w:p w14:paraId="1C2FD31B"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E5ED1" w:rsidRPr="00CB14D2" w14:paraId="6B7405DE" w14:textId="77777777" w:rsidTr="00DE5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9FD4EA4"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Fundamento legal</w:t>
            </w:r>
          </w:p>
        </w:tc>
        <w:tc>
          <w:tcPr>
            <w:tcW w:w="3421" w:type="dxa"/>
          </w:tcPr>
          <w:p w14:paraId="15BEB808"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50A6C533"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Confidencial</w:t>
            </w:r>
          </w:p>
        </w:tc>
        <w:tc>
          <w:tcPr>
            <w:tcW w:w="3446" w:type="dxa"/>
          </w:tcPr>
          <w:p w14:paraId="28E81B82"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Leyenda de información CONFIDENCIAL.</w:t>
            </w:r>
          </w:p>
        </w:tc>
      </w:tr>
      <w:tr w:rsidR="00DE5ED1" w:rsidRPr="00CB14D2" w14:paraId="013CD1A8" w14:textId="77777777" w:rsidTr="00DE5ED1">
        <w:tc>
          <w:tcPr>
            <w:cnfStyle w:val="001000000000" w:firstRow="0" w:lastRow="0" w:firstColumn="1" w:lastColumn="0" w:oddVBand="0" w:evenVBand="0" w:oddHBand="0" w:evenHBand="0" w:firstRowFirstColumn="0" w:firstRowLastColumn="0" w:lastRowFirstColumn="0" w:lastRowLastColumn="0"/>
            <w:tcW w:w="993" w:type="dxa"/>
          </w:tcPr>
          <w:p w14:paraId="5D1205F7"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Rúbrica del titular del área</w:t>
            </w:r>
          </w:p>
        </w:tc>
        <w:tc>
          <w:tcPr>
            <w:tcW w:w="3421" w:type="dxa"/>
          </w:tcPr>
          <w:p w14:paraId="177BB95D"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Rúbrica autógrafa de quien clasifica.</w:t>
            </w:r>
          </w:p>
        </w:tc>
        <w:tc>
          <w:tcPr>
            <w:tcW w:w="968" w:type="dxa"/>
          </w:tcPr>
          <w:p w14:paraId="0082D618"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Fundamento legal</w:t>
            </w:r>
          </w:p>
        </w:tc>
        <w:tc>
          <w:tcPr>
            <w:tcW w:w="3446" w:type="dxa"/>
          </w:tcPr>
          <w:p w14:paraId="365BF7C3"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E5ED1" w:rsidRPr="00CB14D2" w14:paraId="3679C6DF" w14:textId="77777777" w:rsidTr="00DE5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543C27F"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Fecha de desclasificación</w:t>
            </w:r>
          </w:p>
        </w:tc>
        <w:tc>
          <w:tcPr>
            <w:tcW w:w="3421" w:type="dxa"/>
          </w:tcPr>
          <w:p w14:paraId="638938E9"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anotará la fecha en que se desclasifica el documento.</w:t>
            </w:r>
          </w:p>
        </w:tc>
        <w:tc>
          <w:tcPr>
            <w:tcW w:w="968" w:type="dxa"/>
          </w:tcPr>
          <w:p w14:paraId="22591F85"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Rúbrica del titular del área</w:t>
            </w:r>
          </w:p>
        </w:tc>
        <w:tc>
          <w:tcPr>
            <w:tcW w:w="3446" w:type="dxa"/>
          </w:tcPr>
          <w:p w14:paraId="501AFD71"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Rúbrica autógrafa de quien clasifica.</w:t>
            </w:r>
          </w:p>
        </w:tc>
      </w:tr>
      <w:tr w:rsidR="00DE5ED1" w:rsidRPr="00CB14D2" w14:paraId="15C0ACC8" w14:textId="77777777" w:rsidTr="00DE5ED1">
        <w:tc>
          <w:tcPr>
            <w:cnfStyle w:val="001000000000" w:firstRow="0" w:lastRow="0" w:firstColumn="1" w:lastColumn="0" w:oddVBand="0" w:evenVBand="0" w:oddHBand="0" w:evenHBand="0" w:firstRowFirstColumn="0" w:firstRowLastColumn="0" w:lastRowFirstColumn="0" w:lastRowLastColumn="0"/>
            <w:tcW w:w="993" w:type="dxa"/>
          </w:tcPr>
          <w:p w14:paraId="78CF2549" w14:textId="77777777" w:rsidR="00DE5ED1" w:rsidRPr="00CB14D2" w:rsidRDefault="00783AE7">
            <w:pPr>
              <w:jc w:val="both"/>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Rúbrica y cargo del servidor público</w:t>
            </w:r>
          </w:p>
        </w:tc>
        <w:tc>
          <w:tcPr>
            <w:tcW w:w="3421" w:type="dxa"/>
          </w:tcPr>
          <w:p w14:paraId="3DD65E47"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Rúbrica autógrafa de quien desclasifica.</w:t>
            </w:r>
          </w:p>
        </w:tc>
        <w:tc>
          <w:tcPr>
            <w:tcW w:w="968" w:type="dxa"/>
          </w:tcPr>
          <w:p w14:paraId="63EB8DE7"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Fecha de desclasificación</w:t>
            </w:r>
          </w:p>
        </w:tc>
        <w:tc>
          <w:tcPr>
            <w:tcW w:w="3446" w:type="dxa"/>
          </w:tcPr>
          <w:p w14:paraId="5EAFB507"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Se anotará la fecha en que se desclasifica.</w:t>
            </w:r>
          </w:p>
        </w:tc>
      </w:tr>
      <w:tr w:rsidR="00DE5ED1" w:rsidRPr="00CB14D2" w14:paraId="7F01B3FE" w14:textId="77777777" w:rsidTr="00DE5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BB122F7" w14:textId="77777777" w:rsidR="00DE5ED1" w:rsidRPr="00CB14D2" w:rsidRDefault="00DE5ED1">
            <w:pPr>
              <w:jc w:val="both"/>
              <w:rPr>
                <w:rFonts w:ascii="Palatino Linotype" w:eastAsia="Palatino Linotype" w:hAnsi="Palatino Linotype" w:cs="Palatino Linotype"/>
                <w:sz w:val="12"/>
                <w:szCs w:val="12"/>
              </w:rPr>
            </w:pPr>
          </w:p>
        </w:tc>
        <w:tc>
          <w:tcPr>
            <w:tcW w:w="3421" w:type="dxa"/>
          </w:tcPr>
          <w:p w14:paraId="75971AF2" w14:textId="77777777" w:rsidR="00DE5ED1" w:rsidRPr="00CB14D2" w:rsidRDefault="00DE5ED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40F19F1D"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Partes o secciones reservadas o confidenciales</w:t>
            </w:r>
          </w:p>
        </w:tc>
        <w:tc>
          <w:tcPr>
            <w:tcW w:w="3446" w:type="dxa"/>
          </w:tcPr>
          <w:p w14:paraId="1071F647" w14:textId="77777777" w:rsidR="00DE5ED1" w:rsidRPr="00CB14D2" w:rsidRDefault="00783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DE5ED1" w:rsidRPr="00CB14D2" w14:paraId="0FBDBA92" w14:textId="77777777" w:rsidTr="00DE5ED1">
        <w:tc>
          <w:tcPr>
            <w:cnfStyle w:val="001000000000" w:firstRow="0" w:lastRow="0" w:firstColumn="1" w:lastColumn="0" w:oddVBand="0" w:evenVBand="0" w:oddHBand="0" w:evenHBand="0" w:firstRowFirstColumn="0" w:firstRowLastColumn="0" w:lastRowFirstColumn="0" w:lastRowLastColumn="0"/>
            <w:tcW w:w="993" w:type="dxa"/>
          </w:tcPr>
          <w:p w14:paraId="7F630BEF" w14:textId="77777777" w:rsidR="00DE5ED1" w:rsidRPr="00CB14D2" w:rsidRDefault="00DE5ED1">
            <w:pPr>
              <w:jc w:val="both"/>
              <w:rPr>
                <w:rFonts w:ascii="Palatino Linotype" w:eastAsia="Palatino Linotype" w:hAnsi="Palatino Linotype" w:cs="Palatino Linotype"/>
                <w:sz w:val="12"/>
                <w:szCs w:val="12"/>
              </w:rPr>
            </w:pPr>
          </w:p>
        </w:tc>
        <w:tc>
          <w:tcPr>
            <w:tcW w:w="3421" w:type="dxa"/>
          </w:tcPr>
          <w:p w14:paraId="15CDC8FC" w14:textId="77777777" w:rsidR="00DE5ED1" w:rsidRPr="00CB14D2" w:rsidRDefault="00DE5ED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12A43A73"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CB14D2">
              <w:rPr>
                <w:rFonts w:ascii="Palatino Linotype" w:eastAsia="Palatino Linotype" w:hAnsi="Palatino Linotype" w:cs="Palatino Linotype"/>
                <w:b/>
                <w:sz w:val="12"/>
                <w:szCs w:val="12"/>
              </w:rPr>
              <w:t>Rúbrica y cargo del servidor público</w:t>
            </w:r>
          </w:p>
        </w:tc>
        <w:tc>
          <w:tcPr>
            <w:tcW w:w="3446" w:type="dxa"/>
          </w:tcPr>
          <w:p w14:paraId="41630B85" w14:textId="77777777" w:rsidR="00DE5ED1" w:rsidRPr="00CB14D2" w:rsidRDefault="00783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CB14D2">
              <w:rPr>
                <w:rFonts w:ascii="Palatino Linotype" w:eastAsia="Palatino Linotype" w:hAnsi="Palatino Linotype" w:cs="Palatino Linotype"/>
                <w:sz w:val="12"/>
                <w:szCs w:val="12"/>
              </w:rPr>
              <w:t>Rúbrica autógrafa de quien desclasifica.</w:t>
            </w:r>
          </w:p>
        </w:tc>
      </w:tr>
    </w:tbl>
    <w:p w14:paraId="7CAB30ED"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E80F5A6" w14:textId="77777777" w:rsidR="00DE5ED1" w:rsidRPr="00CB14D2" w:rsidRDefault="00783AE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B14D2">
        <w:rPr>
          <w:rFonts w:ascii="Palatino Linotype" w:eastAsia="Palatino Linotype" w:hAnsi="Palatino Linotype" w:cs="Palatino Linotype"/>
          <w:b/>
        </w:rPr>
        <w:t>III. R E S U E L V E:</w:t>
      </w:r>
    </w:p>
    <w:p w14:paraId="445CBD64"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b/>
        </w:rPr>
        <w:t xml:space="preserve">Primero. </w:t>
      </w:r>
      <w:r w:rsidRPr="00CB14D2">
        <w:rPr>
          <w:rFonts w:ascii="Palatino Linotype" w:eastAsia="Palatino Linotype" w:hAnsi="Palatino Linotype" w:cs="Palatino Linotype"/>
        </w:rPr>
        <w:t xml:space="preserve">Resultan </w:t>
      </w:r>
      <w:r w:rsidRPr="00CB14D2">
        <w:rPr>
          <w:rFonts w:ascii="Palatino Linotype" w:eastAsia="Palatino Linotype" w:hAnsi="Palatino Linotype" w:cs="Palatino Linotype"/>
          <w:b/>
        </w:rPr>
        <w:t>parcialmente fundadas</w:t>
      </w:r>
      <w:r w:rsidRPr="00CB14D2">
        <w:rPr>
          <w:rFonts w:ascii="Palatino Linotype" w:eastAsia="Palatino Linotype" w:hAnsi="Palatino Linotype" w:cs="Palatino Linotype"/>
        </w:rPr>
        <w:t xml:space="preserve"> las razones o motivos de inconformidad hechos valer por 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en los recursos de revisión con número </w:t>
      </w:r>
      <w:r w:rsidRPr="00CB14D2">
        <w:rPr>
          <w:rFonts w:ascii="Palatino Linotype" w:eastAsia="Palatino Linotype" w:hAnsi="Palatino Linotype" w:cs="Palatino Linotype"/>
          <w:b/>
        </w:rPr>
        <w:t xml:space="preserve">04259/INFOEM/IP/RR/2022 </w:t>
      </w:r>
      <w:r w:rsidRPr="00CB14D2">
        <w:rPr>
          <w:rFonts w:ascii="Palatino Linotype" w:eastAsia="Palatino Linotype" w:hAnsi="Palatino Linotype" w:cs="Palatino Linotype"/>
        </w:rPr>
        <w:t>y</w:t>
      </w:r>
      <w:r w:rsidRPr="00CB14D2">
        <w:rPr>
          <w:rFonts w:ascii="Palatino Linotype" w:eastAsia="Palatino Linotype" w:hAnsi="Palatino Linotype" w:cs="Palatino Linotype"/>
          <w:b/>
        </w:rPr>
        <w:t xml:space="preserve"> 04261/INFOEM/IP/RR/2022, </w:t>
      </w:r>
      <w:r w:rsidRPr="00CB14D2">
        <w:rPr>
          <w:rFonts w:ascii="Palatino Linotype" w:eastAsia="Palatino Linotype" w:hAnsi="Palatino Linotype" w:cs="Palatino Linotype"/>
        </w:rPr>
        <w:t xml:space="preserve">por ende, en términos de los argumentos de derecho señalados en el considerando </w:t>
      </w:r>
      <w:r w:rsidRPr="00CB14D2">
        <w:rPr>
          <w:rFonts w:ascii="Palatino Linotype" w:eastAsia="Palatino Linotype" w:hAnsi="Palatino Linotype" w:cs="Palatino Linotype"/>
          <w:b/>
        </w:rPr>
        <w:t>Cuarto</w:t>
      </w:r>
      <w:r w:rsidRPr="00CB14D2">
        <w:rPr>
          <w:rFonts w:ascii="Palatino Linotype" w:eastAsia="Palatino Linotype" w:hAnsi="Palatino Linotype" w:cs="Palatino Linotype"/>
        </w:rPr>
        <w:t>, se</w:t>
      </w:r>
      <w:r w:rsidRPr="00CB14D2">
        <w:rPr>
          <w:rFonts w:ascii="Palatino Linotype" w:eastAsia="Palatino Linotype" w:hAnsi="Palatino Linotype" w:cs="Palatino Linotype"/>
          <w:b/>
        </w:rPr>
        <w:t xml:space="preserve"> Revocan </w:t>
      </w:r>
      <w:r w:rsidRPr="00CB14D2">
        <w:rPr>
          <w:rFonts w:ascii="Palatino Linotype" w:eastAsia="Palatino Linotype" w:hAnsi="Palatino Linotype" w:cs="Palatino Linotype"/>
        </w:rPr>
        <w:t xml:space="preserve">las respuestas del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w:t>
      </w:r>
    </w:p>
    <w:p w14:paraId="34DA883C" w14:textId="77777777" w:rsidR="00DE5ED1" w:rsidRPr="00CB14D2" w:rsidRDefault="00783AE7">
      <w:pP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CB14D2">
        <w:rPr>
          <w:rFonts w:ascii="Palatino Linotype" w:eastAsia="Palatino Linotype" w:hAnsi="Palatino Linotype" w:cs="Palatino Linotype"/>
          <w:b/>
        </w:rPr>
        <w:t xml:space="preserve">Segundo. </w:t>
      </w:r>
      <w:r w:rsidRPr="00CB14D2">
        <w:rPr>
          <w:rFonts w:ascii="Palatino Linotype" w:eastAsia="Palatino Linotype" w:hAnsi="Palatino Linotype" w:cs="Palatino Linotype"/>
        </w:rPr>
        <w:t xml:space="preserve">Se </w:t>
      </w:r>
      <w:r w:rsidRPr="00CB14D2">
        <w:rPr>
          <w:rFonts w:ascii="Palatino Linotype" w:eastAsia="Palatino Linotype" w:hAnsi="Palatino Linotype" w:cs="Palatino Linotype"/>
          <w:b/>
        </w:rPr>
        <w:t>Ordena</w:t>
      </w:r>
      <w:r w:rsidRPr="00CB14D2">
        <w:rPr>
          <w:rFonts w:ascii="Palatino Linotype" w:eastAsia="Palatino Linotype" w:hAnsi="Palatino Linotype" w:cs="Palatino Linotype"/>
        </w:rPr>
        <w:t xml:space="preserve"> al </w:t>
      </w:r>
      <w:r w:rsidRPr="00CB14D2">
        <w:rPr>
          <w:rFonts w:ascii="Palatino Linotype" w:eastAsia="Palatino Linotype" w:hAnsi="Palatino Linotype" w:cs="Palatino Linotype"/>
          <w:b/>
        </w:rPr>
        <w:t>Sujeto Obligado</w:t>
      </w:r>
      <w:r w:rsidRPr="00CB14D2">
        <w:rPr>
          <w:rFonts w:ascii="Palatino Linotype" w:eastAsia="Palatino Linotype" w:hAnsi="Palatino Linotype" w:cs="Palatino Linotype"/>
        </w:rPr>
        <w:t xml:space="preserve">, en términos de los Considerandos </w:t>
      </w:r>
      <w:r w:rsidRPr="00CB14D2">
        <w:rPr>
          <w:rFonts w:ascii="Palatino Linotype" w:eastAsia="Palatino Linotype" w:hAnsi="Palatino Linotype" w:cs="Palatino Linotype"/>
          <w:b/>
        </w:rPr>
        <w:t xml:space="preserve">Cuarto y Quinto </w:t>
      </w:r>
      <w:r w:rsidRPr="00CB14D2">
        <w:rPr>
          <w:rFonts w:ascii="Palatino Linotype" w:eastAsia="Palatino Linotype" w:hAnsi="Palatino Linotype" w:cs="Palatino Linotype"/>
        </w:rPr>
        <w:t>de esta resolución, haga entrega vía SAIMEX y en copia certificada con costo, en versión pública de lo siguiente:</w:t>
      </w:r>
    </w:p>
    <w:p w14:paraId="3EA936A5" w14:textId="77777777" w:rsidR="00DE5ED1" w:rsidRPr="00CB14D2" w:rsidRDefault="00783AE7">
      <w:pPr>
        <w:spacing w:before="240" w:after="240" w:line="360" w:lineRule="auto"/>
        <w:ind w:left="426"/>
        <w:jc w:val="both"/>
        <w:rPr>
          <w:rFonts w:ascii="Palatino Linotype" w:eastAsia="Palatino Linotype" w:hAnsi="Palatino Linotype" w:cs="Palatino Linotype"/>
          <w:i/>
        </w:rPr>
      </w:pPr>
      <w:bookmarkStart w:id="6" w:name="_heading=h.vik47qy4e2u6" w:colFirst="0" w:colLast="0"/>
      <w:bookmarkEnd w:id="6"/>
      <w:r w:rsidRPr="00CB14D2">
        <w:rPr>
          <w:rFonts w:ascii="Palatino Linotype" w:eastAsia="Palatino Linotype" w:hAnsi="Palatino Linotype" w:cs="Palatino Linotype"/>
        </w:rPr>
        <w:t>1. Soporte documental que dé cuenta de la donación que acredita la propiedad municipal del bien inmueble relacionado con la ampliación de la vía pública en la Calle Cedros, del Poblado de Ignacio Allende, Huixquilucan, Estado de México</w:t>
      </w:r>
    </w:p>
    <w:p w14:paraId="7CA23167" w14:textId="77777777" w:rsidR="00DE5ED1" w:rsidRPr="00CB14D2" w:rsidRDefault="00783AE7">
      <w:pPr>
        <w:spacing w:before="240" w:after="240"/>
        <w:ind w:left="426"/>
        <w:jc w:val="both"/>
        <w:rPr>
          <w:rFonts w:ascii="Palatino Linotype" w:eastAsia="Palatino Linotype" w:hAnsi="Palatino Linotype" w:cs="Palatino Linotype"/>
          <w:i/>
          <w:sz w:val="20"/>
          <w:szCs w:val="20"/>
        </w:rPr>
      </w:pPr>
      <w:r w:rsidRPr="00CB14D2">
        <w:rPr>
          <w:rFonts w:ascii="Palatino Linotype" w:eastAsia="Palatino Linotype" w:hAnsi="Palatino Linotype" w:cs="Palatino Linotype"/>
          <w:i/>
          <w:sz w:val="20"/>
          <w:szCs w:val="20"/>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CB14D2">
        <w:rPr>
          <w:rFonts w:ascii="Palatino Linotype" w:eastAsia="Palatino Linotype" w:hAnsi="Palatino Linotype" w:cs="Palatino Linotype"/>
          <w:b/>
          <w:i/>
          <w:sz w:val="20"/>
          <w:szCs w:val="20"/>
        </w:rPr>
        <w:t>Recurrente</w:t>
      </w:r>
      <w:r w:rsidRPr="00CB14D2">
        <w:rPr>
          <w:rFonts w:ascii="Palatino Linotype" w:eastAsia="Palatino Linotype" w:hAnsi="Palatino Linotype" w:cs="Palatino Linotype"/>
          <w:i/>
          <w:sz w:val="20"/>
          <w:szCs w:val="20"/>
        </w:rPr>
        <w:t>, mismo que igualmente hará de su conocimiento.</w:t>
      </w:r>
    </w:p>
    <w:p w14:paraId="754E37F9" w14:textId="77777777" w:rsidR="00DE5ED1" w:rsidRPr="00CB14D2" w:rsidRDefault="00783AE7">
      <w:pPr>
        <w:spacing w:before="240" w:after="240"/>
        <w:ind w:left="426"/>
        <w:jc w:val="both"/>
        <w:rPr>
          <w:rFonts w:ascii="Palatino Linotype" w:eastAsia="Palatino Linotype" w:hAnsi="Palatino Linotype" w:cs="Palatino Linotype"/>
          <w:i/>
          <w:sz w:val="20"/>
          <w:szCs w:val="20"/>
        </w:rPr>
      </w:pPr>
      <w:r w:rsidRPr="00CB14D2">
        <w:rPr>
          <w:rFonts w:ascii="Palatino Linotype" w:eastAsia="Palatino Linotype" w:hAnsi="Palatino Linotype" w:cs="Palatino Linotype"/>
          <w:i/>
          <w:sz w:val="20"/>
          <w:szCs w:val="20"/>
        </w:rPr>
        <w:lastRenderedPageBreak/>
        <w:t xml:space="preserve">Para la entrega de la información mediante copia certificada, el </w:t>
      </w:r>
      <w:r w:rsidRPr="00CB14D2">
        <w:rPr>
          <w:rFonts w:ascii="Palatino Linotype" w:eastAsia="Palatino Linotype" w:hAnsi="Palatino Linotype" w:cs="Palatino Linotype"/>
          <w:b/>
          <w:i/>
          <w:sz w:val="20"/>
          <w:szCs w:val="20"/>
        </w:rPr>
        <w:t>Sujeto Obligado</w:t>
      </w:r>
      <w:r w:rsidRPr="00CB14D2">
        <w:rPr>
          <w:rFonts w:ascii="Palatino Linotype" w:eastAsia="Palatino Linotype" w:hAnsi="Palatino Linotype" w:cs="Palatino Linotype"/>
          <w:i/>
          <w:sz w:val="20"/>
          <w:szCs w:val="20"/>
        </w:rPr>
        <w:t xml:space="preserve"> previamente deberá hacer de conocimiento de la parte </w:t>
      </w:r>
      <w:r w:rsidRPr="00CB14D2">
        <w:rPr>
          <w:rFonts w:ascii="Palatino Linotype" w:eastAsia="Palatino Linotype" w:hAnsi="Palatino Linotype" w:cs="Palatino Linotype"/>
          <w:b/>
          <w:i/>
          <w:sz w:val="20"/>
          <w:szCs w:val="20"/>
        </w:rPr>
        <w:t>Recurrente</w:t>
      </w:r>
      <w:r w:rsidRPr="00CB14D2">
        <w:rPr>
          <w:rFonts w:ascii="Palatino Linotype" w:eastAsia="Palatino Linotype" w:hAnsi="Palatino Linotype" w:cs="Palatino Linotype"/>
          <w:i/>
          <w:sz w:val="20"/>
          <w:szCs w:val="20"/>
        </w:rPr>
        <w:t>, vía SAIMEX, el costo por la reproducción en su caso, el lugar, día y horarios en los que podrá acceder a la información, así como el nombre del o los servidores públicos que le atenderán</w:t>
      </w:r>
    </w:p>
    <w:p w14:paraId="54C63987" w14:textId="77777777" w:rsidR="00DE5ED1" w:rsidRPr="00CB14D2" w:rsidRDefault="00783AE7">
      <w:pPr>
        <w:spacing w:before="240" w:after="240" w:line="360" w:lineRule="auto"/>
        <w:jc w:val="both"/>
        <w:rPr>
          <w:rFonts w:ascii="Palatino Linotype" w:eastAsia="Palatino Linotype" w:hAnsi="Palatino Linotype" w:cs="Palatino Linotype"/>
          <w:b/>
        </w:rPr>
      </w:pPr>
      <w:r w:rsidRPr="00CB14D2">
        <w:rPr>
          <w:rFonts w:ascii="Palatino Linotype" w:eastAsia="Palatino Linotype" w:hAnsi="Palatino Linotype" w:cs="Palatino Linotype"/>
          <w:b/>
        </w:rPr>
        <w:t xml:space="preserve">Tercero. Notifíquese, </w:t>
      </w:r>
      <w:r w:rsidRPr="00CB14D2">
        <w:rPr>
          <w:rFonts w:ascii="Palatino Linotype" w:eastAsia="Palatino Linotype" w:hAnsi="Palatino Linotype" w:cs="Palatino Linotype"/>
        </w:rPr>
        <w:t xml:space="preserve">vía </w:t>
      </w:r>
      <w:r w:rsidRPr="00CB14D2">
        <w:rPr>
          <w:rFonts w:ascii="Palatino Linotype" w:eastAsia="Palatino Linotype" w:hAnsi="Palatino Linotype" w:cs="Palatino Linotype"/>
          <w:b/>
        </w:rPr>
        <w:t xml:space="preserve">SAIMEX, </w:t>
      </w:r>
      <w:r w:rsidRPr="00CB14D2">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CB14D2">
        <w:rPr>
          <w:rFonts w:ascii="Palatino Linotype" w:eastAsia="Palatino Linotype" w:hAnsi="Palatino Linotype" w:cs="Palatino Linotype"/>
          <w:b/>
        </w:rPr>
        <w:t>.</w:t>
      </w:r>
    </w:p>
    <w:p w14:paraId="5399C370" w14:textId="77777777"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CEB7FE5" w14:textId="77777777" w:rsidR="00DE5ED1" w:rsidRPr="00CB14D2" w:rsidRDefault="00783AE7">
      <w:pPr>
        <w:spacing w:before="240" w:after="240" w:line="360" w:lineRule="auto"/>
        <w:jc w:val="both"/>
        <w:rPr>
          <w:rFonts w:ascii="Palatino Linotype" w:eastAsia="Palatino Linotype" w:hAnsi="Palatino Linotype" w:cs="Palatino Linotype"/>
        </w:rPr>
      </w:pPr>
      <w:bookmarkStart w:id="7" w:name="_heading=h.1t3h5sf" w:colFirst="0" w:colLast="0"/>
      <w:bookmarkEnd w:id="7"/>
      <w:r w:rsidRPr="00CB14D2">
        <w:rPr>
          <w:rFonts w:ascii="Palatino Linotype" w:eastAsia="Palatino Linotype" w:hAnsi="Palatino Linotype" w:cs="Palatino Linotype"/>
          <w:b/>
        </w:rPr>
        <w:t xml:space="preserve">Cuarto.  Notifíquese, </w:t>
      </w:r>
      <w:r w:rsidRPr="00CB14D2">
        <w:rPr>
          <w:rFonts w:ascii="Palatino Linotype" w:eastAsia="Palatino Linotype" w:hAnsi="Palatino Linotype" w:cs="Palatino Linotype"/>
        </w:rPr>
        <w:t xml:space="preserve">vía </w:t>
      </w:r>
      <w:r w:rsidRPr="00CB14D2">
        <w:rPr>
          <w:rFonts w:ascii="Palatino Linotype" w:eastAsia="Palatino Linotype" w:hAnsi="Palatino Linotype" w:cs="Palatino Linotype"/>
          <w:b/>
        </w:rPr>
        <w:t>SAIMEX</w:t>
      </w:r>
      <w:r w:rsidRPr="00CB14D2">
        <w:rPr>
          <w:rFonts w:ascii="Palatino Linotype" w:eastAsia="Palatino Linotype" w:hAnsi="Palatino Linotype" w:cs="Palatino Linotype"/>
        </w:rPr>
        <w:t xml:space="preserve">, a la parte </w:t>
      </w:r>
      <w:r w:rsidRPr="00CB14D2">
        <w:rPr>
          <w:rFonts w:ascii="Palatino Linotype" w:eastAsia="Palatino Linotype" w:hAnsi="Palatino Linotype" w:cs="Palatino Linotype"/>
          <w:b/>
        </w:rPr>
        <w:t>Recurrente</w:t>
      </w:r>
      <w:r w:rsidRPr="00CB14D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19656BA" w14:textId="291878D5" w:rsidR="00DE5ED1" w:rsidRPr="00CB14D2" w:rsidRDefault="00783AE7">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CB14D2">
        <w:rPr>
          <w:rFonts w:ascii="Palatino Linotype" w:eastAsia="Palatino Linotype" w:hAnsi="Palatino Linotype" w:cs="Palatino Linotype"/>
        </w:rPr>
        <w:lastRenderedPageBreak/>
        <w:t>VILCHIS; SHARON CRISTINA MORALES MARTÍNEZ; MARÍA DEL ROSARIO MEJÍA AYALA</w:t>
      </w:r>
      <w:r w:rsidR="00805C59" w:rsidRPr="00CB14D2">
        <w:rPr>
          <w:rFonts w:ascii="Palatino Linotype" w:eastAsia="Palatino Linotype" w:hAnsi="Palatino Linotype" w:cs="Palatino Linotype"/>
        </w:rPr>
        <w:t xml:space="preserve"> EMITIENDO VOTO PARTICULAR CONCURRENTE</w:t>
      </w:r>
      <w:r w:rsidRPr="00CB14D2">
        <w:rPr>
          <w:rFonts w:ascii="Palatino Linotype" w:eastAsia="Palatino Linotype" w:hAnsi="Palatino Linotype" w:cs="Palatino Linotype"/>
        </w:rPr>
        <w:t>; GUADALUPE RAMÍREZ PEÑA Y LUIS GUSTAVO PARRA NORIEGA</w:t>
      </w:r>
      <w:r w:rsidR="00805C59" w:rsidRPr="00CB14D2">
        <w:rPr>
          <w:rFonts w:ascii="Palatino Linotype" w:eastAsia="Palatino Linotype" w:hAnsi="Palatino Linotype" w:cs="Palatino Linotype"/>
        </w:rPr>
        <w:t xml:space="preserve"> EMITIENDO VOTO PARTICULAR CONCURRENTE</w:t>
      </w:r>
      <w:r w:rsidRPr="00CB14D2">
        <w:rPr>
          <w:rFonts w:ascii="Palatino Linotype" w:eastAsia="Palatino Linotype" w:hAnsi="Palatino Linotype" w:cs="Palatino Linotype"/>
        </w:rPr>
        <w:t>; EN LA VIGÉSIMO SÉPTIMA SESIÓN ORDINARIA CELEBRADA EL TRES DE AGOSTO DE DOS MIL VEINTIDÓS, ANTE EL SECRETARIO TÉCNICO DEL PLENO, ALEXIS TAPIA RAMÍREZ.</w:t>
      </w:r>
    </w:p>
    <w:p w14:paraId="2AE04FF5" w14:textId="5DE71E0F" w:rsidR="00F33979" w:rsidRDefault="00F33979">
      <w:pPr>
        <w:spacing w:before="240" w:after="240" w:line="360" w:lineRule="auto"/>
        <w:jc w:val="both"/>
        <w:rPr>
          <w:rFonts w:ascii="Palatino Linotype" w:eastAsia="Palatino Linotype" w:hAnsi="Palatino Linotype" w:cs="Palatino Linotype"/>
        </w:rPr>
      </w:pPr>
      <w:r w:rsidRPr="00CB14D2">
        <w:rPr>
          <w:rFonts w:ascii="Palatino Linotype" w:eastAsia="Palatino Linotype" w:hAnsi="Palatino Linotype" w:cs="Palatino Linotype"/>
          <w:noProof/>
        </w:rPr>
        <mc:AlternateContent>
          <mc:Choice Requires="wps">
            <w:drawing>
              <wp:anchor distT="0" distB="0" distL="114300" distR="114300" simplePos="0" relativeHeight="251664384" behindDoc="0" locked="0" layoutInCell="1" allowOverlap="1" wp14:anchorId="22C759CE" wp14:editId="06790091">
                <wp:simplePos x="0" y="0"/>
                <wp:positionH relativeFrom="margin">
                  <wp:align>left</wp:align>
                </wp:positionH>
                <wp:positionV relativeFrom="paragraph">
                  <wp:posOffset>32558</wp:posOffset>
                </wp:positionV>
                <wp:extent cx="5486285" cy="4779645"/>
                <wp:effectExtent l="38100" t="19050" r="76835" b="97155"/>
                <wp:wrapNone/>
                <wp:docPr id="6" name="Conector recto 6"/>
                <wp:cNvGraphicFramePr/>
                <a:graphic xmlns:a="http://schemas.openxmlformats.org/drawingml/2006/main">
                  <a:graphicData uri="http://schemas.microsoft.com/office/word/2010/wordprocessingShape">
                    <wps:wsp>
                      <wps:cNvCnPr/>
                      <wps:spPr>
                        <a:xfrm>
                          <a:off x="0" y="0"/>
                          <a:ext cx="5486285" cy="47796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9A24E" id="Conector recto 6"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5pt" to="6in,3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" strokecolor="black [3200]" strokeweight="2pt">
                <v:shadow on="t" color="black" opacity="24903f" origin=",.5" offset="0,.55556mm"/>
                <w10:wrap anchorx="margin"/>
              </v:line>
            </w:pict>
          </mc:Fallback>
        </mc:AlternateContent>
      </w:r>
    </w:p>
    <w:p w14:paraId="7F89CB93" w14:textId="53A43737" w:rsidR="00DE5ED1" w:rsidRDefault="00DE5ED1">
      <w:pPr>
        <w:spacing w:before="240" w:after="240" w:line="360" w:lineRule="auto"/>
        <w:jc w:val="both"/>
        <w:rPr>
          <w:rFonts w:ascii="Palatino Linotype" w:eastAsia="Palatino Linotype" w:hAnsi="Palatino Linotype" w:cs="Palatino Linotype"/>
        </w:rPr>
      </w:pPr>
    </w:p>
    <w:p w14:paraId="6453B479" w14:textId="77777777" w:rsidR="00DE5ED1" w:rsidRDefault="00DE5ED1">
      <w:pPr>
        <w:spacing w:before="240" w:after="240" w:line="360" w:lineRule="auto"/>
        <w:jc w:val="both"/>
        <w:rPr>
          <w:rFonts w:ascii="Palatino Linotype" w:eastAsia="Palatino Linotype" w:hAnsi="Palatino Linotype" w:cs="Palatino Linotype"/>
        </w:rPr>
      </w:pPr>
    </w:p>
    <w:p w14:paraId="7A3F64E3" w14:textId="77777777" w:rsidR="00DE5ED1" w:rsidRDefault="00DE5ED1">
      <w:pPr>
        <w:spacing w:before="240" w:after="240" w:line="360" w:lineRule="auto"/>
        <w:jc w:val="both"/>
        <w:rPr>
          <w:rFonts w:ascii="Palatino Linotype" w:eastAsia="Palatino Linotype" w:hAnsi="Palatino Linotype" w:cs="Palatino Linotype"/>
        </w:rPr>
      </w:pPr>
    </w:p>
    <w:p w14:paraId="6D0E5DFC" w14:textId="77777777" w:rsidR="00DE5ED1" w:rsidRDefault="00DE5ED1">
      <w:pPr>
        <w:spacing w:before="240" w:after="240"/>
        <w:jc w:val="both"/>
        <w:rPr>
          <w:rFonts w:ascii="Palatino Linotype" w:eastAsia="Palatino Linotype" w:hAnsi="Palatino Linotype" w:cs="Palatino Linotype"/>
          <w:sz w:val="20"/>
          <w:szCs w:val="20"/>
        </w:rPr>
      </w:pPr>
    </w:p>
    <w:p w14:paraId="5B3880C2" w14:textId="77777777" w:rsidR="00DE5ED1" w:rsidRDefault="00DE5ED1">
      <w:pPr>
        <w:spacing w:before="240" w:after="240"/>
        <w:jc w:val="both"/>
        <w:rPr>
          <w:rFonts w:ascii="Palatino Linotype" w:eastAsia="Palatino Linotype" w:hAnsi="Palatino Linotype" w:cs="Palatino Linotype"/>
          <w:sz w:val="20"/>
          <w:szCs w:val="20"/>
        </w:rPr>
      </w:pPr>
    </w:p>
    <w:p w14:paraId="21B08831" w14:textId="77777777" w:rsidR="00DE5ED1" w:rsidRDefault="00DE5ED1">
      <w:pPr>
        <w:spacing w:before="240" w:after="240"/>
        <w:jc w:val="both"/>
        <w:rPr>
          <w:rFonts w:ascii="Palatino Linotype" w:eastAsia="Palatino Linotype" w:hAnsi="Palatino Linotype" w:cs="Palatino Linotype"/>
          <w:sz w:val="20"/>
          <w:szCs w:val="20"/>
        </w:rPr>
      </w:pPr>
    </w:p>
    <w:p w14:paraId="0C6580FE" w14:textId="77777777" w:rsidR="00DE5ED1" w:rsidRDefault="00DE5ED1">
      <w:pPr>
        <w:spacing w:before="240" w:after="240"/>
        <w:jc w:val="both"/>
        <w:rPr>
          <w:rFonts w:ascii="Palatino Linotype" w:eastAsia="Palatino Linotype" w:hAnsi="Palatino Linotype" w:cs="Palatino Linotype"/>
          <w:sz w:val="20"/>
          <w:szCs w:val="20"/>
        </w:rPr>
      </w:pPr>
    </w:p>
    <w:p w14:paraId="2D1244CD" w14:textId="77777777" w:rsidR="00DE5ED1" w:rsidRDefault="00DE5ED1">
      <w:pPr>
        <w:spacing w:before="240" w:after="240"/>
        <w:jc w:val="both"/>
        <w:rPr>
          <w:rFonts w:ascii="Palatino Linotype" w:eastAsia="Palatino Linotype" w:hAnsi="Palatino Linotype" w:cs="Palatino Linotype"/>
          <w:sz w:val="20"/>
          <w:szCs w:val="20"/>
        </w:rPr>
      </w:pPr>
    </w:p>
    <w:p w14:paraId="30E62C9D" w14:textId="77777777" w:rsidR="00DE5ED1" w:rsidRDefault="00DE5ED1">
      <w:pPr>
        <w:spacing w:before="240" w:after="240"/>
        <w:jc w:val="both"/>
        <w:rPr>
          <w:rFonts w:ascii="Palatino Linotype" w:eastAsia="Palatino Linotype" w:hAnsi="Palatino Linotype" w:cs="Palatino Linotype"/>
          <w:sz w:val="20"/>
          <w:szCs w:val="20"/>
        </w:rPr>
      </w:pPr>
    </w:p>
    <w:p w14:paraId="094A4919" w14:textId="77777777" w:rsidR="00DE5ED1" w:rsidRDefault="00DE5ED1">
      <w:pPr>
        <w:spacing w:before="240" w:after="240"/>
        <w:jc w:val="both"/>
        <w:rPr>
          <w:rFonts w:ascii="Palatino Linotype" w:eastAsia="Palatino Linotype" w:hAnsi="Palatino Linotype" w:cs="Palatino Linotype"/>
          <w:sz w:val="20"/>
          <w:szCs w:val="20"/>
        </w:rPr>
      </w:pPr>
    </w:p>
    <w:p w14:paraId="01E2F131" w14:textId="77777777" w:rsidR="00DE5ED1" w:rsidRDefault="00DE5ED1">
      <w:pPr>
        <w:spacing w:before="240" w:after="240"/>
        <w:jc w:val="both"/>
        <w:rPr>
          <w:rFonts w:ascii="Palatino Linotype" w:eastAsia="Palatino Linotype" w:hAnsi="Palatino Linotype" w:cs="Palatino Linotype"/>
          <w:sz w:val="20"/>
          <w:szCs w:val="20"/>
        </w:rPr>
      </w:pPr>
    </w:p>
    <w:p w14:paraId="7A4BA59C" w14:textId="77777777" w:rsidR="00DE5ED1" w:rsidRDefault="00DE5ED1">
      <w:pPr>
        <w:spacing w:before="240" w:after="240"/>
        <w:jc w:val="both"/>
        <w:rPr>
          <w:rFonts w:ascii="Palatino Linotype" w:eastAsia="Palatino Linotype" w:hAnsi="Palatino Linotype" w:cs="Palatino Linotype"/>
          <w:sz w:val="20"/>
          <w:szCs w:val="20"/>
        </w:rPr>
      </w:pPr>
    </w:p>
    <w:p w14:paraId="431D5673" w14:textId="77777777" w:rsidR="00DE5ED1" w:rsidRDefault="00DE5ED1">
      <w:pPr>
        <w:spacing w:before="240" w:after="240"/>
        <w:jc w:val="both"/>
        <w:rPr>
          <w:rFonts w:ascii="Palatino Linotype" w:eastAsia="Palatino Linotype" w:hAnsi="Palatino Linotype" w:cs="Palatino Linotype"/>
          <w:sz w:val="20"/>
          <w:szCs w:val="20"/>
        </w:rPr>
      </w:pPr>
    </w:p>
    <w:p w14:paraId="578A3F3C" w14:textId="77777777" w:rsidR="00DE5ED1" w:rsidRDefault="00DE5ED1">
      <w:pPr>
        <w:spacing w:before="240" w:after="240"/>
        <w:jc w:val="both"/>
        <w:rPr>
          <w:rFonts w:ascii="Palatino Linotype" w:eastAsia="Palatino Linotype" w:hAnsi="Palatino Linotype" w:cs="Palatino Linotype"/>
          <w:sz w:val="20"/>
          <w:szCs w:val="20"/>
        </w:rPr>
      </w:pPr>
    </w:p>
    <w:p w14:paraId="6DA8C93F" w14:textId="77777777" w:rsidR="00DE5ED1" w:rsidRDefault="00DE5ED1">
      <w:pPr>
        <w:spacing w:before="240" w:after="240"/>
        <w:jc w:val="both"/>
        <w:rPr>
          <w:rFonts w:ascii="Palatino Linotype" w:eastAsia="Palatino Linotype" w:hAnsi="Palatino Linotype" w:cs="Palatino Linotype"/>
          <w:sz w:val="20"/>
          <w:szCs w:val="20"/>
        </w:rPr>
      </w:pPr>
    </w:p>
    <w:p w14:paraId="7F3D57AA" w14:textId="77777777" w:rsidR="00DE5ED1" w:rsidRDefault="00DE5ED1">
      <w:pPr>
        <w:spacing w:before="240" w:after="240"/>
        <w:jc w:val="both"/>
        <w:rPr>
          <w:rFonts w:ascii="Palatino Linotype" w:eastAsia="Palatino Linotype" w:hAnsi="Palatino Linotype" w:cs="Palatino Linotype"/>
          <w:sz w:val="20"/>
          <w:szCs w:val="20"/>
        </w:rPr>
      </w:pPr>
    </w:p>
    <w:p w14:paraId="6F59169B" w14:textId="77777777" w:rsidR="00DE5ED1" w:rsidRDefault="00DE5ED1">
      <w:pPr>
        <w:spacing w:before="240" w:after="240"/>
        <w:jc w:val="both"/>
        <w:rPr>
          <w:rFonts w:ascii="Palatino Linotype" w:eastAsia="Palatino Linotype" w:hAnsi="Palatino Linotype" w:cs="Palatino Linotype"/>
          <w:sz w:val="20"/>
          <w:szCs w:val="20"/>
        </w:rPr>
      </w:pPr>
    </w:p>
    <w:p w14:paraId="47C53045" w14:textId="77777777" w:rsidR="00DE5ED1" w:rsidRDefault="00DE5ED1">
      <w:pPr>
        <w:spacing w:before="240" w:after="240"/>
        <w:jc w:val="both"/>
        <w:rPr>
          <w:rFonts w:ascii="Palatino Linotype" w:eastAsia="Palatino Linotype" w:hAnsi="Palatino Linotype" w:cs="Palatino Linotype"/>
          <w:sz w:val="20"/>
          <w:szCs w:val="20"/>
        </w:rPr>
      </w:pPr>
    </w:p>
    <w:p w14:paraId="72D9998F" w14:textId="77777777" w:rsidR="00DE5ED1" w:rsidRDefault="00DE5ED1">
      <w:pPr>
        <w:spacing w:before="240" w:after="240"/>
        <w:jc w:val="both"/>
        <w:rPr>
          <w:rFonts w:ascii="Palatino Linotype" w:eastAsia="Palatino Linotype" w:hAnsi="Palatino Linotype" w:cs="Palatino Linotype"/>
          <w:sz w:val="20"/>
          <w:szCs w:val="20"/>
        </w:rPr>
      </w:pPr>
    </w:p>
    <w:p w14:paraId="20E502A1" w14:textId="77777777" w:rsidR="00DE5ED1" w:rsidRDefault="00DE5ED1">
      <w:pPr>
        <w:spacing w:before="240" w:after="240"/>
        <w:jc w:val="both"/>
        <w:rPr>
          <w:rFonts w:ascii="Palatino Linotype" w:eastAsia="Palatino Linotype" w:hAnsi="Palatino Linotype" w:cs="Palatino Linotype"/>
          <w:sz w:val="20"/>
          <w:szCs w:val="20"/>
        </w:rPr>
      </w:pPr>
    </w:p>
    <w:p w14:paraId="0CA2A1C0" w14:textId="77777777" w:rsidR="00DE5ED1" w:rsidRDefault="00DE5ED1">
      <w:pPr>
        <w:spacing w:before="240" w:after="240"/>
        <w:jc w:val="both"/>
        <w:rPr>
          <w:rFonts w:ascii="Palatino Linotype" w:eastAsia="Palatino Linotype" w:hAnsi="Palatino Linotype" w:cs="Palatino Linotype"/>
          <w:sz w:val="20"/>
          <w:szCs w:val="20"/>
        </w:rPr>
      </w:pPr>
    </w:p>
    <w:p w14:paraId="5623EC42" w14:textId="77777777" w:rsidR="00DE5ED1" w:rsidRDefault="00DE5ED1">
      <w:pPr>
        <w:spacing w:before="240" w:after="240"/>
        <w:jc w:val="both"/>
        <w:rPr>
          <w:rFonts w:ascii="Palatino Linotype" w:eastAsia="Palatino Linotype" w:hAnsi="Palatino Linotype" w:cs="Palatino Linotype"/>
          <w:sz w:val="20"/>
          <w:szCs w:val="20"/>
        </w:rPr>
      </w:pPr>
    </w:p>
    <w:p w14:paraId="3B2B91F1" w14:textId="77777777" w:rsidR="00DE5ED1" w:rsidRDefault="00DE5ED1">
      <w:pPr>
        <w:spacing w:before="240" w:after="240"/>
        <w:jc w:val="both"/>
        <w:rPr>
          <w:rFonts w:ascii="Palatino Linotype" w:eastAsia="Palatino Linotype" w:hAnsi="Palatino Linotype" w:cs="Palatino Linotype"/>
          <w:sz w:val="20"/>
          <w:szCs w:val="20"/>
        </w:rPr>
      </w:pPr>
    </w:p>
    <w:p w14:paraId="118AAEF5" w14:textId="77777777" w:rsidR="00DE5ED1" w:rsidRDefault="00DE5ED1">
      <w:pPr>
        <w:spacing w:before="240" w:after="240"/>
        <w:jc w:val="both"/>
        <w:rPr>
          <w:rFonts w:ascii="Palatino Linotype" w:eastAsia="Palatino Linotype" w:hAnsi="Palatino Linotype" w:cs="Palatino Linotype"/>
          <w:sz w:val="20"/>
          <w:szCs w:val="20"/>
        </w:rPr>
      </w:pPr>
    </w:p>
    <w:sectPr w:rsidR="00DE5ED1">
      <w:headerReference w:type="default" r:id="rId30"/>
      <w:footerReference w:type="default" r:id="rId31"/>
      <w:headerReference w:type="first" r:id="rId32"/>
      <w:footerReference w:type="first" r:id="rId3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985AA" w14:textId="77777777" w:rsidR="00173380" w:rsidRDefault="00783AE7">
      <w:r>
        <w:separator/>
      </w:r>
    </w:p>
  </w:endnote>
  <w:endnote w:type="continuationSeparator" w:id="0">
    <w:p w14:paraId="57407CC0" w14:textId="77777777" w:rsidR="00173380" w:rsidRDefault="00783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BCBB" w14:textId="27D6D057" w:rsidR="00DE5ED1" w:rsidRDefault="00783AE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F4414">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F4414">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p>
  <w:p w14:paraId="410C1A9D" w14:textId="77777777" w:rsidR="00DE5ED1" w:rsidRDefault="00DE5ED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8330" w14:textId="77777777" w:rsidR="00DE5ED1" w:rsidRDefault="00783AE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F441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F4414">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754E8D98" w14:textId="77777777" w:rsidR="00DE5ED1" w:rsidRDefault="00DE5ED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71060" w14:textId="77777777" w:rsidR="00173380" w:rsidRDefault="00783AE7">
      <w:r>
        <w:separator/>
      </w:r>
    </w:p>
  </w:footnote>
  <w:footnote w:type="continuationSeparator" w:id="0">
    <w:p w14:paraId="2A189C6E" w14:textId="77777777" w:rsidR="00173380" w:rsidRDefault="00783AE7">
      <w:r>
        <w:continuationSeparator/>
      </w:r>
    </w:p>
  </w:footnote>
  <w:footnote w:id="1">
    <w:p w14:paraId="63DD7D44" w14:textId="77777777" w:rsidR="00DE5ED1" w:rsidRDefault="00783A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1B9230" w14:textId="77777777" w:rsidR="00DE5ED1" w:rsidRDefault="00783AE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XXXVIII. El inventario de bienes muebles e inmuebles en posesión y propiedad;</w:t>
      </w:r>
    </w:p>
  </w:footnote>
  <w:footnote w:id="2">
    <w:p w14:paraId="13C41847" w14:textId="77777777" w:rsidR="00DE5ED1" w:rsidRDefault="00783AE7">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4E4114A" w14:textId="77777777" w:rsidR="00DE5ED1" w:rsidRDefault="00783AE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3">
    <w:p w14:paraId="1C783840" w14:textId="77777777" w:rsidR="00DE5ED1" w:rsidRDefault="00783A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http://documentos.huixquilucan.gob.mx/documents/GACETA2022.pdf</w:t>
      </w:r>
    </w:p>
  </w:footnote>
  <w:footnote w:id="4">
    <w:p w14:paraId="4B12A619" w14:textId="77777777" w:rsidR="00DE5ED1" w:rsidRDefault="00783A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Para los efectos de esta Ley se entenderá por:</w:t>
      </w:r>
    </w:p>
    <w:p w14:paraId="257AE56D" w14:textId="77777777" w:rsidR="00DE5ED1" w:rsidRDefault="00783AE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 w:id="5">
    <w:p w14:paraId="76C03FFD" w14:textId="77777777" w:rsidR="00DE5ED1" w:rsidRDefault="00783AE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7DDF" w14:textId="77777777" w:rsidR="00DE5ED1" w:rsidRDefault="00783AE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15C226C4" wp14:editId="5455FD9A">
          <wp:simplePos x="0" y="0"/>
          <wp:positionH relativeFrom="column">
            <wp:posOffset>-1080129</wp:posOffset>
          </wp:positionH>
          <wp:positionV relativeFrom="paragraph">
            <wp:posOffset>-450209</wp:posOffset>
          </wp:positionV>
          <wp:extent cx="7809865" cy="10165715"/>
          <wp:effectExtent l="0" t="0" r="0" b="0"/>
          <wp:wrapNone/>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3"/>
      <w:tblW w:w="5953" w:type="dxa"/>
      <w:tblInd w:w="3261" w:type="dxa"/>
      <w:tblLayout w:type="fixed"/>
      <w:tblLook w:val="0400" w:firstRow="0" w:lastRow="0" w:firstColumn="0" w:lastColumn="0" w:noHBand="0" w:noVBand="1"/>
    </w:tblPr>
    <w:tblGrid>
      <w:gridCol w:w="2489"/>
      <w:gridCol w:w="3464"/>
    </w:tblGrid>
    <w:tr w:rsidR="00DE5ED1" w14:paraId="4C280610" w14:textId="77777777">
      <w:tc>
        <w:tcPr>
          <w:tcW w:w="2489" w:type="dxa"/>
          <w:shd w:val="clear" w:color="auto" w:fill="auto"/>
        </w:tcPr>
        <w:p w14:paraId="2BEFA0D1" w14:textId="77777777" w:rsidR="00DE5ED1" w:rsidRDefault="00783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2F92C5F" w14:textId="77777777" w:rsidR="00DE5ED1" w:rsidRDefault="00783AE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04259/INFOEM/IP/RR/2022 y acumulado</w:t>
          </w:r>
        </w:p>
      </w:tc>
    </w:tr>
    <w:tr w:rsidR="00DE5ED1" w14:paraId="5C96861A" w14:textId="77777777">
      <w:trPr>
        <w:trHeight w:val="228"/>
      </w:trPr>
      <w:tc>
        <w:tcPr>
          <w:tcW w:w="2489" w:type="dxa"/>
          <w:shd w:val="clear" w:color="auto" w:fill="auto"/>
          <w:vAlign w:val="center"/>
        </w:tcPr>
        <w:p w14:paraId="367D6D94" w14:textId="77777777" w:rsidR="00DE5ED1" w:rsidRDefault="00783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4E19179" w14:textId="77777777" w:rsidR="00DE5ED1" w:rsidRDefault="00783AE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DE5ED1" w14:paraId="121CD9B5" w14:textId="77777777">
      <w:tc>
        <w:tcPr>
          <w:tcW w:w="2489" w:type="dxa"/>
          <w:shd w:val="clear" w:color="auto" w:fill="auto"/>
          <w:vAlign w:val="center"/>
        </w:tcPr>
        <w:p w14:paraId="15A387A9" w14:textId="77777777" w:rsidR="00DE5ED1" w:rsidRDefault="00783AE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982DAB" w14:textId="77777777" w:rsidR="00DE5ED1" w:rsidRDefault="00783AE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D8AD66" w14:textId="77777777" w:rsidR="00DE5ED1" w:rsidRDefault="00783AE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605F" w14:textId="77777777" w:rsidR="00DE5ED1" w:rsidRDefault="00DE5ED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2"/>
      <w:tblW w:w="5670" w:type="dxa"/>
      <w:tblInd w:w="3261" w:type="dxa"/>
      <w:tblLayout w:type="fixed"/>
      <w:tblLook w:val="0400" w:firstRow="0" w:lastRow="0" w:firstColumn="0" w:lastColumn="0" w:noHBand="0" w:noVBand="1"/>
    </w:tblPr>
    <w:tblGrid>
      <w:gridCol w:w="2551"/>
      <w:gridCol w:w="3119"/>
    </w:tblGrid>
    <w:tr w:rsidR="00DE5ED1" w14:paraId="48E009BC" w14:textId="77777777">
      <w:tc>
        <w:tcPr>
          <w:tcW w:w="2551" w:type="dxa"/>
          <w:shd w:val="clear" w:color="auto" w:fill="auto"/>
          <w:vAlign w:val="center"/>
        </w:tcPr>
        <w:p w14:paraId="068B080A" w14:textId="77777777" w:rsidR="00DE5ED1" w:rsidRDefault="00783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EC00DD9" w14:textId="77777777" w:rsidR="00DE5ED1" w:rsidRDefault="00783AE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04259/INFOEM/IP/RR/2022 y acumulado</w:t>
          </w:r>
        </w:p>
      </w:tc>
    </w:tr>
    <w:tr w:rsidR="00DE5ED1" w14:paraId="025DCC40" w14:textId="77777777">
      <w:trPr>
        <w:trHeight w:val="130"/>
      </w:trPr>
      <w:tc>
        <w:tcPr>
          <w:tcW w:w="2551" w:type="dxa"/>
          <w:shd w:val="clear" w:color="auto" w:fill="auto"/>
          <w:vAlign w:val="center"/>
        </w:tcPr>
        <w:p w14:paraId="55E24B36" w14:textId="77777777" w:rsidR="00DE5ED1" w:rsidRDefault="00783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56C2F41" w14:textId="2C16D7BD" w:rsidR="00DE5ED1" w:rsidRDefault="003B39CC">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r w:rsidR="00783AE7">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w:t>
          </w:r>
          <w:r w:rsidR="00783AE7">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w:t>
          </w:r>
          <w:r w:rsidR="00783AE7">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w:t>
          </w:r>
        </w:p>
      </w:tc>
    </w:tr>
    <w:tr w:rsidR="00DE5ED1" w14:paraId="4C399251" w14:textId="77777777">
      <w:trPr>
        <w:trHeight w:val="228"/>
      </w:trPr>
      <w:tc>
        <w:tcPr>
          <w:tcW w:w="2551" w:type="dxa"/>
          <w:shd w:val="clear" w:color="auto" w:fill="auto"/>
          <w:vAlign w:val="center"/>
        </w:tcPr>
        <w:p w14:paraId="63715B7C" w14:textId="77777777" w:rsidR="00DE5ED1" w:rsidRDefault="00783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ECF92A6" w14:textId="77777777" w:rsidR="00DE5ED1" w:rsidRDefault="00783AE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DE5ED1" w14:paraId="49CDA17C" w14:textId="77777777">
      <w:tc>
        <w:tcPr>
          <w:tcW w:w="2551" w:type="dxa"/>
          <w:shd w:val="clear" w:color="auto" w:fill="auto"/>
          <w:vAlign w:val="center"/>
        </w:tcPr>
        <w:p w14:paraId="57AF071D" w14:textId="77777777" w:rsidR="00DE5ED1" w:rsidRDefault="00783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0B0CDA2" w14:textId="77777777" w:rsidR="00DE5ED1" w:rsidRDefault="00783AE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0B8DF98" w14:textId="77777777" w:rsidR="00DE5ED1" w:rsidRDefault="00783AE7">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01EED2F8" wp14:editId="4220154A">
          <wp:simplePos x="0" y="0"/>
          <wp:positionH relativeFrom="column">
            <wp:posOffset>-1090924</wp:posOffset>
          </wp:positionH>
          <wp:positionV relativeFrom="paragraph">
            <wp:posOffset>-1154424</wp:posOffset>
          </wp:positionV>
          <wp:extent cx="7809865" cy="10165715"/>
          <wp:effectExtent l="0" t="0" r="0" b="0"/>
          <wp:wrapNone/>
          <wp:docPr id="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AE62FE"/>
    <w:multiLevelType w:val="multilevel"/>
    <w:tmpl w:val="DF3CC42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A5A4B76"/>
    <w:multiLevelType w:val="multilevel"/>
    <w:tmpl w:val="66F2AAF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60239541">
    <w:abstractNumId w:val="1"/>
  </w:num>
  <w:num w:numId="2" w16cid:durableId="788201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ED1"/>
    <w:rsid w:val="0004202A"/>
    <w:rsid w:val="000B083A"/>
    <w:rsid w:val="000D1608"/>
    <w:rsid w:val="001115AA"/>
    <w:rsid w:val="00133EDC"/>
    <w:rsid w:val="001553DE"/>
    <w:rsid w:val="00173380"/>
    <w:rsid w:val="00187ED4"/>
    <w:rsid w:val="0023775D"/>
    <w:rsid w:val="002446D7"/>
    <w:rsid w:val="00355799"/>
    <w:rsid w:val="003B39CC"/>
    <w:rsid w:val="003F56BB"/>
    <w:rsid w:val="00475918"/>
    <w:rsid w:val="004D1E36"/>
    <w:rsid w:val="005F09AD"/>
    <w:rsid w:val="0064771B"/>
    <w:rsid w:val="00737DD0"/>
    <w:rsid w:val="00783AE7"/>
    <w:rsid w:val="007A20CF"/>
    <w:rsid w:val="007C209E"/>
    <w:rsid w:val="007F4414"/>
    <w:rsid w:val="00805C59"/>
    <w:rsid w:val="00814F77"/>
    <w:rsid w:val="008313F9"/>
    <w:rsid w:val="00957A4B"/>
    <w:rsid w:val="00C35D69"/>
    <w:rsid w:val="00C85632"/>
    <w:rsid w:val="00CB14D2"/>
    <w:rsid w:val="00D11882"/>
    <w:rsid w:val="00D946C9"/>
    <w:rsid w:val="00DE5ED1"/>
    <w:rsid w:val="00F33979"/>
    <w:rsid w:val="00FE12AE"/>
    <w:rsid w:val="00FF0A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5AF47D2"/>
  <w15:docId w15:val="{85F986C9-BA42-4E1F-A301-97CC7A58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AenAQj9HrR6H+WtCPW3qwhEQ1A==">AMUW2mXvbxVjeUE0Jo0sh/GvBIHbeN0jIfG38IFqYvkoa20Q3VAlpX0o9Ybz5xjXruPRzlhekObGN0QpbTq5ikxujhP0QHwq6Y7sF/94weWan9RpIh6WuX/EHXD+HJl3Kfi/0v69TGFcMcBRTQXhLXf9QUS48qL857bmizh+UTtenqY/jZAWlEuzTQwt9kEbpu6edi6ceub9hXvAX5+Jumr4zzy063taTuXX+dSJTu5gze44H13YmXw=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56</Pages>
  <Words>13473</Words>
  <Characters>74102</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18</cp:revision>
  <dcterms:created xsi:type="dcterms:W3CDTF">2022-07-13T03:22:00Z</dcterms:created>
  <dcterms:modified xsi:type="dcterms:W3CDTF">2022-09-06T22:58:00Z</dcterms:modified>
</cp:coreProperties>
</file>