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D958" w14:textId="77777777" w:rsidR="009245F5" w:rsidRDefault="009245F5" w:rsidP="009245F5">
      <w:pPr>
        <w:spacing w:line="360" w:lineRule="auto"/>
        <w:ind w:right="-28"/>
        <w:jc w:val="both"/>
        <w:rPr>
          <w:rFonts w:ascii="Palatino Linotype" w:hAnsi="Palatino Linotype" w:cs="Tahoma"/>
          <w:bCs/>
          <w:sz w:val="22"/>
          <w:szCs w:val="22"/>
        </w:rPr>
      </w:pPr>
    </w:p>
    <w:p w14:paraId="63D14729" w14:textId="34204466" w:rsidR="009245F5" w:rsidRPr="003121BB" w:rsidRDefault="009245F5" w:rsidP="009245F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415357">
        <w:rPr>
          <w:rFonts w:ascii="Palatino Linotype" w:hAnsi="Palatino Linotype" w:cs="Tahoma"/>
          <w:bCs/>
          <w:sz w:val="22"/>
          <w:szCs w:val="22"/>
        </w:rPr>
        <w:t>once</w:t>
      </w:r>
      <w:r w:rsidRPr="00A8500A">
        <w:rPr>
          <w:rFonts w:ascii="Palatino Linotype" w:hAnsi="Palatino Linotype" w:cs="Tahoma"/>
          <w:bCs/>
          <w:sz w:val="22"/>
          <w:szCs w:val="22"/>
        </w:rPr>
        <w:t xml:space="preserve"> de</w:t>
      </w:r>
      <w:r>
        <w:rPr>
          <w:rFonts w:ascii="Palatino Linotype" w:hAnsi="Palatino Linotype" w:cs="Tahoma"/>
          <w:bCs/>
          <w:sz w:val="22"/>
          <w:szCs w:val="22"/>
        </w:rPr>
        <w:t xml:space="preserve"> </w:t>
      </w:r>
      <w:r w:rsidR="00415357">
        <w:rPr>
          <w:rFonts w:ascii="Palatino Linotype" w:hAnsi="Palatino Linotype" w:cs="Tahoma"/>
          <w:bCs/>
          <w:sz w:val="22"/>
          <w:szCs w:val="22"/>
        </w:rPr>
        <w:t>mayo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9245F5">
      <w:pPr>
        <w:spacing w:line="360" w:lineRule="auto"/>
        <w:ind w:right="-28"/>
        <w:jc w:val="both"/>
        <w:rPr>
          <w:rFonts w:ascii="Palatino Linotype" w:hAnsi="Palatino Linotype"/>
          <w:noProof/>
          <w:sz w:val="22"/>
          <w:szCs w:val="22"/>
          <w:lang w:val="es-ES"/>
        </w:rPr>
      </w:pPr>
    </w:p>
    <w:p w14:paraId="1F508283" w14:textId="03A62327" w:rsidR="009245F5" w:rsidRDefault="009245F5" w:rsidP="009245F5">
      <w:pPr>
        <w:spacing w:line="360" w:lineRule="auto"/>
        <w:ind w:right="-28"/>
        <w:jc w:val="both"/>
        <w:rPr>
          <w:rFonts w:ascii="Palatino Linotype" w:hAnsi="Palatino Linotype" w:cs="Tahoma"/>
          <w:bCs/>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00415357" w:rsidRPr="00415357">
        <w:rPr>
          <w:rFonts w:ascii="Palatino Linotype" w:hAnsi="Palatino Linotype" w:cs="Tahoma"/>
          <w:color w:val="0D0D0D" w:themeColor="text1" w:themeTint="F2"/>
          <w:sz w:val="22"/>
          <w:szCs w:val="22"/>
        </w:rPr>
        <w:t>02496/INFOEM/IP/RR/2022</w:t>
      </w:r>
      <w:r w:rsidRPr="001E1338">
        <w:rPr>
          <w:rFonts w:ascii="Palatino Linotype" w:hAnsi="Palatino Linotype" w:cs="Tahoma"/>
          <w:sz w:val="22"/>
          <w:szCs w:val="22"/>
        </w:rPr>
        <w:t xml:space="preserve">, interpuesto por </w:t>
      </w:r>
      <w:r w:rsidR="00757543">
        <w:rPr>
          <w:rFonts w:ascii="Palatino Linotype" w:hAnsi="Palatino Linotype" w:cs="Tahoma"/>
          <w:sz w:val="22"/>
          <w:szCs w:val="22"/>
        </w:rPr>
        <w:t>el</w:t>
      </w:r>
      <w:r w:rsidRPr="001E1338">
        <w:rPr>
          <w:rFonts w:ascii="Palatino Linotype" w:hAnsi="Palatino Linotype" w:cs="Tahoma"/>
          <w:sz w:val="22"/>
          <w:szCs w:val="22"/>
        </w:rPr>
        <w:t xml:space="preserve"> Recurrente o Particular, en contra de la respuesta del Sujeto Obligado, </w:t>
      </w:r>
      <w:r w:rsidR="00415357" w:rsidRPr="00415357">
        <w:rPr>
          <w:rFonts w:ascii="Palatino Linotype" w:hAnsi="Palatino Linotype" w:cs="Tahoma"/>
          <w:sz w:val="22"/>
          <w:szCs w:val="22"/>
        </w:rPr>
        <w:t>Ayuntamiento de Tequixquiac</w:t>
      </w:r>
      <w:r w:rsidRPr="001E1338">
        <w:rPr>
          <w:rFonts w:ascii="Palatino Linotype" w:hAnsi="Palatino Linotype" w:cs="Tahoma"/>
          <w:sz w:val="22"/>
          <w:szCs w:val="22"/>
        </w:rPr>
        <w:t>, a la solicitud de acceso a la información pública</w:t>
      </w:r>
      <w:r w:rsidRPr="000E5550">
        <w:rPr>
          <w:rFonts w:ascii="Palatino Linotype" w:hAnsi="Palatino Linotype" w:cs="Tahoma"/>
          <w:bCs/>
          <w:sz w:val="22"/>
          <w:szCs w:val="22"/>
        </w:rPr>
        <w:t xml:space="preserve"> con número de folio </w:t>
      </w:r>
      <w:r w:rsidR="00415357" w:rsidRPr="00415357">
        <w:rPr>
          <w:rFonts w:ascii="Palatino Linotype" w:hAnsi="Palatino Linotype" w:cs="Tahoma"/>
          <w:sz w:val="22"/>
          <w:szCs w:val="22"/>
        </w:rPr>
        <w:t>00054/TEQUIXQU/IP/2022</w:t>
      </w:r>
      <w:r w:rsidRPr="000E5550">
        <w:rPr>
          <w:rFonts w:ascii="Palatino Linotype" w:hAnsi="Palatino Linotype" w:cs="Tahoma"/>
          <w:bCs/>
          <w:sz w:val="22"/>
          <w:szCs w:val="22"/>
        </w:rPr>
        <w:t>, se emite la presente Resolución, con base en los Antecedentes y Considerandos que se exponen a continuación</w:t>
      </w:r>
      <w:r>
        <w:rPr>
          <w:rFonts w:ascii="Palatino Linotype" w:hAnsi="Palatino Linotype" w:cs="Tahoma"/>
          <w:bCs/>
          <w:sz w:val="22"/>
          <w:szCs w:val="22"/>
        </w:rPr>
        <w:t>:</w:t>
      </w:r>
    </w:p>
    <w:p w14:paraId="6EAB901D" w14:textId="77777777" w:rsidR="009245F5" w:rsidRPr="00A06F31"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6CFD4962" w14:textId="2FF95777" w:rsidR="00A021B4" w:rsidRPr="00415357" w:rsidRDefault="009245F5" w:rsidP="009245F5">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415357">
        <w:rPr>
          <w:rFonts w:ascii="Palatino Linotype" w:hAnsi="Palatino Linotype" w:cs="Tahoma"/>
          <w:sz w:val="22"/>
          <w:szCs w:val="22"/>
        </w:rPr>
        <w:t>cuatro</w:t>
      </w:r>
      <w:r>
        <w:rPr>
          <w:rFonts w:ascii="Palatino Linotype" w:hAnsi="Palatino Linotype" w:cs="Tahoma"/>
          <w:sz w:val="22"/>
          <w:szCs w:val="22"/>
        </w:rPr>
        <w:t xml:space="preserve"> de </w:t>
      </w:r>
      <w:r w:rsidR="00415357">
        <w:rPr>
          <w:rFonts w:ascii="Palatino Linotype" w:hAnsi="Palatino Linotype" w:cs="Tahoma"/>
          <w:sz w:val="22"/>
          <w:szCs w:val="22"/>
        </w:rPr>
        <w:t>febrero</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415357" w:rsidRPr="00415357">
        <w:rPr>
          <w:rFonts w:ascii="Palatino Linotype" w:hAnsi="Palatino Linotype" w:cs="Tahoma"/>
          <w:sz w:val="22"/>
          <w:szCs w:val="22"/>
        </w:rPr>
        <w:t>Ayuntamiento de Tequixquiac</w:t>
      </w:r>
      <w:r w:rsidRPr="00415357">
        <w:rPr>
          <w:rFonts w:ascii="Palatino Linotype" w:hAnsi="Palatino Linotype" w:cs="Tahoma"/>
          <w:sz w:val="22"/>
          <w:szCs w:val="22"/>
          <w:lang w:val="es-ES"/>
        </w:rPr>
        <w:t>,</w:t>
      </w:r>
      <w:r w:rsidR="00A021B4" w:rsidRPr="00415357">
        <w:rPr>
          <w:rFonts w:cs="Tahoma"/>
        </w:rPr>
        <w:t xml:space="preserve"> </w:t>
      </w:r>
      <w:r w:rsidR="00415357">
        <w:rPr>
          <w:rFonts w:ascii="Palatino Linotype" w:hAnsi="Palatino Linotype" w:cs="Tahoma"/>
          <w:sz w:val="22"/>
          <w:szCs w:val="22"/>
          <w:lang w:val="es-ES"/>
        </w:rPr>
        <w:t>en los siguientes términos:</w:t>
      </w:r>
    </w:p>
    <w:p w14:paraId="3063A805" w14:textId="77777777" w:rsidR="009245F5" w:rsidRDefault="009245F5" w:rsidP="009245F5">
      <w:pPr>
        <w:tabs>
          <w:tab w:val="left" w:pos="4667"/>
        </w:tabs>
        <w:spacing w:line="360" w:lineRule="auto"/>
        <w:ind w:left="567" w:right="567"/>
        <w:jc w:val="both"/>
        <w:rPr>
          <w:rFonts w:ascii="Palatino Linotype" w:hAnsi="Palatino Linotype" w:cs="Tahoma"/>
          <w:b/>
          <w:bCs/>
          <w:i/>
        </w:rPr>
      </w:pPr>
    </w:p>
    <w:p w14:paraId="7A31A639" w14:textId="77777777" w:rsidR="009245F5" w:rsidRDefault="009245F5" w:rsidP="009245F5">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6BF31D07" w:rsidR="009245F5" w:rsidRDefault="00415357" w:rsidP="009245F5">
      <w:pPr>
        <w:tabs>
          <w:tab w:val="left" w:pos="4667"/>
        </w:tabs>
        <w:spacing w:line="360" w:lineRule="auto"/>
        <w:ind w:left="567" w:right="567"/>
        <w:jc w:val="both"/>
        <w:rPr>
          <w:rFonts w:ascii="Palatino Linotype" w:hAnsi="Palatino Linotype" w:cs="Tahoma"/>
          <w:bCs/>
          <w:i/>
        </w:rPr>
      </w:pPr>
      <w:r w:rsidRPr="00415357">
        <w:rPr>
          <w:rFonts w:ascii="Palatino Linotype" w:hAnsi="Palatino Linotype"/>
          <w:i/>
          <w:color w:val="000000"/>
        </w:rPr>
        <w:t>Solicito las actas de las sesiones extraordinarias completas que se llevaron a cabo en el mes de enero de 2022 de manera digitalizada.</w:t>
      </w:r>
      <w:r w:rsidR="009245F5">
        <w:rPr>
          <w:rFonts w:ascii="Palatino Linotype" w:hAnsi="Palatino Linotype" w:cs="Tahoma"/>
          <w:bCs/>
          <w:i/>
        </w:rPr>
        <w:t xml:space="preserve">” </w:t>
      </w:r>
    </w:p>
    <w:p w14:paraId="1644BD30"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9245F5">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267D9C41" w14:textId="77777777" w:rsidR="009245F5" w:rsidRDefault="009245F5" w:rsidP="009245F5">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14:paraId="3BE03F08" w14:textId="77777777" w:rsidR="009245F5" w:rsidRPr="00C94337" w:rsidRDefault="009245F5" w:rsidP="009245F5">
      <w:pPr>
        <w:tabs>
          <w:tab w:val="left" w:pos="567"/>
        </w:tabs>
        <w:spacing w:line="360" w:lineRule="auto"/>
        <w:ind w:left="567" w:right="-28"/>
        <w:jc w:val="both"/>
        <w:rPr>
          <w:rFonts w:ascii="Palatino Linotype" w:hAnsi="Palatino Linotype" w:cs="Tahoma"/>
          <w:i/>
        </w:rPr>
      </w:pPr>
    </w:p>
    <w:p w14:paraId="63C72F9E" w14:textId="096D5ABD" w:rsidR="00415357" w:rsidRDefault="009245F5" w:rsidP="009245F5">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44324B">
        <w:rPr>
          <w:rFonts w:ascii="Palatino Linotype" w:hAnsi="Palatino Linotype" w:cs="Tahoma"/>
          <w:b/>
          <w:sz w:val="22"/>
          <w:szCs w:val="22"/>
        </w:rPr>
        <w:t xml:space="preserve">II. </w:t>
      </w:r>
      <w:r w:rsidR="00032EA1">
        <w:rPr>
          <w:rFonts w:ascii="Palatino Linotype" w:hAnsi="Palatino Linotype" w:cs="Tahoma"/>
          <w:b/>
          <w:sz w:val="22"/>
          <w:szCs w:val="22"/>
        </w:rPr>
        <w:t>Solicitud de Aclaración.</w:t>
      </w:r>
    </w:p>
    <w:p w14:paraId="433EC1E0" w14:textId="77777777" w:rsidR="00032EA1" w:rsidRDefault="00032EA1" w:rsidP="009245F5">
      <w:pPr>
        <w:autoSpaceDE w:val="0"/>
        <w:autoSpaceDN w:val="0"/>
        <w:adjustRightInd w:val="0"/>
        <w:spacing w:line="360" w:lineRule="auto"/>
        <w:ind w:right="-28"/>
        <w:jc w:val="both"/>
        <w:rPr>
          <w:rFonts w:ascii="Palatino Linotype" w:hAnsi="Palatino Linotype" w:cs="Tahoma"/>
          <w:b/>
          <w:sz w:val="22"/>
          <w:szCs w:val="22"/>
        </w:rPr>
      </w:pPr>
    </w:p>
    <w:p w14:paraId="55A9A9EC" w14:textId="6E8FE19D" w:rsidR="00032EA1" w:rsidRDefault="002452D0" w:rsidP="00032EA1">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Co</w:t>
      </w:r>
      <w:r w:rsidR="00032EA1" w:rsidRPr="00032EA1">
        <w:rPr>
          <w:rFonts w:ascii="Palatino Linotype" w:hAnsi="Palatino Linotype" w:cs="Tahoma"/>
          <w:bCs/>
          <w:sz w:val="22"/>
          <w:szCs w:val="22"/>
        </w:rPr>
        <w:t>n fecha veintiocho de febrero de dos mil veintidós, a través del Sistema de Acceso a la Información Mexiquense (SAIMEX), el Sujeto Obligado solicitó al Particular que aclarara su solicitud de información, en los siguientes términos:</w:t>
      </w:r>
    </w:p>
    <w:p w14:paraId="0B0C6140" w14:textId="74FB968F" w:rsidR="00032EA1" w:rsidRDefault="00032EA1" w:rsidP="00032EA1">
      <w:pPr>
        <w:autoSpaceDE w:val="0"/>
        <w:autoSpaceDN w:val="0"/>
        <w:adjustRightInd w:val="0"/>
        <w:spacing w:line="360" w:lineRule="auto"/>
        <w:ind w:right="-28"/>
        <w:jc w:val="both"/>
        <w:rPr>
          <w:rFonts w:ascii="Palatino Linotype" w:hAnsi="Palatino Linotype" w:cs="Tahoma"/>
          <w:bCs/>
          <w:sz w:val="22"/>
          <w:szCs w:val="22"/>
        </w:rPr>
      </w:pPr>
    </w:p>
    <w:p w14:paraId="5E190F70" w14:textId="3A5F2DF2" w:rsidR="00032EA1" w:rsidRPr="00032EA1" w:rsidRDefault="00032EA1" w:rsidP="00032EA1">
      <w:pPr>
        <w:autoSpaceDE w:val="0"/>
        <w:autoSpaceDN w:val="0"/>
        <w:adjustRightInd w:val="0"/>
        <w:spacing w:line="360" w:lineRule="auto"/>
        <w:ind w:left="567" w:right="567"/>
        <w:jc w:val="both"/>
        <w:rPr>
          <w:rFonts w:ascii="Palatino Linotype" w:hAnsi="Palatino Linotype" w:cs="Tahoma"/>
          <w:bCs/>
          <w:i/>
          <w:iCs/>
        </w:rPr>
      </w:pPr>
      <w:r w:rsidRPr="00032EA1">
        <w:rPr>
          <w:rFonts w:ascii="Palatino Linotype" w:hAnsi="Palatino Linotype" w:cs="Tahoma"/>
          <w:bCs/>
          <w:i/>
          <w:iCs/>
        </w:rPr>
        <w:t xml:space="preserve">“Con fundamento en el </w:t>
      </w:r>
      <w:proofErr w:type="spellStart"/>
      <w:r w:rsidRPr="00032EA1">
        <w:rPr>
          <w:rFonts w:ascii="Palatino Linotype" w:hAnsi="Palatino Linotype" w:cs="Tahoma"/>
          <w:bCs/>
          <w:i/>
          <w:iCs/>
        </w:rPr>
        <w:t>articulo</w:t>
      </w:r>
      <w:proofErr w:type="spellEnd"/>
      <w:r w:rsidRPr="00032EA1">
        <w:rPr>
          <w:rFonts w:ascii="Palatino Linotype" w:hAnsi="Palatino Linotype" w:cs="Tahoma"/>
          <w:bCs/>
          <w:i/>
          <w:iCs/>
        </w:rPr>
        <w:t xml:space="preserve"> 159 de la Ley de Transparencia y Acceso a la Información Pública del Estado de México y Municipios, se le requiere para que dentro del plazo de diez días hábiles realice lo siguiente:</w:t>
      </w:r>
    </w:p>
    <w:p w14:paraId="665AA62D" w14:textId="77777777" w:rsidR="00032EA1" w:rsidRPr="00032EA1" w:rsidRDefault="00032EA1" w:rsidP="00032EA1">
      <w:pPr>
        <w:autoSpaceDE w:val="0"/>
        <w:autoSpaceDN w:val="0"/>
        <w:adjustRightInd w:val="0"/>
        <w:spacing w:line="360" w:lineRule="auto"/>
        <w:ind w:left="567" w:right="567"/>
        <w:jc w:val="both"/>
        <w:rPr>
          <w:rFonts w:ascii="Palatino Linotype" w:hAnsi="Palatino Linotype" w:cs="Tahoma"/>
          <w:bCs/>
          <w:i/>
          <w:iCs/>
        </w:rPr>
      </w:pPr>
    </w:p>
    <w:p w14:paraId="027219BA" w14:textId="3EA60954" w:rsidR="00032EA1" w:rsidRPr="00032EA1" w:rsidRDefault="00032EA1" w:rsidP="00032EA1">
      <w:pPr>
        <w:autoSpaceDE w:val="0"/>
        <w:autoSpaceDN w:val="0"/>
        <w:adjustRightInd w:val="0"/>
        <w:spacing w:line="360" w:lineRule="auto"/>
        <w:ind w:left="567" w:right="567"/>
        <w:jc w:val="both"/>
        <w:rPr>
          <w:rFonts w:ascii="Palatino Linotype" w:hAnsi="Palatino Linotype" w:cs="Tahoma"/>
          <w:bCs/>
          <w:i/>
          <w:iCs/>
        </w:rPr>
      </w:pPr>
      <w:r w:rsidRPr="00032EA1">
        <w:rPr>
          <w:rFonts w:ascii="Palatino Linotype" w:hAnsi="Palatino Linotype" w:cs="Tahoma"/>
          <w:bCs/>
          <w:i/>
          <w:iCs/>
        </w:rPr>
        <w:t xml:space="preserve">Con fundamento en el </w:t>
      </w:r>
      <w:proofErr w:type="spellStart"/>
      <w:r w:rsidRPr="00032EA1">
        <w:rPr>
          <w:rFonts w:ascii="Palatino Linotype" w:hAnsi="Palatino Linotype" w:cs="Tahoma"/>
          <w:bCs/>
          <w:i/>
          <w:iCs/>
        </w:rPr>
        <w:t>articulo</w:t>
      </w:r>
      <w:proofErr w:type="spellEnd"/>
      <w:r w:rsidRPr="00032EA1">
        <w:rPr>
          <w:rFonts w:ascii="Palatino Linotype" w:hAnsi="Palatino Linotype" w:cs="Tahoma"/>
          <w:bCs/>
          <w:i/>
          <w:iCs/>
        </w:rPr>
        <w:t xml:space="preserve"> 159 de la Ley de Transparencia y Acceso a la Información </w:t>
      </w:r>
      <w:proofErr w:type="spellStart"/>
      <w:r w:rsidRPr="00032EA1">
        <w:rPr>
          <w:rFonts w:ascii="Palatino Linotype" w:hAnsi="Palatino Linotype" w:cs="Tahoma"/>
          <w:bCs/>
          <w:i/>
          <w:iCs/>
        </w:rPr>
        <w:t>Publica</w:t>
      </w:r>
      <w:proofErr w:type="spellEnd"/>
      <w:r w:rsidRPr="00032EA1">
        <w:rPr>
          <w:rFonts w:ascii="Palatino Linotype" w:hAnsi="Palatino Linotype" w:cs="Tahoma"/>
          <w:bCs/>
          <w:i/>
          <w:iCs/>
        </w:rPr>
        <w:t xml:space="preserve"> del Estado de México y Municipios, solicito saber de </w:t>
      </w:r>
      <w:proofErr w:type="spellStart"/>
      <w:r w:rsidRPr="00032EA1">
        <w:rPr>
          <w:rFonts w:ascii="Palatino Linotype" w:hAnsi="Palatino Linotype" w:cs="Tahoma"/>
          <w:bCs/>
          <w:i/>
          <w:iCs/>
        </w:rPr>
        <w:t>que</w:t>
      </w:r>
      <w:proofErr w:type="spellEnd"/>
      <w:r w:rsidRPr="00032EA1">
        <w:rPr>
          <w:rFonts w:ascii="Palatino Linotype" w:hAnsi="Palatino Linotype" w:cs="Tahoma"/>
          <w:bCs/>
          <w:i/>
          <w:iCs/>
        </w:rPr>
        <w:t xml:space="preserve"> tipo de actas se refiere, sin </w:t>
      </w:r>
      <w:proofErr w:type="spellStart"/>
      <w:r w:rsidRPr="00032EA1">
        <w:rPr>
          <w:rFonts w:ascii="Palatino Linotype" w:hAnsi="Palatino Linotype" w:cs="Tahoma"/>
          <w:bCs/>
          <w:i/>
          <w:iCs/>
        </w:rPr>
        <w:t>mas</w:t>
      </w:r>
      <w:proofErr w:type="spellEnd"/>
      <w:r w:rsidRPr="00032EA1">
        <w:rPr>
          <w:rFonts w:ascii="Palatino Linotype" w:hAnsi="Palatino Linotype" w:cs="Tahoma"/>
          <w:bCs/>
          <w:i/>
          <w:iCs/>
        </w:rPr>
        <w:t xml:space="preserve"> por el momento le envío un cordial saludo</w:t>
      </w:r>
    </w:p>
    <w:p w14:paraId="02C0B476" w14:textId="77777777" w:rsidR="00032EA1" w:rsidRPr="00032EA1" w:rsidRDefault="00032EA1" w:rsidP="00032EA1">
      <w:pPr>
        <w:autoSpaceDE w:val="0"/>
        <w:autoSpaceDN w:val="0"/>
        <w:adjustRightInd w:val="0"/>
        <w:spacing w:line="360" w:lineRule="auto"/>
        <w:ind w:left="567" w:right="567"/>
        <w:jc w:val="both"/>
        <w:rPr>
          <w:rFonts w:ascii="Palatino Linotype" w:hAnsi="Palatino Linotype" w:cs="Tahoma"/>
          <w:bCs/>
          <w:i/>
          <w:iCs/>
        </w:rPr>
      </w:pPr>
    </w:p>
    <w:p w14:paraId="6E51A678" w14:textId="35D7B749" w:rsidR="00032EA1" w:rsidRPr="00032EA1" w:rsidRDefault="00032EA1" w:rsidP="00032EA1">
      <w:pPr>
        <w:autoSpaceDE w:val="0"/>
        <w:autoSpaceDN w:val="0"/>
        <w:adjustRightInd w:val="0"/>
        <w:spacing w:line="360" w:lineRule="auto"/>
        <w:ind w:left="567" w:right="567"/>
        <w:jc w:val="both"/>
        <w:rPr>
          <w:rFonts w:ascii="Palatino Linotype" w:hAnsi="Palatino Linotype" w:cs="Tahoma"/>
          <w:bCs/>
          <w:i/>
          <w:iCs/>
        </w:rPr>
      </w:pPr>
      <w:r w:rsidRPr="00032EA1">
        <w:rPr>
          <w:rFonts w:ascii="Palatino Linotype" w:hAnsi="Palatino Linotype" w:cs="Tahoma"/>
          <w:bCs/>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2CBE2A2" w14:textId="455E69CC" w:rsidR="00032EA1" w:rsidRPr="00032EA1" w:rsidRDefault="002452D0" w:rsidP="00032EA1">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t>..</w:t>
      </w:r>
      <w:r w:rsidR="00032EA1" w:rsidRPr="00032EA1">
        <w:rPr>
          <w:rFonts w:ascii="Palatino Linotype" w:hAnsi="Palatino Linotype" w:cs="Tahoma"/>
          <w:bCs/>
          <w:i/>
          <w:iCs/>
        </w:rPr>
        <w:t>.” (Sic)</w:t>
      </w:r>
    </w:p>
    <w:bookmarkEnd w:id="0"/>
    <w:p w14:paraId="7989A77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20000445"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51779F4A" w:rsidR="009245F5" w:rsidRPr="00474FBB" w:rsidRDefault="009245F5" w:rsidP="009245F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1F7584">
        <w:rPr>
          <w:rFonts w:ascii="Palatino Linotype" w:hAnsi="Palatino Linotype" w:cs="Tahoma"/>
          <w:bCs/>
          <w:sz w:val="22"/>
          <w:szCs w:val="22"/>
          <w:lang w:val="es-ES"/>
        </w:rPr>
        <w:t>primero</w:t>
      </w:r>
      <w:r w:rsidRPr="00474FBB">
        <w:rPr>
          <w:rFonts w:ascii="Palatino Linotype" w:hAnsi="Palatino Linotype" w:cs="Tahoma"/>
          <w:bCs/>
          <w:sz w:val="22"/>
          <w:szCs w:val="22"/>
          <w:lang w:val="es-ES"/>
        </w:rPr>
        <w:t xml:space="preserve"> de </w:t>
      </w:r>
      <w:r w:rsidR="001F7584">
        <w:rPr>
          <w:rFonts w:ascii="Palatino Linotype" w:hAnsi="Palatino Linotype" w:cs="Tahoma"/>
          <w:bCs/>
          <w:sz w:val="22"/>
          <w:szCs w:val="22"/>
          <w:lang w:val="es-ES"/>
        </w:rPr>
        <w:t>marz</w:t>
      </w:r>
      <w:r>
        <w:rPr>
          <w:rFonts w:ascii="Palatino Linotype" w:hAnsi="Palatino Linotype" w:cs="Tahoma"/>
          <w:bCs/>
          <w:sz w:val="22"/>
          <w:szCs w:val="22"/>
          <w:lang w:val="es-ES"/>
        </w:rPr>
        <w:t>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5754F2AF" w:rsidR="009245F5" w:rsidRDefault="001F7584" w:rsidP="009245F5">
      <w:pPr>
        <w:tabs>
          <w:tab w:val="left" w:pos="4667"/>
        </w:tabs>
        <w:spacing w:line="360" w:lineRule="auto"/>
        <w:ind w:left="567" w:right="567"/>
        <w:jc w:val="both"/>
        <w:rPr>
          <w:rFonts w:ascii="Palatino Linotype" w:hAnsi="Palatino Linotype" w:cs="Tahoma"/>
          <w:bCs/>
          <w:i/>
        </w:rPr>
      </w:pPr>
      <w:r w:rsidRPr="001F7584">
        <w:rPr>
          <w:rFonts w:ascii="Palatino Linotype" w:hAnsi="Palatino Linotype" w:cs="Tahoma"/>
          <w:bCs/>
          <w:i/>
        </w:rPr>
        <w:t>Número de Folio de la Solicitud: 00054/TEQUIXQU/IP/2022</w:t>
      </w:r>
      <w:r w:rsidR="009245F5">
        <w:rPr>
          <w:rFonts w:ascii="Palatino Linotype" w:hAnsi="Palatino Linotype" w:cs="Tahoma"/>
          <w:bCs/>
          <w:i/>
        </w:rPr>
        <w:t>” (Sic.)</w:t>
      </w:r>
    </w:p>
    <w:p w14:paraId="5943B08F"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14:paraId="6EDEB3CA" w14:textId="258A7C48" w:rsidR="009245F5" w:rsidRDefault="001F7584" w:rsidP="009245F5">
      <w:pPr>
        <w:tabs>
          <w:tab w:val="left" w:pos="4667"/>
        </w:tabs>
        <w:spacing w:line="360" w:lineRule="auto"/>
        <w:ind w:left="567" w:right="567"/>
        <w:jc w:val="both"/>
        <w:rPr>
          <w:rFonts w:ascii="Palatino Linotype" w:hAnsi="Palatino Linotype" w:cs="Tahoma"/>
          <w:i/>
        </w:rPr>
      </w:pPr>
      <w:r w:rsidRPr="001F7584">
        <w:rPr>
          <w:rFonts w:ascii="Palatino Linotype" w:hAnsi="Palatino Linotype" w:cs="Tahoma"/>
          <w:i/>
        </w:rPr>
        <w:t>No recibí la información solicitada</w:t>
      </w:r>
      <w:r w:rsidR="009245F5">
        <w:rPr>
          <w:rFonts w:ascii="Palatino Linotype" w:hAnsi="Palatino Linotype" w:cs="Tahoma"/>
          <w:i/>
        </w:rPr>
        <w:t>” (Sic.)</w:t>
      </w:r>
    </w:p>
    <w:p w14:paraId="70A446E3"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eastAsia="Batang" w:hAnsi="Palatino Linotype"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eastAsia="Batang" w:hAnsi="Palatino Linotype" w:cs="Tahoma"/>
          <w:b/>
          <w:bCs/>
          <w:sz w:val="22"/>
          <w:szCs w:val="22"/>
        </w:rPr>
        <w:t>ante el Instituto.</w:t>
      </w:r>
    </w:p>
    <w:p w14:paraId="6864DCE6"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p>
    <w:p w14:paraId="007B64E3" w14:textId="720B0027" w:rsidR="009245F5" w:rsidRPr="00FC6890" w:rsidRDefault="009245F5" w:rsidP="009245F5">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sidR="004B52AA">
        <w:rPr>
          <w:rFonts w:ascii="Palatino Linotype" w:hAnsi="Palatino Linotype" w:cs="Tahoma"/>
          <w:sz w:val="22"/>
          <w:szCs w:val="22"/>
        </w:rPr>
        <w:t>primero</w:t>
      </w:r>
      <w:r>
        <w:rPr>
          <w:rFonts w:ascii="Palatino Linotype" w:hAnsi="Palatino Linotype" w:cs="Tahoma"/>
          <w:sz w:val="22"/>
          <w:szCs w:val="22"/>
        </w:rPr>
        <w:t xml:space="preserve"> </w:t>
      </w:r>
      <w:r w:rsidRPr="00F87A4D">
        <w:rPr>
          <w:rFonts w:ascii="Palatino Linotype" w:hAnsi="Palatino Linotype" w:cs="Tahoma"/>
          <w:sz w:val="22"/>
          <w:szCs w:val="22"/>
        </w:rPr>
        <w:t xml:space="preserve">de </w:t>
      </w:r>
      <w:r w:rsidR="004B52AA">
        <w:rPr>
          <w:rFonts w:ascii="Palatino Linotype" w:hAnsi="Palatino Linotype" w:cs="Tahoma"/>
          <w:sz w:val="22"/>
          <w:szCs w:val="22"/>
        </w:rPr>
        <w:t>marz</w:t>
      </w:r>
      <w:r>
        <w:rPr>
          <w:rFonts w:ascii="Palatino Linotype" w:hAnsi="Palatino Linotype" w:cs="Tahoma"/>
          <w:sz w:val="22"/>
          <w:szCs w:val="22"/>
        </w:rPr>
        <w:t>o</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004B52AA" w:rsidRPr="004B52AA">
        <w:rPr>
          <w:rFonts w:ascii="Palatino Linotype" w:eastAsia="Calibri" w:hAnsi="Palatino Linotype" w:cs="Tahoma"/>
          <w:b/>
          <w:bCs/>
          <w:sz w:val="22"/>
          <w:szCs w:val="22"/>
          <w:lang w:eastAsia="en-US"/>
        </w:rPr>
        <w:t>02496/INFOEM/IP/RR/2022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9245F5">
      <w:pPr>
        <w:spacing w:line="360" w:lineRule="auto"/>
        <w:ind w:right="-28"/>
        <w:jc w:val="both"/>
        <w:rPr>
          <w:rFonts w:ascii="Palatino Linotype" w:eastAsia="Batang" w:hAnsi="Palatino Linotype" w:cs="Tahoma"/>
          <w:b/>
          <w:bCs/>
          <w:sz w:val="22"/>
          <w:szCs w:val="22"/>
        </w:rPr>
      </w:pPr>
    </w:p>
    <w:p w14:paraId="7D3A4E8D" w14:textId="4A3690C0" w:rsidR="009245F5" w:rsidRDefault="009245F5" w:rsidP="009245F5">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El </w:t>
      </w:r>
      <w:r w:rsidR="004B52AA">
        <w:rPr>
          <w:rFonts w:ascii="Palatino Linotype" w:eastAsia="Batang" w:hAnsi="Palatino Linotype" w:cs="Tahoma"/>
          <w:bCs/>
          <w:sz w:val="22"/>
          <w:szCs w:val="22"/>
          <w:lang w:val="es-ES_tradnl"/>
        </w:rPr>
        <w:t xml:space="preserve">siete </w:t>
      </w:r>
      <w:r>
        <w:rPr>
          <w:rFonts w:ascii="Palatino Linotype" w:eastAsia="Batang" w:hAnsi="Palatino Linotype" w:cs="Tahoma"/>
          <w:bCs/>
          <w:sz w:val="22"/>
          <w:szCs w:val="22"/>
          <w:lang w:val="es-ES_tradnl"/>
        </w:rPr>
        <w:t xml:space="preserve">de </w:t>
      </w:r>
      <w:r w:rsidR="004B52AA">
        <w:rPr>
          <w:rFonts w:ascii="Palatino Linotype" w:eastAsia="Batang" w:hAnsi="Palatino Linotype" w:cs="Tahoma"/>
          <w:bCs/>
          <w:sz w:val="22"/>
          <w:szCs w:val="22"/>
          <w:lang w:val="es-ES_tradnl"/>
        </w:rPr>
        <w:t>marz</w:t>
      </w:r>
      <w:r>
        <w:rPr>
          <w:rFonts w:ascii="Palatino Linotype" w:eastAsia="Batang" w:hAnsi="Palatino Linotype" w:cs="Tahoma"/>
          <w:bCs/>
          <w:sz w:val="22"/>
          <w:szCs w:val="22"/>
          <w:lang w:val="es-ES_tradnl"/>
        </w:rPr>
        <w:t>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9245F5">
      <w:pPr>
        <w:spacing w:line="360" w:lineRule="auto"/>
        <w:ind w:right="-28"/>
        <w:jc w:val="both"/>
        <w:rPr>
          <w:rFonts w:ascii="Palatino Linotype" w:hAnsi="Palatino Linotype" w:cs="Tahoma"/>
          <w:b/>
          <w:sz w:val="22"/>
          <w:szCs w:val="22"/>
        </w:rPr>
      </w:pPr>
    </w:p>
    <w:p w14:paraId="7A9A5E77" w14:textId="60680862" w:rsidR="009245F5" w:rsidRPr="00F21E7E"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A021B4"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0F26F79D" w14:textId="77777777" w:rsidR="009245F5" w:rsidRPr="00542EC9" w:rsidRDefault="009245F5" w:rsidP="009245F5">
      <w:pPr>
        <w:spacing w:line="360" w:lineRule="auto"/>
        <w:ind w:right="-28"/>
        <w:jc w:val="both"/>
        <w:rPr>
          <w:rFonts w:ascii="Palatino Linotype" w:hAnsi="Palatino Linotype" w:cs="Tahoma"/>
          <w:sz w:val="22"/>
        </w:rPr>
      </w:pPr>
    </w:p>
    <w:p w14:paraId="64F60997" w14:textId="0934DF08" w:rsidR="009245F5" w:rsidRPr="00D47A95"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Pr="00532FC1">
        <w:rPr>
          <w:rFonts w:ascii="Palatino Linotype" w:hAnsi="Palatino Linotype" w:cs="Tahoma"/>
          <w:sz w:val="22"/>
          <w:szCs w:val="22"/>
        </w:rPr>
        <w:t xml:space="preserve">Con fecha </w:t>
      </w:r>
      <w:r w:rsidR="004B52AA">
        <w:rPr>
          <w:rFonts w:ascii="Palatino Linotype" w:hAnsi="Palatino Linotype" w:cs="Tahoma"/>
          <w:sz w:val="22"/>
          <w:szCs w:val="22"/>
        </w:rPr>
        <w:t xml:space="preserve">tres </w:t>
      </w:r>
      <w:r>
        <w:rPr>
          <w:rFonts w:ascii="Palatino Linotype" w:hAnsi="Palatino Linotype" w:cs="Tahoma"/>
          <w:sz w:val="22"/>
          <w:szCs w:val="22"/>
        </w:rPr>
        <w:t xml:space="preserve">de </w:t>
      </w:r>
      <w:r w:rsidR="004B52AA">
        <w:rPr>
          <w:rFonts w:ascii="Palatino Linotype" w:hAnsi="Palatino Linotype" w:cs="Tahoma"/>
          <w:sz w:val="22"/>
          <w:szCs w:val="22"/>
        </w:rPr>
        <w:t>may</w:t>
      </w:r>
      <w:r>
        <w:rPr>
          <w:rFonts w:ascii="Palatino Linotype" w:hAnsi="Palatino Linotype" w:cs="Tahoma"/>
          <w:sz w:val="22"/>
          <w:szCs w:val="22"/>
        </w:rPr>
        <w:t>o de dos mil veintidós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14:paraId="4DDAD19A" w14:textId="3484B397" w:rsidR="009245F5" w:rsidRDefault="009245F5" w:rsidP="009245F5">
      <w:pPr>
        <w:spacing w:line="360" w:lineRule="auto"/>
        <w:ind w:right="-28"/>
        <w:jc w:val="both"/>
        <w:rPr>
          <w:rFonts w:ascii="Palatino Linotype" w:hAnsi="Palatino Linotype" w:cs="Tahoma"/>
          <w:sz w:val="22"/>
          <w:szCs w:val="22"/>
          <w:lang w:val="es-ES"/>
        </w:rPr>
      </w:pPr>
    </w:p>
    <w:p w14:paraId="61EA78DA" w14:textId="77777777" w:rsidR="000A4E21" w:rsidRPr="00D47A95" w:rsidRDefault="000A4E21" w:rsidP="009245F5">
      <w:pPr>
        <w:spacing w:line="360" w:lineRule="auto"/>
        <w:ind w:right="-28"/>
        <w:jc w:val="both"/>
        <w:rPr>
          <w:rFonts w:ascii="Palatino Linotype" w:hAnsi="Palatino Linotype" w:cs="Tahoma"/>
          <w:sz w:val="22"/>
          <w:szCs w:val="22"/>
          <w:lang w:val="es-ES"/>
        </w:rPr>
      </w:pPr>
    </w:p>
    <w:p w14:paraId="5EA7E26D" w14:textId="77777777" w:rsidR="009245F5" w:rsidRPr="00D47A95" w:rsidRDefault="009245F5" w:rsidP="009245F5">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9245F5">
      <w:pPr>
        <w:spacing w:line="360" w:lineRule="auto"/>
        <w:ind w:right="-28"/>
        <w:rPr>
          <w:rFonts w:ascii="Palatino Linotype" w:hAnsi="Palatino Linotype" w:cs="Tahoma"/>
          <w:b/>
          <w:sz w:val="22"/>
          <w:szCs w:val="22"/>
        </w:rPr>
      </w:pPr>
    </w:p>
    <w:p w14:paraId="2D2AEA8A" w14:textId="77777777" w:rsidR="009245F5" w:rsidRPr="00D47A95" w:rsidRDefault="009245F5" w:rsidP="009245F5">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A021B4" w:rsidRDefault="009245F5" w:rsidP="009245F5">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021B4">
      <w:pPr>
        <w:spacing w:line="360" w:lineRule="auto"/>
        <w:ind w:right="-28"/>
        <w:jc w:val="both"/>
        <w:rPr>
          <w:rFonts w:ascii="Palatino Linotype" w:hAnsi="Palatino Linotype" w:cs="Tahoma"/>
          <w:color w:val="000000"/>
          <w:sz w:val="22"/>
          <w:szCs w:val="22"/>
        </w:rPr>
      </w:pPr>
    </w:p>
    <w:p w14:paraId="32198437" w14:textId="53D93B09" w:rsidR="009245F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w:t>
      </w:r>
      <w:r w:rsidR="002452D0">
        <w:rPr>
          <w:rFonts w:ascii="Palatino Linotype" w:eastAsia="Calibri" w:hAnsi="Palatino Linotype" w:cs="Tahoma"/>
          <w:b/>
          <w:color w:val="000000"/>
          <w:sz w:val="22"/>
          <w:szCs w:val="22"/>
          <w:lang w:val="es-ES" w:eastAsia="es-MX"/>
        </w:rPr>
        <w:t>a</w:t>
      </w:r>
      <w:r w:rsidRPr="00371DE9">
        <w:rPr>
          <w:rFonts w:ascii="Palatino Linotype" w:eastAsia="Calibri" w:hAnsi="Palatino Linotype" w:cs="Tahoma"/>
          <w:b/>
          <w:color w:val="000000"/>
          <w:sz w:val="22"/>
          <w:szCs w:val="22"/>
          <w:lang w:val="es-ES" w:eastAsia="es-MX"/>
        </w:rPr>
        <w:t>.</w:t>
      </w:r>
    </w:p>
    <w:p w14:paraId="3DC1A700" w14:textId="5FA77E86" w:rsidR="009245F5" w:rsidRPr="00D47A95" w:rsidRDefault="009245F5" w:rsidP="002452D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 xml:space="preserve">nstituto realizará el estudio oficioso de las causales de improcedencia, por tratarse de una cuestión de orden público y de estudio preferente (acorde con el Criterio orientador en la Tesis de Jurisprudencia “IMPROCEDENCIA.” (Semanario Judicial de la Federación, Quinta </w:t>
      </w:r>
      <w:r w:rsidRPr="00D47A95">
        <w:rPr>
          <w:rFonts w:ascii="Palatino Linotype" w:eastAsia="Calibri" w:hAnsi="Palatino Linotype" w:cs="Tahoma"/>
          <w:color w:val="000000"/>
          <w:sz w:val="22"/>
          <w:szCs w:val="22"/>
          <w:lang w:val="es-ES" w:eastAsia="es-MX"/>
        </w:rPr>
        <w:lastRenderedPageBreak/>
        <w:t>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6E4D82A3" w:rsidR="00FB6698" w:rsidRDefault="00FB6698" w:rsidP="00FB669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w:t>
      </w:r>
      <w:r w:rsidR="009379A9">
        <w:rPr>
          <w:rFonts w:ascii="Palatino Linotype" w:eastAsia="Calibri" w:hAnsi="Palatino Linotype" w:cs="Tahoma"/>
          <w:color w:val="000000"/>
          <w:sz w:val="22"/>
          <w:szCs w:val="22"/>
          <w:lang w:eastAsia="es-MX"/>
        </w:rPr>
        <w:t>el</w:t>
      </w:r>
      <w:r>
        <w:rPr>
          <w:rFonts w:ascii="Palatino Linotype" w:eastAsia="Calibri" w:hAnsi="Palatino Linotype" w:cs="Tahoma"/>
          <w:color w:val="000000"/>
          <w:sz w:val="22"/>
          <w:szCs w:val="22"/>
          <w:lang w:eastAsia="es-MX"/>
        </w:rPr>
        <w:t xml:space="preserve"> Recurrente se inconformó con </w:t>
      </w:r>
      <w:r>
        <w:rPr>
          <w:rFonts w:ascii="Palatino Linotype" w:hAnsi="Palatino Linotype" w:cs="Tahoma"/>
          <w:sz w:val="22"/>
          <w:szCs w:val="22"/>
        </w:rPr>
        <w:t xml:space="preserve">la </w:t>
      </w:r>
      <w:r w:rsidR="009379A9">
        <w:rPr>
          <w:rFonts w:ascii="Palatino Linotype" w:hAnsi="Palatino Linotype" w:cs="Tahoma"/>
          <w:sz w:val="22"/>
          <w:szCs w:val="22"/>
        </w:rPr>
        <w:t xml:space="preserve">falta de respuesta a su solicitud de accesos a la </w:t>
      </w:r>
      <w:r w:rsidR="002452D0">
        <w:rPr>
          <w:rFonts w:ascii="Palatino Linotype" w:hAnsi="Palatino Linotype" w:cs="Tahoma"/>
          <w:sz w:val="22"/>
          <w:szCs w:val="22"/>
        </w:rPr>
        <w:t>información.</w:t>
      </w:r>
    </w:p>
    <w:p w14:paraId="40479974" w14:textId="77777777" w:rsidR="009245F5" w:rsidRPr="006D2718"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FAC8F2B" w14:textId="77777777" w:rsidR="002452D0" w:rsidRPr="002452D0" w:rsidRDefault="002452D0" w:rsidP="002452D0">
      <w:pPr>
        <w:spacing w:line="360" w:lineRule="auto"/>
        <w:jc w:val="both"/>
        <w:rPr>
          <w:rFonts w:ascii="Palatino Linotype" w:hAnsi="Palatino Linotype" w:cs="Tahoma"/>
          <w:sz w:val="22"/>
          <w:szCs w:val="22"/>
        </w:rPr>
      </w:pPr>
      <w:r w:rsidRPr="002452D0">
        <w:rPr>
          <w:rFonts w:ascii="Palatino Linotype" w:hAnsi="Palatino Linotype" w:cs="Tahoma"/>
          <w:b/>
          <w:bCs/>
          <w:sz w:val="22"/>
          <w:szCs w:val="22"/>
        </w:rPr>
        <w:t>TERCERO. Causales de sobreseimiento.</w:t>
      </w:r>
    </w:p>
    <w:p w14:paraId="09FD1EC5" w14:textId="77777777" w:rsidR="002452D0" w:rsidRPr="002452D0" w:rsidRDefault="002452D0" w:rsidP="002452D0">
      <w:pPr>
        <w:spacing w:line="360" w:lineRule="auto"/>
        <w:jc w:val="both"/>
        <w:rPr>
          <w:rFonts w:ascii="Palatino Linotype" w:hAnsi="Palatino Linotype" w:cs="Tahoma"/>
          <w:sz w:val="22"/>
          <w:szCs w:val="22"/>
        </w:rPr>
      </w:pPr>
      <w:r w:rsidRPr="002452D0">
        <w:rPr>
          <w:rFonts w:ascii="Palatino Linotype" w:hAnsi="Palatino Linotype" w:cs="Tahoma"/>
          <w:sz w:val="22"/>
          <w:szCs w:val="22"/>
        </w:rPr>
        <w:t> </w:t>
      </w:r>
    </w:p>
    <w:p w14:paraId="4E921D3E" w14:textId="77777777" w:rsidR="002452D0" w:rsidRPr="002452D0" w:rsidRDefault="002452D0" w:rsidP="002452D0">
      <w:pPr>
        <w:spacing w:line="360" w:lineRule="auto"/>
        <w:jc w:val="both"/>
        <w:rPr>
          <w:rFonts w:ascii="Palatino Linotype" w:hAnsi="Palatino Linotype" w:cs="Tahoma"/>
          <w:sz w:val="22"/>
          <w:szCs w:val="22"/>
        </w:rPr>
      </w:pPr>
      <w:r w:rsidRPr="002452D0">
        <w:rPr>
          <w:rFonts w:ascii="Palatino Linotype" w:hAnsi="Palatino Linotype" w:cs="Tahoma"/>
          <w:sz w:val="22"/>
          <w:szCs w:val="22"/>
        </w:rPr>
        <w:t>Por ser de previo y especial pronunciamiento, este Instituto analiza si se actualiza alguna causal de sobreseimiento.</w:t>
      </w:r>
    </w:p>
    <w:p w14:paraId="5678BDC5" w14:textId="77777777" w:rsidR="002452D0" w:rsidRPr="002452D0" w:rsidRDefault="002452D0" w:rsidP="002452D0">
      <w:pPr>
        <w:spacing w:line="360" w:lineRule="auto"/>
        <w:jc w:val="both"/>
        <w:rPr>
          <w:rFonts w:ascii="Palatino Linotype" w:hAnsi="Palatino Linotype" w:cs="Tahoma"/>
          <w:sz w:val="22"/>
          <w:szCs w:val="22"/>
        </w:rPr>
      </w:pPr>
    </w:p>
    <w:p w14:paraId="71151E22" w14:textId="77777777" w:rsidR="002452D0" w:rsidRPr="002452D0" w:rsidRDefault="002452D0" w:rsidP="002452D0">
      <w:pPr>
        <w:widowControl w:val="0"/>
        <w:spacing w:line="360" w:lineRule="auto"/>
        <w:jc w:val="both"/>
        <w:rPr>
          <w:rFonts w:ascii="Palatino Linotype" w:eastAsia="Calibri" w:hAnsi="Palatino Linotype" w:cs="Tahoma"/>
          <w:sz w:val="22"/>
          <w:szCs w:val="22"/>
          <w:lang w:eastAsia="es-ES_tradnl"/>
        </w:rPr>
      </w:pPr>
      <w:r w:rsidRPr="002452D0">
        <w:rPr>
          <w:rFonts w:ascii="Palatino Linotype" w:hAnsi="Palatino Linotype" w:cs="Tahoma"/>
          <w:sz w:val="22"/>
          <w:szCs w:val="22"/>
        </w:rPr>
        <w:t xml:space="preserve">El artículo 192 de la </w:t>
      </w:r>
      <w:r w:rsidRPr="002452D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2452D0">
        <w:rPr>
          <w:rFonts w:ascii="Palatino Linotype" w:eastAsia="Calibri" w:hAnsi="Palatino Linotype" w:cs="Tahoma"/>
          <w:sz w:val="22"/>
          <w:szCs w:val="22"/>
          <w:lang w:eastAsia="es-ES_tradnl"/>
        </w:rPr>
        <w:t>del análisis realizado por este Instituto, se advierte que</w:t>
      </w:r>
      <w:r w:rsidRPr="002452D0">
        <w:rPr>
          <w:rFonts w:ascii="Palatino Linotype" w:eastAsia="Calibri" w:hAnsi="Palatino Linotype" w:cs="Tahoma"/>
          <w:b/>
          <w:sz w:val="22"/>
          <w:szCs w:val="22"/>
          <w:lang w:eastAsia="es-ES_tradnl"/>
        </w:rPr>
        <w:t xml:space="preserve"> no se </w:t>
      </w:r>
      <w:r w:rsidRPr="002452D0">
        <w:rPr>
          <w:rFonts w:ascii="Palatino Linotype" w:eastAsia="Calibri" w:hAnsi="Palatino Linotype" w:cs="Tahoma"/>
          <w:b/>
          <w:sz w:val="22"/>
          <w:szCs w:val="22"/>
          <w:lang w:eastAsia="es-ES_tradnl"/>
        </w:rPr>
        <w:lastRenderedPageBreak/>
        <w:t xml:space="preserve">configuran las causales establecidas en las fracciones I, II, III, y V, </w:t>
      </w:r>
      <w:r w:rsidRPr="002452D0">
        <w:rPr>
          <w:rFonts w:ascii="Palatino Linotype" w:eastAsia="Calibri" w:hAnsi="Palatino Linotype" w:cs="Tahoma"/>
          <w:sz w:val="22"/>
          <w:szCs w:val="22"/>
          <w:lang w:eastAsia="es-ES_tradnl"/>
        </w:rPr>
        <w:t>toda vez que no hay constancias en el expediente en que se actúa, de que el Recurrente se haya desistido, fallecido, que el Sujeto Obligado hubiese modificado o revocado el acto impugnado o bien, haya quedado sin materia.</w:t>
      </w:r>
    </w:p>
    <w:p w14:paraId="5231E9F3" w14:textId="77777777" w:rsidR="002452D0" w:rsidRPr="002452D0" w:rsidRDefault="002452D0" w:rsidP="002452D0">
      <w:pPr>
        <w:spacing w:line="360" w:lineRule="auto"/>
        <w:jc w:val="both"/>
        <w:rPr>
          <w:rFonts w:ascii="Palatino Linotype" w:eastAsia="Calibri" w:hAnsi="Palatino Linotype" w:cs="Tahoma"/>
          <w:b/>
          <w:sz w:val="22"/>
          <w:szCs w:val="22"/>
          <w:lang w:eastAsia="es-ES_tradnl"/>
        </w:rPr>
      </w:pPr>
    </w:p>
    <w:p w14:paraId="6C15FC9C" w14:textId="77777777" w:rsidR="002452D0" w:rsidRPr="002452D0" w:rsidRDefault="002452D0" w:rsidP="002452D0">
      <w:pPr>
        <w:spacing w:line="360" w:lineRule="auto"/>
        <w:jc w:val="both"/>
        <w:rPr>
          <w:rFonts w:ascii="Palatino Linotype" w:eastAsia="Calibri" w:hAnsi="Palatino Linotype" w:cs="Tahoma"/>
          <w:bCs/>
          <w:sz w:val="22"/>
          <w:szCs w:val="22"/>
          <w:lang w:val="es-ES" w:eastAsia="es-ES_tradnl"/>
        </w:rPr>
      </w:pPr>
      <w:r w:rsidRPr="002452D0">
        <w:rPr>
          <w:rFonts w:ascii="Palatino Linotype" w:eastAsia="Calibri" w:hAnsi="Palatino Linotype" w:cs="Tahoma"/>
          <w:sz w:val="22"/>
          <w:szCs w:val="22"/>
          <w:lang w:eastAsia="es-ES_tradnl"/>
        </w:rPr>
        <w:t xml:space="preserve">No obstante, por lo que hace a la hipótesis prevista en </w:t>
      </w:r>
      <w:r w:rsidRPr="002452D0">
        <w:rPr>
          <w:rFonts w:ascii="Palatino Linotype" w:eastAsia="Calibri" w:hAnsi="Palatino Linotype" w:cs="Tahoma"/>
          <w:b/>
          <w:bCs/>
          <w:sz w:val="22"/>
          <w:szCs w:val="22"/>
          <w:lang w:eastAsia="es-ES_tradnl"/>
        </w:rPr>
        <w:t>la fracción IV,</w:t>
      </w:r>
      <w:r w:rsidRPr="002452D0">
        <w:rPr>
          <w:rFonts w:ascii="Palatino Linotype" w:eastAsia="Calibri" w:hAnsi="Palatino Linotype" w:cs="Tahoma"/>
          <w:sz w:val="22"/>
          <w:szCs w:val="22"/>
          <w:lang w:eastAsia="es-ES_tradnl"/>
        </w:rPr>
        <w:t xml:space="preserve"> a saber, que, una vez admitido el Recurso de Revisión, aparezca alguna causal de improcedencia en términos de la presente Ley, </w:t>
      </w:r>
      <w:r w:rsidRPr="002452D0">
        <w:rPr>
          <w:rFonts w:ascii="Palatino Linotype" w:eastAsia="Calibri" w:hAnsi="Palatino Linotype" w:cs="Tahoma"/>
          <w:bCs/>
          <w:sz w:val="22"/>
          <w:szCs w:val="22"/>
          <w:lang w:eastAsia="es-ES_tradnl"/>
        </w:rPr>
        <w:t>resulta necesario traer a colación</w:t>
      </w:r>
      <w:r w:rsidRPr="002452D0">
        <w:rPr>
          <w:rFonts w:ascii="Palatino Linotype" w:eastAsia="Calibri" w:hAnsi="Palatino Linotype" w:cs="Tahoma"/>
          <w:bCs/>
          <w:sz w:val="22"/>
          <w:szCs w:val="22"/>
          <w:lang w:val="es-ES" w:eastAsia="es-ES_tradnl"/>
        </w:rPr>
        <w:t xml:space="preserve"> el artículo 191, fracción III, de dicho ordenamiento jurídico, establece que el Recurso de Revisión será desechado por improcedente, cuando dicho medio no actualice alguno de los supuestos previstos en el diverso 179 de la presente Ley.</w:t>
      </w:r>
    </w:p>
    <w:p w14:paraId="2288E828" w14:textId="77777777" w:rsidR="002452D0" w:rsidRPr="002452D0" w:rsidRDefault="002452D0" w:rsidP="002452D0">
      <w:pPr>
        <w:spacing w:line="360" w:lineRule="auto"/>
        <w:jc w:val="both"/>
        <w:rPr>
          <w:rFonts w:ascii="Palatino Linotype" w:eastAsia="Calibri" w:hAnsi="Palatino Linotype" w:cs="Tahoma"/>
          <w:bCs/>
          <w:sz w:val="22"/>
          <w:szCs w:val="22"/>
          <w:lang w:val="es-ES" w:eastAsia="es-ES_tradnl"/>
        </w:rPr>
      </w:pPr>
    </w:p>
    <w:p w14:paraId="793F0731" w14:textId="77777777" w:rsidR="002452D0" w:rsidRPr="002452D0" w:rsidRDefault="002452D0" w:rsidP="002452D0">
      <w:pPr>
        <w:spacing w:line="360" w:lineRule="auto"/>
        <w:jc w:val="both"/>
        <w:rPr>
          <w:rFonts w:ascii="Palatino Linotype" w:hAnsi="Palatino Linotype" w:cs="Arial"/>
          <w:bCs/>
          <w:color w:val="000000" w:themeColor="text1"/>
          <w:sz w:val="22"/>
          <w:szCs w:val="22"/>
        </w:rPr>
      </w:pPr>
      <w:r w:rsidRPr="002452D0">
        <w:rPr>
          <w:rFonts w:ascii="Palatino Linotype" w:hAnsi="Palatino Linotype" w:cs="Arial"/>
          <w:bCs/>
          <w:color w:val="000000" w:themeColor="text1"/>
          <w:sz w:val="22"/>
          <w:szCs w:val="22"/>
        </w:rPr>
        <w:t>En ese orden de ideas, dicho artículo prevé lo siguiente:</w:t>
      </w:r>
    </w:p>
    <w:p w14:paraId="0203D9A4" w14:textId="77777777" w:rsidR="002452D0" w:rsidRPr="002452D0" w:rsidRDefault="002452D0" w:rsidP="002452D0">
      <w:pPr>
        <w:spacing w:line="360" w:lineRule="auto"/>
        <w:jc w:val="both"/>
        <w:rPr>
          <w:rFonts w:ascii="Palatino Linotype" w:hAnsi="Palatino Linotype" w:cs="Arial"/>
          <w:bCs/>
          <w:color w:val="000000" w:themeColor="text1"/>
          <w:sz w:val="22"/>
          <w:szCs w:val="22"/>
        </w:rPr>
      </w:pPr>
    </w:p>
    <w:p w14:paraId="68C11F59"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
          <w:bCs/>
          <w:i/>
          <w:color w:val="000000" w:themeColor="text1"/>
          <w:lang w:eastAsia="en-US"/>
        </w:rPr>
        <w:t xml:space="preserve">“Artículo 179. </w:t>
      </w:r>
      <w:r w:rsidRPr="002452D0">
        <w:rPr>
          <w:rFonts w:ascii="Palatino Linotype" w:eastAsia="Calibri" w:hAnsi="Palatino Linotype" w:cs="Arial"/>
          <w:bCs/>
          <w:i/>
          <w:color w:val="000000" w:themeColor="text1"/>
          <w:lang w:eastAsia="en-US"/>
        </w:rPr>
        <w:t xml:space="preserve">El recurso de revisión es un medio de protección que la Ley otorga a los particulares, para hacer valer su derecho de acceso a la información pública, y procederá en contra de las siguientes causas: </w:t>
      </w:r>
    </w:p>
    <w:p w14:paraId="53DC9112"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p>
    <w:p w14:paraId="4FB6340F"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I. La negativa a la información solicitada; </w:t>
      </w:r>
    </w:p>
    <w:p w14:paraId="1BF7F918"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II. La clasificación de la información; </w:t>
      </w:r>
    </w:p>
    <w:p w14:paraId="131BD8CD"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III. La declaración de inexistencia de la información; </w:t>
      </w:r>
    </w:p>
    <w:p w14:paraId="2E58E41A"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IV. La declaración de incompetencia por el sujeto obligado; </w:t>
      </w:r>
    </w:p>
    <w:p w14:paraId="233372B1"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V. La entrega de información incompleta; </w:t>
      </w:r>
    </w:p>
    <w:p w14:paraId="07C3C174"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VI. La entrega de información que no corresponda con lo solicitado; </w:t>
      </w:r>
    </w:p>
    <w:p w14:paraId="7BE127C0"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VII. La falta de respuesta a una solicitud de acceso a la información; </w:t>
      </w:r>
    </w:p>
    <w:p w14:paraId="07BEDBD4" w14:textId="7B2B2A98" w:rsid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VIII. La notificación, entrega o puesta a disposición de información en una modalidad o formato distinto al solicitado; </w:t>
      </w:r>
    </w:p>
    <w:p w14:paraId="420DFC89" w14:textId="2D9DDC3A" w:rsidR="000A4E21" w:rsidRDefault="000A4E21" w:rsidP="002452D0">
      <w:pPr>
        <w:spacing w:line="360" w:lineRule="auto"/>
        <w:ind w:left="567" w:right="567"/>
        <w:jc w:val="both"/>
        <w:rPr>
          <w:rFonts w:ascii="Palatino Linotype" w:eastAsia="Calibri" w:hAnsi="Palatino Linotype" w:cs="Arial"/>
          <w:bCs/>
          <w:i/>
          <w:color w:val="000000" w:themeColor="text1"/>
          <w:lang w:eastAsia="en-US"/>
        </w:rPr>
      </w:pPr>
    </w:p>
    <w:p w14:paraId="1C16695A" w14:textId="22D451BA" w:rsidR="000A4E21" w:rsidRDefault="000A4E21" w:rsidP="002452D0">
      <w:pPr>
        <w:spacing w:line="360" w:lineRule="auto"/>
        <w:ind w:left="567" w:right="567"/>
        <w:jc w:val="both"/>
        <w:rPr>
          <w:rFonts w:ascii="Palatino Linotype" w:eastAsia="Calibri" w:hAnsi="Palatino Linotype" w:cs="Arial"/>
          <w:bCs/>
          <w:i/>
          <w:color w:val="000000" w:themeColor="text1"/>
          <w:lang w:eastAsia="en-US"/>
        </w:rPr>
      </w:pPr>
    </w:p>
    <w:p w14:paraId="4650109B" w14:textId="77777777" w:rsidR="000A4E21" w:rsidRPr="002452D0" w:rsidRDefault="000A4E21" w:rsidP="002452D0">
      <w:pPr>
        <w:spacing w:line="360" w:lineRule="auto"/>
        <w:ind w:left="567" w:right="567"/>
        <w:jc w:val="both"/>
        <w:rPr>
          <w:rFonts w:ascii="Palatino Linotype" w:eastAsia="Calibri" w:hAnsi="Palatino Linotype" w:cs="Arial"/>
          <w:bCs/>
          <w:i/>
          <w:color w:val="000000" w:themeColor="text1"/>
          <w:lang w:eastAsia="en-US"/>
        </w:rPr>
      </w:pPr>
    </w:p>
    <w:p w14:paraId="4003F6DC"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IX. La entrega o puesta a disposición de información en un formato incomprensible y/o no accesible para el solicitante; </w:t>
      </w:r>
    </w:p>
    <w:p w14:paraId="73221B27"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X. Los costos o tiempos de entrega de la información; </w:t>
      </w:r>
    </w:p>
    <w:p w14:paraId="7E78A113"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XI. La falta de trámite a una solicitud; </w:t>
      </w:r>
    </w:p>
    <w:p w14:paraId="74C8441E"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XII. La negativa a permitir la consulta directa de la información; </w:t>
      </w:r>
    </w:p>
    <w:p w14:paraId="345B1B3A"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 xml:space="preserve">XIII. La falta, deficiencia o insuficiencia de la fundamentación y/o motivación en la respuesta; y </w:t>
      </w:r>
    </w:p>
    <w:p w14:paraId="26304947"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XIV. La orientación a un trámite específico.</w:t>
      </w:r>
    </w:p>
    <w:p w14:paraId="2577EE07" w14:textId="77777777" w:rsidR="002452D0" w:rsidRPr="002452D0" w:rsidRDefault="002452D0" w:rsidP="002452D0">
      <w:pPr>
        <w:spacing w:line="360" w:lineRule="auto"/>
        <w:ind w:left="567" w:right="567"/>
        <w:jc w:val="both"/>
        <w:rPr>
          <w:rFonts w:ascii="Palatino Linotype" w:eastAsia="Calibri" w:hAnsi="Palatino Linotype" w:cs="Arial"/>
          <w:bCs/>
          <w:i/>
          <w:color w:val="000000" w:themeColor="text1"/>
          <w:lang w:eastAsia="en-US"/>
        </w:rPr>
      </w:pPr>
      <w:r w:rsidRPr="002452D0">
        <w:rPr>
          <w:rFonts w:ascii="Palatino Linotype" w:eastAsia="Calibri" w:hAnsi="Palatino Linotype" w:cs="Arial"/>
          <w:bCs/>
          <w:i/>
          <w:color w:val="000000" w:themeColor="text1"/>
          <w:lang w:eastAsia="en-US"/>
        </w:rPr>
        <w:t>…”</w:t>
      </w:r>
    </w:p>
    <w:p w14:paraId="4C935CB9" w14:textId="15C48845" w:rsidR="00A021B4" w:rsidRPr="00265A8F" w:rsidRDefault="00A021B4" w:rsidP="00265A8F">
      <w:pPr>
        <w:spacing w:line="360" w:lineRule="auto"/>
        <w:jc w:val="both"/>
        <w:rPr>
          <w:rFonts w:ascii="Palatino Linotype" w:hAnsi="Palatino Linotype" w:cs="Tahoma"/>
          <w:sz w:val="22"/>
          <w:szCs w:val="24"/>
          <w:lang w:val="es-ES"/>
        </w:rPr>
      </w:pPr>
    </w:p>
    <w:p w14:paraId="0F233CEF" w14:textId="6AC6DEDA" w:rsidR="00BE7949" w:rsidRPr="00BE7949" w:rsidRDefault="00BE7949" w:rsidP="00BE7949">
      <w:pPr>
        <w:spacing w:line="360" w:lineRule="auto"/>
        <w:jc w:val="both"/>
        <w:rPr>
          <w:rFonts w:ascii="Palatino Linotype" w:eastAsia="Calibri" w:hAnsi="Palatino Linotype" w:cs="Tahoma"/>
          <w:bCs/>
          <w:sz w:val="22"/>
          <w:szCs w:val="22"/>
          <w:lang w:val="es-ES" w:eastAsia="es-ES_tradnl"/>
        </w:rPr>
      </w:pPr>
      <w:r w:rsidRPr="00BE7949">
        <w:rPr>
          <w:rFonts w:ascii="Palatino Linotype" w:eastAsia="Calibri" w:hAnsi="Palatino Linotype" w:cs="Tahoma"/>
          <w:bCs/>
          <w:sz w:val="22"/>
          <w:szCs w:val="22"/>
          <w:lang w:val="es-ES" w:eastAsia="es-ES_tradnl"/>
        </w:rPr>
        <w:t xml:space="preserve">En ese contexto, en el Medio de Impugnación, la parte Recurrente indicó como acto reclamado </w:t>
      </w:r>
      <w:r w:rsidRPr="00BE7949">
        <w:rPr>
          <w:rFonts w:ascii="Palatino Linotype" w:eastAsia="Calibri" w:hAnsi="Palatino Linotype" w:cs="Tahoma"/>
          <w:bCs/>
          <w:i/>
          <w:sz w:val="22"/>
          <w:szCs w:val="22"/>
          <w:lang w:val="es-ES" w:eastAsia="es-ES_tradnl"/>
        </w:rPr>
        <w:t>“</w:t>
      </w:r>
      <w:r w:rsidRPr="00BE7949">
        <w:rPr>
          <w:rFonts w:ascii="Palatino Linotype" w:eastAsia="Calibri" w:hAnsi="Palatino Linotype" w:cs="Tahoma"/>
          <w:bCs/>
          <w:i/>
          <w:sz w:val="22"/>
          <w:szCs w:val="22"/>
          <w:lang w:eastAsia="es-ES_tradnl"/>
        </w:rPr>
        <w:t>Número de Folio de la Solicitud: 00054/TEQUIXQU/IP/2022</w:t>
      </w:r>
      <w:r w:rsidRPr="00BE7949">
        <w:rPr>
          <w:rFonts w:ascii="Palatino Linotype" w:eastAsia="Calibri" w:hAnsi="Palatino Linotype" w:cs="Tahoma"/>
          <w:bCs/>
          <w:i/>
          <w:sz w:val="22"/>
          <w:szCs w:val="22"/>
          <w:lang w:val="es-ES" w:eastAsia="es-ES_tradnl"/>
        </w:rPr>
        <w:t>”</w:t>
      </w:r>
      <w:r w:rsidRPr="00BE7949">
        <w:rPr>
          <w:rFonts w:ascii="Palatino Linotype" w:eastAsia="Calibri" w:hAnsi="Palatino Linotype" w:cs="Tahoma"/>
          <w:bCs/>
          <w:sz w:val="22"/>
          <w:szCs w:val="22"/>
          <w:lang w:val="es-ES" w:eastAsia="es-ES_tradnl"/>
        </w:rPr>
        <w:t xml:space="preserve">, y, como razones o motivos de inconformidad </w:t>
      </w:r>
      <w:r w:rsidRPr="00BE7949">
        <w:rPr>
          <w:rFonts w:ascii="Palatino Linotype" w:eastAsia="Calibri" w:hAnsi="Palatino Linotype" w:cs="Tahoma"/>
          <w:bCs/>
          <w:i/>
          <w:sz w:val="22"/>
          <w:szCs w:val="22"/>
          <w:lang w:val="es-ES" w:eastAsia="es-ES_tradnl"/>
        </w:rPr>
        <w:t>“</w:t>
      </w:r>
      <w:r w:rsidRPr="00BE7949">
        <w:rPr>
          <w:rFonts w:ascii="Palatino Linotype" w:eastAsia="Calibri" w:hAnsi="Palatino Linotype" w:cs="Tahoma"/>
          <w:bCs/>
          <w:i/>
          <w:sz w:val="22"/>
          <w:szCs w:val="22"/>
          <w:lang w:eastAsia="es-ES_tradnl"/>
        </w:rPr>
        <w:t>No recibí la información solicitada</w:t>
      </w:r>
      <w:r w:rsidRPr="00BE7949">
        <w:rPr>
          <w:rFonts w:ascii="Palatino Linotype" w:eastAsia="Calibri" w:hAnsi="Palatino Linotype" w:cs="Tahoma"/>
          <w:bCs/>
          <w:i/>
          <w:sz w:val="22"/>
          <w:szCs w:val="22"/>
          <w:lang w:val="es-ES" w:eastAsia="es-ES_tradnl"/>
        </w:rPr>
        <w:t>”</w:t>
      </w:r>
      <w:r w:rsidRPr="00BE7949">
        <w:rPr>
          <w:rFonts w:ascii="Palatino Linotype" w:eastAsia="Calibri" w:hAnsi="Palatino Linotype" w:cs="Tahoma"/>
          <w:bCs/>
          <w:sz w:val="22"/>
          <w:szCs w:val="22"/>
          <w:lang w:val="es-ES" w:eastAsia="es-ES_tradnl"/>
        </w:rPr>
        <w:t xml:space="preserve">, de lo cual, se logra colegir que el Solicitante, se inconformó </w:t>
      </w:r>
      <w:r>
        <w:rPr>
          <w:rFonts w:ascii="Palatino Linotype" w:eastAsia="Calibri" w:hAnsi="Palatino Linotype" w:cs="Tahoma"/>
          <w:bCs/>
          <w:sz w:val="22"/>
          <w:szCs w:val="22"/>
          <w:lang w:val="es-ES" w:eastAsia="es-ES_tradnl"/>
        </w:rPr>
        <w:t>por no recibir la información solicitada.</w:t>
      </w:r>
    </w:p>
    <w:p w14:paraId="4B9EECE5" w14:textId="77777777" w:rsidR="002452D0" w:rsidRDefault="002452D0"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416B288A" w14:textId="21E8404E" w:rsidR="002452D0" w:rsidRDefault="00BE7949"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En ese sentido, es necesario recordar que el Particular requirió </w:t>
      </w:r>
      <w:r w:rsidRPr="00BE7949">
        <w:rPr>
          <w:rFonts w:ascii="Palatino Linotype" w:eastAsia="Calibri" w:hAnsi="Palatino Linotype" w:cs="Tahoma"/>
          <w:bCs/>
          <w:i/>
          <w:sz w:val="22"/>
          <w:szCs w:val="22"/>
          <w:lang w:val="es-ES" w:eastAsia="es-ES_tradnl"/>
        </w:rPr>
        <w:t>“</w:t>
      </w:r>
      <w:r w:rsidRPr="00BE7949">
        <w:rPr>
          <w:rFonts w:ascii="Palatino Linotype" w:eastAsia="Calibri" w:hAnsi="Palatino Linotype" w:cs="Tahoma"/>
          <w:bCs/>
          <w:i/>
          <w:sz w:val="22"/>
          <w:szCs w:val="22"/>
          <w:lang w:eastAsia="es-ES_tradnl"/>
        </w:rPr>
        <w:t>Solicito las actas de las sesiones extraordinarias completas que se llevaron a cabo en el mes de enero de 2022 de manera digitalizada.</w:t>
      </w:r>
      <w:r w:rsidRPr="00BE7949">
        <w:rPr>
          <w:rFonts w:ascii="Palatino Linotype" w:eastAsia="Calibri" w:hAnsi="Palatino Linotype" w:cs="Tahoma"/>
          <w:bCs/>
          <w:i/>
          <w:sz w:val="22"/>
          <w:szCs w:val="22"/>
          <w:lang w:val="es-ES" w:eastAsia="es-ES_tradnl"/>
        </w:rPr>
        <w:t>”</w:t>
      </w:r>
      <w:r>
        <w:rPr>
          <w:rFonts w:ascii="Palatino Linotype" w:eastAsia="Calibri" w:hAnsi="Palatino Linotype" w:cs="Tahoma"/>
          <w:bCs/>
          <w:iCs/>
          <w:sz w:val="22"/>
          <w:szCs w:val="22"/>
          <w:lang w:val="es-ES" w:eastAsia="es-ES_tradnl"/>
        </w:rPr>
        <w:t>; sin embargo, del análisis de la solicitud, este Instituto</w:t>
      </w:r>
      <w:r w:rsidR="009A3E7E">
        <w:rPr>
          <w:rFonts w:ascii="Palatino Linotype" w:eastAsia="Calibri" w:hAnsi="Palatino Linotype" w:cs="Tahoma"/>
          <w:bCs/>
          <w:iCs/>
          <w:sz w:val="22"/>
          <w:szCs w:val="22"/>
          <w:lang w:val="es-ES" w:eastAsia="es-ES_tradnl"/>
        </w:rPr>
        <w:t xml:space="preserve"> no logra vislumbrar con claridad lo peticionado, pues cabe recordar que el Ayuntamiento, cuenta con el Cabildo, con diversas Comisiones, Comités (Adquisiciones, arrendamientos, transparencia, entre otros), Consejos, órganos auxiliares que realizan reuniones y llevan a cabo Actas de Sesiones, de tal suerte, que se considera que el requerimiento de información no es claro.</w:t>
      </w:r>
    </w:p>
    <w:p w14:paraId="51511384" w14:textId="5D2CFE91" w:rsidR="009A3E7E" w:rsidRDefault="009A3E7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222EF052" w14:textId="673828F0" w:rsidR="009A3E7E" w:rsidRDefault="009A3E7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Dicha situación fue percata por el Sujeto Obligado y determinó procedente solicitar una aclaración, en términos del artículo 159 de la Ley de Transparencia y Acceso a la Información Pública, con el fin de que el Particular aclarará de quién requería las Actas de Sesiones.</w:t>
      </w:r>
    </w:p>
    <w:p w14:paraId="7087751F" w14:textId="0899E174" w:rsidR="009A3E7E" w:rsidRDefault="009A3E7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126ADC23" w14:textId="288BD8A6" w:rsidR="000A4E21" w:rsidRDefault="000A4E21"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1803190C" w14:textId="77777777" w:rsidR="000A4E21" w:rsidRDefault="000A4E21"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3531BB72" w14:textId="05FDF5E3" w:rsidR="009A3E7E" w:rsidRDefault="009A3E7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En ese orden de ideas, el </w:t>
      </w:r>
      <w:r w:rsidR="00C26A6E">
        <w:rPr>
          <w:rFonts w:ascii="Palatino Linotype" w:eastAsia="Calibri" w:hAnsi="Palatino Linotype" w:cs="Tahoma"/>
          <w:bCs/>
          <w:iCs/>
          <w:sz w:val="22"/>
          <w:szCs w:val="22"/>
          <w:lang w:val="es-ES" w:eastAsia="es-ES_tradnl"/>
        </w:rPr>
        <w:t>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14:paraId="76184F33" w14:textId="1DA34201" w:rsidR="00C26A6E" w:rsidRDefault="00C26A6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1B27D830" w14:textId="39950816" w:rsidR="00C26A6E" w:rsidRDefault="00C26A6E"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Además, el artículo 159 de la Ley de la materia, precisa </w:t>
      </w:r>
      <w:r w:rsidR="00A1412F">
        <w:rPr>
          <w:rFonts w:ascii="Palatino Linotype" w:eastAsia="Calibri" w:hAnsi="Palatino Linotype" w:cs="Tahoma"/>
          <w:bCs/>
          <w:iCs/>
          <w:sz w:val="22"/>
          <w:szCs w:val="22"/>
          <w:lang w:val="es-ES" w:eastAsia="es-ES_tradnl"/>
        </w:rPr>
        <w:t>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256416AD" w14:textId="0BC6A6CB" w:rsidR="003508D0" w:rsidRDefault="003508D0" w:rsidP="009A3E7E">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5EF97935" w14:textId="7529D91E" w:rsidR="003508D0" w:rsidRPr="00BE7949" w:rsidRDefault="003508D0" w:rsidP="009A3E7E">
      <w:pPr>
        <w:tabs>
          <w:tab w:val="left" w:pos="4962"/>
        </w:tabs>
        <w:spacing w:line="360" w:lineRule="auto"/>
        <w:ind w:right="-28"/>
        <w:jc w:val="both"/>
        <w:rPr>
          <w:rFonts w:ascii="Palatino Linotype" w:eastAsia="Calibri" w:hAnsi="Palatino Linotype" w:cs="Tahoma"/>
          <w:b/>
          <w:iCs/>
          <w:sz w:val="22"/>
          <w:szCs w:val="22"/>
          <w:lang w:val="es-ES" w:eastAsia="es-ES_tradnl"/>
        </w:rPr>
      </w:pPr>
      <w:r>
        <w:rPr>
          <w:rFonts w:ascii="Palatino Linotype" w:eastAsia="Calibri" w:hAnsi="Palatino Linotype" w:cs="Tahoma"/>
          <w:bCs/>
          <w:iCs/>
          <w:sz w:val="22"/>
          <w:szCs w:val="22"/>
          <w:lang w:val="es-ES" w:eastAsia="es-ES_tradnl"/>
        </w:rPr>
        <w:t>Así, la solicitud de información se tendrá por no presentada, cuando el Solicitante no atienda el requerimiento de información adicional y del requerimiento inicial no se aprecien los elementos que permitan identificar la información requerida.</w:t>
      </w:r>
    </w:p>
    <w:p w14:paraId="4079879F" w14:textId="77777777" w:rsidR="002452D0" w:rsidRDefault="002452D0"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7C3D4677" w14:textId="3220000A" w:rsidR="002452D0" w:rsidRDefault="00D94D36" w:rsidP="009245F5">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Como se logra observar, cuando los Particulares no sean claros en la información peticionada, los Sujetos Obligados, tienen la posibilidad de solicitar información adicional, con el fin de esclarecer la solicitud y así dar una atención adecuada en esta.</w:t>
      </w:r>
    </w:p>
    <w:p w14:paraId="10AE4F36" w14:textId="0A217A5A" w:rsidR="00D94D36" w:rsidRDefault="00D94D36" w:rsidP="009245F5">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415F76DB" w14:textId="15001212" w:rsidR="00D94D36" w:rsidRDefault="00D94D36" w:rsidP="009245F5">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 xml:space="preserve">Ahora bien, de las constancias que obran en el expediente, se logra advertir que el Particular presentó la solicitud de información </w:t>
      </w:r>
      <w:r w:rsidR="00DC1C74">
        <w:rPr>
          <w:rFonts w:ascii="Palatino Linotype" w:eastAsia="Calibri" w:hAnsi="Palatino Linotype" w:cs="Tahoma"/>
          <w:bCs/>
          <w:iCs/>
          <w:sz w:val="22"/>
          <w:szCs w:val="22"/>
          <w:lang w:val="es-ES" w:eastAsia="es-ES_tradnl"/>
        </w:rPr>
        <w:t>el cuatro de febrero de dos mil veintidós, misma fecha, en que el Ayuntamiento de Tequixquiac, solicitó una aclaración al requerimiento, con el fin de que se precisará de quién requería las Actas de Sesiones Extraordinarias, tal como se muestra a continuación:</w:t>
      </w:r>
    </w:p>
    <w:p w14:paraId="3EC1FE7A" w14:textId="49E49270" w:rsidR="00DC1C74" w:rsidRDefault="00DC1C74" w:rsidP="009245F5">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60D2AB8D" w14:textId="77777777" w:rsidR="000A4E21" w:rsidRDefault="000A4E21" w:rsidP="009245F5">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0A573AE8" w14:textId="23C29EDE" w:rsidR="002452D0" w:rsidRDefault="00DC1C74" w:rsidP="00DC1C74">
      <w:pPr>
        <w:tabs>
          <w:tab w:val="left" w:pos="4962"/>
        </w:tabs>
        <w:spacing w:line="360" w:lineRule="auto"/>
        <w:ind w:right="-28"/>
        <w:jc w:val="center"/>
        <w:rPr>
          <w:rFonts w:ascii="Palatino Linotype" w:eastAsia="Calibri" w:hAnsi="Palatino Linotype" w:cs="Tahoma"/>
          <w:bCs/>
          <w:iCs/>
          <w:sz w:val="22"/>
          <w:szCs w:val="22"/>
          <w:lang w:val="es-ES" w:eastAsia="es-ES_tradnl"/>
        </w:rPr>
      </w:pPr>
      <w:r>
        <w:rPr>
          <w:noProof/>
        </w:rPr>
        <w:drawing>
          <wp:inline distT="0" distB="0" distL="0" distR="0" wp14:anchorId="55251E29" wp14:editId="10441EA0">
            <wp:extent cx="3419475" cy="16586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3363"/>
                    <a:stretch/>
                  </pic:blipFill>
                  <pic:spPr bwMode="auto">
                    <a:xfrm>
                      <a:off x="0" y="0"/>
                      <a:ext cx="3419475" cy="1658679"/>
                    </a:xfrm>
                    <a:prstGeom prst="rect">
                      <a:avLst/>
                    </a:prstGeom>
                    <a:ln>
                      <a:noFill/>
                    </a:ln>
                    <a:extLst>
                      <a:ext uri="{53640926-AAD7-44D8-BBD7-CCE9431645EC}">
                        <a14:shadowObscured xmlns:a14="http://schemas.microsoft.com/office/drawing/2010/main"/>
                      </a:ext>
                    </a:extLst>
                  </pic:spPr>
                </pic:pic>
              </a:graphicData>
            </a:graphic>
          </wp:inline>
        </w:drawing>
      </w:r>
    </w:p>
    <w:p w14:paraId="7C555F52" w14:textId="7236C13A" w:rsidR="00DC1C74" w:rsidRDefault="00DC1C74" w:rsidP="00DC1C74">
      <w:pPr>
        <w:tabs>
          <w:tab w:val="left" w:pos="4962"/>
        </w:tabs>
        <w:spacing w:line="360" w:lineRule="auto"/>
        <w:ind w:right="-28"/>
        <w:jc w:val="center"/>
        <w:rPr>
          <w:rFonts w:ascii="Palatino Linotype" w:eastAsia="Calibri" w:hAnsi="Palatino Linotype" w:cs="Tahoma"/>
          <w:bCs/>
          <w:iCs/>
          <w:sz w:val="22"/>
          <w:szCs w:val="22"/>
          <w:lang w:val="es-ES" w:eastAsia="es-ES_tradnl"/>
        </w:rPr>
      </w:pPr>
    </w:p>
    <w:p w14:paraId="399FB266" w14:textId="299C998C" w:rsidR="00DC1C74" w:rsidRDefault="00DC1C74" w:rsidP="00DC1C74">
      <w:pPr>
        <w:tabs>
          <w:tab w:val="left" w:pos="4962"/>
        </w:tabs>
        <w:spacing w:line="360" w:lineRule="auto"/>
        <w:ind w:right="-28"/>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t>En ese contexto</w:t>
      </w:r>
      <w:r w:rsidR="00583FD5">
        <w:rPr>
          <w:rFonts w:ascii="Palatino Linotype" w:eastAsia="Calibri" w:hAnsi="Palatino Linotype" w:cs="Tahoma"/>
          <w:bCs/>
          <w:iCs/>
          <w:sz w:val="22"/>
          <w:szCs w:val="22"/>
          <w:lang w:val="es-ES" w:eastAsia="es-ES_tradnl"/>
        </w:rPr>
        <w:t>, de la revisión de las constancias que conforman en el expediente, se logra vislumbrar, que el requerimiento de aclaración realizado por el Sujeto Obligado, resulta valido por las siguientes circunstancias:</w:t>
      </w:r>
    </w:p>
    <w:p w14:paraId="3EDA5305" w14:textId="58AFC167" w:rsidR="00583FD5" w:rsidRDefault="00583FD5" w:rsidP="00DC1C74">
      <w:pPr>
        <w:tabs>
          <w:tab w:val="left" w:pos="4962"/>
        </w:tabs>
        <w:spacing w:line="360" w:lineRule="auto"/>
        <w:ind w:right="-28"/>
        <w:jc w:val="both"/>
        <w:rPr>
          <w:rFonts w:ascii="Palatino Linotype" w:eastAsia="Calibri" w:hAnsi="Palatino Linotype" w:cs="Tahoma"/>
          <w:bCs/>
          <w:iCs/>
          <w:sz w:val="22"/>
          <w:szCs w:val="22"/>
          <w:lang w:val="es-ES" w:eastAsia="es-ES_tradnl"/>
        </w:rPr>
      </w:pPr>
    </w:p>
    <w:p w14:paraId="699B7D68" w14:textId="3DB82783" w:rsidR="00583FD5" w:rsidRDefault="00583FD5" w:rsidP="00583FD5">
      <w:pPr>
        <w:pStyle w:val="Prrafodelista"/>
        <w:numPr>
          <w:ilvl w:val="0"/>
          <w:numId w:val="47"/>
        </w:numPr>
        <w:tabs>
          <w:tab w:val="left" w:pos="4962"/>
        </w:tabs>
        <w:spacing w:line="360" w:lineRule="auto"/>
        <w:ind w:right="-28"/>
        <w:jc w:val="both"/>
        <w:rPr>
          <w:rFonts w:ascii="Palatino Linotype" w:eastAsia="Calibri" w:hAnsi="Palatino Linotype" w:cs="Tahoma"/>
          <w:bCs/>
          <w:iCs/>
          <w:szCs w:val="22"/>
          <w:lang w:val="es-ES" w:eastAsia="es-ES_tradnl"/>
        </w:rPr>
      </w:pPr>
      <w:r>
        <w:rPr>
          <w:rFonts w:ascii="Palatino Linotype" w:eastAsia="Calibri" w:hAnsi="Palatino Linotype" w:cs="Tahoma"/>
          <w:bCs/>
          <w:iCs/>
          <w:szCs w:val="22"/>
          <w:lang w:val="es-ES" w:eastAsia="es-ES_tradnl"/>
        </w:rPr>
        <w:t>Fue realizado dentro del plazo establecido en el artículo 159 de la Ley de Transparencia y Acceso a la Información Pública del Estado de México y Municipios</w:t>
      </w:r>
      <w:r w:rsidR="0012101F">
        <w:rPr>
          <w:rFonts w:ascii="Palatino Linotype" w:eastAsia="Calibri" w:hAnsi="Palatino Linotype" w:cs="Tahoma"/>
          <w:bCs/>
          <w:iCs/>
          <w:szCs w:val="22"/>
          <w:lang w:val="es-ES" w:eastAsia="es-ES_tradnl"/>
        </w:rPr>
        <w:t>;</w:t>
      </w:r>
    </w:p>
    <w:p w14:paraId="5CD096C4" w14:textId="77777777" w:rsidR="0012101F" w:rsidRDefault="0012101F" w:rsidP="0012101F">
      <w:pPr>
        <w:pStyle w:val="Prrafodelista"/>
        <w:tabs>
          <w:tab w:val="left" w:pos="4962"/>
        </w:tabs>
        <w:spacing w:line="360" w:lineRule="auto"/>
        <w:ind w:right="-28"/>
        <w:jc w:val="both"/>
        <w:rPr>
          <w:rFonts w:ascii="Palatino Linotype" w:eastAsia="Calibri" w:hAnsi="Palatino Linotype" w:cs="Tahoma"/>
          <w:bCs/>
          <w:iCs/>
          <w:szCs w:val="22"/>
          <w:lang w:val="es-ES" w:eastAsia="es-ES_tradnl"/>
        </w:rPr>
      </w:pPr>
    </w:p>
    <w:p w14:paraId="5BC8B442" w14:textId="5782192F" w:rsidR="0012101F" w:rsidRDefault="0012101F" w:rsidP="00583FD5">
      <w:pPr>
        <w:pStyle w:val="Prrafodelista"/>
        <w:numPr>
          <w:ilvl w:val="0"/>
          <w:numId w:val="47"/>
        </w:numPr>
        <w:tabs>
          <w:tab w:val="left" w:pos="4962"/>
        </w:tabs>
        <w:spacing w:line="360" w:lineRule="auto"/>
        <w:ind w:right="-28"/>
        <w:jc w:val="both"/>
        <w:rPr>
          <w:rFonts w:ascii="Palatino Linotype" w:eastAsia="Calibri" w:hAnsi="Palatino Linotype" w:cs="Tahoma"/>
          <w:bCs/>
          <w:iCs/>
          <w:szCs w:val="22"/>
          <w:lang w:val="es-ES" w:eastAsia="es-ES_tradnl"/>
        </w:rPr>
      </w:pPr>
      <w:r>
        <w:rPr>
          <w:rFonts w:ascii="Palatino Linotype" w:eastAsia="Calibri" w:hAnsi="Palatino Linotype" w:cs="Tahoma"/>
          <w:bCs/>
          <w:iCs/>
          <w:szCs w:val="22"/>
          <w:lang w:val="es-ES" w:eastAsia="es-ES_tradnl"/>
        </w:rPr>
        <w:t>Su fin, es esclarecer la solicitud de información, con el fin de dar una atención adecuada a esta, y</w:t>
      </w:r>
    </w:p>
    <w:p w14:paraId="4ED38C8F" w14:textId="77777777" w:rsidR="0012101F" w:rsidRPr="0012101F" w:rsidRDefault="0012101F" w:rsidP="0012101F">
      <w:pPr>
        <w:pStyle w:val="Prrafodelista"/>
        <w:rPr>
          <w:rFonts w:ascii="Palatino Linotype" w:eastAsia="Calibri" w:hAnsi="Palatino Linotype" w:cs="Tahoma"/>
          <w:bCs/>
          <w:iCs/>
          <w:szCs w:val="22"/>
          <w:lang w:val="es-ES" w:eastAsia="es-ES_tradnl"/>
        </w:rPr>
      </w:pPr>
    </w:p>
    <w:p w14:paraId="350D005C" w14:textId="0368458E" w:rsidR="0012101F" w:rsidRDefault="0012101F" w:rsidP="00583FD5">
      <w:pPr>
        <w:pStyle w:val="Prrafodelista"/>
        <w:numPr>
          <w:ilvl w:val="0"/>
          <w:numId w:val="47"/>
        </w:numPr>
        <w:tabs>
          <w:tab w:val="left" w:pos="4962"/>
        </w:tabs>
        <w:spacing w:line="360" w:lineRule="auto"/>
        <w:ind w:right="-28"/>
        <w:jc w:val="both"/>
        <w:rPr>
          <w:rFonts w:ascii="Palatino Linotype" w:eastAsia="Calibri" w:hAnsi="Palatino Linotype" w:cs="Tahoma"/>
          <w:bCs/>
          <w:iCs/>
          <w:szCs w:val="22"/>
          <w:lang w:val="es-ES" w:eastAsia="es-ES_tradnl"/>
        </w:rPr>
      </w:pPr>
      <w:r>
        <w:rPr>
          <w:rFonts w:ascii="Palatino Linotype" w:eastAsia="Calibri" w:hAnsi="Palatino Linotype" w:cs="Tahoma"/>
          <w:bCs/>
          <w:iCs/>
          <w:szCs w:val="22"/>
          <w:lang w:val="es-ES" w:eastAsia="es-ES_tradnl"/>
        </w:rPr>
        <w:t xml:space="preserve">El Requerimiento de información, resulta ambiguo y poco claro, pues si bien solicita documentos en específico, a saber, las Actas de Sesiones Extraordinarias, lo cierto es que no se precisó de quién requería </w:t>
      </w:r>
      <w:proofErr w:type="gramStart"/>
      <w:r>
        <w:rPr>
          <w:rFonts w:ascii="Palatino Linotype" w:eastAsia="Calibri" w:hAnsi="Palatino Linotype" w:cs="Tahoma"/>
          <w:bCs/>
          <w:iCs/>
          <w:szCs w:val="22"/>
          <w:lang w:val="es-ES" w:eastAsia="es-ES_tradnl"/>
        </w:rPr>
        <w:t>dichas</w:t>
      </w:r>
      <w:r w:rsidR="004A507F">
        <w:rPr>
          <w:rFonts w:ascii="Palatino Linotype" w:eastAsia="Calibri" w:hAnsi="Palatino Linotype" w:cs="Tahoma"/>
          <w:bCs/>
          <w:iCs/>
          <w:szCs w:val="22"/>
          <w:lang w:val="es-ES" w:eastAsia="es-ES_tradnl"/>
        </w:rPr>
        <w:t xml:space="preserve"> </w:t>
      </w:r>
      <w:r>
        <w:rPr>
          <w:rFonts w:ascii="Palatino Linotype" w:eastAsia="Calibri" w:hAnsi="Palatino Linotype" w:cs="Tahoma"/>
          <w:bCs/>
          <w:iCs/>
          <w:szCs w:val="22"/>
          <w:lang w:val="es-ES" w:eastAsia="es-ES_tradnl"/>
        </w:rPr>
        <w:t>documentales</w:t>
      </w:r>
      <w:proofErr w:type="gramEnd"/>
      <w:r>
        <w:rPr>
          <w:rFonts w:ascii="Palatino Linotype" w:eastAsia="Calibri" w:hAnsi="Palatino Linotype" w:cs="Tahoma"/>
          <w:bCs/>
          <w:iCs/>
          <w:szCs w:val="22"/>
          <w:lang w:val="es-ES" w:eastAsia="es-ES_tradnl"/>
        </w:rPr>
        <w:t>; pues como se refirió el Ayuntamiento cuenta con diversos órganos, como el Cabildo, Comisiones, Consejos y Comités que emiten Actas de sus reuniones.</w:t>
      </w:r>
    </w:p>
    <w:p w14:paraId="56058463" w14:textId="77777777" w:rsidR="0012101F" w:rsidRPr="0012101F" w:rsidRDefault="0012101F" w:rsidP="0012101F">
      <w:pPr>
        <w:pStyle w:val="Prrafodelista"/>
        <w:rPr>
          <w:rFonts w:ascii="Palatino Linotype" w:eastAsia="Calibri" w:hAnsi="Palatino Linotype" w:cs="Tahoma"/>
          <w:bCs/>
          <w:iCs/>
          <w:szCs w:val="22"/>
          <w:lang w:val="es-ES" w:eastAsia="es-ES_tradnl"/>
        </w:rPr>
      </w:pPr>
    </w:p>
    <w:p w14:paraId="69C56D78" w14:textId="0D0C2A66" w:rsidR="0012101F" w:rsidRDefault="004A507F" w:rsidP="0012101F">
      <w:pPr>
        <w:tabs>
          <w:tab w:val="left" w:pos="4962"/>
        </w:tabs>
        <w:spacing w:line="360" w:lineRule="auto"/>
        <w:ind w:right="-28"/>
        <w:jc w:val="both"/>
        <w:rPr>
          <w:rFonts w:ascii="Palatino Linotype" w:eastAsia="Calibri" w:hAnsi="Palatino Linotype" w:cs="Tahoma"/>
          <w:bCs/>
          <w:iCs/>
          <w:szCs w:val="22"/>
          <w:lang w:val="es-ES" w:eastAsia="es-ES_tradnl"/>
        </w:rPr>
      </w:pPr>
      <w:r>
        <w:rPr>
          <w:rFonts w:ascii="Palatino Linotype" w:eastAsia="Calibri" w:hAnsi="Palatino Linotype" w:cs="Tahoma"/>
          <w:bCs/>
          <w:iCs/>
          <w:szCs w:val="22"/>
          <w:lang w:val="es-ES" w:eastAsia="es-ES_tradnl"/>
        </w:rPr>
        <w:t>Conforme a lo anterior, se logra vislumbrar que el requerimiento de aclaración de la solicitud realizado por el Sujeto Obligado, en el presente caso, era necesario para poder atender la solicitud de información de manera correcta. Ahora bien, es de recordar que el Ayuntamiento notificó dicho requerimiento el cuatro de febrero de dos mil veintidós.</w:t>
      </w:r>
    </w:p>
    <w:p w14:paraId="1D20616F" w14:textId="7E46980B" w:rsidR="004A507F" w:rsidRDefault="004A507F" w:rsidP="0012101F">
      <w:pPr>
        <w:tabs>
          <w:tab w:val="left" w:pos="4962"/>
        </w:tabs>
        <w:spacing w:line="360" w:lineRule="auto"/>
        <w:ind w:right="-28"/>
        <w:jc w:val="both"/>
        <w:rPr>
          <w:rFonts w:ascii="Palatino Linotype" w:eastAsia="Calibri" w:hAnsi="Palatino Linotype" w:cs="Tahoma"/>
          <w:bCs/>
          <w:iCs/>
          <w:szCs w:val="22"/>
          <w:lang w:val="es-ES" w:eastAsia="es-ES_tradnl"/>
        </w:rPr>
      </w:pPr>
    </w:p>
    <w:p w14:paraId="0C3B3598" w14:textId="49A61134" w:rsidR="00CF0F12" w:rsidRDefault="004A507F" w:rsidP="00CF0F12">
      <w:pPr>
        <w:spacing w:line="360" w:lineRule="auto"/>
        <w:jc w:val="both"/>
        <w:rPr>
          <w:rFonts w:ascii="Palatino Linotype" w:eastAsia="Batang" w:hAnsi="Palatino Linotype" w:cs="Tahoma"/>
          <w:color w:val="0D0D0D" w:themeColor="text1" w:themeTint="F2"/>
          <w:sz w:val="22"/>
        </w:rPr>
      </w:pPr>
      <w:r>
        <w:rPr>
          <w:rFonts w:ascii="Palatino Linotype" w:eastAsia="Calibri" w:hAnsi="Palatino Linotype" w:cs="Tahoma"/>
          <w:bCs/>
          <w:color w:val="0D0D0D" w:themeColor="text1" w:themeTint="F2"/>
          <w:sz w:val="22"/>
        </w:rPr>
        <w:t xml:space="preserve">En ese orden de ideas, el plazo con el que contaba el </w:t>
      </w:r>
      <w:r>
        <w:rPr>
          <w:rFonts w:ascii="Palatino Linotype" w:eastAsia="Calibri" w:hAnsi="Palatino Linotype" w:cs="Tahoma"/>
          <w:bCs/>
          <w:color w:val="0D0D0D" w:themeColor="text1" w:themeTint="F2"/>
          <w:sz w:val="22"/>
        </w:rPr>
        <w:t xml:space="preserve">Particular </w:t>
      </w:r>
      <w:r>
        <w:rPr>
          <w:rFonts w:ascii="Palatino Linotype" w:eastAsia="Calibri" w:hAnsi="Palatino Linotype" w:cs="Tahoma"/>
          <w:bCs/>
          <w:color w:val="0D0D0D" w:themeColor="text1" w:themeTint="F2"/>
          <w:sz w:val="22"/>
        </w:rPr>
        <w:t xml:space="preserve">para </w:t>
      </w:r>
      <w:r>
        <w:rPr>
          <w:rFonts w:ascii="Palatino Linotype" w:eastAsia="Calibri" w:hAnsi="Palatino Linotype" w:cs="Tahoma"/>
          <w:bCs/>
          <w:color w:val="0D0D0D" w:themeColor="text1" w:themeTint="F2"/>
          <w:sz w:val="22"/>
        </w:rPr>
        <w:t>desahogar el requerimiento de información adicional,</w:t>
      </w:r>
      <w:r>
        <w:rPr>
          <w:rFonts w:ascii="Palatino Linotype" w:eastAsia="Calibri" w:hAnsi="Palatino Linotype" w:cs="Tahoma"/>
          <w:bCs/>
          <w:color w:val="0D0D0D" w:themeColor="text1" w:themeTint="F2"/>
          <w:sz w:val="22"/>
        </w:rPr>
        <w:t xml:space="preserve"> </w:t>
      </w:r>
      <w:r>
        <w:rPr>
          <w:rFonts w:ascii="Palatino Linotype" w:eastAsia="Calibri" w:hAnsi="Palatino Linotype" w:cs="Tahoma"/>
          <w:color w:val="0D0D0D" w:themeColor="text1" w:themeTint="F2"/>
          <w:sz w:val="22"/>
        </w:rPr>
        <w:t xml:space="preserve">comenzó a correr </w:t>
      </w:r>
      <w:r>
        <w:rPr>
          <w:rFonts w:ascii="Palatino Linotype" w:eastAsia="Calibri" w:hAnsi="Palatino Linotype" w:cs="Tahoma"/>
          <w:b/>
          <w:bCs/>
          <w:color w:val="0D0D0D" w:themeColor="text1" w:themeTint="F2"/>
          <w:sz w:val="22"/>
        </w:rPr>
        <w:t xml:space="preserve">el </w:t>
      </w:r>
      <w:r w:rsidR="00F16AE1">
        <w:rPr>
          <w:rFonts w:ascii="Palatino Linotype" w:eastAsia="Calibri" w:hAnsi="Palatino Linotype" w:cs="Tahoma"/>
          <w:b/>
          <w:bCs/>
          <w:color w:val="0D0D0D" w:themeColor="text1" w:themeTint="F2"/>
          <w:sz w:val="22"/>
        </w:rPr>
        <w:t>ocho</w:t>
      </w:r>
      <w:r>
        <w:rPr>
          <w:rFonts w:ascii="Palatino Linotype" w:eastAsia="Calibri" w:hAnsi="Palatino Linotype" w:cs="Tahoma"/>
          <w:b/>
          <w:bCs/>
          <w:color w:val="0D0D0D" w:themeColor="text1" w:themeTint="F2"/>
          <w:sz w:val="22"/>
        </w:rPr>
        <w:t xml:space="preserve"> y feneció el </w:t>
      </w:r>
      <w:r w:rsidR="00F16AE1">
        <w:rPr>
          <w:rFonts w:ascii="Palatino Linotype" w:eastAsia="Calibri" w:hAnsi="Palatino Linotype" w:cs="Tahoma"/>
          <w:b/>
          <w:bCs/>
          <w:color w:val="0D0D0D" w:themeColor="text1" w:themeTint="F2"/>
          <w:sz w:val="22"/>
        </w:rPr>
        <w:t xml:space="preserve">veintiuno, ambos </w:t>
      </w:r>
      <w:r>
        <w:rPr>
          <w:rFonts w:ascii="Palatino Linotype" w:eastAsia="Calibri" w:hAnsi="Palatino Linotype" w:cs="Tahoma"/>
          <w:b/>
          <w:bCs/>
          <w:color w:val="0D0D0D" w:themeColor="text1" w:themeTint="F2"/>
          <w:sz w:val="22"/>
        </w:rPr>
        <w:t xml:space="preserve">de febrero del año en curso, </w:t>
      </w:r>
      <w:r>
        <w:rPr>
          <w:rFonts w:ascii="Palatino Linotype" w:eastAsia="Calibri" w:hAnsi="Palatino Linotype" w:cs="Tahoma"/>
          <w:color w:val="0D0D0D" w:themeColor="text1" w:themeTint="F2"/>
          <w:sz w:val="22"/>
        </w:rPr>
        <w:t>lo anterior, sin contar los días, cinco, seis, siete, doce</w:t>
      </w:r>
      <w:r w:rsidR="00F16AE1">
        <w:rPr>
          <w:rFonts w:ascii="Palatino Linotype" w:eastAsia="Calibri" w:hAnsi="Palatino Linotype" w:cs="Tahoma"/>
          <w:color w:val="0D0D0D" w:themeColor="text1" w:themeTint="F2"/>
          <w:sz w:val="22"/>
        </w:rPr>
        <w:t>,</w:t>
      </w:r>
      <w:r>
        <w:rPr>
          <w:rFonts w:ascii="Palatino Linotype" w:eastAsia="Calibri" w:hAnsi="Palatino Linotype" w:cs="Tahoma"/>
          <w:color w:val="0D0D0D" w:themeColor="text1" w:themeTint="F2"/>
          <w:sz w:val="22"/>
        </w:rPr>
        <w:t xml:space="preserve"> trece</w:t>
      </w:r>
      <w:r w:rsidR="00F16AE1">
        <w:rPr>
          <w:rFonts w:ascii="Palatino Linotype" w:eastAsia="Calibri" w:hAnsi="Palatino Linotype" w:cs="Tahoma"/>
          <w:color w:val="0D0D0D" w:themeColor="text1" w:themeTint="F2"/>
          <w:sz w:val="22"/>
        </w:rPr>
        <w:t xml:space="preserve">, diecinueve y veinte </w:t>
      </w:r>
      <w:r>
        <w:rPr>
          <w:rFonts w:ascii="Palatino Linotype" w:eastAsia="Calibri" w:hAnsi="Palatino Linotype" w:cs="Tahoma"/>
          <w:color w:val="0D0D0D" w:themeColor="text1" w:themeTint="F2"/>
          <w:sz w:val="22"/>
        </w:rPr>
        <w:t xml:space="preserve">de febrero, todos de la presente anualidad, al ser inhábiles, </w:t>
      </w:r>
      <w:r>
        <w:rPr>
          <w:rFonts w:ascii="Palatino Linotype" w:eastAsia="Batang" w:hAnsi="Palatino Linotype" w:cs="Tahoma"/>
          <w:bCs/>
          <w:color w:val="0D0D0D" w:themeColor="text1" w:themeTint="F2"/>
          <w:sz w:val="22"/>
        </w:rPr>
        <w:t>de conformidad con el artículo 3°, fracción X, de la Ley de Transparencia y Acceso a la Información Pública del Estado de México y Municipios</w:t>
      </w:r>
      <w:r>
        <w:rPr>
          <w:rFonts w:ascii="Palatino Linotype" w:eastAsia="Batang" w:hAnsi="Palatino Linotype" w:cs="Tahoma"/>
          <w:color w:val="0D0D0D" w:themeColor="text1" w:themeTint="F2"/>
          <w:sz w:val="22"/>
          <w:lang w:val="es-ES"/>
        </w:rPr>
        <w:t xml:space="preserve"> y el Calendario Oficial en Materia de Transparencia, Acceso a la Información Pública y Protección de Datos Personales del Estado de México y Municipios, así como de laborales de este Instituto, para el año dos mil veintidós y enero dos mil veintitrés.</w:t>
      </w:r>
    </w:p>
    <w:p w14:paraId="0BB45EF5" w14:textId="2A1D1A71" w:rsidR="00CF0F12" w:rsidRDefault="00CF0F12" w:rsidP="00CF0F12">
      <w:pPr>
        <w:spacing w:line="360" w:lineRule="auto"/>
        <w:jc w:val="both"/>
        <w:rPr>
          <w:rFonts w:ascii="Palatino Linotype" w:eastAsia="Batang" w:hAnsi="Palatino Linotype" w:cs="Tahoma"/>
          <w:b/>
          <w:bCs/>
          <w:color w:val="0D0D0D" w:themeColor="text1" w:themeTint="F2"/>
          <w:sz w:val="22"/>
        </w:rPr>
      </w:pPr>
    </w:p>
    <w:p w14:paraId="398C186C" w14:textId="5A22B541" w:rsidR="00CF0F12" w:rsidRDefault="00CF0F12" w:rsidP="00CF0F12">
      <w:pPr>
        <w:spacing w:line="360" w:lineRule="auto"/>
        <w:jc w:val="both"/>
        <w:rPr>
          <w:rFonts w:ascii="Palatino Linotype" w:eastAsia="Batang" w:hAnsi="Palatino Linotype" w:cs="Tahoma"/>
          <w:color w:val="0D0D0D" w:themeColor="text1" w:themeTint="F2"/>
          <w:sz w:val="22"/>
        </w:rPr>
      </w:pPr>
      <w:r w:rsidRPr="00CF0F12">
        <w:rPr>
          <w:rFonts w:ascii="Palatino Linotype" w:eastAsia="Batang" w:hAnsi="Palatino Linotype" w:cs="Tahoma"/>
          <w:color w:val="0D0D0D" w:themeColor="text1" w:themeTint="F2"/>
          <w:sz w:val="22"/>
        </w:rPr>
        <w:t>Así</w:t>
      </w:r>
      <w:r>
        <w:rPr>
          <w:rFonts w:ascii="Palatino Linotype" w:eastAsia="Batang" w:hAnsi="Palatino Linotype" w:cs="Tahoma"/>
          <w:color w:val="0D0D0D" w:themeColor="text1" w:themeTint="F2"/>
          <w:sz w:val="22"/>
        </w:rPr>
        <w:t>, se logra vislumbrar que el Particular tenía hasta el veintiuno de febrero de dos mil veintidós, para desahogar el requerimiento de información adicional, lo cual no aconteció, pues fue omiso en realizar dicha aclaración; por lo que, en el presente caso, el Sujeto Obligado tuvo como no presentada el requerimiento de información</w:t>
      </w:r>
      <w:r w:rsidR="00AC4608">
        <w:rPr>
          <w:rFonts w:ascii="Palatino Linotype" w:eastAsia="Batang" w:hAnsi="Palatino Linotype" w:cs="Tahoma"/>
          <w:color w:val="0D0D0D" w:themeColor="text1" w:themeTint="F2"/>
          <w:sz w:val="22"/>
        </w:rPr>
        <w:t xml:space="preserve"> </w:t>
      </w:r>
      <w:proofErr w:type="gramStart"/>
      <w:r w:rsidR="00AC4608">
        <w:rPr>
          <w:rFonts w:ascii="Palatino Linotype" w:eastAsia="Batang" w:hAnsi="Palatino Linotype" w:cs="Tahoma"/>
          <w:color w:val="0D0D0D" w:themeColor="text1" w:themeTint="F2"/>
          <w:sz w:val="22"/>
        </w:rPr>
        <w:t>y</w:t>
      </w:r>
      <w:proofErr w:type="gramEnd"/>
      <w:r w:rsidR="00AC4608">
        <w:rPr>
          <w:rFonts w:ascii="Palatino Linotype" w:eastAsia="Batang" w:hAnsi="Palatino Linotype" w:cs="Tahoma"/>
          <w:color w:val="0D0D0D" w:themeColor="text1" w:themeTint="F2"/>
          <w:sz w:val="22"/>
        </w:rPr>
        <w:t xml:space="preserve"> por lo tanto, no le dio trámite a esta</w:t>
      </w:r>
      <w:r>
        <w:rPr>
          <w:rFonts w:ascii="Palatino Linotype" w:eastAsia="Batang" w:hAnsi="Palatino Linotype" w:cs="Tahoma"/>
          <w:color w:val="0D0D0D" w:themeColor="text1" w:themeTint="F2"/>
          <w:sz w:val="22"/>
        </w:rPr>
        <w:t>, lo cual es correcto, pues como se refirió el Solicitante si debía esclarecer su solicitud.</w:t>
      </w:r>
    </w:p>
    <w:p w14:paraId="34095F4E" w14:textId="6699FC8A" w:rsidR="00CF0F12" w:rsidRDefault="00CF0F12" w:rsidP="00CF0F12">
      <w:pPr>
        <w:spacing w:line="360" w:lineRule="auto"/>
        <w:jc w:val="both"/>
        <w:rPr>
          <w:rFonts w:ascii="Palatino Linotype" w:eastAsia="Batang" w:hAnsi="Palatino Linotype" w:cs="Tahoma"/>
          <w:color w:val="0D0D0D" w:themeColor="text1" w:themeTint="F2"/>
          <w:sz w:val="22"/>
        </w:rPr>
      </w:pPr>
    </w:p>
    <w:p w14:paraId="3C7A25BB" w14:textId="70F6503F" w:rsidR="00CF0F12" w:rsidRPr="00CF0F12" w:rsidRDefault="00AC4608" w:rsidP="00CF0F12">
      <w:pPr>
        <w:spacing w:line="360" w:lineRule="auto"/>
        <w:jc w:val="both"/>
        <w:rPr>
          <w:rFonts w:ascii="Palatino Linotype" w:eastAsia="Batang" w:hAnsi="Palatino Linotype" w:cs="Tahoma"/>
          <w:color w:val="0D0D0D" w:themeColor="text1" w:themeTint="F2"/>
          <w:sz w:val="22"/>
        </w:rPr>
      </w:pPr>
      <w:r>
        <w:rPr>
          <w:rFonts w:ascii="Palatino Linotype" w:eastAsia="Batang" w:hAnsi="Palatino Linotype" w:cs="Tahoma"/>
          <w:color w:val="0D0D0D" w:themeColor="text1" w:themeTint="F2"/>
          <w:sz w:val="22"/>
        </w:rPr>
        <w:t>Así, si bien el Particular se inconformó de que no se le entregó la información, lo cierto es que dicha situación deviene a que este no aclaró su solicitud de información, cuando el Sujeto Obligado le dio las posibilidades para realizar dicha acción, con el fin de dar una atención adecuada a su requerimiento.</w:t>
      </w:r>
    </w:p>
    <w:p w14:paraId="5DD0C146" w14:textId="77777777" w:rsidR="002452D0" w:rsidRDefault="002452D0"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16F9892" w14:textId="23642590" w:rsidR="00AC4608" w:rsidRPr="00AC4608" w:rsidRDefault="00AC4608" w:rsidP="00AC4608">
      <w:pPr>
        <w:spacing w:line="360" w:lineRule="auto"/>
        <w:jc w:val="both"/>
        <w:rPr>
          <w:rFonts w:ascii="Palatino Linotype" w:eastAsia="Calibri" w:hAnsi="Palatino Linotype" w:cs="Tahoma"/>
          <w:bCs/>
          <w:color w:val="0D0D0D" w:themeColor="text1" w:themeTint="F2"/>
          <w:sz w:val="22"/>
          <w:szCs w:val="22"/>
          <w:lang w:eastAsia="en-US"/>
        </w:rPr>
      </w:pPr>
      <w:r w:rsidRPr="00AC4608">
        <w:rPr>
          <w:rFonts w:ascii="Palatino Linotype" w:eastAsia="Calibri" w:hAnsi="Palatino Linotype" w:cs="Tahoma"/>
          <w:bCs/>
          <w:color w:val="000000"/>
          <w:sz w:val="22"/>
          <w:szCs w:val="22"/>
          <w:lang w:eastAsia="en-US"/>
        </w:rPr>
        <w:t xml:space="preserve">En ese sentido, toda vez </w:t>
      </w:r>
      <w:r>
        <w:rPr>
          <w:rFonts w:ascii="Palatino Linotype" w:eastAsia="Calibri" w:hAnsi="Palatino Linotype" w:cs="Tahoma"/>
          <w:bCs/>
          <w:color w:val="000000"/>
          <w:sz w:val="22"/>
          <w:szCs w:val="22"/>
          <w:lang w:eastAsia="en-US"/>
        </w:rPr>
        <w:t>que la solicitud de información se tuvo por no presentada, al no desahogar el requerimiento de aclaración</w:t>
      </w:r>
      <w:r w:rsidR="00D76D35">
        <w:rPr>
          <w:rFonts w:ascii="Palatino Linotype" w:eastAsia="Calibri" w:hAnsi="Palatino Linotype" w:cs="Tahoma"/>
          <w:bCs/>
          <w:color w:val="000000"/>
          <w:sz w:val="22"/>
          <w:szCs w:val="22"/>
          <w:lang w:eastAsia="en-US"/>
        </w:rPr>
        <w:t xml:space="preserve"> el Solicitante y por lo tanto, no se le dio trámite, es que el Recurso de Revisión,</w:t>
      </w:r>
      <w:r w:rsidRPr="00AC4608">
        <w:rPr>
          <w:rFonts w:ascii="Palatino Linotype" w:eastAsia="Calibri" w:hAnsi="Palatino Linotype" w:cs="Tahoma"/>
          <w:bCs/>
          <w:color w:val="000000"/>
          <w:sz w:val="22"/>
          <w:szCs w:val="22"/>
          <w:lang w:eastAsia="en-US"/>
        </w:rPr>
        <w:t xml:space="preserve"> no actualiza ninguna de las causales de procedencia, previstas en el artículo 179 de la Ley de Transparencia y Acceso a la Información Pública del Estado de México y Municipios, es que se actualiza la causal de </w:t>
      </w:r>
      <w:proofErr w:type="spellStart"/>
      <w:r w:rsidRPr="00AC4608">
        <w:rPr>
          <w:rFonts w:ascii="Palatino Linotype" w:eastAsia="Calibri" w:hAnsi="Palatino Linotype" w:cs="Tahoma"/>
          <w:bCs/>
          <w:color w:val="000000"/>
          <w:sz w:val="22"/>
          <w:szCs w:val="22"/>
          <w:lang w:eastAsia="en-US"/>
        </w:rPr>
        <w:t>desechamiento</w:t>
      </w:r>
      <w:proofErr w:type="spellEnd"/>
      <w:r w:rsidRPr="00AC4608">
        <w:rPr>
          <w:rFonts w:ascii="Palatino Linotype" w:eastAsia="Calibri" w:hAnsi="Palatino Linotype" w:cs="Tahoma"/>
          <w:bCs/>
          <w:color w:val="000000"/>
          <w:sz w:val="22"/>
          <w:szCs w:val="22"/>
          <w:lang w:eastAsia="en-US"/>
        </w:rPr>
        <w:t xml:space="preserve"> establecida en el diverso </w:t>
      </w:r>
      <w:r w:rsidRPr="00AC4608">
        <w:rPr>
          <w:rFonts w:ascii="Palatino Linotype" w:eastAsia="Calibri" w:hAnsi="Palatino Linotype" w:cs="Tahoma"/>
          <w:bCs/>
          <w:color w:val="000000"/>
          <w:sz w:val="22"/>
          <w:szCs w:val="22"/>
          <w:lang w:eastAsia="en-US"/>
        </w:rPr>
        <w:lastRenderedPageBreak/>
        <w:t xml:space="preserve">191, fracción </w:t>
      </w:r>
      <w:r w:rsidR="00D76D35">
        <w:rPr>
          <w:rFonts w:ascii="Palatino Linotype" w:eastAsia="Calibri" w:hAnsi="Palatino Linotype" w:cs="Tahoma"/>
          <w:bCs/>
          <w:color w:val="000000"/>
          <w:sz w:val="22"/>
          <w:szCs w:val="22"/>
          <w:lang w:eastAsia="en-US"/>
        </w:rPr>
        <w:t>I</w:t>
      </w:r>
      <w:r w:rsidRPr="00AC4608">
        <w:rPr>
          <w:rFonts w:ascii="Palatino Linotype" w:eastAsia="Calibri" w:hAnsi="Palatino Linotype" w:cs="Tahoma"/>
          <w:bCs/>
          <w:color w:val="000000"/>
          <w:sz w:val="22"/>
          <w:szCs w:val="22"/>
          <w:lang w:eastAsia="en-US"/>
        </w:rPr>
        <w:t xml:space="preserve">II, </w:t>
      </w:r>
      <w:r w:rsidRPr="00AC4608">
        <w:rPr>
          <w:rFonts w:ascii="Palatino Linotype" w:eastAsia="Calibri" w:hAnsi="Palatino Linotype" w:cs="Tahoma"/>
          <w:bCs/>
          <w:color w:val="000000"/>
          <w:sz w:val="22"/>
          <w:szCs w:val="22"/>
          <w:lang w:val="es-ES" w:eastAsia="en-US"/>
        </w:rPr>
        <w:t>del ordenamiento referido; sin embargo, toda vez que fue necesario admitir el Medio de Impugnación, para verificar dicha circunstancia</w:t>
      </w:r>
      <w:r w:rsidRPr="00AC4608">
        <w:rPr>
          <w:rFonts w:ascii="Palatino Linotype" w:eastAsia="Calibri" w:hAnsi="Palatino Linotype" w:cs="Tahoma"/>
          <w:bCs/>
          <w:color w:val="0D0D0D" w:themeColor="text1" w:themeTint="F2"/>
          <w:sz w:val="22"/>
          <w:szCs w:val="22"/>
          <w:lang w:eastAsia="en-US"/>
        </w:rPr>
        <w:t xml:space="preserve">, lo procedente es </w:t>
      </w:r>
      <w:r w:rsidRPr="00AC4608">
        <w:rPr>
          <w:rFonts w:ascii="Palatino Linotype" w:eastAsia="Calibri" w:hAnsi="Palatino Linotype" w:cs="Tahoma"/>
          <w:b/>
          <w:bCs/>
          <w:color w:val="0D0D0D" w:themeColor="text1" w:themeTint="F2"/>
          <w:sz w:val="22"/>
          <w:szCs w:val="22"/>
          <w:lang w:eastAsia="en-US"/>
        </w:rPr>
        <w:t xml:space="preserve">SOBRESEER </w:t>
      </w:r>
      <w:r w:rsidRPr="00AC4608">
        <w:rPr>
          <w:rFonts w:ascii="Palatino Linotype" w:eastAsia="Calibri" w:hAnsi="Palatino Linotype" w:cs="Tahoma"/>
          <w:bCs/>
          <w:color w:val="0D0D0D" w:themeColor="text1" w:themeTint="F2"/>
          <w:sz w:val="22"/>
          <w:szCs w:val="22"/>
          <w:lang w:eastAsia="en-US"/>
        </w:rPr>
        <w:t>el mismo.</w:t>
      </w:r>
    </w:p>
    <w:p w14:paraId="24E3EB67" w14:textId="77777777" w:rsidR="002452D0" w:rsidRDefault="002452D0"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4D1E06C3" w14:textId="77777777" w:rsidR="00D76D35" w:rsidRPr="00D76D35" w:rsidRDefault="00D76D35" w:rsidP="00D76D35">
      <w:pPr>
        <w:spacing w:line="360" w:lineRule="auto"/>
        <w:jc w:val="both"/>
        <w:rPr>
          <w:rFonts w:ascii="Palatino Linotype" w:hAnsi="Palatino Linotype" w:cs="Tahoma"/>
          <w:b/>
          <w:sz w:val="22"/>
          <w:szCs w:val="22"/>
          <w:lang w:val="es-ES"/>
        </w:rPr>
      </w:pPr>
      <w:r w:rsidRPr="00D76D35">
        <w:rPr>
          <w:rFonts w:ascii="Palatino Linotype" w:hAnsi="Palatino Linotype" w:cs="Tahoma"/>
          <w:b/>
          <w:sz w:val="22"/>
          <w:szCs w:val="22"/>
          <w:lang w:val="es-ES"/>
        </w:rPr>
        <w:t xml:space="preserve">CUARTO. Decisión. </w:t>
      </w:r>
    </w:p>
    <w:p w14:paraId="13F640FB" w14:textId="77777777" w:rsidR="00D76D35" w:rsidRPr="00D76D35" w:rsidRDefault="00D76D35" w:rsidP="00D76D35">
      <w:pPr>
        <w:spacing w:line="360" w:lineRule="auto"/>
        <w:jc w:val="both"/>
        <w:rPr>
          <w:rFonts w:ascii="Palatino Linotype" w:hAnsi="Palatino Linotype" w:cs="Tahoma"/>
          <w:b/>
          <w:sz w:val="22"/>
          <w:szCs w:val="22"/>
          <w:lang w:val="es-ES"/>
        </w:rPr>
      </w:pPr>
    </w:p>
    <w:p w14:paraId="6927A45D" w14:textId="7FCC2A75" w:rsidR="00D76D35" w:rsidRPr="00D76D35" w:rsidRDefault="00D76D35" w:rsidP="00D76D35">
      <w:pPr>
        <w:spacing w:line="360" w:lineRule="auto"/>
        <w:jc w:val="both"/>
        <w:rPr>
          <w:rFonts w:ascii="Palatino Linotype" w:hAnsi="Palatino Linotype" w:cs="Tahoma"/>
          <w:sz w:val="22"/>
          <w:szCs w:val="22"/>
          <w:lang w:val="es-ES"/>
        </w:rPr>
      </w:pPr>
      <w:r w:rsidRPr="00D76D35">
        <w:rPr>
          <w:rFonts w:ascii="Palatino Linotype" w:hAnsi="Palatino Linotype" w:cs="Tahoma"/>
          <w:sz w:val="22"/>
          <w:szCs w:val="22"/>
          <w:lang w:val="es-ES"/>
        </w:rPr>
        <w:t>Con fundamento en lo dispuesto en el artículo 186, fracción I</w:t>
      </w:r>
      <w:r>
        <w:rPr>
          <w:rFonts w:ascii="Palatino Linotype" w:hAnsi="Palatino Linotype" w:cs="Tahoma"/>
          <w:sz w:val="22"/>
          <w:szCs w:val="22"/>
          <w:lang w:val="es-ES"/>
        </w:rPr>
        <w:t>,</w:t>
      </w:r>
      <w:r w:rsidRPr="00D76D35">
        <w:rPr>
          <w:rFonts w:ascii="Palatino Linotype" w:hAnsi="Palatino Linotype" w:cs="Tahoma"/>
          <w:sz w:val="22"/>
          <w:szCs w:val="22"/>
          <w:lang w:val="es-ES"/>
        </w:rPr>
        <w:t xml:space="preserve"> de la Ley de Transparencia y Acceso a la Información Pública del Estado de México y Municipios, se considera procedente </w:t>
      </w:r>
      <w:r w:rsidRPr="00D76D35">
        <w:rPr>
          <w:rFonts w:ascii="Palatino Linotype" w:hAnsi="Palatino Linotype" w:cs="Tahoma"/>
          <w:b/>
          <w:sz w:val="22"/>
          <w:szCs w:val="22"/>
          <w:lang w:val="es-ES"/>
        </w:rPr>
        <w:t xml:space="preserve">SOBRESEER </w:t>
      </w:r>
      <w:r w:rsidRPr="00D76D35">
        <w:rPr>
          <w:rFonts w:ascii="Palatino Linotype" w:hAnsi="Palatino Linotype" w:cs="Tahoma"/>
          <w:sz w:val="22"/>
          <w:szCs w:val="22"/>
          <w:lang w:val="es-ES"/>
        </w:rPr>
        <w:t>el Recurso de Revisión, en virtud de que se actualiza la hipótesis normativa prevista en la fracción IV, del diverso 192, en relación, con el 191, fracción III, ambos del citado ordenamiento legal.</w:t>
      </w:r>
    </w:p>
    <w:p w14:paraId="30D9730E" w14:textId="77777777" w:rsidR="00D76D35" w:rsidRPr="00D76D35" w:rsidRDefault="00D76D35" w:rsidP="00D76D35">
      <w:pPr>
        <w:spacing w:line="360" w:lineRule="auto"/>
        <w:jc w:val="both"/>
        <w:rPr>
          <w:rFonts w:ascii="Palatino Linotype" w:eastAsia="Calibri" w:hAnsi="Palatino Linotype" w:cs="Tahoma"/>
          <w:sz w:val="22"/>
          <w:szCs w:val="22"/>
          <w:lang w:eastAsia="es-ES_tradnl"/>
        </w:rPr>
      </w:pPr>
    </w:p>
    <w:p w14:paraId="211FAFD0" w14:textId="77777777" w:rsidR="00D76D35" w:rsidRPr="00D76D35" w:rsidRDefault="00D76D35" w:rsidP="00D76D35">
      <w:pPr>
        <w:spacing w:line="360" w:lineRule="auto"/>
        <w:jc w:val="both"/>
        <w:rPr>
          <w:rFonts w:ascii="Palatino Linotype" w:hAnsi="Palatino Linotype" w:cs="Tahoma"/>
          <w:b/>
          <w:sz w:val="22"/>
          <w:szCs w:val="22"/>
        </w:rPr>
      </w:pPr>
      <w:r w:rsidRPr="00D76D35">
        <w:rPr>
          <w:rFonts w:ascii="Palatino Linotype" w:hAnsi="Palatino Linotype" w:cs="Tahoma"/>
          <w:b/>
          <w:sz w:val="22"/>
          <w:szCs w:val="22"/>
        </w:rPr>
        <w:t>Términos de la Resolución para conocimiento del Particular.</w:t>
      </w:r>
    </w:p>
    <w:p w14:paraId="57A87C3A" w14:textId="77777777" w:rsidR="00D76D35" w:rsidRPr="00D76D35" w:rsidRDefault="00D76D35" w:rsidP="00D76D35">
      <w:pPr>
        <w:spacing w:line="360" w:lineRule="auto"/>
        <w:jc w:val="both"/>
        <w:rPr>
          <w:rFonts w:ascii="Palatino Linotype" w:hAnsi="Palatino Linotype" w:cs="Tahoma"/>
          <w:bCs/>
          <w:sz w:val="22"/>
          <w:szCs w:val="22"/>
        </w:rPr>
      </w:pPr>
    </w:p>
    <w:p w14:paraId="6698C9AB" w14:textId="063F70E3" w:rsidR="00D76D35" w:rsidRDefault="00D76D35" w:rsidP="00D76D35">
      <w:pPr>
        <w:spacing w:line="360" w:lineRule="auto"/>
        <w:jc w:val="both"/>
        <w:rPr>
          <w:rFonts w:ascii="Palatino Linotype" w:hAnsi="Palatino Linotype" w:cs="Tahoma"/>
          <w:bCs/>
          <w:sz w:val="22"/>
          <w:szCs w:val="22"/>
        </w:rPr>
      </w:pPr>
      <w:r w:rsidRPr="00D76D35">
        <w:rPr>
          <w:rFonts w:ascii="Palatino Linotype" w:hAnsi="Palatino Linotype" w:cs="Tahoma"/>
          <w:bCs/>
          <w:sz w:val="22"/>
          <w:szCs w:val="22"/>
        </w:rPr>
        <w:t>Se le hace del conocimiento al Particular, que</w:t>
      </w:r>
      <w:r>
        <w:rPr>
          <w:rFonts w:ascii="Palatino Linotype" w:hAnsi="Palatino Linotype" w:cs="Tahoma"/>
          <w:bCs/>
          <w:sz w:val="22"/>
          <w:szCs w:val="22"/>
        </w:rPr>
        <w:t xml:space="preserve"> su Recurso de Revisión resulta improcedente, pues no desahogo el requerimiento de aclaración realizado por el Sujeto Obligado, en plazo establecido en el artículo 159 de la Ley de Transparencia y Acceso a la Información Pública del Estado de México y Municipios</w:t>
      </w:r>
      <w:r w:rsidR="000A4E21">
        <w:rPr>
          <w:rFonts w:ascii="Palatino Linotype" w:hAnsi="Palatino Linotype" w:cs="Tahoma"/>
          <w:bCs/>
          <w:sz w:val="22"/>
          <w:szCs w:val="22"/>
        </w:rPr>
        <w:t xml:space="preserve"> </w:t>
      </w:r>
      <w:proofErr w:type="gramStart"/>
      <w:r w:rsidR="000A4E21">
        <w:rPr>
          <w:rFonts w:ascii="Palatino Linotype" w:hAnsi="Palatino Linotype" w:cs="Tahoma"/>
          <w:bCs/>
          <w:sz w:val="22"/>
          <w:szCs w:val="22"/>
        </w:rPr>
        <w:t>y</w:t>
      </w:r>
      <w:proofErr w:type="gramEnd"/>
      <w:r w:rsidR="000A4E21">
        <w:rPr>
          <w:rFonts w:ascii="Palatino Linotype" w:hAnsi="Palatino Linotype" w:cs="Tahoma"/>
          <w:bCs/>
          <w:sz w:val="22"/>
          <w:szCs w:val="22"/>
        </w:rPr>
        <w:t xml:space="preserve"> por lo tanto, su solicitud de acceso a la información, se tuvo por no presentada y no procede trámite alguno respecto a la misma.</w:t>
      </w:r>
    </w:p>
    <w:p w14:paraId="0544D271" w14:textId="77777777" w:rsidR="00D76D35" w:rsidRDefault="00D76D35" w:rsidP="00D76D35">
      <w:pPr>
        <w:spacing w:line="360" w:lineRule="auto"/>
        <w:jc w:val="both"/>
        <w:rPr>
          <w:rFonts w:ascii="Palatino Linotype" w:hAnsi="Palatino Linotype" w:cs="Tahoma"/>
          <w:bCs/>
          <w:sz w:val="22"/>
          <w:szCs w:val="22"/>
        </w:rPr>
      </w:pPr>
    </w:p>
    <w:p w14:paraId="75B2A9B7" w14:textId="56692708" w:rsidR="00D76D35" w:rsidRDefault="000A4E21" w:rsidP="00D76D35">
      <w:pPr>
        <w:spacing w:line="360" w:lineRule="auto"/>
        <w:jc w:val="both"/>
        <w:rPr>
          <w:rFonts w:ascii="Palatino Linotype" w:hAnsi="Palatino Linotype" w:cs="Tahoma"/>
          <w:bCs/>
          <w:sz w:val="22"/>
          <w:szCs w:val="22"/>
        </w:rPr>
      </w:pPr>
      <w:r>
        <w:rPr>
          <w:rFonts w:ascii="Palatino Linotype" w:hAnsi="Palatino Linotype" w:cs="Tahoma"/>
          <w:bCs/>
          <w:sz w:val="22"/>
          <w:szCs w:val="22"/>
        </w:rPr>
        <w:t>No obstante, se le dejan a salvo sus derechos, para el caso de que sea de su interés, presente de nueva cuenta su solicitud de información, con todos los datos necesarios para darle atención a la misma.</w:t>
      </w:r>
    </w:p>
    <w:p w14:paraId="6225B9DB" w14:textId="77777777" w:rsidR="00D76D35" w:rsidRPr="00D76D35" w:rsidRDefault="00D76D35" w:rsidP="00D76D35">
      <w:pPr>
        <w:spacing w:line="360" w:lineRule="auto"/>
        <w:jc w:val="both"/>
        <w:rPr>
          <w:rFonts w:ascii="Palatino Linotype" w:hAnsi="Palatino Linotype" w:cs="Tahoma"/>
          <w:bCs/>
          <w:sz w:val="22"/>
          <w:szCs w:val="22"/>
        </w:rPr>
      </w:pPr>
    </w:p>
    <w:p w14:paraId="5C57E172" w14:textId="77777777" w:rsidR="00D76D35" w:rsidRPr="00D76D35" w:rsidRDefault="00D76D35" w:rsidP="00D76D35">
      <w:pPr>
        <w:spacing w:line="360" w:lineRule="auto"/>
        <w:jc w:val="both"/>
        <w:rPr>
          <w:rFonts w:ascii="Palatino Linotype" w:hAnsi="Palatino Linotype" w:cs="Tahoma"/>
          <w:bCs/>
          <w:sz w:val="22"/>
          <w:szCs w:val="22"/>
        </w:rPr>
      </w:pPr>
      <w:r w:rsidRPr="00D76D35">
        <w:rPr>
          <w:rFonts w:ascii="Palatino Linotype" w:hAnsi="Palatino Linotype" w:cs="Tahoma"/>
          <w:bCs/>
          <w:sz w:val="22"/>
          <w:szCs w:val="22"/>
        </w:rPr>
        <w:t>La labor de este Instituto, es apoyar a la población para acceder a la información pública y garantizar la protección de sus datos personales.</w:t>
      </w:r>
    </w:p>
    <w:p w14:paraId="2A65D2A0" w14:textId="2D78FF9A" w:rsidR="009245F5" w:rsidRDefault="009245F5" w:rsidP="009245F5">
      <w:pPr>
        <w:widowControl w:val="0"/>
        <w:spacing w:line="360" w:lineRule="auto"/>
        <w:jc w:val="both"/>
        <w:rPr>
          <w:rFonts w:ascii="Palatino Linotype" w:eastAsia="Calibri" w:hAnsi="Palatino Linotype" w:cs="Tahoma"/>
          <w:bCs/>
          <w:iCs/>
          <w:sz w:val="22"/>
          <w:szCs w:val="22"/>
          <w:lang w:val="es-ES_tradnl" w:eastAsia="en-US"/>
        </w:rPr>
      </w:pPr>
    </w:p>
    <w:p w14:paraId="15F28A1E" w14:textId="77777777" w:rsidR="000A4E21" w:rsidRPr="002B1BBE" w:rsidRDefault="000A4E21" w:rsidP="009245F5">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9245F5">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9245F5">
      <w:pPr>
        <w:spacing w:line="360" w:lineRule="auto"/>
        <w:ind w:right="-28"/>
        <w:jc w:val="center"/>
        <w:rPr>
          <w:rFonts w:ascii="Palatino Linotype" w:hAnsi="Palatino Linotype" w:cs="Tahoma"/>
          <w:b/>
          <w:bCs/>
          <w:sz w:val="22"/>
          <w:szCs w:val="22"/>
        </w:rPr>
      </w:pPr>
    </w:p>
    <w:p w14:paraId="08DF9C8D" w14:textId="23B0DC9A" w:rsidR="000A4E21" w:rsidRPr="000A4E21" w:rsidRDefault="000A4E21" w:rsidP="000A4E21">
      <w:pPr>
        <w:spacing w:line="360" w:lineRule="auto"/>
        <w:jc w:val="both"/>
        <w:rPr>
          <w:rFonts w:ascii="Palatino Linotype" w:hAnsi="Palatino Linotype" w:cs="Tahoma"/>
          <w:bCs/>
          <w:sz w:val="22"/>
          <w:szCs w:val="22"/>
          <w:lang w:val="es-ES"/>
        </w:rPr>
      </w:pPr>
      <w:r w:rsidRPr="000A4E21">
        <w:rPr>
          <w:rFonts w:ascii="Palatino Linotype" w:hAnsi="Palatino Linotype" w:cs="Tahoma"/>
          <w:b/>
          <w:sz w:val="22"/>
          <w:szCs w:val="22"/>
        </w:rPr>
        <w:t>PRIMERO</w:t>
      </w:r>
      <w:r w:rsidRPr="000A4E21">
        <w:rPr>
          <w:rFonts w:ascii="Palatino Linotype" w:hAnsi="Palatino Linotype" w:cs="Tahoma"/>
          <w:bCs/>
          <w:sz w:val="22"/>
          <w:szCs w:val="22"/>
        </w:rPr>
        <w:t xml:space="preserve">. </w:t>
      </w:r>
      <w:r w:rsidRPr="000A4E21">
        <w:rPr>
          <w:rFonts w:ascii="Palatino Linotype" w:hAnsi="Palatino Linotype" w:cs="Tahoma"/>
          <w:bCs/>
          <w:sz w:val="22"/>
          <w:szCs w:val="22"/>
          <w:lang w:val="es-ES"/>
        </w:rPr>
        <w:t xml:space="preserve">Se </w:t>
      </w:r>
      <w:r w:rsidRPr="000A4E21">
        <w:rPr>
          <w:rFonts w:ascii="Palatino Linotype" w:hAnsi="Palatino Linotype" w:cs="Tahoma"/>
          <w:b/>
          <w:bCs/>
          <w:sz w:val="22"/>
          <w:szCs w:val="22"/>
          <w:lang w:val="es-ES"/>
        </w:rPr>
        <w:t>SOBRESEE</w:t>
      </w:r>
      <w:r w:rsidRPr="000A4E21">
        <w:rPr>
          <w:rFonts w:ascii="Palatino Linotype" w:hAnsi="Palatino Linotype" w:cs="Tahoma"/>
          <w:bCs/>
          <w:sz w:val="22"/>
          <w:szCs w:val="22"/>
          <w:lang w:val="es-ES"/>
        </w:rPr>
        <w:t xml:space="preserve"> </w:t>
      </w:r>
      <w:r w:rsidRPr="000A4E21">
        <w:rPr>
          <w:rFonts w:ascii="Palatino Linotype" w:hAnsi="Palatino Linotype" w:cs="Tahoma"/>
          <w:b/>
          <w:bCs/>
          <w:sz w:val="22"/>
          <w:szCs w:val="22"/>
          <w:lang w:val="es-ES"/>
        </w:rPr>
        <w:t xml:space="preserve">por improcedente </w:t>
      </w:r>
      <w:r w:rsidRPr="000A4E21">
        <w:rPr>
          <w:rFonts w:ascii="Palatino Linotype" w:hAnsi="Palatino Linotype" w:cs="Tahoma"/>
          <w:bCs/>
          <w:sz w:val="22"/>
          <w:szCs w:val="22"/>
          <w:lang w:val="es-ES"/>
        </w:rPr>
        <w:t xml:space="preserve">el Recurso de Revisión número </w:t>
      </w:r>
      <w:r w:rsidRPr="000A4E21">
        <w:rPr>
          <w:rFonts w:ascii="Palatino Linotype" w:eastAsia="Calibri" w:hAnsi="Palatino Linotype" w:cs="Tahoma"/>
          <w:color w:val="000000" w:themeColor="text1"/>
          <w:sz w:val="22"/>
          <w:szCs w:val="22"/>
          <w:lang w:eastAsia="en-US"/>
        </w:rPr>
        <w:t>0</w:t>
      </w:r>
      <w:r>
        <w:rPr>
          <w:rFonts w:ascii="Palatino Linotype" w:eastAsia="Calibri" w:hAnsi="Palatino Linotype" w:cs="Tahoma"/>
          <w:color w:val="000000" w:themeColor="text1"/>
          <w:sz w:val="22"/>
          <w:szCs w:val="22"/>
          <w:lang w:eastAsia="en-US"/>
        </w:rPr>
        <w:t>2496</w:t>
      </w:r>
      <w:r w:rsidRPr="000A4E21">
        <w:rPr>
          <w:rFonts w:ascii="Palatino Linotype" w:eastAsia="Calibri" w:hAnsi="Palatino Linotype" w:cs="Tahoma"/>
          <w:color w:val="000000" w:themeColor="text1"/>
          <w:sz w:val="22"/>
          <w:szCs w:val="22"/>
          <w:lang w:eastAsia="en-US"/>
        </w:rPr>
        <w:t>/INFOEM/IP/RR/2022</w:t>
      </w:r>
      <w:r w:rsidRPr="000A4E21">
        <w:rPr>
          <w:rFonts w:ascii="Palatino Linotype" w:hAnsi="Palatino Linotype" w:cs="Tahoma"/>
          <w:bCs/>
          <w:sz w:val="22"/>
          <w:szCs w:val="22"/>
          <w:lang w:val="es-ES"/>
        </w:rPr>
        <w:t xml:space="preserve">, </w:t>
      </w:r>
      <w:r w:rsidRPr="000A4E21">
        <w:rPr>
          <w:rFonts w:ascii="Palatino Linotype" w:hAnsi="Palatino Linotype" w:cs="Tahoma"/>
          <w:b/>
          <w:bCs/>
          <w:sz w:val="22"/>
          <w:szCs w:val="22"/>
          <w:lang w:val="es-ES"/>
        </w:rPr>
        <w:t>por actualizarse la causal de improcedencia establecida en la fracción III, del artículo 191 de la Ley de Transparencia y Acceso a la Información Pública del Estado de México y Municipios</w:t>
      </w:r>
      <w:r w:rsidRPr="000A4E21">
        <w:rPr>
          <w:rFonts w:ascii="Palatino Linotype" w:hAnsi="Palatino Linotype" w:cs="Tahoma"/>
          <w:bCs/>
          <w:sz w:val="22"/>
          <w:szCs w:val="22"/>
          <w:lang w:val="es-ES"/>
        </w:rPr>
        <w:t xml:space="preserve">, en términos de los Considerandos </w:t>
      </w:r>
      <w:r w:rsidRPr="000A4E21">
        <w:rPr>
          <w:rFonts w:ascii="Palatino Linotype" w:hAnsi="Palatino Linotype" w:cs="Tahoma"/>
          <w:b/>
          <w:bCs/>
          <w:sz w:val="22"/>
          <w:szCs w:val="22"/>
          <w:lang w:val="es-ES"/>
        </w:rPr>
        <w:t>TERCERO y CUARTO</w:t>
      </w:r>
      <w:r w:rsidRPr="000A4E21">
        <w:rPr>
          <w:rFonts w:ascii="Palatino Linotype" w:hAnsi="Palatino Linotype" w:cs="Tahoma"/>
          <w:bCs/>
          <w:sz w:val="22"/>
          <w:szCs w:val="22"/>
          <w:lang w:val="es-ES"/>
        </w:rPr>
        <w:t xml:space="preserve"> de la presente Resolución.</w:t>
      </w:r>
    </w:p>
    <w:p w14:paraId="05858C17" w14:textId="77777777" w:rsidR="000A4E21" w:rsidRPr="000A4E21" w:rsidRDefault="000A4E21" w:rsidP="000A4E21">
      <w:pPr>
        <w:spacing w:line="360" w:lineRule="auto"/>
        <w:jc w:val="both"/>
        <w:rPr>
          <w:rFonts w:ascii="Palatino Linotype" w:hAnsi="Palatino Linotype" w:cs="Tahoma"/>
          <w:bCs/>
          <w:sz w:val="22"/>
          <w:szCs w:val="22"/>
        </w:rPr>
      </w:pPr>
    </w:p>
    <w:p w14:paraId="6F5C110A" w14:textId="77777777" w:rsidR="000A4E21" w:rsidRPr="000A4E21" w:rsidRDefault="000A4E21" w:rsidP="000A4E21">
      <w:pPr>
        <w:spacing w:line="360" w:lineRule="auto"/>
        <w:jc w:val="both"/>
        <w:rPr>
          <w:rFonts w:ascii="Palatino Linotype" w:hAnsi="Palatino Linotype" w:cs="Tahoma"/>
          <w:bCs/>
          <w:sz w:val="22"/>
          <w:szCs w:val="22"/>
        </w:rPr>
      </w:pPr>
      <w:r w:rsidRPr="000A4E21">
        <w:rPr>
          <w:rFonts w:ascii="Palatino Linotype" w:hAnsi="Palatino Linotype" w:cs="Tahoma"/>
          <w:b/>
          <w:sz w:val="22"/>
          <w:szCs w:val="22"/>
        </w:rPr>
        <w:t>SEGUNDO. NOTIFÍQUESE</w:t>
      </w:r>
      <w:r w:rsidRPr="000A4E21">
        <w:rPr>
          <w:rFonts w:ascii="Palatino Linotype" w:hAnsi="Palatino Linotype" w:cs="Tahoma"/>
          <w:bCs/>
          <w:sz w:val="22"/>
          <w:szCs w:val="22"/>
        </w:rPr>
        <w:t xml:space="preserve"> la presente resolución al Titular de la Unidad de Transparencia del Sujeto Obligado.</w:t>
      </w:r>
    </w:p>
    <w:p w14:paraId="3A069FCC" w14:textId="77777777" w:rsidR="000A4E21" w:rsidRPr="000A4E21" w:rsidRDefault="000A4E21" w:rsidP="000A4E21">
      <w:pPr>
        <w:spacing w:line="360" w:lineRule="auto"/>
        <w:jc w:val="both"/>
        <w:rPr>
          <w:rFonts w:ascii="Palatino Linotype" w:hAnsi="Palatino Linotype" w:cs="Tahoma"/>
          <w:bCs/>
          <w:sz w:val="22"/>
          <w:szCs w:val="22"/>
        </w:rPr>
      </w:pPr>
    </w:p>
    <w:p w14:paraId="2B2D35FE" w14:textId="77777777" w:rsidR="000A4E21" w:rsidRPr="000A4E21" w:rsidRDefault="000A4E21" w:rsidP="000A4E21">
      <w:pPr>
        <w:spacing w:line="360" w:lineRule="auto"/>
        <w:jc w:val="both"/>
        <w:rPr>
          <w:rFonts w:ascii="Palatino Linotype" w:hAnsi="Palatino Linotype" w:cs="Tahoma"/>
          <w:bCs/>
          <w:sz w:val="22"/>
          <w:szCs w:val="22"/>
        </w:rPr>
      </w:pPr>
      <w:r w:rsidRPr="000A4E21">
        <w:rPr>
          <w:rFonts w:ascii="Palatino Linotype" w:hAnsi="Palatino Linotype" w:cs="Tahoma"/>
          <w:b/>
          <w:sz w:val="22"/>
          <w:szCs w:val="22"/>
        </w:rPr>
        <w:t>TERCERO. NOTIFÍQUESE</w:t>
      </w:r>
      <w:r w:rsidRPr="000A4E21">
        <w:rPr>
          <w:rFonts w:ascii="Palatino Linotype" w:hAnsi="Palatino Linotype" w:cs="Tahoma"/>
          <w:b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Default="009245F5" w:rsidP="000A4E21">
      <w:pPr>
        <w:widowControl w:val="0"/>
        <w:spacing w:line="360" w:lineRule="auto"/>
        <w:jc w:val="both"/>
        <w:rPr>
          <w:rFonts w:ascii="Palatino Linotype" w:hAnsi="Palatino Linotype" w:cs="Tahoma"/>
          <w:sz w:val="22"/>
          <w:szCs w:val="22"/>
        </w:rPr>
      </w:pPr>
    </w:p>
    <w:p w14:paraId="148EC2F0" w14:textId="307489C0" w:rsidR="009245F5" w:rsidRDefault="009245F5" w:rsidP="009245F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45E57">
        <w:rPr>
          <w:rFonts w:ascii="Palatino Linotype" w:eastAsia="Calibri" w:hAnsi="Palatino Linotype" w:cs="Tahoma"/>
          <w:sz w:val="22"/>
          <w:szCs w:val="22"/>
          <w:lang w:val="es-ES" w:eastAsia="es-ES_tradnl"/>
        </w:rPr>
        <w:t>DÉCIMO SÉPTIMA</w:t>
      </w:r>
      <w:r>
        <w:rPr>
          <w:rFonts w:ascii="Palatino Linotype" w:eastAsia="Calibri" w:hAnsi="Palatino Linotype" w:cs="Tahoma"/>
          <w:sz w:val="22"/>
          <w:szCs w:val="22"/>
          <w:lang w:val="es-ES" w:eastAsia="es-ES_tradnl"/>
        </w:rPr>
        <w:t xml:space="preserve"> SESIÓN ORDINARIA, CELEBRADA EL </w:t>
      </w:r>
      <w:r w:rsidR="00C45E57">
        <w:rPr>
          <w:rFonts w:ascii="Palatino Linotype" w:eastAsia="Calibri" w:hAnsi="Palatino Linotype" w:cs="Tahoma"/>
          <w:sz w:val="22"/>
          <w:szCs w:val="22"/>
          <w:lang w:val="es-ES" w:eastAsia="es-ES_tradnl"/>
        </w:rPr>
        <w:t>ONCE</w:t>
      </w:r>
      <w:r>
        <w:rPr>
          <w:rFonts w:ascii="Palatino Linotype" w:eastAsia="Calibri" w:hAnsi="Palatino Linotype" w:cs="Tahoma"/>
          <w:sz w:val="22"/>
          <w:szCs w:val="22"/>
          <w:lang w:val="es-ES" w:eastAsia="es-ES_tradnl"/>
        </w:rPr>
        <w:t xml:space="preserve"> DE MA</w:t>
      </w:r>
      <w:r w:rsidR="00C45E57">
        <w:rPr>
          <w:rFonts w:ascii="Palatino Linotype" w:eastAsia="Calibri" w:hAnsi="Palatino Linotype" w:cs="Tahoma"/>
          <w:sz w:val="22"/>
          <w:szCs w:val="22"/>
          <w:lang w:val="es-ES" w:eastAsia="es-ES_tradnl"/>
        </w:rPr>
        <w:t>Y</w:t>
      </w:r>
      <w:r>
        <w:rPr>
          <w:rFonts w:ascii="Palatino Linotype" w:eastAsia="Calibri" w:hAnsi="Palatino Linotype" w:cs="Tahoma"/>
          <w:sz w:val="22"/>
          <w:szCs w:val="22"/>
          <w:lang w:val="es-ES" w:eastAsia="es-ES_tradnl"/>
        </w:rPr>
        <w:t>O DE DOS MIL VEINTIDÓS,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6A97" w14:textId="77777777" w:rsidR="00F12D93" w:rsidRDefault="00F12D93" w:rsidP="00FC7A26">
      <w:r>
        <w:separator/>
      </w:r>
    </w:p>
  </w:endnote>
  <w:endnote w:type="continuationSeparator" w:id="0">
    <w:p w14:paraId="71FEC2D5" w14:textId="77777777" w:rsidR="00F12D93" w:rsidRDefault="00F12D93" w:rsidP="00FC7A26">
      <w:r>
        <w:continuationSeparator/>
      </w:r>
    </w:p>
  </w:endnote>
  <w:endnote w:type="continuationNotice" w:id="1">
    <w:p w14:paraId="783266E9" w14:textId="77777777" w:rsidR="00F12D93" w:rsidRDefault="00F1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F12D93">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14:paraId="3F8493FE" w14:textId="77777777" w:rsidR="003135D1" w:rsidRDefault="00F12D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F12D93">
            <w:pPr>
              <w:pStyle w:val="Piedepgina"/>
              <w:jc w:val="right"/>
            </w:pPr>
          </w:p>
          <w:p w14:paraId="73795115" w14:textId="77777777" w:rsidR="003135D1" w:rsidRDefault="00F12D93">
            <w:pPr>
              <w:pStyle w:val="Piedepgina"/>
              <w:jc w:val="right"/>
            </w:pPr>
          </w:p>
          <w:p w14:paraId="102883EC" w14:textId="77777777" w:rsidR="003135D1" w:rsidRDefault="00F12D93">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B569" w14:textId="77777777" w:rsidR="00F12D93" w:rsidRDefault="00F12D93" w:rsidP="00FC7A26">
      <w:r>
        <w:separator/>
      </w:r>
    </w:p>
  </w:footnote>
  <w:footnote w:type="continuationSeparator" w:id="0">
    <w:p w14:paraId="5C678DAC" w14:textId="77777777" w:rsidR="00F12D93" w:rsidRDefault="00F12D93" w:rsidP="00FC7A26">
      <w:r>
        <w:continuationSeparator/>
      </w:r>
    </w:p>
  </w:footnote>
  <w:footnote w:type="continuationNotice" w:id="1">
    <w:p w14:paraId="6A6732DF" w14:textId="77777777" w:rsidR="00F12D93" w:rsidRDefault="00F1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F12D93">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F12D93"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F12D93"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11274" w:type="dxa"/>
            <w:tblInd w:w="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8"/>
            <w:gridCol w:w="4423"/>
            <w:gridCol w:w="4423"/>
          </w:tblGrid>
          <w:tr w:rsidR="001F7584" w14:paraId="19911F35" w14:textId="58322490" w:rsidTr="001F7584">
            <w:trPr>
              <w:trHeight w:val="162"/>
            </w:trPr>
            <w:tc>
              <w:tcPr>
                <w:tcW w:w="2428" w:type="dxa"/>
                <w:vAlign w:val="bottom"/>
              </w:tcPr>
              <w:p w14:paraId="13C6DB98" w14:textId="77777777" w:rsidR="001F7584" w:rsidRPr="008B41A2" w:rsidRDefault="001F7584"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423" w:type="dxa"/>
              </w:tcPr>
              <w:p w14:paraId="79E321B5" w14:textId="0EF71E7D" w:rsidR="001F7584" w:rsidRPr="00651A13" w:rsidRDefault="001F7584" w:rsidP="001F7584">
                <w:pPr>
                  <w:tabs>
                    <w:tab w:val="right" w:pos="8838"/>
                  </w:tabs>
                  <w:ind w:left="119" w:right="683"/>
                  <w:rPr>
                    <w:rFonts w:ascii="Palatino Linotype" w:eastAsia="Calibri" w:hAnsi="Palatino Linotype" w:cs="Tahoma"/>
                    <w:sz w:val="22"/>
                    <w:szCs w:val="22"/>
                  </w:rPr>
                </w:pPr>
                <w:r w:rsidRPr="001F7584">
                  <w:rPr>
                    <w:rFonts w:ascii="Palatino Linotype" w:eastAsia="Calibri" w:hAnsi="Palatino Linotype" w:cs="Tahoma"/>
                    <w:sz w:val="22"/>
                    <w:szCs w:val="22"/>
                    <w:lang w:val="es-MX"/>
                  </w:rPr>
                  <w:t>02496/INFOEM/IP/RR/2022</w:t>
                </w:r>
              </w:p>
            </w:tc>
            <w:tc>
              <w:tcPr>
                <w:tcW w:w="4423" w:type="dxa"/>
              </w:tcPr>
              <w:p w14:paraId="16B1806E" w14:textId="77777777" w:rsidR="001F7584" w:rsidRPr="001F7584" w:rsidRDefault="001F7584" w:rsidP="001F7584">
                <w:pPr>
                  <w:tabs>
                    <w:tab w:val="right" w:pos="8838"/>
                  </w:tabs>
                  <w:ind w:left="119" w:right="683"/>
                  <w:rPr>
                    <w:rFonts w:ascii="Palatino Linotype" w:eastAsia="Calibri" w:hAnsi="Palatino Linotype" w:cs="Tahoma"/>
                    <w:sz w:val="22"/>
                    <w:szCs w:val="22"/>
                  </w:rPr>
                </w:pPr>
              </w:p>
            </w:tc>
          </w:tr>
          <w:tr w:rsidR="001F7584" w14:paraId="5FC9045B" w14:textId="3298C6D1" w:rsidTr="001F7584">
            <w:trPr>
              <w:trHeight w:val="318"/>
            </w:trPr>
            <w:tc>
              <w:tcPr>
                <w:tcW w:w="2428" w:type="dxa"/>
              </w:tcPr>
              <w:p w14:paraId="6F66F0DE" w14:textId="77777777" w:rsidR="001F7584" w:rsidRPr="008B41A2" w:rsidRDefault="001F7584"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423" w:type="dxa"/>
              </w:tcPr>
              <w:p w14:paraId="5B3372D4" w14:textId="7DB13E3D" w:rsidR="001F7584" w:rsidRPr="008B41A2" w:rsidRDefault="001F7584" w:rsidP="001F7584">
                <w:pPr>
                  <w:tabs>
                    <w:tab w:val="right" w:pos="8838"/>
                  </w:tabs>
                  <w:ind w:left="119" w:right="963"/>
                  <w:jc w:val="both"/>
                  <w:rPr>
                    <w:rFonts w:ascii="Palatino Linotype" w:eastAsia="Calibri" w:hAnsi="Palatino Linotype" w:cs="Tahoma"/>
                    <w:sz w:val="22"/>
                    <w:szCs w:val="22"/>
                    <w:lang w:val="es-MX"/>
                  </w:rPr>
                </w:pPr>
                <w:r w:rsidRPr="001F7584">
                  <w:rPr>
                    <w:rFonts w:ascii="Palatino Linotype" w:eastAsia="Calibri" w:hAnsi="Palatino Linotype" w:cs="Tahoma"/>
                    <w:sz w:val="22"/>
                    <w:szCs w:val="22"/>
                    <w:lang w:val="es-MX"/>
                  </w:rPr>
                  <w:t>Ayuntamiento de Tequixquiac</w:t>
                </w:r>
              </w:p>
            </w:tc>
            <w:tc>
              <w:tcPr>
                <w:tcW w:w="4423" w:type="dxa"/>
              </w:tcPr>
              <w:p w14:paraId="2A100503" w14:textId="77777777" w:rsidR="001F7584" w:rsidRPr="001F7584" w:rsidRDefault="001F7584" w:rsidP="001F7584">
                <w:pPr>
                  <w:tabs>
                    <w:tab w:val="right" w:pos="8838"/>
                  </w:tabs>
                  <w:ind w:left="119" w:right="963"/>
                  <w:jc w:val="both"/>
                  <w:rPr>
                    <w:rFonts w:ascii="Palatino Linotype" w:eastAsia="Calibri" w:hAnsi="Palatino Linotype" w:cs="Tahoma"/>
                    <w:sz w:val="22"/>
                    <w:szCs w:val="22"/>
                  </w:rPr>
                </w:pPr>
              </w:p>
            </w:tc>
          </w:tr>
          <w:tr w:rsidR="001F7584" w14:paraId="0EA3B3B7" w14:textId="439D09B3" w:rsidTr="001F7584">
            <w:trPr>
              <w:trHeight w:val="318"/>
            </w:trPr>
            <w:tc>
              <w:tcPr>
                <w:tcW w:w="2428" w:type="dxa"/>
              </w:tcPr>
              <w:p w14:paraId="3DB912FE" w14:textId="77777777" w:rsidR="001F7584" w:rsidRPr="008B41A2" w:rsidRDefault="001F7584"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423" w:type="dxa"/>
              </w:tcPr>
              <w:p w14:paraId="001A5E63" w14:textId="77777777" w:rsidR="001F7584" w:rsidRPr="008B41A2" w:rsidRDefault="001F7584" w:rsidP="001F7584">
                <w:pPr>
                  <w:tabs>
                    <w:tab w:val="right" w:pos="8838"/>
                  </w:tabs>
                  <w:ind w:left="119"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c>
              <w:tcPr>
                <w:tcW w:w="4423" w:type="dxa"/>
              </w:tcPr>
              <w:p w14:paraId="7A89E80C" w14:textId="77777777" w:rsidR="001F7584" w:rsidRPr="008B41A2" w:rsidRDefault="001F7584" w:rsidP="001F7584">
                <w:pPr>
                  <w:tabs>
                    <w:tab w:val="right" w:pos="8838"/>
                  </w:tabs>
                  <w:ind w:left="119" w:right="-32"/>
                  <w:rPr>
                    <w:rFonts w:ascii="Palatino Linotype" w:eastAsia="Calibri" w:hAnsi="Palatino Linotype" w:cs="Tahoma"/>
                    <w:sz w:val="22"/>
                    <w:szCs w:val="22"/>
                  </w:rPr>
                </w:pPr>
              </w:p>
            </w:tc>
          </w:tr>
        </w:tbl>
        <w:p w14:paraId="39322C5A" w14:textId="77777777" w:rsidR="008B41A2" w:rsidRPr="005C106F" w:rsidRDefault="00F12D93" w:rsidP="008B41A2">
          <w:pPr>
            <w:tabs>
              <w:tab w:val="right" w:pos="8838"/>
            </w:tabs>
            <w:ind w:left="-28"/>
            <w:rPr>
              <w:rFonts w:ascii="Arial" w:eastAsia="Calibri" w:hAnsi="Arial" w:cs="Arial"/>
              <w:b/>
            </w:rPr>
          </w:pPr>
        </w:p>
      </w:tc>
    </w:tr>
  </w:tbl>
  <w:p w14:paraId="413B7D7D" w14:textId="77777777" w:rsidR="003135D1" w:rsidRDefault="00F12D93" w:rsidP="000930AE">
    <w:pPr>
      <w:pStyle w:val="Encabezado"/>
      <w:rPr>
        <w:sz w:val="14"/>
      </w:rPr>
    </w:pPr>
  </w:p>
  <w:p w14:paraId="2249EFA4" w14:textId="77777777" w:rsidR="003135D1" w:rsidRPr="00443C6B" w:rsidRDefault="00F12D93"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009D6FB0">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62AB603C" w:rsidR="003135D1" w:rsidRPr="00651A13" w:rsidRDefault="00415357" w:rsidP="00E06BA5">
          <w:pPr>
            <w:tabs>
              <w:tab w:val="right" w:pos="8838"/>
            </w:tabs>
            <w:ind w:left="-28"/>
            <w:jc w:val="both"/>
            <w:rPr>
              <w:rFonts w:ascii="Palatino Linotype" w:eastAsia="Calibri" w:hAnsi="Palatino Linotype" w:cs="Tahoma"/>
              <w:sz w:val="22"/>
              <w:szCs w:val="22"/>
              <w:lang w:eastAsia="en-US"/>
            </w:rPr>
          </w:pPr>
          <w:r w:rsidRPr="00415357">
            <w:rPr>
              <w:rFonts w:ascii="Palatino Linotype" w:eastAsia="Calibri" w:hAnsi="Palatino Linotype" w:cs="Tahoma"/>
              <w:sz w:val="22"/>
              <w:szCs w:val="22"/>
              <w:lang w:val="es-MX" w:eastAsia="en-US"/>
            </w:rPr>
            <w:t>02496/INFOEM/IP/RR/2022</w:t>
          </w:r>
        </w:p>
      </w:tc>
    </w:tr>
    <w:tr w:rsidR="003135D1" w:rsidRPr="00264223" w14:paraId="612E08F0" w14:textId="77777777" w:rsidTr="009D6FB0">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439EF5F8" w:rsidR="003135D1" w:rsidRPr="00EE2A06" w:rsidRDefault="00F12D93"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9D6FB0">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1BD32024" w:rsidR="003135D1" w:rsidRPr="00651A13" w:rsidRDefault="00415357" w:rsidP="00E06BA5">
          <w:pPr>
            <w:tabs>
              <w:tab w:val="right" w:pos="8838"/>
            </w:tabs>
            <w:ind w:left="-28"/>
            <w:jc w:val="both"/>
            <w:rPr>
              <w:rFonts w:ascii="Palatino Linotype" w:eastAsia="Calibri" w:hAnsi="Palatino Linotype" w:cs="Tahoma"/>
              <w:sz w:val="22"/>
              <w:szCs w:val="22"/>
              <w:lang w:val="es-MX" w:eastAsia="en-US"/>
            </w:rPr>
          </w:pPr>
          <w:r w:rsidRPr="00415357">
            <w:rPr>
              <w:rFonts w:ascii="Palatino Linotype" w:eastAsia="Calibri" w:hAnsi="Palatino Linotype" w:cs="Tahoma"/>
              <w:sz w:val="22"/>
              <w:szCs w:val="22"/>
              <w:lang w:val="es-MX" w:eastAsia="en-US"/>
            </w:rPr>
            <w:t>Ayuntamiento de Tequixquiac</w:t>
          </w:r>
        </w:p>
      </w:tc>
    </w:tr>
    <w:tr w:rsidR="003135D1" w:rsidRPr="00264223" w14:paraId="1AF8B0BB" w14:textId="77777777" w:rsidTr="009D6FB0">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F12D93"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7A75BE"/>
    <w:multiLevelType w:val="hybridMultilevel"/>
    <w:tmpl w:val="80DAA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4"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0"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9"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6448295">
    <w:abstractNumId w:val="26"/>
  </w:num>
  <w:num w:numId="2" w16cid:durableId="162477879">
    <w:abstractNumId w:val="33"/>
  </w:num>
  <w:num w:numId="3" w16cid:durableId="149295794">
    <w:abstractNumId w:val="16"/>
  </w:num>
  <w:num w:numId="4" w16cid:durableId="1755661760">
    <w:abstractNumId w:val="36"/>
  </w:num>
  <w:num w:numId="5" w16cid:durableId="841160800">
    <w:abstractNumId w:val="9"/>
  </w:num>
  <w:num w:numId="6" w16cid:durableId="1311247064">
    <w:abstractNumId w:val="2"/>
  </w:num>
  <w:num w:numId="7" w16cid:durableId="2047288745">
    <w:abstractNumId w:val="14"/>
  </w:num>
  <w:num w:numId="8" w16cid:durableId="1390610369">
    <w:abstractNumId w:val="39"/>
  </w:num>
  <w:num w:numId="9" w16cid:durableId="2106417474">
    <w:abstractNumId w:val="35"/>
  </w:num>
  <w:num w:numId="10" w16cid:durableId="88894447">
    <w:abstractNumId w:val="32"/>
  </w:num>
  <w:num w:numId="11" w16cid:durableId="690377373">
    <w:abstractNumId w:val="22"/>
  </w:num>
  <w:num w:numId="12" w16cid:durableId="2085178766">
    <w:abstractNumId w:val="18"/>
  </w:num>
  <w:num w:numId="13" w16cid:durableId="51512732">
    <w:abstractNumId w:val="41"/>
  </w:num>
  <w:num w:numId="14" w16cid:durableId="1016495908">
    <w:abstractNumId w:val="25"/>
  </w:num>
  <w:num w:numId="15" w16cid:durableId="670455031">
    <w:abstractNumId w:val="11"/>
  </w:num>
  <w:num w:numId="16" w16cid:durableId="10874627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2703449">
    <w:abstractNumId w:val="10"/>
  </w:num>
  <w:num w:numId="18" w16cid:durableId="162934503">
    <w:abstractNumId w:val="12"/>
  </w:num>
  <w:num w:numId="19" w16cid:durableId="2016180497">
    <w:abstractNumId w:val="34"/>
  </w:num>
  <w:num w:numId="20" w16cid:durableId="135100602">
    <w:abstractNumId w:val="45"/>
  </w:num>
  <w:num w:numId="21" w16cid:durableId="653073718">
    <w:abstractNumId w:val="42"/>
  </w:num>
  <w:num w:numId="22" w16cid:durableId="57094701">
    <w:abstractNumId w:val="17"/>
  </w:num>
  <w:num w:numId="23" w16cid:durableId="978463506">
    <w:abstractNumId w:val="19"/>
  </w:num>
  <w:num w:numId="24" w16cid:durableId="1566376752">
    <w:abstractNumId w:val="24"/>
  </w:num>
  <w:num w:numId="25" w16cid:durableId="1750540747">
    <w:abstractNumId w:val="4"/>
  </w:num>
  <w:num w:numId="26" w16cid:durableId="19670036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879501">
    <w:abstractNumId w:val="3"/>
  </w:num>
  <w:num w:numId="28" w16cid:durableId="963345152">
    <w:abstractNumId w:val="15"/>
  </w:num>
  <w:num w:numId="29" w16cid:durableId="1359044606">
    <w:abstractNumId w:val="44"/>
  </w:num>
  <w:num w:numId="30" w16cid:durableId="161897233">
    <w:abstractNumId w:val="37"/>
  </w:num>
  <w:num w:numId="31" w16cid:durableId="1837501625">
    <w:abstractNumId w:val="30"/>
  </w:num>
  <w:num w:numId="32" w16cid:durableId="1425301013">
    <w:abstractNumId w:val="7"/>
  </w:num>
  <w:num w:numId="33" w16cid:durableId="852185762">
    <w:abstractNumId w:val="23"/>
  </w:num>
  <w:num w:numId="34" w16cid:durableId="894049526">
    <w:abstractNumId w:val="5"/>
  </w:num>
  <w:num w:numId="35" w16cid:durableId="1351759737">
    <w:abstractNumId w:val="29"/>
  </w:num>
  <w:num w:numId="36" w16cid:durableId="20790769">
    <w:abstractNumId w:val="38"/>
  </w:num>
  <w:num w:numId="37" w16cid:durableId="682167464">
    <w:abstractNumId w:val="0"/>
  </w:num>
  <w:num w:numId="38" w16cid:durableId="1099374167">
    <w:abstractNumId w:val="27"/>
  </w:num>
  <w:num w:numId="39" w16cid:durableId="1268582001">
    <w:abstractNumId w:val="28"/>
  </w:num>
  <w:num w:numId="40" w16cid:durableId="557937418">
    <w:abstractNumId w:val="21"/>
  </w:num>
  <w:num w:numId="41" w16cid:durableId="1848053681">
    <w:abstractNumId w:val="43"/>
  </w:num>
  <w:num w:numId="42" w16cid:durableId="1854803932">
    <w:abstractNumId w:val="1"/>
  </w:num>
  <w:num w:numId="43" w16cid:durableId="1701276348">
    <w:abstractNumId w:val="8"/>
  </w:num>
  <w:num w:numId="44" w16cid:durableId="481849689">
    <w:abstractNumId w:val="31"/>
  </w:num>
  <w:num w:numId="45" w16cid:durableId="698361062">
    <w:abstractNumId w:val="13"/>
  </w:num>
  <w:num w:numId="46" w16cid:durableId="710108095">
    <w:abstractNumId w:val="6"/>
  </w:num>
  <w:num w:numId="47" w16cid:durableId="13358390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32EA1"/>
    <w:rsid w:val="00041105"/>
    <w:rsid w:val="00042AF8"/>
    <w:rsid w:val="00046E37"/>
    <w:rsid w:val="000500C2"/>
    <w:rsid w:val="00053263"/>
    <w:rsid w:val="00057F3C"/>
    <w:rsid w:val="00061CF3"/>
    <w:rsid w:val="00091543"/>
    <w:rsid w:val="00095740"/>
    <w:rsid w:val="000A0CEF"/>
    <w:rsid w:val="000A4E21"/>
    <w:rsid w:val="000C31E9"/>
    <w:rsid w:val="000C37FA"/>
    <w:rsid w:val="000E606C"/>
    <w:rsid w:val="000F1A23"/>
    <w:rsid w:val="000F5957"/>
    <w:rsid w:val="001013A5"/>
    <w:rsid w:val="001120F6"/>
    <w:rsid w:val="00114CD8"/>
    <w:rsid w:val="0012101F"/>
    <w:rsid w:val="0012783F"/>
    <w:rsid w:val="00131B30"/>
    <w:rsid w:val="00135E85"/>
    <w:rsid w:val="00137BB0"/>
    <w:rsid w:val="0014223F"/>
    <w:rsid w:val="001440F3"/>
    <w:rsid w:val="0014762D"/>
    <w:rsid w:val="001507B4"/>
    <w:rsid w:val="00150B3D"/>
    <w:rsid w:val="001567FA"/>
    <w:rsid w:val="00156E72"/>
    <w:rsid w:val="00161D14"/>
    <w:rsid w:val="00165C2C"/>
    <w:rsid w:val="001875A9"/>
    <w:rsid w:val="001904EF"/>
    <w:rsid w:val="00190D99"/>
    <w:rsid w:val="001B246F"/>
    <w:rsid w:val="001B3B9E"/>
    <w:rsid w:val="001C0F48"/>
    <w:rsid w:val="001C759E"/>
    <w:rsid w:val="001D0721"/>
    <w:rsid w:val="001D7087"/>
    <w:rsid w:val="001E1338"/>
    <w:rsid w:val="001E78ED"/>
    <w:rsid w:val="001F27B3"/>
    <w:rsid w:val="001F36FC"/>
    <w:rsid w:val="001F52E3"/>
    <w:rsid w:val="001F566D"/>
    <w:rsid w:val="001F7584"/>
    <w:rsid w:val="00200F81"/>
    <w:rsid w:val="00201AA5"/>
    <w:rsid w:val="00207F72"/>
    <w:rsid w:val="00210289"/>
    <w:rsid w:val="00221416"/>
    <w:rsid w:val="00227B74"/>
    <w:rsid w:val="002365A5"/>
    <w:rsid w:val="002425E2"/>
    <w:rsid w:val="00244FC7"/>
    <w:rsid w:val="002452D0"/>
    <w:rsid w:val="002460D9"/>
    <w:rsid w:val="00256424"/>
    <w:rsid w:val="00263744"/>
    <w:rsid w:val="00265A8F"/>
    <w:rsid w:val="0027557D"/>
    <w:rsid w:val="002831D0"/>
    <w:rsid w:val="00285630"/>
    <w:rsid w:val="00286FC0"/>
    <w:rsid w:val="002A40CB"/>
    <w:rsid w:val="002A49D0"/>
    <w:rsid w:val="002A7B9E"/>
    <w:rsid w:val="002B025D"/>
    <w:rsid w:val="002B1BBE"/>
    <w:rsid w:val="002C073E"/>
    <w:rsid w:val="002C356D"/>
    <w:rsid w:val="002D5C1D"/>
    <w:rsid w:val="002F3B8D"/>
    <w:rsid w:val="002F3D3B"/>
    <w:rsid w:val="002F62E6"/>
    <w:rsid w:val="00303DE8"/>
    <w:rsid w:val="00305AF4"/>
    <w:rsid w:val="0031159D"/>
    <w:rsid w:val="00311CA5"/>
    <w:rsid w:val="00314625"/>
    <w:rsid w:val="0031567C"/>
    <w:rsid w:val="00330AE8"/>
    <w:rsid w:val="003336F8"/>
    <w:rsid w:val="00341710"/>
    <w:rsid w:val="00344AEB"/>
    <w:rsid w:val="0035025E"/>
    <w:rsid w:val="003508D0"/>
    <w:rsid w:val="00357B4D"/>
    <w:rsid w:val="003664C7"/>
    <w:rsid w:val="00370072"/>
    <w:rsid w:val="0037277E"/>
    <w:rsid w:val="0037403C"/>
    <w:rsid w:val="003843A4"/>
    <w:rsid w:val="00386E35"/>
    <w:rsid w:val="00387537"/>
    <w:rsid w:val="0039288A"/>
    <w:rsid w:val="003945E3"/>
    <w:rsid w:val="00396A90"/>
    <w:rsid w:val="003A22DE"/>
    <w:rsid w:val="003B4E6E"/>
    <w:rsid w:val="003C2640"/>
    <w:rsid w:val="003C3A57"/>
    <w:rsid w:val="003C687A"/>
    <w:rsid w:val="003D0637"/>
    <w:rsid w:val="003E215A"/>
    <w:rsid w:val="003E35F9"/>
    <w:rsid w:val="003E3F56"/>
    <w:rsid w:val="003E4FC1"/>
    <w:rsid w:val="003E66FE"/>
    <w:rsid w:val="003F5D7F"/>
    <w:rsid w:val="00400EAE"/>
    <w:rsid w:val="0040422E"/>
    <w:rsid w:val="00411440"/>
    <w:rsid w:val="00412F24"/>
    <w:rsid w:val="00415357"/>
    <w:rsid w:val="00416901"/>
    <w:rsid w:val="00430266"/>
    <w:rsid w:val="0043243E"/>
    <w:rsid w:val="00437FA1"/>
    <w:rsid w:val="00443F40"/>
    <w:rsid w:val="00450B5E"/>
    <w:rsid w:val="00450D31"/>
    <w:rsid w:val="00452014"/>
    <w:rsid w:val="00461E91"/>
    <w:rsid w:val="00463F05"/>
    <w:rsid w:val="00475BFB"/>
    <w:rsid w:val="00483128"/>
    <w:rsid w:val="00485D00"/>
    <w:rsid w:val="00486CD6"/>
    <w:rsid w:val="00497F35"/>
    <w:rsid w:val="004A0B13"/>
    <w:rsid w:val="004A4A62"/>
    <w:rsid w:val="004A507F"/>
    <w:rsid w:val="004B22AD"/>
    <w:rsid w:val="004B52AA"/>
    <w:rsid w:val="004C3C05"/>
    <w:rsid w:val="004C636B"/>
    <w:rsid w:val="004D726A"/>
    <w:rsid w:val="004F45D5"/>
    <w:rsid w:val="004F4774"/>
    <w:rsid w:val="004F5DCC"/>
    <w:rsid w:val="00501A5E"/>
    <w:rsid w:val="00510B7F"/>
    <w:rsid w:val="00511CFF"/>
    <w:rsid w:val="0051321B"/>
    <w:rsid w:val="0052168E"/>
    <w:rsid w:val="00522D01"/>
    <w:rsid w:val="0052368A"/>
    <w:rsid w:val="00525A8A"/>
    <w:rsid w:val="00532E87"/>
    <w:rsid w:val="00533909"/>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3FD5"/>
    <w:rsid w:val="00586C7F"/>
    <w:rsid w:val="005A117F"/>
    <w:rsid w:val="005A56BF"/>
    <w:rsid w:val="005A78BC"/>
    <w:rsid w:val="005B1591"/>
    <w:rsid w:val="005B2724"/>
    <w:rsid w:val="005B28D5"/>
    <w:rsid w:val="005D02A6"/>
    <w:rsid w:val="005D7143"/>
    <w:rsid w:val="005E5B10"/>
    <w:rsid w:val="005E7B22"/>
    <w:rsid w:val="005F7CC3"/>
    <w:rsid w:val="005F7F1D"/>
    <w:rsid w:val="00600CBA"/>
    <w:rsid w:val="006041D2"/>
    <w:rsid w:val="00605324"/>
    <w:rsid w:val="006138AA"/>
    <w:rsid w:val="00615F5E"/>
    <w:rsid w:val="00622A40"/>
    <w:rsid w:val="0063645E"/>
    <w:rsid w:val="00646ED4"/>
    <w:rsid w:val="00646F2C"/>
    <w:rsid w:val="00647F5E"/>
    <w:rsid w:val="00651A13"/>
    <w:rsid w:val="00651CBC"/>
    <w:rsid w:val="00653177"/>
    <w:rsid w:val="00654867"/>
    <w:rsid w:val="006569DA"/>
    <w:rsid w:val="00657DAD"/>
    <w:rsid w:val="0066424F"/>
    <w:rsid w:val="006762A8"/>
    <w:rsid w:val="006869B3"/>
    <w:rsid w:val="0069111A"/>
    <w:rsid w:val="00694683"/>
    <w:rsid w:val="00697530"/>
    <w:rsid w:val="006A2922"/>
    <w:rsid w:val="006A40B6"/>
    <w:rsid w:val="006A6335"/>
    <w:rsid w:val="006B0EDC"/>
    <w:rsid w:val="006B123A"/>
    <w:rsid w:val="006B1909"/>
    <w:rsid w:val="006C7888"/>
    <w:rsid w:val="006D07BA"/>
    <w:rsid w:val="006D6349"/>
    <w:rsid w:val="006E3868"/>
    <w:rsid w:val="006F24F6"/>
    <w:rsid w:val="006F397F"/>
    <w:rsid w:val="0070237E"/>
    <w:rsid w:val="00731FDC"/>
    <w:rsid w:val="0074570A"/>
    <w:rsid w:val="00745E69"/>
    <w:rsid w:val="00753E39"/>
    <w:rsid w:val="00757543"/>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67D41"/>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10B13"/>
    <w:rsid w:val="0092440D"/>
    <w:rsid w:val="009245F5"/>
    <w:rsid w:val="0092732B"/>
    <w:rsid w:val="00930F5B"/>
    <w:rsid w:val="009379A9"/>
    <w:rsid w:val="009418F2"/>
    <w:rsid w:val="00941F39"/>
    <w:rsid w:val="00944027"/>
    <w:rsid w:val="00945867"/>
    <w:rsid w:val="00945D21"/>
    <w:rsid w:val="00952ABF"/>
    <w:rsid w:val="00954468"/>
    <w:rsid w:val="00954868"/>
    <w:rsid w:val="00956A84"/>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3E7E"/>
    <w:rsid w:val="009A7A52"/>
    <w:rsid w:val="009B2098"/>
    <w:rsid w:val="009B36B9"/>
    <w:rsid w:val="009B4BA6"/>
    <w:rsid w:val="009B6B15"/>
    <w:rsid w:val="009C4648"/>
    <w:rsid w:val="009D3EBA"/>
    <w:rsid w:val="009D6FB0"/>
    <w:rsid w:val="009E0D9F"/>
    <w:rsid w:val="009E17E8"/>
    <w:rsid w:val="009E5B56"/>
    <w:rsid w:val="009F2499"/>
    <w:rsid w:val="009F4DEE"/>
    <w:rsid w:val="00A021B4"/>
    <w:rsid w:val="00A05107"/>
    <w:rsid w:val="00A12F71"/>
    <w:rsid w:val="00A1412F"/>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4608"/>
    <w:rsid w:val="00AC5B19"/>
    <w:rsid w:val="00AC7218"/>
    <w:rsid w:val="00AD2F43"/>
    <w:rsid w:val="00AD4E98"/>
    <w:rsid w:val="00AD5375"/>
    <w:rsid w:val="00AE1CB6"/>
    <w:rsid w:val="00AE3803"/>
    <w:rsid w:val="00AE5AE5"/>
    <w:rsid w:val="00AE5CA3"/>
    <w:rsid w:val="00AF6ADC"/>
    <w:rsid w:val="00B03EDE"/>
    <w:rsid w:val="00B101A9"/>
    <w:rsid w:val="00B12743"/>
    <w:rsid w:val="00B20F8B"/>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E7949"/>
    <w:rsid w:val="00BF14ED"/>
    <w:rsid w:val="00BF19D2"/>
    <w:rsid w:val="00C03811"/>
    <w:rsid w:val="00C1189C"/>
    <w:rsid w:val="00C1369F"/>
    <w:rsid w:val="00C17433"/>
    <w:rsid w:val="00C22667"/>
    <w:rsid w:val="00C24093"/>
    <w:rsid w:val="00C25E9D"/>
    <w:rsid w:val="00C26A6E"/>
    <w:rsid w:val="00C32749"/>
    <w:rsid w:val="00C34B10"/>
    <w:rsid w:val="00C354AE"/>
    <w:rsid w:val="00C36852"/>
    <w:rsid w:val="00C36AE4"/>
    <w:rsid w:val="00C3708C"/>
    <w:rsid w:val="00C37911"/>
    <w:rsid w:val="00C45345"/>
    <w:rsid w:val="00C45E57"/>
    <w:rsid w:val="00C47841"/>
    <w:rsid w:val="00C56DA6"/>
    <w:rsid w:val="00C61B4F"/>
    <w:rsid w:val="00C61C11"/>
    <w:rsid w:val="00C65725"/>
    <w:rsid w:val="00C710D6"/>
    <w:rsid w:val="00C7224B"/>
    <w:rsid w:val="00C73B3A"/>
    <w:rsid w:val="00C77F7B"/>
    <w:rsid w:val="00C87E36"/>
    <w:rsid w:val="00C907D1"/>
    <w:rsid w:val="00C9577D"/>
    <w:rsid w:val="00C97917"/>
    <w:rsid w:val="00CB6D50"/>
    <w:rsid w:val="00CB7AF4"/>
    <w:rsid w:val="00CC449F"/>
    <w:rsid w:val="00CC5EC2"/>
    <w:rsid w:val="00CD1229"/>
    <w:rsid w:val="00CD65D7"/>
    <w:rsid w:val="00CE5D6E"/>
    <w:rsid w:val="00CF0F12"/>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76D35"/>
    <w:rsid w:val="00D94D36"/>
    <w:rsid w:val="00D96384"/>
    <w:rsid w:val="00DA0579"/>
    <w:rsid w:val="00DA6CBB"/>
    <w:rsid w:val="00DB03AC"/>
    <w:rsid w:val="00DB0B40"/>
    <w:rsid w:val="00DB249D"/>
    <w:rsid w:val="00DC17E4"/>
    <w:rsid w:val="00DC1C74"/>
    <w:rsid w:val="00DC6A45"/>
    <w:rsid w:val="00DC7952"/>
    <w:rsid w:val="00DD089E"/>
    <w:rsid w:val="00DD0E57"/>
    <w:rsid w:val="00DD4D11"/>
    <w:rsid w:val="00DE24CB"/>
    <w:rsid w:val="00DE71E3"/>
    <w:rsid w:val="00DF0F8B"/>
    <w:rsid w:val="00DF1C2C"/>
    <w:rsid w:val="00E02E8F"/>
    <w:rsid w:val="00E03817"/>
    <w:rsid w:val="00E06BA5"/>
    <w:rsid w:val="00E11A73"/>
    <w:rsid w:val="00E15395"/>
    <w:rsid w:val="00E209FC"/>
    <w:rsid w:val="00E22215"/>
    <w:rsid w:val="00E2314B"/>
    <w:rsid w:val="00E25C61"/>
    <w:rsid w:val="00E2692B"/>
    <w:rsid w:val="00E3439B"/>
    <w:rsid w:val="00E35B9A"/>
    <w:rsid w:val="00E42633"/>
    <w:rsid w:val="00E46B98"/>
    <w:rsid w:val="00E61D50"/>
    <w:rsid w:val="00E62F3C"/>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12D93"/>
    <w:rsid w:val="00F16AE1"/>
    <w:rsid w:val="00F20BDB"/>
    <w:rsid w:val="00F30C0E"/>
    <w:rsid w:val="00F44F10"/>
    <w:rsid w:val="00F4556A"/>
    <w:rsid w:val="00F46B4A"/>
    <w:rsid w:val="00F47135"/>
    <w:rsid w:val="00F57C4C"/>
    <w:rsid w:val="00F74A11"/>
    <w:rsid w:val="00F838CE"/>
    <w:rsid w:val="00FA74D3"/>
    <w:rsid w:val="00FB1090"/>
    <w:rsid w:val="00FB27E1"/>
    <w:rsid w:val="00FB4F87"/>
    <w:rsid w:val="00FB6698"/>
    <w:rsid w:val="00FC7A26"/>
    <w:rsid w:val="00FD1F42"/>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29205474">
      <w:bodyDiv w:val="1"/>
      <w:marLeft w:val="0"/>
      <w:marRight w:val="0"/>
      <w:marTop w:val="0"/>
      <w:marBottom w:val="0"/>
      <w:divBdr>
        <w:top w:val="none" w:sz="0" w:space="0" w:color="auto"/>
        <w:left w:val="none" w:sz="0" w:space="0" w:color="auto"/>
        <w:bottom w:val="none" w:sz="0" w:space="0" w:color="auto"/>
        <w:right w:val="none" w:sz="0" w:space="0" w:color="auto"/>
      </w:divBdr>
    </w:div>
    <w:div w:id="547961862">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3613225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135105880">
      <w:bodyDiv w:val="1"/>
      <w:marLeft w:val="0"/>
      <w:marRight w:val="0"/>
      <w:marTop w:val="0"/>
      <w:marBottom w:val="0"/>
      <w:divBdr>
        <w:top w:val="none" w:sz="0" w:space="0" w:color="auto"/>
        <w:left w:val="none" w:sz="0" w:space="0" w:color="auto"/>
        <w:bottom w:val="none" w:sz="0" w:space="0" w:color="auto"/>
        <w:right w:val="none" w:sz="0" w:space="0" w:color="auto"/>
      </w:divBdr>
    </w:div>
    <w:div w:id="1466658189">
      <w:bodyDiv w:val="1"/>
      <w:marLeft w:val="0"/>
      <w:marRight w:val="0"/>
      <w:marTop w:val="0"/>
      <w:marBottom w:val="0"/>
      <w:divBdr>
        <w:top w:val="none" w:sz="0" w:space="0" w:color="auto"/>
        <w:left w:val="none" w:sz="0" w:space="0" w:color="auto"/>
        <w:bottom w:val="none" w:sz="0" w:space="0" w:color="auto"/>
        <w:right w:val="none" w:sz="0" w:space="0" w:color="auto"/>
      </w:divBdr>
    </w:div>
    <w:div w:id="146820874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68690418">
      <w:bodyDiv w:val="1"/>
      <w:marLeft w:val="0"/>
      <w:marRight w:val="0"/>
      <w:marTop w:val="0"/>
      <w:marBottom w:val="0"/>
      <w:divBdr>
        <w:top w:val="none" w:sz="0" w:space="0" w:color="auto"/>
        <w:left w:val="none" w:sz="0" w:space="0" w:color="auto"/>
        <w:bottom w:val="none" w:sz="0" w:space="0" w:color="auto"/>
        <w:right w:val="none" w:sz="0" w:space="0" w:color="auto"/>
      </w:divBdr>
    </w:div>
    <w:div w:id="1647313969">
      <w:bodyDiv w:val="1"/>
      <w:marLeft w:val="0"/>
      <w:marRight w:val="0"/>
      <w:marTop w:val="0"/>
      <w:marBottom w:val="0"/>
      <w:divBdr>
        <w:top w:val="none" w:sz="0" w:space="0" w:color="auto"/>
        <w:left w:val="none" w:sz="0" w:space="0" w:color="auto"/>
        <w:bottom w:val="none" w:sz="0" w:space="0" w:color="auto"/>
        <w:right w:val="none" w:sz="0" w:space="0" w:color="auto"/>
      </w:divBdr>
    </w:div>
    <w:div w:id="1696540435">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733036876">
      <w:bodyDiv w:val="1"/>
      <w:marLeft w:val="0"/>
      <w:marRight w:val="0"/>
      <w:marTop w:val="0"/>
      <w:marBottom w:val="0"/>
      <w:divBdr>
        <w:top w:val="none" w:sz="0" w:space="0" w:color="auto"/>
        <w:left w:val="none" w:sz="0" w:space="0" w:color="auto"/>
        <w:bottom w:val="none" w:sz="0" w:space="0" w:color="auto"/>
        <w:right w:val="none" w:sz="0" w:space="0" w:color="auto"/>
      </w:divBdr>
    </w:div>
    <w:div w:id="1912159754">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2888</Words>
  <Characters>15889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2022-05-05T03:22:00Z</dcterms:created>
  <dcterms:modified xsi:type="dcterms:W3CDTF">2022-05-05T03:22:00Z</dcterms:modified>
</cp:coreProperties>
</file>