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marzo de dos mil veintidós. </w:t>
      </w:r>
    </w:p>
    <w:p w:rsidR="00D5471C" w:rsidRDefault="00C12D76">
      <w:pPr>
        <w:spacing w:before="360" w:after="36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05279/INFOEM/IP/RR/2021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A225BC" w:rsidRPr="00A225BC">
        <w:rPr>
          <w:rFonts w:ascii="Palatino Linotype" w:eastAsia="Palatino Linotype" w:hAnsi="Palatino Linotype" w:cs="Palatino Linotype"/>
          <w:b/>
        </w:rPr>
        <w:t>XXXXXXXXX XXXX XXXXX XXXXXXX</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Poder Judicial,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w:t>
      </w:r>
      <w:bookmarkStart w:id="1" w:name="_GoBack"/>
      <w:bookmarkEnd w:id="1"/>
      <w:r>
        <w:rPr>
          <w:rFonts w:ascii="Palatino Linotype" w:eastAsia="Palatino Linotype" w:hAnsi="Palatino Linotype" w:cs="Palatino Linotype"/>
        </w:rPr>
        <w:t xml:space="preserve">ción con base en los siguientes: </w:t>
      </w:r>
    </w:p>
    <w:p w:rsidR="00D5471C" w:rsidRDefault="00C12D76">
      <w:pPr>
        <w:spacing w:before="360" w:after="36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00812/PJUDICI/IP/2021, </w:t>
      </w:r>
      <w:r>
        <w:rPr>
          <w:rFonts w:ascii="Palatino Linotype" w:eastAsia="Palatino Linotype" w:hAnsi="Palatino Linotype" w:cs="Palatino Linotype"/>
        </w:rPr>
        <w:t xml:space="preserve">mediante la cual requirió la información siguiente: </w:t>
      </w:r>
    </w:p>
    <w:p w:rsidR="00D5471C" w:rsidRDefault="00C12D76">
      <w:pPr>
        <w:spacing w:before="360" w:after="360" w:line="276" w:lineRule="auto"/>
        <w:ind w:left="851" w:right="902"/>
        <w:jc w:val="both"/>
        <w:rPr>
          <w:rFonts w:ascii="Palatino Linotype" w:eastAsia="Palatino Linotype" w:hAnsi="Palatino Linotype" w:cs="Palatino Linotype"/>
          <w:b/>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“Buenas noches ...me </w:t>
      </w:r>
      <w:proofErr w:type="spellStart"/>
      <w:r>
        <w:rPr>
          <w:rFonts w:ascii="Palatino Linotype" w:eastAsia="Palatino Linotype" w:hAnsi="Palatino Linotype" w:cs="Palatino Linotype"/>
          <w:i/>
          <w:sz w:val="22"/>
          <w:szCs w:val="22"/>
        </w:rPr>
        <w:t>gustaria</w:t>
      </w:r>
      <w:proofErr w:type="spellEnd"/>
      <w:r>
        <w:rPr>
          <w:rFonts w:ascii="Palatino Linotype" w:eastAsia="Palatino Linotype" w:hAnsi="Palatino Linotype" w:cs="Palatino Linotype"/>
          <w:i/>
          <w:sz w:val="22"/>
          <w:szCs w:val="22"/>
        </w:rPr>
        <w:t xml:space="preserve"> solicitar de manera respetuosa la siguiente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Mapa o planos detallados </w:t>
      </w:r>
      <w:r>
        <w:rPr>
          <w:rFonts w:ascii="Palatino Linotype" w:eastAsia="Palatino Linotype" w:hAnsi="Palatino Linotype" w:cs="Palatino Linotype"/>
          <w:b/>
          <w:i/>
          <w:sz w:val="22"/>
          <w:szCs w:val="22"/>
          <w:u w:val="single"/>
        </w:rPr>
        <w:t xml:space="preserve">de todas las </w:t>
      </w:r>
      <w:proofErr w:type="spellStart"/>
      <w:r>
        <w:rPr>
          <w:rFonts w:ascii="Palatino Linotype" w:eastAsia="Palatino Linotype" w:hAnsi="Palatino Linotype" w:cs="Palatino Linotype"/>
          <w:b/>
          <w:i/>
          <w:sz w:val="22"/>
          <w:szCs w:val="22"/>
          <w:u w:val="single"/>
        </w:rPr>
        <w:t>areas</w:t>
      </w:r>
      <w:proofErr w:type="spellEnd"/>
      <w:r>
        <w:rPr>
          <w:rFonts w:ascii="Palatino Linotype" w:eastAsia="Palatino Linotype" w:hAnsi="Palatino Linotype" w:cs="Palatino Linotype"/>
          <w:b/>
          <w:i/>
          <w:sz w:val="22"/>
          <w:szCs w:val="22"/>
          <w:u w:val="single"/>
        </w:rPr>
        <w:t xml:space="preserve"> y niveles que cuentan</w:t>
      </w:r>
      <w:r>
        <w:rPr>
          <w:rFonts w:ascii="Palatino Linotype" w:eastAsia="Palatino Linotype" w:hAnsi="Palatino Linotype" w:cs="Palatino Linotype"/>
          <w:i/>
          <w:sz w:val="22"/>
          <w:szCs w:val="22"/>
        </w:rPr>
        <w:t xml:space="preserve"> los Juzgados de Tenango del Valle ubicados en la carretera a </w:t>
      </w:r>
      <w:proofErr w:type="spellStart"/>
      <w:r>
        <w:rPr>
          <w:rFonts w:ascii="Palatino Linotype" w:eastAsia="Palatino Linotype" w:hAnsi="Palatino Linotype" w:cs="Palatino Linotype"/>
          <w:i/>
          <w:sz w:val="22"/>
          <w:szCs w:val="22"/>
        </w:rPr>
        <w:t>ixtapan</w:t>
      </w:r>
      <w:proofErr w:type="spellEnd"/>
      <w:r>
        <w:rPr>
          <w:rFonts w:ascii="Palatino Linotype" w:eastAsia="Palatino Linotype" w:hAnsi="Palatino Linotype" w:cs="Palatino Linotype"/>
          <w:i/>
          <w:sz w:val="22"/>
          <w:szCs w:val="22"/>
        </w:rPr>
        <w:t xml:space="preserve"> de la sal y de las instalaciones del Tribunal Superior de Justicia ubicado en el centro de la </w:t>
      </w:r>
      <w:proofErr w:type="spellStart"/>
      <w:r>
        <w:rPr>
          <w:rFonts w:ascii="Palatino Linotype" w:eastAsia="Palatino Linotype" w:hAnsi="Palatino Linotype" w:cs="Palatino Linotype"/>
          <w:i/>
          <w:sz w:val="22"/>
          <w:szCs w:val="22"/>
        </w:rPr>
        <w:t>Ciuda</w:t>
      </w:r>
      <w:proofErr w:type="spellEnd"/>
      <w:r>
        <w:rPr>
          <w:rFonts w:ascii="Palatino Linotype" w:eastAsia="Palatino Linotype" w:hAnsi="Palatino Linotype" w:cs="Palatino Linotype"/>
          <w:i/>
          <w:sz w:val="22"/>
          <w:szCs w:val="22"/>
        </w:rPr>
        <w:t xml:space="preserve"> de Toluca. Muchas gracias por su atención.” (Sic)</w:t>
      </w:r>
    </w:p>
    <w:p w:rsidR="00D5471C" w:rsidRDefault="00D5471C">
      <w:pPr>
        <w:spacing w:before="360" w:after="360"/>
        <w:ind w:right="900"/>
        <w:jc w:val="both"/>
        <w:rPr>
          <w:rFonts w:ascii="Palatino Linotype" w:eastAsia="Palatino Linotype" w:hAnsi="Palatino Linotype" w:cs="Palatino Linotype"/>
        </w:rPr>
      </w:pP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(SAIMEX).</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D5471C" w:rsidRDefault="00C12D76">
      <w:pPr>
        <w:spacing w:before="360" w:after="36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Manifestación a la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identificado como </w:t>
      </w:r>
      <w:r>
        <w:rPr>
          <w:rFonts w:ascii="Palatino Linotype" w:eastAsia="Palatino Linotype" w:hAnsi="Palatino Linotype" w:cs="Palatino Linotype"/>
          <w:b/>
          <w:i/>
        </w:rPr>
        <w:t xml:space="preserve">“Respuesta 812-2021.pdf” </w:t>
      </w:r>
      <w:r>
        <w:rPr>
          <w:rFonts w:ascii="Palatino Linotype" w:eastAsia="Palatino Linotype" w:hAnsi="Palatino Linotype" w:cs="Palatino Linotype"/>
        </w:rPr>
        <w:t xml:space="preserve">en el que se visualiza el escrito de fecha veinticinco de octubre de dos mil veintiuno, suscrito por la Titular de la Unidad de Transparencia, que en su parte sustantiva refiere: </w:t>
      </w:r>
    </w:p>
    <w:p w:rsidR="00D5471C" w:rsidRDefault="00C12D76">
      <w:pPr>
        <w:tabs>
          <w:tab w:val="left" w:pos="8222"/>
        </w:tabs>
        <w:spacing w:before="360" w:after="360" w:line="276" w:lineRule="auto"/>
        <w:ind w:left="567"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“…acorde a lo rendido por el Licenciado Roberto Cervantes Martínez, Director General de Administración, se hace de su conocimiento que la información de su interés podría poner en riesgo la integridad de los servidores públicos, los justiciables y personas que en general acuden al edificio del Poder Judicial del Estado de México, </w:t>
      </w:r>
      <w:r>
        <w:rPr>
          <w:rFonts w:ascii="Palatino Linotype" w:eastAsia="Palatino Linotype" w:hAnsi="Palatino Linotype" w:cs="Palatino Linotype"/>
          <w:b/>
          <w:i/>
          <w:sz w:val="22"/>
          <w:szCs w:val="22"/>
        </w:rPr>
        <w:t>motivos por los que fue clasificada como información reservada por un periodo de 5 años</w:t>
      </w:r>
      <w:r>
        <w:rPr>
          <w:rFonts w:ascii="Palatino Linotype" w:eastAsia="Palatino Linotype" w:hAnsi="Palatino Linotype" w:cs="Palatino Linotype"/>
          <w:i/>
          <w:sz w:val="22"/>
          <w:szCs w:val="22"/>
        </w:rPr>
        <w:t>, por el Comité de Transparencia institucional mediante la Sesión Extraordinaria 30/21, al cual podrá ser consultada en el link https://www.pjedomex.gob.mx/transparencia/8_actas_comite.”</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veintiséis de octubre de dos mil veintiuno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el recurso de revisión en el que manifestó lo siguiente:</w:t>
      </w:r>
    </w:p>
    <w:p w:rsidR="00D5471C" w:rsidRDefault="00C12D76">
      <w:pPr>
        <w:spacing w:before="360" w:after="36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Acto impugnado:</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negativa del Poder Judicial del Estado de </w:t>
      </w:r>
      <w:proofErr w:type="spellStart"/>
      <w:r>
        <w:rPr>
          <w:rFonts w:ascii="Palatino Linotype" w:eastAsia="Palatino Linotype" w:hAnsi="Palatino Linotype" w:cs="Palatino Linotype"/>
          <w:i/>
          <w:sz w:val="22"/>
          <w:szCs w:val="22"/>
        </w:rPr>
        <w:t>Mexico</w:t>
      </w:r>
      <w:proofErr w:type="spellEnd"/>
      <w:r>
        <w:rPr>
          <w:rFonts w:ascii="Palatino Linotype" w:eastAsia="Palatino Linotype" w:hAnsi="Palatino Linotype" w:cs="Palatino Linotype"/>
          <w:i/>
          <w:sz w:val="22"/>
          <w:szCs w:val="22"/>
        </w:rPr>
        <w:t xml:space="preserve"> de proporcionar la siguiente información: Buenas </w:t>
      </w:r>
      <w:proofErr w:type="gramStart"/>
      <w:r>
        <w:rPr>
          <w:rFonts w:ascii="Palatino Linotype" w:eastAsia="Palatino Linotype" w:hAnsi="Palatino Linotype" w:cs="Palatino Linotype"/>
          <w:i/>
          <w:sz w:val="22"/>
          <w:szCs w:val="22"/>
        </w:rPr>
        <w:t>noches ...</w:t>
      </w:r>
      <w:proofErr w:type="gramEnd"/>
      <w:r>
        <w:rPr>
          <w:rFonts w:ascii="Palatino Linotype" w:eastAsia="Palatino Linotype" w:hAnsi="Palatino Linotype" w:cs="Palatino Linotype"/>
          <w:i/>
          <w:sz w:val="22"/>
          <w:szCs w:val="22"/>
        </w:rPr>
        <w:t xml:space="preserve">me </w:t>
      </w:r>
      <w:proofErr w:type="spellStart"/>
      <w:r>
        <w:rPr>
          <w:rFonts w:ascii="Palatino Linotype" w:eastAsia="Palatino Linotype" w:hAnsi="Palatino Linotype" w:cs="Palatino Linotype"/>
          <w:i/>
          <w:sz w:val="22"/>
          <w:szCs w:val="22"/>
        </w:rPr>
        <w:t>gustaria</w:t>
      </w:r>
      <w:proofErr w:type="spellEnd"/>
      <w:r>
        <w:rPr>
          <w:rFonts w:ascii="Palatino Linotype" w:eastAsia="Palatino Linotype" w:hAnsi="Palatino Linotype" w:cs="Palatino Linotype"/>
          <w:i/>
          <w:sz w:val="22"/>
          <w:szCs w:val="22"/>
        </w:rPr>
        <w:t xml:space="preserve"> solicitar de manera respetuosa la siguiente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Mapa o planos detallados de todas las </w:t>
      </w:r>
      <w:proofErr w:type="spellStart"/>
      <w:r>
        <w:rPr>
          <w:rFonts w:ascii="Palatino Linotype" w:eastAsia="Palatino Linotype" w:hAnsi="Palatino Linotype" w:cs="Palatino Linotype"/>
          <w:i/>
          <w:sz w:val="22"/>
          <w:szCs w:val="22"/>
        </w:rPr>
        <w:t>areas</w:t>
      </w:r>
      <w:proofErr w:type="spellEnd"/>
      <w:r>
        <w:rPr>
          <w:rFonts w:ascii="Palatino Linotype" w:eastAsia="Palatino Linotype" w:hAnsi="Palatino Linotype" w:cs="Palatino Linotype"/>
          <w:i/>
          <w:sz w:val="22"/>
          <w:szCs w:val="22"/>
        </w:rPr>
        <w:t xml:space="preserve"> y niveles que cuentan los Juzgados de Tenango del Valle ubicados en la carretera a </w:t>
      </w:r>
      <w:proofErr w:type="spellStart"/>
      <w:r>
        <w:rPr>
          <w:rFonts w:ascii="Palatino Linotype" w:eastAsia="Palatino Linotype" w:hAnsi="Palatino Linotype" w:cs="Palatino Linotype"/>
          <w:i/>
          <w:sz w:val="22"/>
          <w:szCs w:val="22"/>
        </w:rPr>
        <w:t>ixtapan</w:t>
      </w:r>
      <w:proofErr w:type="spellEnd"/>
      <w:r>
        <w:rPr>
          <w:rFonts w:ascii="Palatino Linotype" w:eastAsia="Palatino Linotype" w:hAnsi="Palatino Linotype" w:cs="Palatino Linotype"/>
          <w:i/>
          <w:sz w:val="22"/>
          <w:szCs w:val="22"/>
        </w:rPr>
        <w:t xml:space="preserve"> de la sal y de las instalaciones del Tribunal Superior de Justicia ubicado en el centro de la </w:t>
      </w:r>
      <w:proofErr w:type="spellStart"/>
      <w:r>
        <w:rPr>
          <w:rFonts w:ascii="Palatino Linotype" w:eastAsia="Palatino Linotype" w:hAnsi="Palatino Linotype" w:cs="Palatino Linotype"/>
          <w:i/>
          <w:sz w:val="22"/>
          <w:szCs w:val="22"/>
        </w:rPr>
        <w:t>Ciuda</w:t>
      </w:r>
      <w:proofErr w:type="spellEnd"/>
      <w:r>
        <w:rPr>
          <w:rFonts w:ascii="Palatino Linotype" w:eastAsia="Palatino Linotype" w:hAnsi="Palatino Linotype" w:cs="Palatino Linotype"/>
          <w:i/>
          <w:sz w:val="22"/>
          <w:szCs w:val="22"/>
        </w:rPr>
        <w:t xml:space="preserve"> de Toluca. Muchas gracias por su atención (Sic) De ninguna manera se puede considerar como información reservada en virtud de que el acceso a las instalaciones es completamente libre-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ninguna manera se puede considerar como información reservada en virtud de que el acceso a las instalaciones es completamente libre.” (Sic)</w:t>
      </w:r>
    </w:p>
    <w:p w:rsidR="00D5471C" w:rsidRDefault="00C12D76">
      <w:pPr>
        <w:spacing w:before="360" w:after="36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Inconformidad a la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adjuntó el escrito enviado en respuesta a la solicitud de información</w:t>
      </w:r>
      <w:r>
        <w:rPr>
          <w:rFonts w:ascii="Palatino Linotype" w:eastAsia="Palatino Linotype" w:hAnsi="Palatino Linotype" w:cs="Palatino Linotype"/>
          <w:sz w:val="22"/>
          <w:szCs w:val="22"/>
        </w:rPr>
        <w:t xml:space="preserve">.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Ponente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D5471C" w:rsidRDefault="00C12D76">
      <w:pPr>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veintinueve de octubre de dos mil veintiuno, </w:t>
      </w:r>
      <w:r>
        <w:rPr>
          <w:rFonts w:ascii="Palatino Linotype" w:eastAsia="Palatino Linotype" w:hAnsi="Palatino Linotype" w:cs="Palatino Linotype"/>
        </w:rPr>
        <w:t xml:space="preserve">este Instituto de Transparencia, Acceso a la Información Pública y </w:t>
      </w:r>
      <w:r>
        <w:rPr>
          <w:rFonts w:ascii="Palatino Linotype" w:eastAsia="Palatino Linotype" w:hAnsi="Palatino Linotype" w:cs="Palatino Linotype"/>
        </w:rPr>
        <w:lastRenderedPageBreak/>
        <w:t>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D5471C" w:rsidRDefault="00C12D76">
      <w:pPr>
        <w:widowControl w:val="0"/>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diez de diciembre de dos mil veintiuno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en informe justificado archivos electrónicos descritos en el siguiente orden: </w:t>
      </w:r>
    </w:p>
    <w:p w:rsidR="00D5471C" w:rsidRDefault="00C12D76">
      <w:pPr>
        <w:widowControl w:val="0"/>
        <w:numPr>
          <w:ilvl w:val="0"/>
          <w:numId w:val="1"/>
        </w:numPr>
        <w:pBdr>
          <w:top w:val="nil"/>
          <w:left w:val="nil"/>
          <w:bottom w:val="nil"/>
          <w:right w:val="nil"/>
          <w:between w:val="nil"/>
        </w:pBdr>
        <w:spacing w:before="360" w:after="36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“Informe Justificado 05279-2021.pdf”: </w:t>
      </w:r>
      <w:r>
        <w:rPr>
          <w:rFonts w:ascii="Palatino Linotype" w:eastAsia="Palatino Linotype" w:hAnsi="Palatino Linotype" w:cs="Palatino Linotype"/>
          <w:color w:val="000000"/>
        </w:rPr>
        <w:t xml:space="preserve">Escrito de fecha diez de diciembre de dos mil veintiuno, suscrito y firmado por la Titular de la Unidad de Transparencia, por medio del cual manifestó que no existe negativa de proporcionar información, sino que dicha información de manera excepcional se encuentra restringida al actualizarse el supuesto jurídico establecido en el artículo 140, fracción I de la Ley de Transparencia y Acceso a la Información Pública del estado de México y Municipios. </w:t>
      </w:r>
    </w:p>
    <w:p w:rsidR="00D5471C" w:rsidRDefault="00C12D76">
      <w:pPr>
        <w:widowControl w:val="0"/>
        <w:numPr>
          <w:ilvl w:val="0"/>
          <w:numId w:val="1"/>
        </w:numPr>
        <w:pBdr>
          <w:top w:val="nil"/>
          <w:left w:val="nil"/>
          <w:bottom w:val="nil"/>
          <w:right w:val="nil"/>
          <w:between w:val="nil"/>
        </w:pBdr>
        <w:spacing w:before="360" w:after="36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“211020 SE 30.pdf”: </w:t>
      </w:r>
      <w:r>
        <w:rPr>
          <w:rFonts w:ascii="Palatino Linotype" w:eastAsia="Palatino Linotype" w:hAnsi="Palatino Linotype" w:cs="Palatino Linotype"/>
          <w:color w:val="000000"/>
        </w:rPr>
        <w:t xml:space="preserve">Contienen el Acta de la Sesión Extraordinaria del Comité de Transparencia y Acceso a la Información Pública del Poder Judicial del Estado de México, número 30/2021. </w:t>
      </w:r>
    </w:p>
    <w:p w:rsidR="00D5471C" w:rsidRDefault="00C12D76">
      <w:pPr>
        <w:widowControl w:val="0"/>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si bien ratifican la respuesta inicial, en fecha quince de diciembre de dos mil veintiuno, se notificaron al </w:t>
      </w:r>
      <w:r>
        <w:rPr>
          <w:rFonts w:ascii="Palatino Linotype" w:eastAsia="Palatino Linotype" w:hAnsi="Palatino Linotype" w:cs="Palatino Linotype"/>
          <w:b/>
        </w:rPr>
        <w:t xml:space="preserve">RECCURRENTE </w:t>
      </w:r>
      <w:r>
        <w:rPr>
          <w:rFonts w:ascii="Palatino Linotype" w:eastAsia="Palatino Linotype" w:hAnsi="Palatino Linotype" w:cs="Palatino Linotype"/>
        </w:rPr>
        <w:t xml:space="preserve">para que conociera sobre la totalidad de las constancias que integran el expediente y manifestará lo que a su </w:t>
      </w:r>
      <w:r>
        <w:rPr>
          <w:rFonts w:ascii="Palatino Linotype" w:eastAsia="Palatino Linotype" w:hAnsi="Palatino Linotype" w:cs="Palatino Linotype"/>
        </w:rPr>
        <w:lastRenderedPageBreak/>
        <w:t xml:space="preserve">derecho asistiera y conviniera. </w:t>
      </w:r>
    </w:p>
    <w:p w:rsidR="00D5471C" w:rsidRDefault="00C12D76">
      <w:pPr>
        <w:widowControl w:val="0"/>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tampoco ofreció medios de prueba.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dieciséis de diciembre de dos mil veintiuno</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once de enero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D5471C" w:rsidRDefault="00C12D76">
      <w:pPr>
        <w:widowControl w:val="0"/>
        <w:spacing w:before="360" w:after="36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5471C" w:rsidRDefault="00C12D76">
      <w:pPr>
        <w:spacing w:before="360" w:after="36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D5471C" w:rsidRDefault="00C12D76">
      <w:pPr>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veinticinco de octubre de dos mil veintiuno,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veintiséis de octubre de dos mil veintiuno</w:t>
      </w:r>
      <w:r>
        <w:rPr>
          <w:rFonts w:ascii="Palatino Linotype" w:eastAsia="Palatino Linotype" w:hAnsi="Palatino Linotype" w:cs="Palatino Linotype"/>
        </w:rPr>
        <w:t>, esto es, el primer día hábil posterior en que tuvo conocimiento de la respuesta impugnada.</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w:t>
      </w:r>
      <w:r>
        <w:rPr>
          <w:rFonts w:ascii="Palatino Linotype" w:eastAsia="Palatino Linotype" w:hAnsi="Palatino Linotype" w:cs="Palatino Linotype"/>
        </w:rPr>
        <w:lastRenderedPageBreak/>
        <w:t>Transparencia y Acceso a la Información Pública del Estado de México y Municipios, en atención a que fue presentado mediante el formato visible en el SAIMEX.</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II del ordenamiento legal citado, que a la letra dice: </w:t>
      </w:r>
    </w:p>
    <w:p w:rsidR="00D5471C" w:rsidRDefault="00C12D76">
      <w:pPr>
        <w:spacing w:before="360" w:after="36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5471C" w:rsidRDefault="00C12D76">
      <w:pPr>
        <w:spacing w:before="360" w:after="36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w:t>
      </w:r>
    </w:p>
    <w:p w:rsidR="00D5471C" w:rsidRDefault="00C12D76">
      <w:pPr>
        <w:spacing w:before="360" w:after="360" w:line="276" w:lineRule="auto"/>
        <w:ind w:left="993"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La clasificación de información;</w:t>
      </w:r>
    </w:p>
    <w:p w:rsidR="00D5471C" w:rsidRDefault="00C12D76">
      <w:pPr>
        <w:spacing w:before="360" w:after="360" w:line="276" w:lineRule="auto"/>
        <w:ind w:left="993" w:right="902"/>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primer término, se estima pertinente mencionar que el derecho de acceso a la información está consagrado en instrumentos </w:t>
      </w:r>
      <w:r>
        <w:rPr>
          <w:rFonts w:ascii="Palatino Linotype" w:eastAsia="Palatino Linotype" w:hAnsi="Palatino Linotype" w:cs="Palatino Linotype"/>
        </w:rPr>
        <w:lastRenderedPageBreak/>
        <w:t>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5471C" w:rsidRDefault="00C12D76">
      <w:pPr>
        <w:tabs>
          <w:tab w:val="left" w:pos="709"/>
        </w:tabs>
        <w:spacing w:before="360" w:after="36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5471C" w:rsidRDefault="00C12D76">
      <w:pPr>
        <w:tabs>
          <w:tab w:val="left" w:pos="709"/>
        </w:tabs>
        <w:spacing w:before="360" w:after="360"/>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5471C" w:rsidRDefault="00C12D76">
      <w:pPr>
        <w:tabs>
          <w:tab w:val="left" w:pos="709"/>
        </w:tabs>
        <w:spacing w:before="360" w:after="36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5471C" w:rsidRDefault="00C12D76">
      <w:pPr>
        <w:tabs>
          <w:tab w:val="left" w:pos="709"/>
        </w:tabs>
        <w:spacing w:before="360" w:after="36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5471C" w:rsidRDefault="00C12D76">
      <w:pPr>
        <w:spacing w:before="360" w:after="36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D5471C" w:rsidRDefault="00C12D76">
      <w:pPr>
        <w:spacing w:before="360" w:after="36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471C" w:rsidRDefault="00C12D76">
      <w:pPr>
        <w:spacing w:before="360" w:after="36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5471C" w:rsidRDefault="00C12D76">
      <w:pPr>
        <w:spacing w:before="36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D5471C" w:rsidRDefault="00C12D76">
      <w:pPr>
        <w:tabs>
          <w:tab w:val="left" w:pos="709"/>
        </w:tabs>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Sujeto Obligado debe cumplir con dichos dispositivos legales.</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es pertinente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D5471C" w:rsidRDefault="00C12D76">
      <w:pPr>
        <w:spacing w:before="360" w:after="36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5471C" w:rsidRDefault="00C12D76">
      <w:pPr>
        <w:spacing w:before="360" w:after="36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5471C" w:rsidRDefault="00C12D76">
      <w:pPr>
        <w:spacing w:before="360" w:after="36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hagan de su conocimiento y proporcionar la información pública que obre en su poder, conforme el estado que se encuentra y no hacer un procesamiento de la misma, ni presentarla conforme al interés del solicitante; tal como lo establece el artículo 12 de la Ley de Transparencia y Acceso a la Información Pública del Estado de México y Municipios, el cual a la letra dice:</w:t>
      </w:r>
    </w:p>
    <w:p w:rsidR="00D5471C" w:rsidRDefault="00C12D76">
      <w:pPr>
        <w:spacing w:before="360" w:after="360"/>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5471C" w:rsidRDefault="00C12D76">
      <w:pPr>
        <w:spacing w:before="360" w:after="360"/>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Pr>
          <w:rFonts w:ascii="Palatino Linotype" w:eastAsia="Palatino Linotype" w:hAnsi="Palatino Linotype" w:cs="Palatino Linotype"/>
          <w:b/>
          <w:i/>
          <w:sz w:val="22"/>
          <w:szCs w:val="22"/>
        </w:rPr>
        <w:lastRenderedPageBreak/>
        <w:t>obligados a generarla, resumirla, efectuar cálculos o practicar investigaciones.” (Sic)</w:t>
      </w:r>
    </w:p>
    <w:p w:rsidR="00D5471C" w:rsidRDefault="00C12D76">
      <w:pP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w:t>
      </w:r>
      <w:r>
        <w:rPr>
          <w:rFonts w:ascii="Palatino Linotype" w:eastAsia="Palatino Linotype" w:hAnsi="Palatino Linotype" w:cs="Palatino Linotype"/>
        </w:rPr>
        <w:t xml:space="preserve">siempre y cuando no se trate de información, que por su naturaleza, deba clasificarse como reservada o confidencial, </w:t>
      </w:r>
      <w:r>
        <w:rPr>
          <w:rFonts w:ascii="Palatino Linotype" w:eastAsia="Palatino Linotype" w:hAnsi="Palatino Linotype" w:cs="Palatino Linotype"/>
          <w:color w:val="000000"/>
        </w:rPr>
        <w:t xml:space="preserve"> lo que implica que es deber de los Sujetos Obligados, garantizar el Derecho de Acceso a la Información Pública.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5471C" w:rsidRDefault="00D5471C">
      <w:pPr>
        <w:spacing w:before="360" w:after="360" w:line="360" w:lineRule="auto"/>
        <w:jc w:val="both"/>
        <w:rPr>
          <w:rFonts w:ascii="Palatino Linotype" w:eastAsia="Palatino Linotype" w:hAnsi="Palatino Linotype" w:cs="Palatino Linotype"/>
        </w:rPr>
      </w:pPr>
    </w:p>
    <w:p w:rsidR="00D5471C" w:rsidRDefault="00D5471C">
      <w:pPr>
        <w:spacing w:before="360" w:after="360" w:line="360" w:lineRule="auto"/>
        <w:jc w:val="both"/>
        <w:rPr>
          <w:rFonts w:ascii="Palatino Linotype" w:eastAsia="Palatino Linotype" w:hAnsi="Palatino Linotype" w:cs="Palatino Linotype"/>
        </w:rPr>
      </w:pPr>
    </w:p>
    <w:p w:rsidR="00D5471C" w:rsidRDefault="00C12D76">
      <w:pPr>
        <w:spacing w:before="360" w:after="3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D5471C" w:rsidRDefault="00C12D76">
      <w:pPr>
        <w:spacing w:before="360" w:after="3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5471C" w:rsidRDefault="00C12D76">
      <w:pPr>
        <w:spacing w:before="360" w:after="360"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5471C" w:rsidRDefault="00C12D76">
      <w:pPr>
        <w:spacing w:before="360" w:after="36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D5471C" w:rsidRDefault="00C12D76">
      <w:pPr>
        <w:spacing w:before="360" w:after="3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5471C" w:rsidRDefault="00C12D76">
      <w:pPr>
        <w:spacing w:before="360" w:after="3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D5471C" w:rsidRDefault="00C12D76">
      <w:pPr>
        <w:spacing w:before="360" w:after="3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5471C" w:rsidRDefault="00C12D76">
      <w:pPr>
        <w:spacing w:before="360" w:after="36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D5471C" w:rsidRDefault="00C12D76">
      <w:pPr>
        <w:spacing w:before="360" w:after="36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D5471C" w:rsidRDefault="00C12D76">
      <w:pPr>
        <w:spacing w:before="360" w:after="36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uno de los principios en materia de Transparencia y Acceso a la Información Pública, consiste en que en la entrega de la información deberá garantizar que sea </w:t>
      </w:r>
      <w:r>
        <w:rPr>
          <w:rFonts w:ascii="Palatino Linotype" w:eastAsia="Palatino Linotype" w:hAnsi="Palatino Linotype" w:cs="Palatino Linotype"/>
          <w:b/>
          <w:u w:val="single"/>
        </w:rPr>
        <w:t>congruente</w:t>
      </w:r>
      <w:r>
        <w:rPr>
          <w:rFonts w:ascii="Palatino Linotype" w:eastAsia="Palatino Linotype" w:hAnsi="Palatino Linotype" w:cs="Palatino Linotype"/>
        </w:rPr>
        <w:t xml:space="preserve"> y </w:t>
      </w:r>
      <w:r>
        <w:rPr>
          <w:rFonts w:ascii="Palatino Linotype" w:eastAsia="Palatino Linotype" w:hAnsi="Palatino Linotype" w:cs="Palatino Linotype"/>
          <w:b/>
          <w:u w:val="single"/>
        </w:rPr>
        <w:t xml:space="preserve"> sujeta a un claro régimen de excepciones</w:t>
      </w:r>
      <w:r>
        <w:rPr>
          <w:rFonts w:ascii="Palatino Linotype" w:eastAsia="Palatino Linotype" w:hAnsi="Palatino Linotype" w:cs="Palatino Linotype"/>
        </w:rPr>
        <w:t>, tal como lo estipula el artículo 11 de la Ley en la materia que en su texto literal refiere:</w:t>
      </w:r>
    </w:p>
    <w:p w:rsidR="00D5471C" w:rsidRDefault="00C12D76">
      <w:pPr>
        <w:spacing w:before="360" w:after="36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 la generación, publicación y entrega de información se deberá</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garantizar que ésta</w:t>
      </w:r>
      <w:r>
        <w:rPr>
          <w:rFonts w:ascii="Palatino Linotype" w:eastAsia="Palatino Linotype" w:hAnsi="Palatino Linotype" w:cs="Palatino Linotype"/>
          <w:i/>
          <w:sz w:val="22"/>
          <w:szCs w:val="22"/>
        </w:rPr>
        <w:t xml:space="preserve"> sea accesible, actualizada, completa, </w:t>
      </w:r>
      <w:r>
        <w:rPr>
          <w:rFonts w:ascii="Palatino Linotype" w:eastAsia="Palatino Linotype" w:hAnsi="Palatino Linotype" w:cs="Palatino Linotype"/>
          <w:b/>
          <w:i/>
          <w:sz w:val="22"/>
          <w:szCs w:val="22"/>
          <w:u w:val="single"/>
        </w:rPr>
        <w:t>congruente,</w:t>
      </w:r>
      <w:r>
        <w:rPr>
          <w:rFonts w:ascii="Palatino Linotype" w:eastAsia="Palatino Linotype" w:hAnsi="Palatino Linotype" w:cs="Palatino Linotype"/>
          <w:i/>
          <w:sz w:val="22"/>
          <w:szCs w:val="22"/>
        </w:rPr>
        <w:t xml:space="preserve"> confiable, verificable, veraz, integral, oportuna y expedita, </w:t>
      </w:r>
      <w:r>
        <w:rPr>
          <w:rFonts w:ascii="Palatino Linotype" w:eastAsia="Palatino Linotype" w:hAnsi="Palatino Linotype" w:cs="Palatino Linotype"/>
          <w:b/>
          <w:i/>
          <w:sz w:val="22"/>
          <w:szCs w:val="22"/>
          <w:u w:val="single"/>
        </w:rPr>
        <w:t xml:space="preserve">sujeta a un claro régimen de excepciones que deberá estar definido y ser además legítima y estrictamente necesaria </w:t>
      </w:r>
      <w:r>
        <w:rPr>
          <w:rFonts w:ascii="Palatino Linotype" w:eastAsia="Palatino Linotype" w:hAnsi="Palatino Linotype" w:cs="Palatino Linotype"/>
          <w:i/>
          <w:sz w:val="22"/>
          <w:szCs w:val="22"/>
        </w:rPr>
        <w:t>en una sociedad democrática, por lo que atenderá las necesidades del derecho de acceso a la información de toda persona.</w:t>
      </w:r>
    </w:p>
    <w:p w:rsidR="00D5471C" w:rsidRDefault="00C12D76">
      <w:pPr>
        <w:spacing w:before="360" w:after="36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D5471C" w:rsidRDefault="00C12D76">
      <w:pPr>
        <w:spacing w:before="360" w:after="36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el análisis en el presente asunto consiste en determinar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momento de atender la solicitud de información observó el principio de congruencia y en la restricción al derecho de acceso a la información cumplió con los elementos formales y materiales establecidos en la Ley en la materia. </w:t>
      </w:r>
    </w:p>
    <w:p w:rsidR="00D5471C" w:rsidRDefault="00C12D76">
      <w:pPr>
        <w:pBdr>
          <w:top w:val="nil"/>
          <w:left w:val="nil"/>
          <w:bottom w:val="nil"/>
          <w:right w:val="nil"/>
          <w:between w:val="nil"/>
        </w:pBdr>
        <w:tabs>
          <w:tab w:val="left" w:pos="426"/>
        </w:tabs>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Acotado lo anterior, es necesario recapitular y referir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solicitó del </w:t>
      </w:r>
      <w:r>
        <w:rPr>
          <w:rFonts w:ascii="Palatino Linotype" w:eastAsia="Palatino Linotype" w:hAnsi="Palatino Linotype" w:cs="Palatino Linotype"/>
          <w:b/>
          <w:color w:val="000000"/>
        </w:rPr>
        <w:t xml:space="preserve">Poder Judicial </w:t>
      </w:r>
      <w:r>
        <w:rPr>
          <w:rFonts w:ascii="Palatino Linotype" w:eastAsia="Palatino Linotype" w:hAnsi="Palatino Linotype" w:cs="Palatino Linotype"/>
          <w:color w:val="000000"/>
        </w:rPr>
        <w:t xml:space="preserve">el plano o mapa detallado de las áreas y niveles de: </w:t>
      </w:r>
    </w:p>
    <w:p w:rsidR="00D5471C" w:rsidRDefault="00C12D76">
      <w:pPr>
        <w:numPr>
          <w:ilvl w:val="0"/>
          <w:numId w:val="5"/>
        </w:numPr>
        <w:pBdr>
          <w:top w:val="nil"/>
          <w:left w:val="nil"/>
          <w:bottom w:val="nil"/>
          <w:right w:val="nil"/>
          <w:between w:val="nil"/>
        </w:pBdr>
        <w:tabs>
          <w:tab w:val="left" w:pos="426"/>
        </w:tabs>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Juzgados de Tenango del Valle ubicados en la carretera a Ixtapan de la Sal; y, </w:t>
      </w:r>
    </w:p>
    <w:p w:rsidR="00D5471C" w:rsidRDefault="00C12D76">
      <w:pPr>
        <w:numPr>
          <w:ilvl w:val="0"/>
          <w:numId w:val="5"/>
        </w:numPr>
        <w:pBdr>
          <w:top w:val="nil"/>
          <w:left w:val="nil"/>
          <w:bottom w:val="nil"/>
          <w:right w:val="nil"/>
          <w:between w:val="nil"/>
        </w:pBdr>
        <w:tabs>
          <w:tab w:val="left" w:pos="426"/>
        </w:tabs>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Tribunal Superior de Justicia ubicado en el centro de la ciudad de Toluca. </w:t>
      </w:r>
    </w:p>
    <w:p w:rsidR="00D5471C" w:rsidRDefault="00C12D76">
      <w:pPr>
        <w:pBdr>
          <w:top w:val="nil"/>
          <w:left w:val="nil"/>
          <w:bottom w:val="nil"/>
          <w:right w:val="nil"/>
          <w:between w:val="nil"/>
        </w:pBdr>
        <w:tabs>
          <w:tab w:val="left" w:pos="426"/>
        </w:tabs>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su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informó que la documentación solicitada se clasificó como información reservada por un periodo de 5 años; en atención a lo requerido por el Director General de Administración; asimismo, proporcionó la liga electrónica en la que se encuentra publicada el Acta de Sesión Extraordinaria del Comité de Transparencia y Acceso a la Información Pública del Poder Judicial del Estado de México, número 31/2021.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es de señalar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la existencia de la información solicitada, sino por el contrario, al referir el Acta de Sesión Extraordinaria número 31/2021 en la que se clasificó como reservada la información </w:t>
      </w:r>
      <w:r>
        <w:rPr>
          <w:rFonts w:ascii="Palatino Linotype" w:eastAsia="Palatino Linotype" w:hAnsi="Palatino Linotype" w:cs="Palatino Linotype"/>
        </w:rPr>
        <w:lastRenderedPageBreak/>
        <w:t xml:space="preserve">solicitada, se tiene que asevera su existencia, por lo que el estudio del ámbito competencial se obvia. </w:t>
      </w:r>
    </w:p>
    <w:p w:rsidR="00D5471C" w:rsidRDefault="00C12D76">
      <w:pPr>
        <w:widowControl w:val="0"/>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Lo anterior es así, ya que el estudio del ámbito competencial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ya fue asumida por el </w:t>
      </w:r>
      <w:r>
        <w:rPr>
          <w:rFonts w:ascii="Palatino Linotype" w:eastAsia="Palatino Linotype" w:hAnsi="Palatino Linotype" w:cs="Palatino Linotype"/>
          <w:b/>
        </w:rPr>
        <w:t xml:space="preserve">SUJETO OBLIGADO.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para este Pleno la lógica jurídica conlleva a que la clasificación y la inexistencia de la misma información son situaciones que no pueden coexistir, es así que la inexistencia implica necesariamente que la información no se encuentra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mientras que la clasificación forzosamente equivale a que éste sí tiene la información solicitada, por tanto, si en el presente caso, se niega la entrega de la información materia del recurso por considerarla clasificada, está reconociendo explícitamente que la misma obra en sus archivos. </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Tiene aplicación al respecto el criterio sostenido por el ahora Instituto Nacional de Transparencia, Acceso a la Información y Protección de Datos Personales número 29/10, mismo que tiene como contenido el que a continuación se transcribe:</w:t>
      </w:r>
    </w:p>
    <w:p w:rsidR="00D5471C" w:rsidRDefault="00C12D76">
      <w:pPr>
        <w:spacing w:before="360" w:after="360" w:line="276"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“La clasificación y la inexistencia de información son conceptos que no pueden coexistir.</w:t>
      </w:r>
      <w:r>
        <w:rPr>
          <w:rFonts w:ascii="Palatino Linotype" w:eastAsia="Palatino Linotype" w:hAnsi="Palatino Linotype" w:cs="Palatino Linotype"/>
          <w:i/>
          <w:sz w:val="22"/>
          <w:szCs w:val="22"/>
        </w:rPr>
        <w:t xml:space="preserve"> La inexistencia implica necesariamente que la información no se encuentra en los archivos de la autoridad, no obstante que la dependencia o </w:t>
      </w:r>
      <w:r>
        <w:rPr>
          <w:rFonts w:ascii="Palatino Linotype" w:eastAsia="Palatino Linotype" w:hAnsi="Palatino Linotype" w:cs="Palatino Linotype"/>
          <w:i/>
          <w:sz w:val="22"/>
          <w:szCs w:val="22"/>
        </w:rPr>
        <w:lastRenderedPageBreak/>
        <w:t>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Pr>
          <w:rFonts w:ascii="Palatino Linotype" w:eastAsia="Palatino Linotype" w:hAnsi="Palatino Linotype" w:cs="Palatino Linotype"/>
          <w:i/>
        </w:rPr>
        <w:t>.”</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como confidencial o reservada,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reconoce a su vez la Constitución Política del Estado Libre y Soberano de México en su artículo 5.</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y a efecto de determinar la procedencia de la clasificación de la información como reservada, se observa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w:t>
      </w:r>
      <w:r>
        <w:rPr>
          <w:rFonts w:ascii="Palatino Linotype" w:eastAsia="Palatino Linotype" w:hAnsi="Palatino Linotype" w:cs="Palatino Linotype"/>
        </w:rPr>
        <w:lastRenderedPageBreak/>
        <w:t xml:space="preserve">que la documentación solicitada podría poner en riesgo la integridad de los servidores públicos, los justiciables y personas que en general acuden al edificio del Poder Judicial del Estado de México. </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inconforme con la respuesta, aludió como razones o motivos de inconformidad que de ninguna manera puede considerarse reservada la información ya que el acceso a las instalaciones es completamente libre. </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manifestó, a través de informe justificado, que no existe la negativa de proporcionar la información, sino que la misma se encuentra restringida al actualizarse el supuesto jurídico establecido en la fracción I del artículo 140 de la Ley Transparencia y Acceso a la Información del Estado de México y Municipios mismo que señala lo siguiente: </w:t>
      </w:r>
    </w:p>
    <w:p w:rsidR="00D5471C" w:rsidRDefault="00C12D76">
      <w:pPr>
        <w:pBdr>
          <w:top w:val="nil"/>
          <w:left w:val="nil"/>
          <w:bottom w:val="nil"/>
          <w:right w:val="nil"/>
          <w:between w:val="nil"/>
        </w:pBdr>
        <w:spacing w:before="360" w:after="36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140.</w:t>
      </w:r>
      <w:r>
        <w:rPr>
          <w:rFonts w:ascii="Palatino Linotype" w:eastAsia="Palatino Linotype" w:hAnsi="Palatino Linotype" w:cs="Palatino Linotype"/>
          <w:i/>
          <w:color w:val="000000"/>
          <w:sz w:val="22"/>
          <w:szCs w:val="22"/>
        </w:rPr>
        <w:t xml:space="preserve"> El acceso a la información pública será restringido excepcionalmente, cuando por razones de interés público, ésta sea clasificada como reservada, conforme a los criterios siguientes:</w:t>
      </w:r>
    </w:p>
    <w:p w:rsidR="00D5471C" w:rsidRDefault="00C12D76">
      <w:pPr>
        <w:pBdr>
          <w:top w:val="nil"/>
          <w:left w:val="nil"/>
          <w:bottom w:val="nil"/>
          <w:right w:val="nil"/>
          <w:between w:val="nil"/>
        </w:pBdr>
        <w:spacing w:before="360" w:after="36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Comprometa la seguridad pública y cuente con un propósito genuino y un efecto demostrable; </w:t>
      </w:r>
    </w:p>
    <w:p w:rsidR="00D5471C" w:rsidRDefault="00C12D76">
      <w:pPr>
        <w:pBdr>
          <w:top w:val="nil"/>
          <w:left w:val="nil"/>
          <w:bottom w:val="nil"/>
          <w:right w:val="nil"/>
          <w:between w:val="nil"/>
        </w:pBdr>
        <w:spacing w:before="360" w:after="36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rsidR="00D5471C" w:rsidRDefault="00C12D76">
      <w:p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si bien es cierto el derecho de acceso a la información pública se satisface en aquellos casos en que se entregue el soporte documental en que conste la información requerida, también lo es que este derecho puede ser restringido </w:t>
      </w:r>
      <w:r>
        <w:rPr>
          <w:rFonts w:ascii="Palatino Linotype" w:eastAsia="Palatino Linotype" w:hAnsi="Palatino Linotype" w:cs="Palatino Linotype"/>
          <w:color w:val="000000"/>
        </w:rPr>
        <w:lastRenderedPageBreak/>
        <w:t xml:space="preserve">cuando se trate de información que por su naturaleza deba clasificarse como reservada; y en este supuesto los artículos 128 segundo párrafo y 103 segundo párrafo de las leyes estatal y general respectivamente, señalan que se deben expresar las razones, motivos o circunstancias especiales que llevan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 concluir que el caso corresponde con la norma; asimismo, estas disposiciones precisan que, además de señalar las razones, motivos o circunstancias, se deberá aplicar la prueba de daño, en la que se precisen las razones objetivas por las que la apertura de la información genera una afectación.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resulta necesario, analizar acuerdo </w:t>
      </w:r>
      <w:r>
        <w:rPr>
          <w:rFonts w:ascii="Palatino Linotype" w:eastAsia="Palatino Linotype" w:hAnsi="Palatino Linotype" w:cs="Palatino Linotype"/>
          <w:b/>
        </w:rPr>
        <w:t xml:space="preserve">SE/30/2021/05 </w:t>
      </w:r>
      <w:r>
        <w:rPr>
          <w:rFonts w:ascii="Palatino Linotype" w:eastAsia="Palatino Linotype" w:hAnsi="Palatino Linotype" w:cs="Palatino Linotype"/>
        </w:rPr>
        <w:t xml:space="preserve">contenido el Acta de la Sesión Extraordinaria del Comité de Transparencia y Acceso a la Información Pública del Poder Judicial del Estado de México, de fecha veinte de octubre de dos mil veintiuno; documento en el que se confirmó la clasificación de la información contenida en los Planos correspondientes a los edificios sede de los Juzgados de Tenango del Valle, Estado de México y el Palacio de Justicia del Tribunal Superior de Justicia del Estado de México, como información reservada por un periodo de cinco años; estudio que tiene por objeto establecer sí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cumplió con las formalidades exigidas por con el artículo 113, fracción VI, de la Ley General de Transparencia y Acceso a la Información Pública, numeral vigésimo cuarto, fracción II, de los Lineamientos Generales en Materia de Clasificación y Desclasificación de la Información, así como para la Elaboración de Versiones Públicas, y con lo dispuesto por los artículos 91, 128, 129, 140, fracción V, numeral I </w:t>
      </w:r>
      <w:r>
        <w:rPr>
          <w:rFonts w:ascii="Palatino Linotype" w:eastAsia="Palatino Linotype" w:hAnsi="Palatino Linotype" w:cs="Palatino Linotype"/>
        </w:rPr>
        <w:lastRenderedPageBreak/>
        <w:t xml:space="preserve">y 141, de la Ley de Transparencia y Acceso a la Información Pública del Estado de México y Municipios: </w:t>
      </w:r>
    </w:p>
    <w:p w:rsidR="00D5471C" w:rsidRDefault="00D5471C">
      <w:pPr>
        <w:spacing w:before="360" w:after="360" w:line="360" w:lineRule="auto"/>
        <w:jc w:val="both"/>
        <w:rPr>
          <w:rFonts w:ascii="Palatino Linotype" w:eastAsia="Palatino Linotype" w:hAnsi="Palatino Linotype" w:cs="Palatino Linotype"/>
        </w:rPr>
      </w:pPr>
    </w:p>
    <w:tbl>
      <w:tblPr>
        <w:tblStyle w:val="a6"/>
        <w:tblW w:w="878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7229"/>
      </w:tblGrid>
      <w:tr w:rsidR="00D5471C">
        <w:tc>
          <w:tcPr>
            <w:tcW w:w="1560" w:type="dxa"/>
            <w:tcBorders>
              <w:top w:val="nil"/>
              <w:left w:val="nil"/>
            </w:tcBorders>
          </w:tcPr>
          <w:p w:rsidR="00D5471C" w:rsidRDefault="00D5471C">
            <w:pPr>
              <w:pBdr>
                <w:top w:val="nil"/>
                <w:left w:val="nil"/>
                <w:bottom w:val="nil"/>
                <w:right w:val="nil"/>
                <w:between w:val="nil"/>
              </w:pBdr>
              <w:spacing w:before="360" w:after="360"/>
              <w:ind w:left="47"/>
              <w:jc w:val="both"/>
              <w:rPr>
                <w:rFonts w:ascii="Palatino Linotype" w:eastAsia="Palatino Linotype" w:hAnsi="Palatino Linotype" w:cs="Palatino Linotype"/>
                <w:b/>
                <w:color w:val="000000"/>
                <w:sz w:val="20"/>
                <w:szCs w:val="20"/>
              </w:rPr>
            </w:pPr>
          </w:p>
        </w:tc>
        <w:tc>
          <w:tcPr>
            <w:tcW w:w="7229" w:type="dxa"/>
            <w:tcBorders>
              <w:bottom w:val="single" w:sz="4" w:space="0" w:color="000000"/>
            </w:tcBorders>
            <w:shd w:val="clear" w:color="auto" w:fill="BFBFBF"/>
            <w:vAlign w:val="bottom"/>
          </w:tcPr>
          <w:p w:rsidR="00D5471C" w:rsidRDefault="00C12D76">
            <w:pPr>
              <w:pBdr>
                <w:top w:val="nil"/>
                <w:left w:val="nil"/>
                <w:bottom w:val="nil"/>
                <w:right w:val="nil"/>
                <w:between w:val="nil"/>
              </w:pBdr>
              <w:spacing w:before="360" w:after="360"/>
              <w:ind w:left="47"/>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Contenido</w:t>
            </w:r>
          </w:p>
        </w:tc>
      </w:tr>
      <w:tr w:rsidR="00D5471C">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folio de la solicitud</w:t>
            </w:r>
          </w:p>
        </w:tc>
        <w:tc>
          <w:tcPr>
            <w:tcW w:w="7229" w:type="dxa"/>
            <w:tcBorders>
              <w:top w:val="single" w:sz="4" w:space="0" w:color="000000"/>
            </w:tcBorders>
            <w:vAlign w:val="center"/>
          </w:tcPr>
          <w:p w:rsidR="00D5471C" w:rsidRDefault="00D5471C">
            <w:pPr>
              <w:spacing w:before="360" w:after="360"/>
              <w:ind w:left="-115"/>
              <w:jc w:val="center"/>
              <w:rPr>
                <w:rFonts w:ascii="Palatino Linotype" w:eastAsia="Palatino Linotype" w:hAnsi="Palatino Linotype" w:cs="Palatino Linotype"/>
                <w:sz w:val="20"/>
                <w:szCs w:val="20"/>
              </w:rPr>
            </w:pPr>
          </w:p>
          <w:p w:rsidR="00D5471C" w:rsidRDefault="00C12D76">
            <w:pPr>
              <w:spacing w:before="360" w:after="360"/>
              <w:ind w:left="-115"/>
              <w:jc w:val="center"/>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w:drawing>
                <wp:inline distT="0" distB="0" distL="0" distR="0">
                  <wp:extent cx="3733165" cy="525780"/>
                  <wp:effectExtent l="0" t="0" r="0" b="0"/>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33165" cy="525780"/>
                          </a:xfrm>
                          <a:prstGeom prst="rect">
                            <a:avLst/>
                          </a:prstGeom>
                          <a:ln/>
                        </pic:spPr>
                      </pic:pic>
                    </a:graphicData>
                  </a:graphic>
                </wp:inline>
              </w:drawing>
            </w:r>
          </w:p>
        </w:tc>
      </w:tr>
      <w:tr w:rsidR="00D5471C">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Referencia de la información solicitada</w:t>
            </w:r>
          </w:p>
        </w:tc>
        <w:tc>
          <w:tcPr>
            <w:tcW w:w="7229"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noProof/>
                <w:lang w:val="es-MX"/>
              </w:rPr>
              <w:drawing>
                <wp:inline distT="0" distB="0" distL="0" distR="0">
                  <wp:extent cx="4457439" cy="2125180"/>
                  <wp:effectExtent l="0" t="0" r="0" b="0"/>
                  <wp:docPr id="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b="15231"/>
                          <a:stretch>
                            <a:fillRect/>
                          </a:stretch>
                        </pic:blipFill>
                        <pic:spPr>
                          <a:xfrm>
                            <a:off x="0" y="0"/>
                            <a:ext cx="4457439" cy="2125180"/>
                          </a:xfrm>
                          <a:prstGeom prst="rect">
                            <a:avLst/>
                          </a:prstGeom>
                          <a:ln/>
                        </pic:spPr>
                      </pic:pic>
                    </a:graphicData>
                  </a:graphic>
                </wp:inline>
              </w:drawing>
            </w:r>
          </w:p>
        </w:tc>
      </w:tr>
      <w:tr w:rsidR="00D5471C">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Causal aplicable del artículo 113 de la Ley General, vinculándola con el Lineamiento específico del presente ordenamiento y, cuando corresponda, el supuesto normativo que expresamente le otorga el carácter de información reservada</w:t>
            </w:r>
          </w:p>
        </w:tc>
        <w:tc>
          <w:tcPr>
            <w:tcW w:w="7229" w:type="dxa"/>
            <w:vAlign w:val="center"/>
          </w:tcPr>
          <w:p w:rsidR="00D5471C" w:rsidRDefault="00C12D76">
            <w:pPr>
              <w:spacing w:before="360" w:after="360"/>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drawing>
                <wp:inline distT="0" distB="0" distL="0" distR="0">
                  <wp:extent cx="4191000" cy="1009650"/>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91000" cy="1009650"/>
                          </a:xfrm>
                          <a:prstGeom prst="rect">
                            <a:avLst/>
                          </a:prstGeom>
                          <a:ln/>
                        </pic:spPr>
                      </pic:pic>
                    </a:graphicData>
                  </a:graphic>
                </wp:inline>
              </w:drawing>
            </w:r>
          </w:p>
          <w:p w:rsidR="00D5471C" w:rsidRDefault="00C12D76">
            <w:pPr>
              <w:spacing w:before="360" w:after="360"/>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w:drawing>
                <wp:inline distT="0" distB="0" distL="0" distR="0">
                  <wp:extent cx="4324350" cy="1045210"/>
                  <wp:effectExtent l="0" t="0" r="0" b="0"/>
                  <wp:docPr id="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4324350" cy="1045210"/>
                          </a:xfrm>
                          <a:prstGeom prst="rect">
                            <a:avLst/>
                          </a:prstGeom>
                          <a:ln/>
                        </pic:spPr>
                      </pic:pic>
                    </a:graphicData>
                  </a:graphic>
                </wp:inline>
              </w:drawing>
            </w:r>
          </w:p>
        </w:tc>
      </w:tr>
      <w:tr w:rsidR="00D5471C">
        <w:tc>
          <w:tcPr>
            <w:tcW w:w="1560" w:type="dxa"/>
            <w:vAlign w:val="center"/>
          </w:tcPr>
          <w:p w:rsidR="00D5471C" w:rsidRDefault="00C12D76">
            <w:pPr>
              <w:tabs>
                <w:tab w:val="left" w:pos="317"/>
              </w:tabs>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Fundamento y Motivación Legal</w:t>
            </w:r>
          </w:p>
        </w:tc>
        <w:tc>
          <w:tcPr>
            <w:tcW w:w="7229" w:type="dxa"/>
            <w:vAlign w:val="center"/>
          </w:tcPr>
          <w:p w:rsidR="00D5471C" w:rsidRDefault="00D5471C">
            <w:pPr>
              <w:spacing w:before="360" w:after="360"/>
              <w:jc w:val="center"/>
              <w:rPr>
                <w:rFonts w:ascii="Palatino Linotype" w:eastAsia="Palatino Linotype" w:hAnsi="Palatino Linotype" w:cs="Palatino Linotype"/>
                <w:b/>
                <w:sz w:val="20"/>
                <w:szCs w:val="20"/>
              </w:rPr>
            </w:pPr>
          </w:p>
          <w:p w:rsidR="00D5471C" w:rsidRDefault="00C12D76">
            <w:pPr>
              <w:spacing w:before="360" w:after="360"/>
              <w:ind w:left="47"/>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drawing>
                <wp:inline distT="0" distB="0" distL="0" distR="0">
                  <wp:extent cx="4295775" cy="1770380"/>
                  <wp:effectExtent l="0" t="0" r="0" b="0"/>
                  <wp:docPr id="7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295775" cy="1770380"/>
                          </a:xfrm>
                          <a:prstGeom prst="rect">
                            <a:avLst/>
                          </a:prstGeom>
                          <a:ln/>
                        </pic:spPr>
                      </pic:pic>
                    </a:graphicData>
                  </a:graphic>
                </wp:inline>
              </w:drawing>
            </w:r>
          </w:p>
          <w:p w:rsidR="00D5471C" w:rsidRDefault="00C12D76">
            <w:pPr>
              <w:spacing w:before="360" w:after="360"/>
              <w:ind w:left="47"/>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lastRenderedPageBreak/>
              <w:drawing>
                <wp:inline distT="0" distB="0" distL="0" distR="0">
                  <wp:extent cx="4210050" cy="1197610"/>
                  <wp:effectExtent l="0" t="0" r="0" b="0"/>
                  <wp:docPr id="7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4210050" cy="1197610"/>
                          </a:xfrm>
                          <a:prstGeom prst="rect">
                            <a:avLst/>
                          </a:prstGeom>
                          <a:ln/>
                        </pic:spPr>
                      </pic:pic>
                    </a:graphicData>
                  </a:graphic>
                </wp:inline>
              </w:drawing>
            </w:r>
          </w:p>
          <w:p w:rsidR="00D5471C" w:rsidRDefault="00C12D76">
            <w:pPr>
              <w:spacing w:before="360" w:after="360"/>
              <w:ind w:left="47"/>
              <w:jc w:val="center"/>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drawing>
                <wp:inline distT="0" distB="0" distL="0" distR="0">
                  <wp:extent cx="4066540" cy="796925"/>
                  <wp:effectExtent l="0" t="0" r="0"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066540" cy="796925"/>
                          </a:xfrm>
                          <a:prstGeom prst="rect">
                            <a:avLst/>
                          </a:prstGeom>
                          <a:ln/>
                        </pic:spPr>
                      </pic:pic>
                    </a:graphicData>
                  </a:graphic>
                </wp:inline>
              </w:drawing>
            </w:r>
          </w:p>
        </w:tc>
      </w:tr>
      <w:tr w:rsidR="00D5471C">
        <w:trPr>
          <w:trHeight w:val="12297"/>
        </w:trPr>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Conexión entre los fundamentos y motivos que dieron origen a la Reserva de la información</w:t>
            </w:r>
          </w:p>
        </w:tc>
        <w:tc>
          <w:tcPr>
            <w:tcW w:w="7229" w:type="dxa"/>
            <w:vAlign w:val="center"/>
          </w:tcPr>
          <w:p w:rsidR="00D5471C" w:rsidRDefault="00C12D76">
            <w:pPr>
              <w:pBdr>
                <w:top w:val="nil"/>
                <w:left w:val="nil"/>
                <w:bottom w:val="nil"/>
                <w:right w:val="nil"/>
                <w:between w:val="nil"/>
              </w:pBdr>
              <w:spacing w:before="360" w:after="360"/>
              <w:ind w:left="29" w:firstLine="18"/>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lang w:val="es-MX"/>
              </w:rPr>
              <w:drawing>
                <wp:inline distT="0" distB="0" distL="0" distR="0">
                  <wp:extent cx="4123587" cy="1845230"/>
                  <wp:effectExtent l="0" t="0" r="0" b="0"/>
                  <wp:docPr id="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123587" cy="1845230"/>
                          </a:xfrm>
                          <a:prstGeom prst="rect">
                            <a:avLst/>
                          </a:prstGeom>
                          <a:ln/>
                        </pic:spPr>
                      </pic:pic>
                    </a:graphicData>
                  </a:graphic>
                </wp:inline>
              </w:drawing>
            </w:r>
          </w:p>
        </w:tc>
      </w:tr>
      <w:tr w:rsidR="00D5471C">
        <w:trPr>
          <w:trHeight w:val="6485"/>
        </w:trPr>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Riesgo Real, Demostrable e Identificable</w:t>
            </w:r>
          </w:p>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(Modo, Tiempo y Lugar)</w:t>
            </w:r>
          </w:p>
        </w:tc>
        <w:tc>
          <w:tcPr>
            <w:tcW w:w="7229" w:type="dxa"/>
            <w:vAlign w:val="center"/>
          </w:tcPr>
          <w:p w:rsidR="00D5471C" w:rsidRDefault="00C12D76">
            <w:pPr>
              <w:pBdr>
                <w:top w:val="nil"/>
                <w:left w:val="nil"/>
                <w:bottom w:val="nil"/>
                <w:right w:val="nil"/>
                <w:between w:val="nil"/>
              </w:pBdr>
              <w:spacing w:before="360" w:after="360"/>
              <w:ind w:left="29" w:firstLine="18"/>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lang w:val="es-MX"/>
              </w:rPr>
              <w:drawing>
                <wp:inline distT="0" distB="0" distL="0" distR="0">
                  <wp:extent cx="4370519" cy="2238450"/>
                  <wp:effectExtent l="0" t="0" r="0" b="0"/>
                  <wp:docPr id="7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4370519" cy="2238450"/>
                          </a:xfrm>
                          <a:prstGeom prst="rect">
                            <a:avLst/>
                          </a:prstGeom>
                          <a:ln/>
                        </pic:spPr>
                      </pic:pic>
                    </a:graphicData>
                  </a:graphic>
                </wp:inline>
              </w:drawing>
            </w:r>
          </w:p>
          <w:p w:rsidR="00D5471C" w:rsidRDefault="00D5471C">
            <w:pPr>
              <w:pBdr>
                <w:top w:val="nil"/>
                <w:left w:val="nil"/>
                <w:bottom w:val="nil"/>
                <w:right w:val="nil"/>
                <w:between w:val="nil"/>
              </w:pBdr>
              <w:spacing w:before="360" w:after="360"/>
              <w:ind w:left="29" w:firstLine="18"/>
              <w:rPr>
                <w:rFonts w:ascii="Palatino Linotype" w:eastAsia="Palatino Linotype" w:hAnsi="Palatino Linotype" w:cs="Palatino Linotype"/>
                <w:color w:val="000000"/>
                <w:sz w:val="20"/>
                <w:szCs w:val="20"/>
              </w:rPr>
            </w:pPr>
          </w:p>
          <w:p w:rsidR="00D5471C" w:rsidRDefault="00C12D76">
            <w:pPr>
              <w:pBdr>
                <w:top w:val="nil"/>
                <w:left w:val="nil"/>
                <w:bottom w:val="nil"/>
                <w:right w:val="nil"/>
                <w:between w:val="nil"/>
              </w:pBdr>
              <w:spacing w:before="360" w:after="360"/>
              <w:ind w:left="29" w:firstLine="18"/>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lang w:val="es-MX"/>
              </w:rPr>
              <w:drawing>
                <wp:inline distT="0" distB="0" distL="0" distR="0">
                  <wp:extent cx="4387152" cy="2683047"/>
                  <wp:effectExtent l="0" t="0" r="0" b="0"/>
                  <wp:docPr id="8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387152" cy="2683047"/>
                          </a:xfrm>
                          <a:prstGeom prst="rect">
                            <a:avLst/>
                          </a:prstGeom>
                          <a:ln/>
                        </pic:spPr>
                      </pic:pic>
                    </a:graphicData>
                  </a:graphic>
                </wp:inline>
              </w:drawing>
            </w:r>
          </w:p>
          <w:p w:rsidR="00D5471C" w:rsidRDefault="00C12D76">
            <w:pPr>
              <w:pBdr>
                <w:top w:val="nil"/>
                <w:left w:val="nil"/>
                <w:bottom w:val="nil"/>
                <w:right w:val="nil"/>
                <w:between w:val="nil"/>
              </w:pBdr>
              <w:spacing w:before="360" w:after="360"/>
              <w:ind w:left="29" w:firstLine="18"/>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lang w:val="es-MX"/>
              </w:rPr>
              <w:lastRenderedPageBreak/>
              <w:drawing>
                <wp:inline distT="0" distB="0" distL="0" distR="0">
                  <wp:extent cx="4219575" cy="1808480"/>
                  <wp:effectExtent l="0" t="0" r="0" b="0"/>
                  <wp:docPr id="7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4219575" cy="1808480"/>
                          </a:xfrm>
                          <a:prstGeom prst="rect">
                            <a:avLst/>
                          </a:prstGeom>
                          <a:ln/>
                        </pic:spPr>
                      </pic:pic>
                    </a:graphicData>
                  </a:graphic>
                </wp:inline>
              </w:drawing>
            </w:r>
          </w:p>
          <w:p w:rsidR="00D5471C" w:rsidRDefault="00C12D76">
            <w:pPr>
              <w:spacing w:before="360" w:after="360"/>
            </w:pPr>
            <w:r>
              <w:rPr>
                <w:noProof/>
                <w:lang w:val="es-MX"/>
              </w:rPr>
              <w:drawing>
                <wp:inline distT="0" distB="0" distL="0" distR="0">
                  <wp:extent cx="4259919" cy="24867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259919" cy="2486700"/>
                          </a:xfrm>
                          <a:prstGeom prst="rect">
                            <a:avLst/>
                          </a:prstGeom>
                          <a:ln/>
                        </pic:spPr>
                      </pic:pic>
                    </a:graphicData>
                  </a:graphic>
                </wp:inline>
              </w:drawing>
            </w:r>
            <w:r>
              <w:rPr>
                <w:noProof/>
                <w:lang w:val="es-MX"/>
              </w:rPr>
              <w:drawing>
                <wp:inline distT="0" distB="0" distL="0" distR="0">
                  <wp:extent cx="4133850" cy="955675"/>
                  <wp:effectExtent l="0" t="0" r="0" b="0"/>
                  <wp:docPr id="8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4133850" cy="955675"/>
                          </a:xfrm>
                          <a:prstGeom prst="rect">
                            <a:avLst/>
                          </a:prstGeom>
                          <a:ln/>
                        </pic:spPr>
                      </pic:pic>
                    </a:graphicData>
                  </a:graphic>
                </wp:inline>
              </w:drawing>
            </w:r>
          </w:p>
        </w:tc>
      </w:tr>
      <w:tr w:rsidR="00D5471C">
        <w:tc>
          <w:tcPr>
            <w:tcW w:w="1560" w:type="dxa"/>
            <w:vAlign w:val="center"/>
          </w:tcPr>
          <w:p w:rsidR="00D5471C" w:rsidRDefault="00C12D76">
            <w:pPr>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Temporalidad de la Reserva de la información</w:t>
            </w:r>
          </w:p>
        </w:tc>
        <w:tc>
          <w:tcPr>
            <w:tcW w:w="7229" w:type="dxa"/>
            <w:vAlign w:val="center"/>
          </w:tcPr>
          <w:p w:rsidR="00D5471C" w:rsidRDefault="00C12D76">
            <w:pPr>
              <w:pBdr>
                <w:top w:val="nil"/>
                <w:left w:val="nil"/>
                <w:bottom w:val="nil"/>
                <w:right w:val="nil"/>
                <w:between w:val="nil"/>
              </w:pBdr>
              <w:spacing w:before="360" w:after="360"/>
              <w:ind w:left="29" w:firstLine="18"/>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lang w:val="es-MX"/>
              </w:rPr>
              <w:drawing>
                <wp:inline distT="0" distB="0" distL="0" distR="0">
                  <wp:extent cx="3733165" cy="804545"/>
                  <wp:effectExtent l="0" t="0" r="0" b="0"/>
                  <wp:docPr id="8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3733165" cy="804545"/>
                          </a:xfrm>
                          <a:prstGeom prst="rect">
                            <a:avLst/>
                          </a:prstGeom>
                          <a:ln/>
                        </pic:spPr>
                      </pic:pic>
                    </a:graphicData>
                  </a:graphic>
                </wp:inline>
              </w:drawing>
            </w:r>
          </w:p>
        </w:tc>
      </w:tr>
      <w:tr w:rsidR="00D5471C">
        <w:trPr>
          <w:trHeight w:val="3517"/>
        </w:trPr>
        <w:tc>
          <w:tcPr>
            <w:tcW w:w="1560" w:type="dxa"/>
            <w:vAlign w:val="center"/>
          </w:tcPr>
          <w:p w:rsidR="00D5471C" w:rsidRDefault="00C12D76">
            <w:pPr>
              <w:tabs>
                <w:tab w:val="left" w:pos="317"/>
              </w:tabs>
              <w:spacing w:before="360" w:after="36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Autoridades competentes.</w:t>
            </w:r>
          </w:p>
        </w:tc>
        <w:tc>
          <w:tcPr>
            <w:tcW w:w="7229" w:type="dxa"/>
          </w:tcPr>
          <w:p w:rsidR="00D5471C" w:rsidRDefault="00C12D76">
            <w:pPr>
              <w:spacing w:before="360" w:after="360"/>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w:drawing>
                <wp:inline distT="0" distB="0" distL="0" distR="0">
                  <wp:extent cx="4086798" cy="3610481"/>
                  <wp:effectExtent l="0" t="0" r="0" b="0"/>
                  <wp:docPr id="8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4086798" cy="3610481"/>
                          </a:xfrm>
                          <a:prstGeom prst="rect">
                            <a:avLst/>
                          </a:prstGeom>
                          <a:ln/>
                        </pic:spPr>
                      </pic:pic>
                    </a:graphicData>
                  </a:graphic>
                </wp:inline>
              </w:drawing>
            </w:r>
          </w:p>
        </w:tc>
      </w:tr>
    </w:tbl>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analizado el acuerdo emitido por el Comité de Transparencia,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identificó el tipo de información clasificada y realizó el juicio de subsunción o encaje, para acreditar que el hecho corresponde con la hipótesis jurídica; procedimiento que en este asunto lo realizó el Director General de Administración, quien propuso la clasificación de la información como reservada.</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Ahora bien, </w:t>
      </w:r>
      <w:r>
        <w:rPr>
          <w:rFonts w:ascii="Palatino Linotype" w:eastAsia="Palatino Linotype" w:hAnsi="Palatino Linotype" w:cs="Palatino Linotype"/>
          <w:color w:val="000000"/>
        </w:rPr>
        <w:t xml:space="preserve">los artículos 128 segundo párrafo y 103 segundo párrafo de las leyes estatal y general, respectivamente, señalan que, en el caso de la información reservada, se debe de señalar las razones, motivos o circunstancias especiales que </w:t>
      </w:r>
      <w:r>
        <w:rPr>
          <w:rFonts w:ascii="Palatino Linotype" w:eastAsia="Palatino Linotype" w:hAnsi="Palatino Linotype" w:cs="Palatino Linotype"/>
          <w:color w:val="000000"/>
        </w:rPr>
        <w:lastRenderedPageBreak/>
        <w:t xml:space="preserve">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w:t>
      </w:r>
    </w:p>
    <w:p w:rsidR="00D5471C" w:rsidRDefault="00C12D76">
      <w:pP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es de señalar que en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aplicación de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prueba de daño preciso las razones por las cuales la entrega de la información implicaría una afectación al interés público o a la seguridad pública, ya que divulgar la información contenida en los planos correspondientes a los edificios sede de los Juzgados de Tenango del Valle y el Palacio de Justicia del Tribunal Superior de Justicia del Estado de México representa un riesgo que compromete la Seguridad Pública, toda vez que  constituye un riesgo a la integridad de los servidores públicos, justiciables y personas en general.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precisó que, en el caso del edificio de los Juzgados de Tenango del Valle, la </w:t>
      </w:r>
      <w:proofErr w:type="spellStart"/>
      <w:r>
        <w:rPr>
          <w:rFonts w:ascii="Palatino Linotype" w:eastAsia="Palatino Linotype" w:hAnsi="Palatino Linotype" w:cs="Palatino Linotype"/>
        </w:rPr>
        <w:t>vulneralidad</w:t>
      </w:r>
      <w:proofErr w:type="spellEnd"/>
      <w:r>
        <w:rPr>
          <w:rFonts w:ascii="Palatino Linotype" w:eastAsia="Palatino Linotype" w:hAnsi="Palatino Linotype" w:cs="Palatino Linotype"/>
        </w:rPr>
        <w:t xml:space="preserve"> sería mayor, toda vez que colinda con el Centro Preventivo y de Reinserción Social de la adscripción.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es pertinente señalar que, si bien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solicitó mapa o plano de dos edificios públicos, también lo es, que les corresponden características distintas, tal como lo precisó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momento de desarrollar la prueba de daño.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w:t>
      </w:r>
      <w:r>
        <w:rPr>
          <w:rFonts w:ascii="Palatino Linotype" w:eastAsia="Palatino Linotype" w:hAnsi="Palatino Linotype" w:cs="Palatino Linotype"/>
          <w:i/>
        </w:rPr>
        <w:t xml:space="preserve">mapa o planos detallados de todas las áreas y niveles que cuentan los </w:t>
      </w:r>
      <w:r>
        <w:rPr>
          <w:rFonts w:ascii="Palatino Linotype" w:eastAsia="Palatino Linotype" w:hAnsi="Palatino Linotype" w:cs="Palatino Linotype"/>
          <w:b/>
          <w:i/>
          <w:u w:val="single"/>
        </w:rPr>
        <w:t>Juzgados de Tenango del Valle</w:t>
      </w:r>
      <w:r>
        <w:rPr>
          <w:rFonts w:ascii="Palatino Linotype" w:eastAsia="Palatino Linotype" w:hAnsi="Palatino Linotype" w:cs="Palatino Linotype"/>
          <w:i/>
        </w:rPr>
        <w:t xml:space="preserve"> ubicados en la carretera a Ixtapan de la Sal, </w:t>
      </w:r>
      <w:r>
        <w:rPr>
          <w:rFonts w:ascii="Palatino Linotype" w:eastAsia="Palatino Linotype" w:hAnsi="Palatino Linotype" w:cs="Palatino Linotype"/>
        </w:rPr>
        <w:t xml:space="preserve">efectivamente se trata de información que en primer término se considera de naturaleza pública, sin embargo, como bien refiere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este edificio colinda con el Centro Preventivo y de Reinserción Social; institución encargada de albergar, custodiar y asistir a las personas puestas a disposición por la autoridad judicial, ya sea por reclusión preventiva, tratándose de procesos penales o prisión punitiva de sentenciados para el cumplimiento de penas.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dar a conocer del mapa o planos de los Juzgados de Tenango del Valle implicaría un riesgo real, demostrable e identificable, ya que se revelaría información con elementos suficientes para acceder indebidamente al inmueble, con la posibilidad de provocar la fuga de internos, o el entorpecimiento de los procesos penales; así como, comprometer la seguridad tanto de los imputados, como del </w:t>
      </w:r>
      <w:r>
        <w:rPr>
          <w:rFonts w:ascii="Palatino Linotype" w:eastAsia="Palatino Linotype" w:hAnsi="Palatino Linotype" w:cs="Palatino Linotype"/>
        </w:rPr>
        <w:lastRenderedPageBreak/>
        <w:t xml:space="preserve">personal adscrito al Poder Judicial y de las personas que por cuestiones legales se encuentren en el inmueble.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el asunto que nos ocupa analizar,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relación al mapa o planos de los Juzgados de Tenango del Valle, motivó la clasificación, señalando las razones, motivos o circunstancias especiales que lo llevaron a concluir que el caso concreto se ajusta a la hipótesis prevista por la norma legal que fundamenta el acto, aplicando la </w:t>
      </w:r>
      <w:r>
        <w:rPr>
          <w:rFonts w:ascii="Palatino Linotype" w:eastAsia="Palatino Linotype" w:hAnsi="Palatino Linotype" w:cs="Palatino Linotype"/>
          <w:b/>
        </w:rPr>
        <w:t>prueba de daño</w:t>
      </w:r>
      <w:r>
        <w:rPr>
          <w:rFonts w:ascii="Palatino Linotype" w:eastAsia="Palatino Linotype" w:hAnsi="Palatino Linotype" w:cs="Palatino Linotype"/>
        </w:rPr>
        <w:t xml:space="preserve">, en la que preciso: </w:t>
      </w:r>
    </w:p>
    <w:p w:rsidR="00D5471C" w:rsidRDefault="00C12D76">
      <w:pPr>
        <w:numPr>
          <w:ilvl w:val="0"/>
          <w:numId w:val="3"/>
        </w:num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razones objetivas por las que la exhibición de la información generaría una afectación;</w:t>
      </w:r>
    </w:p>
    <w:p w:rsidR="00D5471C" w:rsidRDefault="00C12D76">
      <w:pPr>
        <w:numPr>
          <w:ilvl w:val="0"/>
          <w:numId w:val="3"/>
        </w:num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Justificando que la divulgación de la información representa un riesgo real, demostrable e identificable en perjuicio del interés público o la seguridad pública; </w:t>
      </w:r>
    </w:p>
    <w:p w:rsidR="00D5471C" w:rsidRDefault="00C12D76">
      <w:pPr>
        <w:numPr>
          <w:ilvl w:val="0"/>
          <w:numId w:val="3"/>
        </w:num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Justificando que el riesgo del perjuicio que supondría dicha divulgación, supera el interés público general de que se difunda; y </w:t>
      </w:r>
    </w:p>
    <w:p w:rsidR="00D5471C" w:rsidRDefault="00C12D76">
      <w:pPr>
        <w:numPr>
          <w:ilvl w:val="0"/>
          <w:numId w:val="3"/>
        </w:num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limitación se adecua al principio de proporcionalidad y representa el medio menos restrictivo disponible para evitar el perjuicio.</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este Órgano Garante determina que la clasificación de los planos del edificio de los Juzgados de Tenango del Valle se encuentra debidamente fundada y </w:t>
      </w:r>
      <w:r>
        <w:rPr>
          <w:rFonts w:ascii="Palatino Linotype" w:eastAsia="Palatino Linotype" w:hAnsi="Palatino Linotype" w:cs="Palatino Linotype"/>
        </w:rPr>
        <w:lastRenderedPageBreak/>
        <w:t xml:space="preserve">motivada, </w:t>
      </w:r>
      <w:r>
        <w:rPr>
          <w:rFonts w:ascii="Palatino Linotype" w:eastAsia="Palatino Linotype" w:hAnsi="Palatino Linotype" w:cs="Palatino Linotype"/>
          <w:color w:val="000000"/>
        </w:rPr>
        <w:t xml:space="preserve">en términos de lo dispuesto en </w:t>
      </w:r>
      <w:r>
        <w:rPr>
          <w:rFonts w:ascii="Palatino Linotype" w:eastAsia="Palatino Linotype" w:hAnsi="Palatino Linotype" w:cs="Palatino Linotype"/>
        </w:rPr>
        <w:t xml:space="preserve">los artículos 128 y 129, de la Ley de Trasparencia y Acceso a la Información Pública del Estado de México y Municipios.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Contrario a lo anterior, en relación a la clasificación de información como reservada del mapa o planos del Palacio de Justicia del Tribunal Superior de Justicia del Estado de México,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argumentó que proporcionar la información que contiene los planos arquitectónicos del inmueble vulneraria la seguridad pública; esto en razón, de las constantes eventualidades ocurridas como aconteció el ocho de marzo de dos mil veinte, con motivo del día internacional de la mujer y de diversos actos de manifestación en la plaza de los Mártires; actos vandálicos que derivaron en múltiples daños y desperfectos en bienes de edificio, y que desde esa fecha han sido constantes las marchas y manifestaciones; lo que ha motivado que se realicen diversas acciones para proteger la integridad de los justiciables. </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argumentos vertidos por el </w:t>
      </w:r>
      <w:r>
        <w:rPr>
          <w:rFonts w:ascii="Palatino Linotype" w:eastAsia="Palatino Linotype" w:hAnsi="Palatino Linotype" w:cs="Palatino Linotype"/>
          <w:b/>
        </w:rPr>
        <w:t xml:space="preserve">SUJETO OBLGADO, </w:t>
      </w:r>
      <w:r>
        <w:rPr>
          <w:rFonts w:ascii="Palatino Linotype" w:eastAsia="Palatino Linotype" w:hAnsi="Palatino Linotype" w:cs="Palatino Linotype"/>
        </w:rPr>
        <w:t xml:space="preserve">es de señalar que refiere que se han realizado diversas acciones para proteger los inmuebles como el reforzamiento de ventanas y adquisición de estructuras metálicas, en este sentido, el Pleno de este Instituto, considera que las especificaciones de seguridad, reforzamiento y puntos vulnerables del edificio del ser el caso que formaran parte del mapa o planos si se considera de carácter reservado, no así, la totalidad del documento, por lo que, este Órgano Garante estima que  clasificación del mapa o planos del Palacio de Justicia del Tribunal Superior de Justicia del Estado de México, no incluye los elementos objetivos que permiten determinar que la difusión de la información solicitada causa un daño presente, probable y específico a los intereses </w:t>
      </w:r>
      <w:r>
        <w:rPr>
          <w:rFonts w:ascii="Palatino Linotype" w:eastAsia="Palatino Linotype" w:hAnsi="Palatino Linotype" w:cs="Palatino Linotype"/>
        </w:rPr>
        <w:lastRenderedPageBreak/>
        <w:t xml:space="preserve">jurídicos tutelados en los supuestos de excepción previstos en la Ley (elementos de la </w:t>
      </w:r>
      <w:r>
        <w:rPr>
          <w:rFonts w:ascii="Palatino Linotype" w:eastAsia="Palatino Linotype" w:hAnsi="Palatino Linotype" w:cs="Palatino Linotype"/>
          <w:i/>
        </w:rPr>
        <w:t>prueba de daño</w:t>
      </w:r>
      <w:r>
        <w:rPr>
          <w:rFonts w:ascii="Palatino Linotype" w:eastAsia="Palatino Linotype" w:hAnsi="Palatino Linotype" w:cs="Palatino Linotype"/>
        </w:rPr>
        <w:t xml:space="preserve">). </w:t>
      </w:r>
    </w:p>
    <w:p w:rsidR="00D5471C" w:rsidRDefault="00C12D76">
      <w:pPr>
        <w:spacing w:before="360" w:after="3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 el entendido que dichos extremos legales tienen el siguiente alcance: por </w:t>
      </w:r>
      <w:r>
        <w:rPr>
          <w:rFonts w:ascii="Palatino Linotype" w:eastAsia="Palatino Linotype" w:hAnsi="Palatino Linotype" w:cs="Palatino Linotype"/>
          <w:b/>
        </w:rPr>
        <w:t>daño presente</w:t>
      </w:r>
      <w:r>
        <w:rPr>
          <w:rFonts w:ascii="Palatino Linotype" w:eastAsia="Palatino Linotype" w:hAnsi="Palatino Linotype" w:cs="Palatino Linotype"/>
        </w:rPr>
        <w:t xml:space="preserve">: se entiende que de publicarse la información, a la fecha en que se realiza el análisis correspondiente, se generará la afectación respectiva a cualquiera de los valores o bienes jurídicos tutelados en los casos de excepción previstos en el artículo 20 de la Ley de Transparencia y Acceso a la Información Pública del Estado de México y Municipios; por </w:t>
      </w:r>
      <w:r>
        <w:rPr>
          <w:rFonts w:ascii="Palatino Linotype" w:eastAsia="Palatino Linotype" w:hAnsi="Palatino Linotype" w:cs="Palatino Linotype"/>
          <w:b/>
        </w:rPr>
        <w:t>daño probable</w:t>
      </w:r>
      <w:r>
        <w:rPr>
          <w:rFonts w:ascii="Palatino Linotype" w:eastAsia="Palatino Linotype" w:hAnsi="Palatino Linotype" w:cs="Palatino Linotype"/>
        </w:rPr>
        <w:t xml:space="preserve">: obedece que la difusión de la información contenida en la misma podría causar un perjuicio mayor al interés público de conocer la información; y, por </w:t>
      </w:r>
      <w:r>
        <w:rPr>
          <w:rFonts w:ascii="Palatino Linotype" w:eastAsia="Palatino Linotype" w:hAnsi="Palatino Linotype" w:cs="Palatino Linotype"/>
          <w:b/>
        </w:rPr>
        <w:t>daño específico:</w:t>
      </w:r>
      <w:r>
        <w:rPr>
          <w:rFonts w:ascii="Palatino Linotype" w:eastAsia="Palatino Linotype" w:hAnsi="Palatino Linotype" w:cs="Palatino Linotype"/>
        </w:rPr>
        <w:t xml:space="preserve"> se refiere a que inmediatamente después de la publicación de la información es inminente la materialización o afectación a los intereses jurídicos tutelados en los supuestos de excepción.</w:t>
      </w:r>
    </w:p>
    <w:p w:rsidR="00D5471C" w:rsidRDefault="00C12D76">
      <w:pPr>
        <w:spacing w:before="360" w:after="3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Por lo tanto, es necesario precisar que en caso de publicarse la información solicitada, no puede causarse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de que de darse a conocer la información se causaría el daño (tiempo de reserva).</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es claro que el Acuerdo de Clasificación presentado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expresa de manera clara las razones por las cuales la información solicitada relativa al mapa o planos del Tribunal Superior de Justicia, </w:t>
      </w:r>
      <w:r>
        <w:rPr>
          <w:rFonts w:ascii="Palatino Linotype" w:eastAsia="Palatino Linotype" w:hAnsi="Palatino Linotype" w:cs="Palatino Linotype"/>
        </w:rPr>
        <w:lastRenderedPageBreak/>
        <w:t xml:space="preserve">encuadra en la hipótesis de reserva de información que establece la Ley Sustantiva; así mismo, no observan razones objetivas por las que la apertura de la información generaría una afectación. </w:t>
      </w:r>
    </w:p>
    <w:p w:rsidR="00D5471C" w:rsidRDefault="00C12D76">
      <w:pPr>
        <w:spacing w:before="360" w:after="3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Cabe señalar que la fundamentación y la motivación tienen como propósito el que el solicitante conozca a detalle y de manera completa la esencia de aquellas circunstancias y condiciones que determinaron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de manera que sea evidente y muy claro para él, cuestionar y controvertir el mérito de la decisión, permitiéndole una real y auténtica defensa. Lo anterior, ya que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rsidR="00D5471C" w:rsidRDefault="00C12D76">
      <w:pPr>
        <w:spacing w:before="360" w:after="360"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b/>
          <w:i/>
          <w:smallCaps/>
        </w:rPr>
        <w:t xml:space="preserve">“FUNDAMENTACIÓN Y MOTIVACIÓN. EL ASPECTO FORMAL DE LA GARANTÍA Y SU FINALIDAD SE TRADUCEN EN EXPLICAR, JUSTIFICAR, POSIBILITAR LA DEFENSA Y COMUNICAR LA DECISIÓN. </w:t>
      </w:r>
      <w:r>
        <w:rPr>
          <w:rFonts w:ascii="Palatino Linotype" w:eastAsia="Palatino Linotype" w:hAnsi="Palatino Linotype" w:cs="Palatino Linotype"/>
          <w:i/>
        </w:rPr>
        <w:t xml:space="preserve">El contenido formal de la garantía de legalidad prevista en el artículo 16 constitucional relativa a la fundamentación y motivación tiene como propósito primordial y ratio que el justiciable </w:t>
      </w:r>
      <w:r>
        <w:rPr>
          <w:rFonts w:ascii="Palatino Linotype" w:eastAsia="Palatino Linotype" w:hAnsi="Palatino Linotype" w:cs="Palatino Linotype"/>
          <w:b/>
          <w:i/>
        </w:rPr>
        <w:t xml:space="preserve">conozca el "para qué" de la conducta de la autoridad, lo que se traduce en darle a conocer en detalle y de manera completa </w:t>
      </w:r>
      <w:r>
        <w:rPr>
          <w:rFonts w:ascii="Palatino Linotype" w:eastAsia="Palatino Linotype" w:hAnsi="Palatino Linotype" w:cs="Palatino Linotype"/>
          <w:b/>
          <w:i/>
        </w:rPr>
        <w:lastRenderedPageBreak/>
        <w:t>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Pr>
          <w:rFonts w:ascii="Palatino Linotype" w:eastAsia="Palatino Linotype" w:hAnsi="Palatino Linotype" w:cs="Palatino Linotype"/>
          <w:b/>
          <w:i/>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Pr>
          <w:rFonts w:ascii="Palatino Linotype" w:eastAsia="Palatino Linotype" w:hAnsi="Palatino Linotype" w:cs="Palatino Linotype"/>
          <w:i/>
        </w:rPr>
        <w:t xml:space="preserve"> del que se deduzca la relación de pertenencia lógica de los hechos al derecho invocado, que es la subsunción.”</w:t>
      </w:r>
    </w:p>
    <w:p w:rsidR="00D5471C" w:rsidRDefault="00C12D76">
      <w:pPr>
        <w:spacing w:before="360" w:after="360" w:line="360" w:lineRule="auto"/>
        <w:ind w:right="902" w:firstLine="708"/>
        <w:jc w:val="both"/>
        <w:rPr>
          <w:rFonts w:ascii="Palatino Linotype" w:eastAsia="Palatino Linotype" w:hAnsi="Palatino Linotype" w:cs="Palatino Linotype"/>
          <w:smallCaps/>
        </w:rPr>
      </w:pPr>
      <w:r>
        <w:rPr>
          <w:rFonts w:ascii="Palatino Linotype" w:eastAsia="Palatino Linotype" w:hAnsi="Palatino Linotype" w:cs="Palatino Linotype"/>
          <w:smallCaps/>
        </w:rPr>
        <w:t>(</w:t>
      </w:r>
      <w:r>
        <w:rPr>
          <w:rFonts w:ascii="Palatino Linotype" w:eastAsia="Palatino Linotype" w:hAnsi="Palatino Linotype" w:cs="Palatino Linotype"/>
        </w:rPr>
        <w:t>Énfasis añadido</w:t>
      </w:r>
      <w:r>
        <w:rPr>
          <w:rFonts w:ascii="Palatino Linotype" w:eastAsia="Palatino Linotype" w:hAnsi="Palatino Linotype" w:cs="Palatino Linotype"/>
          <w:smallCaps/>
        </w:rPr>
        <w:t>.)</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Órgano Garante estima que el acuerdo de clasificación remitido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se encuentra debidamente fundado y motivado, en relación a los planos del Tribunal Superior de Justicia por lo que este Instituto determina que las razones o motivos de inconformidad vertidos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en estudio, resultan parcialmente fundadas por lo que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y se le ordena para que entregue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de ser el caso, en versión pública, el mapa o plano de las áreas y niveles del Palacio de Justicia del Tribunal Superior de Justicia del Estado de México. </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si advierte datos o elementos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reservarse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del </w:t>
      </w:r>
      <w:r>
        <w:rPr>
          <w:rFonts w:ascii="Palatino Linotype" w:eastAsia="Palatino Linotype" w:hAnsi="Palatino Linotype" w:cs="Palatino Linotype"/>
          <w:b/>
        </w:rPr>
        <w:lastRenderedPageBreak/>
        <w:t>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D5471C" w:rsidRDefault="00C12D7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 (Sic)</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deben clasificarse ciertos datos como información reservada.</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5471C" w:rsidRDefault="00C12D76">
      <w:pPr>
        <w:numPr>
          <w:ilvl w:val="0"/>
          <w:numId w:val="4"/>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D5471C" w:rsidRDefault="00C12D76">
      <w:pPr>
        <w:numPr>
          <w:ilvl w:val="0"/>
          <w:numId w:val="4"/>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D5471C" w:rsidRDefault="00C12D76">
      <w:pPr>
        <w:numPr>
          <w:ilvl w:val="0"/>
          <w:numId w:val="4"/>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D5471C" w:rsidRDefault="00C12D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D5471C" w:rsidRDefault="00C12D76">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D5471C" w:rsidRDefault="00C12D76">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D5471C" w:rsidRDefault="00C12D76">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D5471C" w:rsidRDefault="00C12D76">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en este caso de características o elementos contenidos en el documento, durante cierto periodo de tiempo, debe testar o clasificar la información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D5471C" w:rsidRDefault="00C12D76">
      <w:pPr>
        <w:spacing w:before="360" w:after="36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D5471C" w:rsidRDefault="00C12D76">
      <w:pPr>
        <w:spacing w:before="360" w:after="36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D5471C" w:rsidRDefault="00C12D76">
      <w:pPr>
        <w:spacing w:before="36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5471C" w:rsidRDefault="00C12D76">
      <w:pPr>
        <w:spacing w:before="360" w:after="3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w:t>
      </w:r>
      <w:r>
        <w:rPr>
          <w:rFonts w:ascii="Palatino Linotype" w:eastAsia="Palatino Linotype" w:hAnsi="Palatino Linotype" w:cs="Palatino Linotype"/>
        </w:rPr>
        <w:lastRenderedPageBreak/>
        <w:t>Décimo Primero de los “Lineamientos Generales en materia de Clasificación y Desclasificación de la Información, así como para la elaboración de Versiones Públicas”, que literalmente expresan:</w:t>
      </w:r>
    </w:p>
    <w:p w:rsidR="00D5471C" w:rsidRDefault="00C12D76">
      <w:pPr>
        <w:tabs>
          <w:tab w:val="left" w:pos="8222"/>
        </w:tabs>
        <w:spacing w:before="360" w:after="36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D5471C" w:rsidRDefault="00C12D76">
      <w:pPr>
        <w:tabs>
          <w:tab w:val="left" w:pos="8222"/>
        </w:tabs>
        <w:spacing w:before="360" w:after="36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D5471C" w:rsidRDefault="00C12D76">
      <w:pPr>
        <w:tabs>
          <w:tab w:val="left" w:pos="8222"/>
        </w:tabs>
        <w:spacing w:before="360" w:after="36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w:t>
      </w:r>
      <w:r>
        <w:rPr>
          <w:rFonts w:ascii="Palatino Linotype" w:eastAsia="Palatino Linotype" w:hAnsi="Palatino Linotype" w:cs="Palatino Linotype"/>
          <w:i/>
          <w:sz w:val="22"/>
          <w:szCs w:val="22"/>
        </w:rPr>
        <w:lastRenderedPageBreak/>
        <w:t>clasificados deberán llevar la leyenda correspondiente de conformidad con lo dispuesto en el Capítulo VIII de los presentes lineamientos.” (Sic)</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7"/>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D5471C" w:rsidTr="00D54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D5471C" w:rsidRDefault="00C12D76">
            <w:pPr>
              <w:spacing w:before="360" w:after="36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D5471C" w:rsidRDefault="00C12D76">
            <w:pPr>
              <w:spacing w:before="360" w:after="360"/>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D5471C" w:rsidRDefault="00C12D76">
            <w:pPr>
              <w:spacing w:before="360" w:after="36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D5471C" w:rsidRDefault="00C12D76">
            <w:pPr>
              <w:spacing w:before="360" w:after="36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D5471C" w:rsidRDefault="00C12D76">
            <w:pPr>
              <w:spacing w:before="360" w:after="36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D5471C" w:rsidTr="00D5471C">
        <w:tc>
          <w:tcPr>
            <w:cnfStyle w:val="001000000000" w:firstRow="0" w:lastRow="0" w:firstColumn="1" w:lastColumn="0" w:oddVBand="0" w:evenVBand="0" w:oddHBand="0" w:evenHBand="0" w:firstRowFirstColumn="0" w:firstRowLastColumn="0" w:lastRowFirstColumn="0" w:lastRowLastColumn="0"/>
            <w:tcW w:w="8828" w:type="dxa"/>
            <w:gridSpan w:val="4"/>
          </w:tcPr>
          <w:p w:rsidR="00D5471C" w:rsidRDefault="00C12D76">
            <w:pPr>
              <w:spacing w:before="360" w:after="36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2"/>
                <w:szCs w:val="12"/>
              </w:rPr>
              <w:t>anotarán</w:t>
            </w:r>
            <w:proofErr w:type="gramEnd"/>
            <w:r>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Ampliación del periodo de reserva</w:t>
            </w:r>
          </w:p>
        </w:tc>
        <w:tc>
          <w:tcPr>
            <w:tcW w:w="3421"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C12D76">
            <w:pPr>
              <w:spacing w:before="360" w:after="36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D5471C" w:rsidTr="00D5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5471C" w:rsidRDefault="00D5471C">
            <w:pPr>
              <w:spacing w:before="360" w:after="360"/>
              <w:jc w:val="both"/>
              <w:rPr>
                <w:rFonts w:ascii="Palatino Linotype" w:eastAsia="Palatino Linotype" w:hAnsi="Palatino Linotype" w:cs="Palatino Linotype"/>
                <w:sz w:val="12"/>
                <w:szCs w:val="12"/>
              </w:rPr>
            </w:pPr>
          </w:p>
        </w:tc>
        <w:tc>
          <w:tcPr>
            <w:tcW w:w="3421" w:type="dxa"/>
          </w:tcPr>
          <w:p w:rsidR="00D5471C" w:rsidRDefault="00D5471C">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D5471C" w:rsidRDefault="00C12D76">
            <w:pPr>
              <w:spacing w:before="360" w:after="36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D5471C" w:rsidTr="00D5471C">
        <w:tc>
          <w:tcPr>
            <w:cnfStyle w:val="001000000000" w:firstRow="0" w:lastRow="0" w:firstColumn="1" w:lastColumn="0" w:oddVBand="0" w:evenVBand="0" w:oddHBand="0" w:evenHBand="0" w:firstRowFirstColumn="0" w:firstRowLastColumn="0" w:lastRowFirstColumn="0" w:lastRowLastColumn="0"/>
            <w:tcW w:w="993" w:type="dxa"/>
          </w:tcPr>
          <w:p w:rsidR="00D5471C" w:rsidRDefault="00D5471C">
            <w:pPr>
              <w:spacing w:before="360" w:after="360"/>
              <w:jc w:val="both"/>
              <w:rPr>
                <w:rFonts w:ascii="Palatino Linotype" w:eastAsia="Palatino Linotype" w:hAnsi="Palatino Linotype" w:cs="Palatino Linotype"/>
                <w:sz w:val="12"/>
                <w:szCs w:val="12"/>
              </w:rPr>
            </w:pPr>
          </w:p>
        </w:tc>
        <w:tc>
          <w:tcPr>
            <w:tcW w:w="3421" w:type="dxa"/>
          </w:tcPr>
          <w:p w:rsidR="00D5471C" w:rsidRDefault="00D5471C">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D5471C" w:rsidRDefault="00C12D76">
            <w:pPr>
              <w:spacing w:before="360" w:after="36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en mérito de lo expuesto en líneas anteriores, resultan parcialmente fundadas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05279/INFOEM/IP/RR/2021</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a la solicitud de información </w:t>
      </w:r>
      <w:r>
        <w:rPr>
          <w:rFonts w:ascii="Palatino Linotype" w:eastAsia="Palatino Linotype" w:hAnsi="Palatino Linotype" w:cs="Palatino Linotype"/>
          <w:b/>
        </w:rPr>
        <w:t>00812/PJUDICI/IP/2021</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D5471C" w:rsidRDefault="00C12D76">
      <w:pPr>
        <w:tabs>
          <w:tab w:val="left" w:pos="709"/>
        </w:tabs>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5471C" w:rsidRDefault="00C12D76">
      <w:pPr>
        <w:numPr>
          <w:ilvl w:val="0"/>
          <w:numId w:val="7"/>
        </w:numPr>
        <w:pBdr>
          <w:top w:val="nil"/>
          <w:left w:val="nil"/>
          <w:bottom w:val="nil"/>
          <w:right w:val="nil"/>
          <w:between w:val="nil"/>
        </w:pBdr>
        <w:spacing w:before="360" w:after="36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D5471C" w:rsidRDefault="00C12D76">
      <w:pPr>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05279/INFOEM/IP/RR/2021,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D5471C" w:rsidRDefault="00C12D76">
      <w:pPr>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haga entrega vía Sistema de Acceso a la Información Mexiquense (SAIMEX),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de la siguiente información:</w:t>
      </w:r>
    </w:p>
    <w:p w:rsidR="00D5471C" w:rsidRDefault="00C12D76">
      <w:pPr>
        <w:numPr>
          <w:ilvl w:val="0"/>
          <w:numId w:val="6"/>
        </w:numPr>
        <w:pBdr>
          <w:top w:val="nil"/>
          <w:left w:val="nil"/>
          <w:bottom w:val="nil"/>
          <w:right w:val="nil"/>
          <w:between w:val="nil"/>
        </w:pBdr>
        <w:spacing w:before="36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Mapa o plano detallado de las áreas y niveles del Palacio de Justicia del Tribunal Superior de Justicia del Estado de México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vigente</w:t>
      </w:r>
      <w:r>
        <w:rPr>
          <w:rFonts w:ascii="Palatino Linotype" w:eastAsia="Palatino Linotype" w:hAnsi="Palatino Linotype" w:cs="Palatino Linotype"/>
          <w:color w:val="000000"/>
        </w:rPr>
        <w:t xml:space="preserve"> al cuatro de octubre de dos mil veintiuno. </w:t>
      </w:r>
    </w:p>
    <w:p w:rsidR="00D5471C" w:rsidRDefault="00C12D76">
      <w:pPr>
        <w:pBdr>
          <w:top w:val="nil"/>
          <w:left w:val="nil"/>
          <w:bottom w:val="nil"/>
          <w:right w:val="nil"/>
          <w:between w:val="nil"/>
        </w:pBdr>
        <w:spacing w:before="360" w:after="36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rPr>
        <w:t>En su caso d</w:t>
      </w:r>
      <w:r>
        <w:rPr>
          <w:rFonts w:ascii="Palatino Linotype" w:eastAsia="Palatino Linotype" w:hAnsi="Palatino Linotype" w:cs="Palatino Linotype"/>
          <w:i/>
          <w:color w:val="000000"/>
        </w:rPr>
        <w:t>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D5471C" w:rsidRDefault="00C12D76">
      <w:pPr>
        <w:pBdr>
          <w:top w:val="nil"/>
          <w:left w:val="nil"/>
          <w:bottom w:val="nil"/>
          <w:right w:val="nil"/>
          <w:between w:val="nil"/>
        </w:pBdr>
        <w:spacing w:before="36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5471C" w:rsidRDefault="00C12D76">
      <w:pPr>
        <w:spacing w:before="36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Notifíquese </w:t>
      </w:r>
      <w:r>
        <w:rPr>
          <w:rFonts w:ascii="Palatino Linotype" w:eastAsia="Palatino Linotype" w:hAnsi="Palatino Linotype" w:cs="Palatino Linotype"/>
          <w:color w:val="222222"/>
        </w:rPr>
        <w:t xml:space="preserve">vía SAIMEX al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la presente resolución, </w:t>
      </w:r>
      <w:r>
        <w:rPr>
          <w:rFonts w:ascii="Palatino Linotype" w:eastAsia="Palatino Linotype" w:hAnsi="Palatino Linotype" w:cs="Palatino Linotype"/>
        </w:rPr>
        <w:t xml:space="preserve">asimismo, hágase de su conocimiento que de conformidad con lo establecido en el </w:t>
      </w:r>
      <w:r>
        <w:rPr>
          <w:rFonts w:ascii="Palatino Linotype" w:eastAsia="Palatino Linotype" w:hAnsi="Palatino Linotype" w:cs="Palatino Linotype"/>
        </w:rPr>
        <w:lastRenderedPageBreak/>
        <w:t>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rsidR="00D5471C" w:rsidRDefault="00C12D76">
      <w:pPr>
        <w:spacing w:before="360" w:after="360" w:line="360" w:lineRule="auto"/>
        <w:jc w:val="both"/>
        <w:rPr>
          <w:rFonts w:ascii="Palatino Linotype" w:eastAsia="Palatino Linotype" w:hAnsi="Palatino Linotype" w:cs="Palatino Linotype"/>
        </w:rPr>
        <w:sectPr w:rsidR="00D5471C">
          <w:headerReference w:type="default" r:id="rId23"/>
          <w:footerReference w:type="default" r:id="rId24"/>
          <w:headerReference w:type="first" r:id="rId25"/>
          <w:footerReference w:type="first" r:id="rId26"/>
          <w:pgSz w:w="12240" w:h="15840"/>
          <w:pgMar w:top="2882" w:right="1701" w:bottom="1701" w:left="1701" w:header="709" w:footer="709" w:gutter="0"/>
          <w:pgNumType w:start="1"/>
          <w:cols w:space="720"/>
          <w:titlePg/>
        </w:sectPr>
      </w:pPr>
      <w:bookmarkStart w:id="4" w:name="_heading=h.3znysh7" w:colFirst="0" w:colLast="0"/>
      <w:bookmarkEnd w:id="4"/>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rsidR="00D5471C" w:rsidRDefault="00D5471C">
      <w:pPr>
        <w:spacing w:before="360" w:after="360" w:line="360" w:lineRule="auto"/>
        <w:ind w:left="360"/>
        <w:jc w:val="both"/>
        <w:rPr>
          <w:rFonts w:ascii="Palatino Linotype" w:eastAsia="Palatino Linotype" w:hAnsi="Palatino Linotype" w:cs="Palatino Linotype"/>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p w:rsidR="00D5471C" w:rsidRDefault="00D5471C">
      <w:pPr>
        <w:spacing w:before="360" w:after="360"/>
        <w:jc w:val="both"/>
        <w:rPr>
          <w:rFonts w:ascii="Palatino Linotype" w:eastAsia="Palatino Linotype" w:hAnsi="Palatino Linotype" w:cs="Palatino Linotype"/>
          <w:sz w:val="20"/>
          <w:szCs w:val="20"/>
        </w:rPr>
      </w:pPr>
    </w:p>
    <w:sectPr w:rsidR="00D5471C">
      <w:headerReference w:type="default" r:id="rId27"/>
      <w:footerReference w:type="default" r:id="rId28"/>
      <w:headerReference w:type="first" r:id="rId29"/>
      <w:footerReference w:type="first" r:id="rId30"/>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D6" w:rsidRDefault="001430D6">
      <w:r>
        <w:separator/>
      </w:r>
    </w:p>
  </w:endnote>
  <w:endnote w:type="continuationSeparator" w:id="0">
    <w:p w:rsidR="001430D6" w:rsidRDefault="0014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25BC">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25BC">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D5471C" w:rsidRDefault="00D5471C">
    <w:pPr>
      <w:pBdr>
        <w:top w:val="nil"/>
        <w:left w:val="nil"/>
        <w:bottom w:val="nil"/>
        <w:right w:val="nil"/>
        <w:between w:val="nil"/>
      </w:pBdr>
      <w:tabs>
        <w:tab w:val="center" w:pos="4252"/>
        <w:tab w:val="right" w:pos="8504"/>
      </w:tabs>
      <w:rPr>
        <w:color w:val="000000"/>
      </w:rPr>
    </w:pPr>
  </w:p>
  <w:p w:rsidR="00D5471C" w:rsidRDefault="00D5471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25B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25BC">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D5471C" w:rsidRDefault="00D5471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end"/>
    </w:r>
  </w:p>
  <w:p w:rsidR="00D5471C" w:rsidRDefault="00D547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25B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25B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rsidR="00D5471C" w:rsidRDefault="00D547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D6" w:rsidRDefault="001430D6">
      <w:r>
        <w:separator/>
      </w:r>
    </w:p>
  </w:footnote>
  <w:footnote w:type="continuationSeparator" w:id="0">
    <w:p w:rsidR="001430D6" w:rsidRDefault="00143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-942973</wp:posOffset>
          </wp:positionH>
          <wp:positionV relativeFrom="paragraph">
            <wp:posOffset>73025</wp:posOffset>
          </wp:positionV>
          <wp:extent cx="7635163" cy="9944100"/>
          <wp:effectExtent l="0" t="0" r="0" b="0"/>
          <wp:wrapNone/>
          <wp:docPr id="7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5528" w:type="dxa"/>
      <w:tblInd w:w="3261" w:type="dxa"/>
      <w:tblLayout w:type="fixed"/>
      <w:tblLook w:val="0400" w:firstRow="0" w:lastRow="0" w:firstColumn="0" w:lastColumn="0" w:noHBand="0" w:noVBand="1"/>
    </w:tblPr>
    <w:tblGrid>
      <w:gridCol w:w="2552"/>
      <w:gridCol w:w="2976"/>
    </w:tblGrid>
    <w:tr w:rsidR="00D5471C">
      <w:tc>
        <w:tcPr>
          <w:tcW w:w="2552"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D5471C" w:rsidRDefault="00C12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05279/INFOEM/IP/RR/2021</w:t>
          </w:r>
        </w:p>
      </w:tc>
    </w:tr>
    <w:tr w:rsidR="00D5471C">
      <w:trPr>
        <w:trHeight w:val="228"/>
      </w:trPr>
      <w:tc>
        <w:tcPr>
          <w:tcW w:w="2552"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D5471C" w:rsidRDefault="00C12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Poder Judicial</w:t>
          </w:r>
        </w:p>
      </w:tc>
    </w:tr>
    <w:tr w:rsidR="00D5471C">
      <w:tc>
        <w:tcPr>
          <w:tcW w:w="2552"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D5471C" w:rsidRDefault="00C12D7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5471C" w:rsidRDefault="00C12D7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-450847</wp:posOffset>
          </wp:positionV>
          <wp:extent cx="7635240" cy="9942830"/>
          <wp:effectExtent l="0" t="0" r="0" b="0"/>
          <wp:wrapNone/>
          <wp:docPr id="6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238" w:type="dxa"/>
      <w:tblInd w:w="3119" w:type="dxa"/>
      <w:tblLayout w:type="fixed"/>
      <w:tblLook w:val="0400" w:firstRow="0" w:lastRow="0" w:firstColumn="0" w:lastColumn="0" w:noHBand="0" w:noVBand="1"/>
    </w:tblPr>
    <w:tblGrid>
      <w:gridCol w:w="2551"/>
      <w:gridCol w:w="3687"/>
    </w:tblGrid>
    <w:tr w:rsidR="00D5471C">
      <w:tc>
        <w:tcPr>
          <w:tcW w:w="2551"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D5471C" w:rsidRDefault="00C12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05279/INFOEM/IP/RR/2021 </w:t>
          </w:r>
        </w:p>
      </w:tc>
    </w:tr>
    <w:tr w:rsidR="00D5471C">
      <w:tc>
        <w:tcPr>
          <w:tcW w:w="2551" w:type="dxa"/>
          <w:vAlign w:val="center"/>
        </w:tcPr>
        <w:p w:rsidR="00D5471C" w:rsidRDefault="00C12D76">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D5471C" w:rsidRDefault="00A225BC" w:rsidP="00A225B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XXXXXXXXX</w:t>
          </w:r>
          <w:r w:rsidR="00C12D76">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w:t>
          </w:r>
          <w:r w:rsidR="00C12D76">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r w:rsidR="00C12D76">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p>
      </w:tc>
    </w:tr>
    <w:tr w:rsidR="00D5471C">
      <w:trPr>
        <w:trHeight w:val="228"/>
      </w:trPr>
      <w:tc>
        <w:tcPr>
          <w:tcW w:w="2551"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D5471C" w:rsidRDefault="00C12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Poder Judicial</w:t>
          </w:r>
        </w:p>
      </w:tc>
    </w:tr>
    <w:tr w:rsidR="00D5471C">
      <w:tc>
        <w:tcPr>
          <w:tcW w:w="2551" w:type="dxa"/>
          <w:vAlign w:val="center"/>
        </w:tcPr>
        <w:p w:rsidR="00D5471C" w:rsidRDefault="00C12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D5471C" w:rsidRDefault="00C12D7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5471C" w:rsidRDefault="00D5471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C12D7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60288" behindDoc="1" locked="0" layoutInCell="1" hidden="0" allowOverlap="1">
          <wp:simplePos x="0" y="0"/>
          <wp:positionH relativeFrom="column">
            <wp:posOffset>-1080133</wp:posOffset>
          </wp:positionH>
          <wp:positionV relativeFrom="paragraph">
            <wp:posOffset>-396400</wp:posOffset>
          </wp:positionV>
          <wp:extent cx="7809865" cy="10165715"/>
          <wp:effectExtent l="0" t="0" r="0" b="0"/>
          <wp:wrapNone/>
          <wp:docPr id="6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D5471C">
      <w:tc>
        <w:tcPr>
          <w:tcW w:w="0" w:type="auto"/>
          <w:shd w:val="clear" w:color="auto" w:fill="auto"/>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0" w:type="auto"/>
          <w:shd w:val="clear" w:color="auto" w:fill="auto"/>
          <w:vAlign w:val="center"/>
        </w:tcPr>
        <w:p w:rsidR="00D5471C" w:rsidRDefault="00C12D76">
          <w:pPr>
            <w:ind w:right="175"/>
            <w:jc w:val="both"/>
            <w:rPr>
              <w:rFonts w:ascii="Palatino Linotype" w:eastAsia="Palatino Linotype" w:hAnsi="Palatino Linotype" w:cs="Palatino Linotype"/>
              <w:b/>
            </w:rPr>
          </w:pPr>
          <w:r>
            <w:rPr>
              <w:rFonts w:ascii="Palatino Linotype" w:eastAsia="Palatino Linotype" w:hAnsi="Palatino Linotype" w:cs="Palatino Linotype"/>
              <w:b/>
            </w:rPr>
            <w:t>05279/INFOEM/IP/RR/2021</w:t>
          </w:r>
        </w:p>
      </w:tc>
    </w:tr>
    <w:tr w:rsidR="00D5471C">
      <w:trPr>
        <w:trHeight w:val="228"/>
      </w:trPr>
      <w:tc>
        <w:tcPr>
          <w:tcW w:w="0" w:type="auto"/>
          <w:shd w:val="clear" w:color="auto" w:fill="auto"/>
          <w:vAlign w:val="center"/>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0" w:type="auto"/>
          <w:shd w:val="clear" w:color="auto" w:fill="auto"/>
          <w:vAlign w:val="center"/>
        </w:tcPr>
        <w:p w:rsidR="00D5471C" w:rsidRDefault="00C12D7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Poder Judicial</w:t>
          </w:r>
        </w:p>
      </w:tc>
    </w:tr>
    <w:tr w:rsidR="00D5471C">
      <w:tc>
        <w:tcPr>
          <w:tcW w:w="0" w:type="auto"/>
          <w:shd w:val="clear" w:color="auto" w:fill="auto"/>
          <w:vAlign w:val="center"/>
        </w:tcPr>
        <w:p w:rsidR="00D5471C" w:rsidRDefault="00C12D76">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0" w:type="auto"/>
          <w:shd w:val="clear" w:color="auto" w:fill="auto"/>
          <w:vAlign w:val="center"/>
        </w:tcPr>
        <w:p w:rsidR="00D5471C" w:rsidRDefault="00C12D76">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5471C" w:rsidRDefault="00C12D7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1C" w:rsidRDefault="00D5471C">
    <w:pPr>
      <w:widowControl w:val="0"/>
      <w:pBdr>
        <w:top w:val="nil"/>
        <w:left w:val="nil"/>
        <w:bottom w:val="nil"/>
        <w:right w:val="nil"/>
        <w:between w:val="nil"/>
      </w:pBdr>
      <w:spacing w:line="276" w:lineRule="auto"/>
      <w:rPr>
        <w:rFonts w:ascii="Calibri" w:eastAsia="Calibri" w:hAnsi="Calibri" w:cs="Calibri"/>
        <w:color w:val="000000"/>
      </w:rPr>
    </w:pPr>
  </w:p>
  <w:tbl>
    <w:tblPr>
      <w:tblStyle w:val="aa"/>
      <w:tblW w:w="5953" w:type="dxa"/>
      <w:tblInd w:w="3261" w:type="dxa"/>
      <w:tblLayout w:type="fixed"/>
      <w:tblLook w:val="0400" w:firstRow="0" w:lastRow="0" w:firstColumn="0" w:lastColumn="0" w:noHBand="0" w:noVBand="1"/>
    </w:tblPr>
    <w:tblGrid>
      <w:gridCol w:w="2551"/>
      <w:gridCol w:w="3402"/>
    </w:tblGrid>
    <w:tr w:rsidR="00D5471C">
      <w:tc>
        <w:tcPr>
          <w:tcW w:w="2551" w:type="dxa"/>
          <w:shd w:val="clear" w:color="auto" w:fill="auto"/>
          <w:vAlign w:val="center"/>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D5471C" w:rsidRDefault="00C12D76">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05279/INFOEM/IP/RR/2021</w:t>
          </w:r>
        </w:p>
      </w:tc>
    </w:tr>
    <w:tr w:rsidR="00D5471C">
      <w:trPr>
        <w:trHeight w:val="130"/>
      </w:trPr>
      <w:tc>
        <w:tcPr>
          <w:tcW w:w="2551" w:type="dxa"/>
          <w:shd w:val="clear" w:color="auto" w:fill="auto"/>
          <w:vAlign w:val="center"/>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D5471C" w:rsidRDefault="00C12D76">
          <w:pPr>
            <w:ind w:left="-45"/>
            <w:jc w:val="both"/>
            <w:rPr>
              <w:rFonts w:ascii="Palatino Linotype" w:eastAsia="Palatino Linotype" w:hAnsi="Palatino Linotype" w:cs="Palatino Linotype"/>
              <w:b/>
            </w:rPr>
          </w:pPr>
          <w:r>
            <w:rPr>
              <w:rFonts w:ascii="Palatino Linotype" w:eastAsia="Palatino Linotype" w:hAnsi="Palatino Linotype" w:cs="Palatino Linotype"/>
              <w:b/>
            </w:rPr>
            <w:t>ALEJANDRO IVAN ARIAS BARAJAS</w:t>
          </w:r>
        </w:p>
      </w:tc>
    </w:tr>
    <w:tr w:rsidR="00D5471C">
      <w:trPr>
        <w:trHeight w:val="228"/>
      </w:trPr>
      <w:tc>
        <w:tcPr>
          <w:tcW w:w="2551" w:type="dxa"/>
          <w:shd w:val="clear" w:color="auto" w:fill="auto"/>
          <w:vAlign w:val="center"/>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D5471C" w:rsidRDefault="00C12D7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Poder Judicial</w:t>
          </w:r>
        </w:p>
      </w:tc>
    </w:tr>
    <w:tr w:rsidR="00D5471C">
      <w:tc>
        <w:tcPr>
          <w:tcW w:w="2551" w:type="dxa"/>
          <w:shd w:val="clear" w:color="auto" w:fill="auto"/>
          <w:vAlign w:val="center"/>
        </w:tcPr>
        <w:p w:rsidR="00D5471C" w:rsidRDefault="00C12D7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D5471C" w:rsidRDefault="00C12D76">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5471C" w:rsidRDefault="00C12D7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61312" behindDoc="1" locked="0" layoutInCell="1" hidden="0" allowOverlap="1">
          <wp:simplePos x="0" y="0"/>
          <wp:positionH relativeFrom="column">
            <wp:posOffset>0</wp:posOffset>
          </wp:positionH>
          <wp:positionV relativeFrom="paragraph">
            <wp:posOffset>-1170938</wp:posOffset>
          </wp:positionV>
          <wp:extent cx="7809865" cy="10165715"/>
          <wp:effectExtent l="0" t="0" r="0" b="0"/>
          <wp:wrapNone/>
          <wp:docPr id="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5B7"/>
    <w:multiLevelType w:val="multilevel"/>
    <w:tmpl w:val="11D8F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4747D7"/>
    <w:multiLevelType w:val="multilevel"/>
    <w:tmpl w:val="7F28835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A05CD"/>
    <w:multiLevelType w:val="multilevel"/>
    <w:tmpl w:val="8056E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64CDF"/>
    <w:multiLevelType w:val="multilevel"/>
    <w:tmpl w:val="9514BF1E"/>
    <w:lvl w:ilvl="0">
      <w:start w:val="1"/>
      <w:numFmt w:val="low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6E12236"/>
    <w:multiLevelType w:val="multilevel"/>
    <w:tmpl w:val="40BE36B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90F97"/>
    <w:multiLevelType w:val="multilevel"/>
    <w:tmpl w:val="A67ECB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1E143D"/>
    <w:multiLevelType w:val="multilevel"/>
    <w:tmpl w:val="208E2B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1C"/>
    <w:rsid w:val="001430D6"/>
    <w:rsid w:val="002C10FF"/>
    <w:rsid w:val="009C6215"/>
    <w:rsid w:val="00A225BC"/>
    <w:rsid w:val="00C12D76"/>
    <w:rsid w:val="00C9558A"/>
    <w:rsid w:val="00D54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0D577-57E6-4073-ACC7-68F058FD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 w:type="table" w:customStyle="1" w:styleId="a7">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0"/>
    <w:rPr>
      <w:sz w:val="22"/>
      <w:szCs w:val="22"/>
    </w:rPr>
    <w:tblPr>
      <w:tblStyleRowBandSize w:val="1"/>
      <w:tblStyleColBandSize w:val="1"/>
      <w:tblCellMar>
        <w:left w:w="115" w:type="dxa"/>
        <w:right w:w="115" w:type="dxa"/>
      </w:tblCellMar>
    </w:tblPr>
  </w:style>
  <w:style w:type="table" w:customStyle="1" w:styleId="a9">
    <w:basedOn w:val="TableNormal0"/>
    <w:rPr>
      <w:sz w:val="22"/>
      <w:szCs w:val="22"/>
    </w:rPr>
    <w:tblPr>
      <w:tblStyleRowBandSize w:val="1"/>
      <w:tblStyleColBandSize w:val="1"/>
      <w:tblCellMar>
        <w:left w:w="115" w:type="dxa"/>
        <w:right w:w="115" w:type="dxa"/>
      </w:tblCellMar>
    </w:tblPr>
  </w:style>
  <w:style w:type="table" w:customStyle="1" w:styleId="aa">
    <w:basedOn w:val="TableNormal0"/>
    <w:rPr>
      <w:sz w:val="22"/>
      <w:szCs w:val="22"/>
    </w:rPr>
    <w:tblPr>
      <w:tblStyleRowBandSize w:val="1"/>
      <w:tblStyleColBandSize w:val="1"/>
      <w:tblCellMar>
        <w:left w:w="115" w:type="dxa"/>
        <w:right w:w="115" w:type="dxa"/>
      </w:tblCellMar>
    </w:tblPr>
  </w:style>
  <w:style w:type="table" w:customStyle="1" w:styleId="ab">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header4.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BFvnn8scFKlBa/OyID2wFFiKwA==">AMUW2mXHYrmBGa9ytMTJP37kl6P0U/aqhVBCn+hJwxDLUZab/URxbsJAqf7gUo1qaIYAUlnZyuTACNSCF4EQnlSEZrnTwKAmR+pylCobv/FODJ6Nf0ypIuVcG10yFql/bequIMGwBPcP+X8cj//yOFQYspaPjmSMA4BtUsuc0tLDlEvClzXWjR0=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9865</Words>
  <Characters>54261</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2022-04-05T17:51:00Z</dcterms:created>
  <dcterms:modified xsi:type="dcterms:W3CDTF">2022-04-05T23:43:00Z</dcterms:modified>
</cp:coreProperties>
</file>