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67D87681"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51A50">
        <w:rPr>
          <w:rFonts w:ascii="Palatino Linotype" w:hAnsi="Palatino Linotype" w:cs="Arial"/>
          <w:color w:val="000000"/>
          <w:lang w:val="es-419" w:eastAsia="es-MX"/>
        </w:rPr>
        <w:t>doce</w:t>
      </w:r>
      <w:r w:rsidR="008C6E96">
        <w:rPr>
          <w:rFonts w:ascii="Palatino Linotype" w:hAnsi="Palatino Linotype" w:cs="Arial"/>
          <w:color w:val="000000"/>
          <w:lang w:val="es-419" w:eastAsia="es-MX"/>
        </w:rPr>
        <w:t xml:space="preserve"> </w:t>
      </w:r>
      <w:r w:rsidR="00971FFC">
        <w:rPr>
          <w:rFonts w:ascii="Palatino Linotype" w:hAnsi="Palatino Linotype" w:cs="Arial"/>
          <w:color w:val="000000"/>
          <w:lang w:val="es-MX" w:eastAsia="es-MX"/>
        </w:rPr>
        <w:t xml:space="preserve">de </w:t>
      </w:r>
      <w:r w:rsidR="00C51A50">
        <w:rPr>
          <w:rFonts w:ascii="Palatino Linotype" w:hAnsi="Palatino Linotype" w:cs="Arial"/>
          <w:color w:val="000000"/>
          <w:lang w:val="es-419" w:eastAsia="es-MX"/>
        </w:rPr>
        <w:t>octubre</w:t>
      </w:r>
      <w:r w:rsidR="00971FFC">
        <w:rPr>
          <w:rFonts w:ascii="Palatino Linotype" w:hAnsi="Palatino Linotype" w:cs="Arial"/>
          <w:color w:val="000000"/>
          <w:lang w:val="es-MX" w:eastAsia="es-MX"/>
        </w:rPr>
        <w:t xml:space="preserve"> de </w:t>
      </w:r>
      <w:r w:rsidR="00AE3F0A" w:rsidRPr="0013589E">
        <w:rPr>
          <w:rFonts w:ascii="Palatino Linotype" w:hAnsi="Palatino Linotype" w:cs="Arial"/>
          <w:color w:val="000000"/>
          <w:lang w:val="es-MX" w:eastAsia="es-MX"/>
        </w:rPr>
        <w:t>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2304C2EC"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b/>
          <w:lang w:val="es-MX" w:eastAsia="en-US"/>
        </w:rPr>
        <w:t>VISTO</w:t>
      </w:r>
      <w:r w:rsidRPr="0013589E">
        <w:rPr>
          <w:rFonts w:ascii="Palatino Linotype" w:eastAsiaTheme="minorHAnsi" w:hAnsi="Palatino Linotype" w:cs="Arial"/>
          <w:lang w:val="es-MX" w:eastAsia="en-US"/>
        </w:rPr>
        <w:t xml:space="preserve"> </w:t>
      </w:r>
      <w:r w:rsidR="00C51A50">
        <w:rPr>
          <w:rFonts w:ascii="Palatino Linotype" w:eastAsiaTheme="minorHAnsi" w:hAnsi="Palatino Linotype" w:cs="Arial"/>
          <w:lang w:val="es-MX" w:eastAsia="en-US"/>
        </w:rPr>
        <w:t>e</w:t>
      </w:r>
      <w:r w:rsidR="00CB053A">
        <w:rPr>
          <w:rFonts w:ascii="Palatino Linotype" w:eastAsiaTheme="minorHAnsi" w:hAnsi="Palatino Linotype" w:cs="Arial"/>
          <w:lang w:val="es-419" w:eastAsia="en-US"/>
        </w:rPr>
        <w:t>l</w:t>
      </w:r>
      <w:r w:rsidRPr="0013589E">
        <w:rPr>
          <w:rFonts w:ascii="Palatino Linotype" w:eastAsiaTheme="minorHAnsi" w:hAnsi="Palatino Linotype" w:cs="Arial"/>
          <w:lang w:val="es-MX" w:eastAsia="en-US"/>
        </w:rPr>
        <w:t xml:space="preserve"> expediente electrónico formado</w:t>
      </w:r>
      <w:r w:rsidR="00C51A50">
        <w:rPr>
          <w:rFonts w:ascii="Palatino Linotype" w:eastAsiaTheme="minorHAnsi" w:hAnsi="Palatino Linotype" w:cs="Arial"/>
          <w:lang w:val="es-419" w:eastAsia="en-US"/>
        </w:rPr>
        <w:t xml:space="preserve"> </w:t>
      </w:r>
      <w:r w:rsidRPr="0013589E">
        <w:rPr>
          <w:rFonts w:ascii="Palatino Linotype" w:eastAsiaTheme="minorHAnsi" w:hAnsi="Palatino Linotype" w:cs="Arial"/>
          <w:lang w:val="es-MX" w:eastAsia="en-US"/>
        </w:rPr>
        <w:t xml:space="preserve">con motivo del recurso de revisión número </w:t>
      </w:r>
      <w:r w:rsidR="00C51A50">
        <w:rPr>
          <w:rFonts w:ascii="Palatino Linotype" w:eastAsiaTheme="minorHAnsi" w:hAnsi="Palatino Linotype" w:cs="Arial"/>
          <w:b/>
          <w:lang w:val="es-MX" w:eastAsia="en-US"/>
        </w:rPr>
        <w:t>11145</w:t>
      </w:r>
      <w:r w:rsidR="00971FFC" w:rsidRPr="00971FFC">
        <w:rPr>
          <w:rFonts w:ascii="Palatino Linotype" w:eastAsiaTheme="minorHAnsi" w:hAnsi="Palatino Linotype" w:cs="Arial"/>
          <w:b/>
          <w:lang w:val="es-MX" w:eastAsia="en-US"/>
        </w:rPr>
        <w:t>/INFOEM/IP/RR/2022</w:t>
      </w:r>
      <w:r w:rsidRPr="0013589E">
        <w:rPr>
          <w:rFonts w:ascii="Palatino Linotype" w:eastAsiaTheme="minorHAnsi" w:hAnsi="Palatino Linotype" w:cs="Arial"/>
          <w:lang w:val="es-MX" w:eastAsia="en-US"/>
        </w:rPr>
        <w:t xml:space="preserve">, </w:t>
      </w:r>
      <w:r w:rsidR="00D81FF3">
        <w:rPr>
          <w:rFonts w:ascii="Palatino Linotype" w:hAnsi="Palatino Linotype"/>
        </w:rPr>
        <w:t xml:space="preserve">interpuesto por </w:t>
      </w:r>
      <w:r w:rsidR="00C51A50">
        <w:rPr>
          <w:rFonts w:ascii="Palatino Linotype" w:hAnsi="Palatino Linotype"/>
        </w:rPr>
        <w:t xml:space="preserve">el </w:t>
      </w:r>
      <w:r w:rsidR="00140901">
        <w:rPr>
          <w:rFonts w:ascii="Palatino Linotype" w:hAnsi="Palatino Linotype"/>
          <w:b/>
        </w:rPr>
        <w:t>XXXXXXXXXXXXXXXX</w:t>
      </w:r>
      <w:r w:rsidR="00C51A50">
        <w:rPr>
          <w:rFonts w:ascii="Palatino Linotype" w:hAnsi="Palatino Linotype"/>
        </w:rPr>
        <w:t xml:space="preserve">, </w:t>
      </w:r>
      <w:r w:rsidR="00D81FF3" w:rsidRPr="00C35F18">
        <w:rPr>
          <w:rFonts w:ascii="Palatino Linotype" w:hAnsi="Palatino Linotype"/>
        </w:rPr>
        <w:t xml:space="preserve">en lo sucesivo </w:t>
      </w:r>
      <w:r w:rsidR="00D81FF3">
        <w:rPr>
          <w:rFonts w:ascii="Palatino Linotype" w:hAnsi="Palatino Linotype"/>
        </w:rPr>
        <w:t>será</w:t>
      </w:r>
      <w:r w:rsidR="007F59F5">
        <w:rPr>
          <w:rFonts w:ascii="Palatino Linotype" w:hAnsi="Palatino Linotype"/>
          <w:lang w:val="es-419"/>
        </w:rPr>
        <w:t xml:space="preserve"> denominado como</w:t>
      </w:r>
      <w:r w:rsidR="00D81FF3">
        <w:rPr>
          <w:rFonts w:ascii="Palatino Linotype" w:hAnsi="Palatino Linotype"/>
        </w:rPr>
        <w:t xml:space="preserve"> </w:t>
      </w:r>
      <w:r w:rsidR="00D81FF3" w:rsidRPr="007F59F5">
        <w:rPr>
          <w:rFonts w:ascii="Palatino Linotype" w:hAnsi="Palatino Linotype"/>
          <w:b/>
        </w:rPr>
        <w:t xml:space="preserve">el </w:t>
      </w:r>
      <w:r w:rsidR="00D81FF3" w:rsidRPr="00C35F18">
        <w:rPr>
          <w:rFonts w:ascii="Palatino Linotype" w:hAnsi="Palatino Linotype"/>
          <w:b/>
        </w:rPr>
        <w:t>Recurrente</w:t>
      </w:r>
      <w:r w:rsidR="00D81FF3" w:rsidRPr="00C35F18">
        <w:rPr>
          <w:rFonts w:ascii="Palatino Linotype" w:hAnsi="Palatino Linotype"/>
        </w:rPr>
        <w:t xml:space="preserve">, en contra de la </w:t>
      </w:r>
      <w:r w:rsidR="00D81FF3" w:rsidRPr="00216B8D">
        <w:rPr>
          <w:rFonts w:ascii="Palatino Linotype" w:hAnsi="Palatino Linotype"/>
        </w:rPr>
        <w:t xml:space="preserve">respuesta </w:t>
      </w:r>
      <w:r w:rsidR="00D81FF3">
        <w:rPr>
          <w:rFonts w:ascii="Palatino Linotype" w:hAnsi="Palatino Linotype" w:cs="Arial"/>
        </w:rPr>
        <w:t xml:space="preserve">proporcionada por el </w:t>
      </w:r>
      <w:r w:rsidR="00C51A50">
        <w:rPr>
          <w:rFonts w:ascii="Palatino Linotype" w:hAnsi="Palatino Linotype" w:cs="Arial"/>
          <w:b/>
        </w:rPr>
        <w:t>Ayuntamiento de Toluca</w:t>
      </w:r>
      <w:r w:rsidR="00D81FF3" w:rsidRPr="008C6E96">
        <w:rPr>
          <w:rFonts w:ascii="Palatino Linotype" w:hAnsi="Palatino Linotype" w:cs="Arial"/>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70A00ECF"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 solicitud</w:t>
      </w:r>
      <w:r w:rsidR="00B249BB">
        <w:rPr>
          <w:rFonts w:ascii="Palatino Linotype" w:eastAsiaTheme="minorHAnsi" w:hAnsi="Palatino Linotype" w:cs="Arial"/>
          <w:b/>
          <w:sz w:val="28"/>
          <w:lang w:val="es-419" w:eastAsia="en-US"/>
        </w:rPr>
        <w:t xml:space="preserve"> </w:t>
      </w:r>
      <w:r w:rsidRPr="0013589E">
        <w:rPr>
          <w:rFonts w:ascii="Palatino Linotype" w:eastAsiaTheme="minorHAnsi" w:hAnsi="Palatino Linotype" w:cs="Arial"/>
          <w:b/>
          <w:sz w:val="28"/>
          <w:lang w:val="es-MX" w:eastAsia="en-US"/>
        </w:rPr>
        <w:t>de información.</w:t>
      </w:r>
    </w:p>
    <w:p w14:paraId="157D5B09" w14:textId="3B067553" w:rsidR="0029071C" w:rsidRPr="00D81FF3" w:rsidRDefault="0029071C" w:rsidP="00D81FF3">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C51A50">
        <w:rPr>
          <w:rFonts w:ascii="Palatino Linotype" w:eastAsiaTheme="minorHAnsi" w:hAnsi="Palatino Linotype" w:cs="Arial"/>
          <w:szCs w:val="22"/>
          <w:lang w:val="es-419" w:eastAsia="en-US"/>
        </w:rPr>
        <w:t>trece</w:t>
      </w:r>
      <w:r w:rsidR="007F59F5">
        <w:rPr>
          <w:rFonts w:ascii="Palatino Linotype" w:eastAsiaTheme="minorHAnsi" w:hAnsi="Palatino Linotype" w:cs="Arial"/>
          <w:szCs w:val="22"/>
          <w:lang w:val="es-419" w:eastAsia="en-US"/>
        </w:rPr>
        <w:t xml:space="preserve"> </w:t>
      </w:r>
      <w:r w:rsidR="006431AA">
        <w:rPr>
          <w:rFonts w:ascii="Palatino Linotype" w:eastAsiaTheme="minorHAnsi" w:hAnsi="Palatino Linotype" w:cs="Arial"/>
          <w:szCs w:val="22"/>
          <w:lang w:val="es-MX" w:eastAsia="en-US"/>
        </w:rPr>
        <w:t xml:space="preserve">de </w:t>
      </w:r>
      <w:r w:rsidR="00C51A50">
        <w:rPr>
          <w:rFonts w:ascii="Palatino Linotype" w:eastAsiaTheme="minorHAnsi" w:hAnsi="Palatino Linotype" w:cs="Arial"/>
          <w:szCs w:val="22"/>
          <w:lang w:val="es-419" w:eastAsia="en-US"/>
        </w:rPr>
        <w:t>mayo</w:t>
      </w:r>
      <w:r w:rsidR="006431AA">
        <w:rPr>
          <w:rFonts w:ascii="Palatino Linotype" w:eastAsiaTheme="minorHAnsi" w:hAnsi="Palatino Linotype" w:cs="Arial"/>
          <w:szCs w:val="22"/>
          <w:lang w:val="es-MX" w:eastAsia="en-US"/>
        </w:rPr>
        <w:t xml:space="preserve">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 solicitud de acceso a la información pública, a la que se le</w:t>
      </w:r>
      <w:r w:rsidR="00112BE0" w:rsidRPr="0013589E">
        <w:rPr>
          <w:rFonts w:ascii="Palatino Linotype" w:eastAsiaTheme="minorHAnsi" w:hAnsi="Palatino Linotype" w:cs="Arial"/>
          <w:szCs w:val="22"/>
          <w:lang w:val="es-MX" w:eastAsia="en-US"/>
        </w:rPr>
        <w:t xml:space="preserve"> asignó el </w:t>
      </w:r>
      <w:r w:rsidR="00112BE0" w:rsidRPr="00D81FF3">
        <w:rPr>
          <w:rFonts w:ascii="Palatino Linotype" w:eastAsiaTheme="minorHAnsi" w:hAnsi="Palatino Linotype" w:cs="Arial"/>
          <w:szCs w:val="22"/>
          <w:lang w:val="es-MX" w:eastAsia="en-US"/>
        </w:rPr>
        <w:t xml:space="preserve">número de expediente </w:t>
      </w:r>
      <w:r w:rsidR="00971FFC" w:rsidRPr="00D81FF3">
        <w:rPr>
          <w:rFonts w:ascii="Palatino Linotype" w:eastAsiaTheme="minorHAnsi" w:hAnsi="Palatino Linotype" w:cs="Arial"/>
          <w:b/>
          <w:szCs w:val="22"/>
          <w:lang w:val="es-MX" w:eastAsia="en-US"/>
        </w:rPr>
        <w:t>0</w:t>
      </w:r>
      <w:r w:rsidR="00C51A50">
        <w:rPr>
          <w:rFonts w:ascii="Palatino Linotype" w:eastAsiaTheme="minorHAnsi" w:hAnsi="Palatino Linotype" w:cs="Arial"/>
          <w:b/>
          <w:szCs w:val="22"/>
          <w:lang w:val="es-419" w:eastAsia="en-US"/>
        </w:rPr>
        <w:t>1291</w:t>
      </w:r>
      <w:r w:rsidR="00971FFC" w:rsidRPr="00D81FF3">
        <w:rPr>
          <w:rFonts w:ascii="Palatino Linotype" w:eastAsiaTheme="minorHAnsi" w:hAnsi="Palatino Linotype" w:cs="Arial"/>
          <w:b/>
          <w:szCs w:val="22"/>
          <w:lang w:val="es-MX" w:eastAsia="en-US"/>
        </w:rPr>
        <w:t>/</w:t>
      </w:r>
      <w:r w:rsidR="00C51A50">
        <w:rPr>
          <w:rFonts w:ascii="Palatino Linotype" w:eastAsiaTheme="minorHAnsi" w:hAnsi="Palatino Linotype" w:cs="Arial"/>
          <w:b/>
          <w:szCs w:val="22"/>
          <w:lang w:val="es-419" w:eastAsia="en-US"/>
        </w:rPr>
        <w:t>TOLUCA</w:t>
      </w:r>
      <w:r w:rsidR="00971FFC" w:rsidRPr="00D81FF3">
        <w:rPr>
          <w:rFonts w:ascii="Palatino Linotype" w:eastAsiaTheme="minorHAnsi" w:hAnsi="Palatino Linotype" w:cs="Arial"/>
          <w:b/>
          <w:szCs w:val="22"/>
          <w:lang w:val="es-MX" w:eastAsia="en-US"/>
        </w:rPr>
        <w:t>/IP/2022</w:t>
      </w:r>
      <w:r w:rsidRPr="00D81FF3">
        <w:rPr>
          <w:rFonts w:ascii="Palatino Linotype" w:eastAsiaTheme="minorHAnsi" w:hAnsi="Palatino Linotype" w:cs="Arial"/>
          <w:szCs w:val="22"/>
          <w:lang w:val="es-MX" w:eastAsia="en-US"/>
        </w:rPr>
        <w:t>, mediante la cual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5A685361" w14:textId="36A2279A" w:rsidR="00DC7F15" w:rsidRPr="00790566" w:rsidRDefault="0029071C" w:rsidP="00C51A50">
      <w:pPr>
        <w:spacing w:line="360" w:lineRule="auto"/>
        <w:ind w:left="567" w:right="567"/>
        <w:jc w:val="both"/>
        <w:rPr>
          <w:rFonts w:ascii="Palatino Linotype" w:hAnsi="Palatino Linotype"/>
          <w:i/>
          <w:lang w:val="es-MX" w:eastAsia="es-MX"/>
        </w:rPr>
      </w:pPr>
      <w:r w:rsidRPr="00790566">
        <w:rPr>
          <w:rFonts w:ascii="Palatino Linotype" w:hAnsi="Palatino Linotype"/>
          <w:i/>
          <w:lang w:val="es-MX" w:eastAsia="es-MX"/>
        </w:rPr>
        <w:t>“</w:t>
      </w:r>
      <w:r w:rsidR="00C51A50" w:rsidRPr="00C51A50">
        <w:rPr>
          <w:rFonts w:ascii="Palatino Linotype" w:hAnsi="Palatino Linotype"/>
          <w:i/>
          <w:lang w:val="es-MX" w:eastAsia="es-MX"/>
        </w:rPr>
        <w:t xml:space="preserve">documentos presentados por los tres integrantes designados para el Comité de Participación Ciudadana para el municipio de Toluca así como las personas que participaron en la misma; lo anterior de acuerdo a lo solicitado por la convocatoria emitida, los cuales son: 1. Curriculum Vitae 2. Constancia de residencia o vecindad 3. Constancia(s) de postulación 4. Hoja de datos de identificación 5.Exposición de motivos 6.Proyecto de trabajo 7. protesta de decir verdad 8. acta de nacimiento y </w:t>
      </w:r>
      <w:r w:rsidR="00C51A50" w:rsidRPr="00C51A50">
        <w:rPr>
          <w:rFonts w:ascii="Palatino Linotype" w:hAnsi="Palatino Linotype"/>
          <w:i/>
          <w:lang w:val="es-MX" w:eastAsia="es-MX"/>
        </w:rPr>
        <w:lastRenderedPageBreak/>
        <w:t>credencial para votar o documento oficial La legislación en la materia establece que deben ser públicas, y no han sido exhibidos los documentos de todos los participantes</w:t>
      </w:r>
      <w:r w:rsidR="00DC7F15" w:rsidRPr="00790566">
        <w:rPr>
          <w:rFonts w:ascii="Palatino Linotype" w:hAnsi="Palatino Linotype"/>
          <w:i/>
          <w:lang w:val="es-MX" w:eastAsia="es-MX"/>
        </w:rPr>
        <w:t>.” (Sic).</w:t>
      </w:r>
    </w:p>
    <w:p w14:paraId="126F7F03" w14:textId="77777777" w:rsidR="00DC7F15" w:rsidRDefault="00DC7F15" w:rsidP="00D81FF3">
      <w:pPr>
        <w:spacing w:line="360" w:lineRule="auto"/>
        <w:rPr>
          <w:rFonts w:ascii="Palatino Linotype" w:hAnsi="Palatino Linotype"/>
          <w:lang w:val="es-MX"/>
        </w:rPr>
      </w:pPr>
    </w:p>
    <w:p w14:paraId="6720EDFA" w14:textId="763D8C65" w:rsidR="007F59F5" w:rsidRDefault="00F80B7B" w:rsidP="00D81FF3">
      <w:pPr>
        <w:spacing w:line="360" w:lineRule="auto"/>
        <w:rPr>
          <w:rFonts w:ascii="Palatino Linotype" w:hAnsi="Palatino Linotype"/>
          <w:lang w:val="es-419"/>
        </w:rPr>
      </w:pPr>
      <w:r>
        <w:rPr>
          <w:rFonts w:ascii="Palatino Linotype" w:hAnsi="Palatino Linotype"/>
          <w:lang w:val="es-419"/>
        </w:rPr>
        <w:t>Señalando en su</w:t>
      </w:r>
      <w:r w:rsidR="00DC7F15">
        <w:rPr>
          <w:rFonts w:ascii="Palatino Linotype" w:hAnsi="Palatino Linotype"/>
          <w:lang w:val="es-419"/>
        </w:rPr>
        <w:t>s</w:t>
      </w:r>
      <w:r>
        <w:rPr>
          <w:rFonts w:ascii="Palatino Linotype" w:hAnsi="Palatino Linotype"/>
          <w:lang w:val="es-419"/>
        </w:rPr>
        <w:t xml:space="preserve"> solicitud</w:t>
      </w:r>
      <w:r w:rsidR="00DC7F15">
        <w:rPr>
          <w:rFonts w:ascii="Palatino Linotype" w:hAnsi="Palatino Linotype"/>
          <w:lang w:val="es-419"/>
        </w:rPr>
        <w:t>es</w:t>
      </w:r>
      <w:r>
        <w:rPr>
          <w:rFonts w:ascii="Palatino Linotype" w:hAnsi="Palatino Linotype"/>
          <w:lang w:val="es-419"/>
        </w:rPr>
        <w:t xml:space="preserve"> de información como modalidad de entrega: </w:t>
      </w:r>
      <w:r w:rsidRPr="00F80B7B">
        <w:rPr>
          <w:rFonts w:ascii="Palatino Linotype" w:hAnsi="Palatino Linotype"/>
          <w:b/>
          <w:lang w:val="es-419"/>
        </w:rPr>
        <w:t>“A través del SAIMEX</w:t>
      </w:r>
      <w:r>
        <w:rPr>
          <w:rFonts w:ascii="Palatino Linotype" w:hAnsi="Palatino Linotype"/>
          <w:lang w:val="es-419"/>
        </w:rPr>
        <w:t>.”</w:t>
      </w:r>
    </w:p>
    <w:p w14:paraId="78EE9690" w14:textId="77777777" w:rsidR="00534471" w:rsidRPr="00F80B7B" w:rsidRDefault="00534471" w:rsidP="00D81FF3">
      <w:pPr>
        <w:spacing w:line="360" w:lineRule="auto"/>
        <w:rPr>
          <w:rFonts w:ascii="Palatino Linotype" w:hAnsi="Palatino Linotype"/>
          <w:lang w:val="es-419"/>
        </w:rPr>
      </w:pPr>
    </w:p>
    <w:p w14:paraId="35326D1B" w14:textId="45F4337E"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01DECE7E"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C51A50">
        <w:rPr>
          <w:rFonts w:ascii="Palatino Linotype" w:eastAsiaTheme="minorHAnsi" w:hAnsi="Palatino Linotype" w:cs="Arial"/>
          <w:b/>
          <w:lang w:val="es-419" w:eastAsia="en-US"/>
        </w:rPr>
        <w:t>tres</w:t>
      </w:r>
      <w:r w:rsidR="00790566" w:rsidRPr="00CF6609">
        <w:rPr>
          <w:rFonts w:ascii="Palatino Linotype" w:eastAsiaTheme="minorHAnsi" w:hAnsi="Palatino Linotype" w:cs="Arial"/>
          <w:b/>
          <w:lang w:val="es-419" w:eastAsia="en-US"/>
        </w:rPr>
        <w:t xml:space="preserve"> </w:t>
      </w:r>
      <w:r w:rsidR="008105E8" w:rsidRPr="00CF6609">
        <w:rPr>
          <w:rFonts w:ascii="Palatino Linotype" w:eastAsiaTheme="minorHAnsi" w:hAnsi="Palatino Linotype" w:cs="Arial"/>
          <w:b/>
          <w:lang w:val="es-MX" w:eastAsia="en-US"/>
        </w:rPr>
        <w:t xml:space="preserve">de </w:t>
      </w:r>
      <w:r w:rsidR="00C51A50">
        <w:rPr>
          <w:rFonts w:ascii="Palatino Linotype" w:eastAsiaTheme="minorHAnsi" w:hAnsi="Palatino Linotype" w:cs="Arial"/>
          <w:b/>
          <w:lang w:val="es-419" w:eastAsia="en-US"/>
        </w:rPr>
        <w:t>junio</w:t>
      </w:r>
      <w:r w:rsidR="000E00A4" w:rsidRPr="00CF6609">
        <w:rPr>
          <w:rFonts w:ascii="Palatino Linotype" w:eastAsiaTheme="minorHAnsi" w:hAnsi="Palatino Linotype" w:cs="Arial"/>
          <w:b/>
          <w:lang w:val="es-MX" w:eastAsia="en-US"/>
        </w:rPr>
        <w:t xml:space="preserve"> 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 respuesta en los siguientes términos:</w:t>
      </w:r>
    </w:p>
    <w:p w14:paraId="43D61DCC" w14:textId="77777777" w:rsidR="0029071C" w:rsidRPr="00913317" w:rsidRDefault="0029071C" w:rsidP="00913317">
      <w:pPr>
        <w:spacing w:line="360" w:lineRule="auto"/>
        <w:jc w:val="both"/>
        <w:rPr>
          <w:rFonts w:ascii="Palatino Linotype" w:eastAsiaTheme="minorHAnsi" w:hAnsi="Palatino Linotype" w:cs="Arial"/>
          <w:lang w:val="es-MX" w:eastAsia="en-US"/>
        </w:rPr>
      </w:pPr>
    </w:p>
    <w:p w14:paraId="6C6E7F81" w14:textId="6DBF85EE" w:rsidR="0029071C" w:rsidRPr="0013589E" w:rsidRDefault="0029071C" w:rsidP="00D81FF3">
      <w:pPr>
        <w:ind w:left="567" w:right="567"/>
        <w:jc w:val="both"/>
        <w:rPr>
          <w:rFonts w:ascii="Palatino Linotype" w:hAnsi="Palatino Linotype"/>
          <w:i/>
          <w:sz w:val="22"/>
          <w:szCs w:val="22"/>
          <w:lang w:val="es-MX" w:eastAsia="es-MX"/>
        </w:rPr>
      </w:pPr>
      <w:r w:rsidRPr="0013589E">
        <w:rPr>
          <w:rFonts w:ascii="Palatino Linotype" w:hAnsi="Palatino Linotype"/>
          <w:i/>
          <w:sz w:val="22"/>
          <w:szCs w:val="22"/>
          <w:lang w:val="es-MX" w:eastAsia="es-MX"/>
        </w:rPr>
        <w:t>“</w:t>
      </w:r>
      <w:r w:rsidR="00C51A50" w:rsidRPr="00C51A50">
        <w:rPr>
          <w:rFonts w:ascii="Palatino Linotype" w:hAnsi="Palatino Linotype"/>
          <w:i/>
          <w:sz w:val="22"/>
          <w:szCs w:val="22"/>
          <w:lang w:val="es-MX" w:eastAsia="es-MX"/>
        </w:rPr>
        <w:t>En atención a la solicitud con folio 01291/TOLUCA/IP/2022, me permito adjuntar al presente la respuesta correspondiente y sus anexos. Sin más por el momento, reciba un saludo</w:t>
      </w:r>
      <w:r w:rsidR="00E74701" w:rsidRPr="0013589E">
        <w:rPr>
          <w:rFonts w:ascii="Palatino Linotype" w:hAnsi="Palatino Linotype"/>
          <w:i/>
          <w:sz w:val="22"/>
          <w:szCs w:val="22"/>
          <w:lang w:val="es-MX" w:eastAsia="es-MX"/>
        </w:rPr>
        <w:t>” (Sic).</w:t>
      </w:r>
    </w:p>
    <w:p w14:paraId="401E443B" w14:textId="77777777" w:rsidR="008105E8" w:rsidRPr="00D81FF3" w:rsidRDefault="008105E8" w:rsidP="0029071C">
      <w:pPr>
        <w:spacing w:line="360" w:lineRule="auto"/>
        <w:jc w:val="both"/>
        <w:rPr>
          <w:rFonts w:ascii="Palatino Linotype" w:eastAsiaTheme="minorHAnsi" w:hAnsi="Palatino Linotype" w:cs="Arial"/>
          <w:lang w:val="es-MX" w:eastAsia="en-US"/>
        </w:rPr>
      </w:pPr>
    </w:p>
    <w:p w14:paraId="3EFC0D7C" w14:textId="563A4C5E" w:rsidR="00D81FF3" w:rsidRPr="00C51A50" w:rsidRDefault="00EC6F39" w:rsidP="00790566">
      <w:pPr>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t>El sujeto obligado adjuntó</w:t>
      </w:r>
      <w:r w:rsidR="00DC7F15">
        <w:rPr>
          <w:rFonts w:ascii="Palatino Linotype" w:eastAsiaTheme="minorHAnsi" w:hAnsi="Palatino Linotype" w:cs="Arial"/>
          <w:lang w:val="es-419" w:eastAsia="en-US"/>
        </w:rPr>
        <w:t xml:space="preserve">, </w:t>
      </w:r>
      <w:r w:rsidR="00C51A50">
        <w:rPr>
          <w:rFonts w:ascii="Palatino Linotype" w:eastAsiaTheme="minorHAnsi" w:hAnsi="Palatino Linotype" w:cs="Arial"/>
          <w:lang w:val="es-419" w:eastAsia="en-US"/>
        </w:rPr>
        <w:t>e</w:t>
      </w:r>
      <w:r w:rsidR="00DC7F15">
        <w:rPr>
          <w:rFonts w:ascii="Palatino Linotype" w:eastAsiaTheme="minorHAnsi" w:hAnsi="Palatino Linotype" w:cs="Arial"/>
          <w:lang w:val="es-419" w:eastAsia="en-US"/>
        </w:rPr>
        <w:t>l</w:t>
      </w:r>
      <w:r w:rsidR="00D81FF3">
        <w:rPr>
          <w:rFonts w:ascii="Palatino Linotype" w:eastAsiaTheme="minorHAnsi" w:hAnsi="Palatino Linotype" w:cs="Arial"/>
          <w:lang w:val="es-419" w:eastAsia="en-US"/>
        </w:rPr>
        <w:t xml:space="preserve"> archivo electrónico en formato PDF denominado</w:t>
      </w:r>
      <w:r>
        <w:rPr>
          <w:rFonts w:ascii="Palatino Linotype" w:eastAsiaTheme="minorHAnsi" w:hAnsi="Palatino Linotype" w:cs="Arial"/>
          <w:lang w:val="es-419" w:eastAsia="en-US"/>
        </w:rPr>
        <w:t xml:space="preserve">: </w:t>
      </w:r>
      <w:r w:rsidR="00CF6609" w:rsidRPr="008C6E96">
        <w:rPr>
          <w:rFonts w:ascii="Palatino Linotype" w:eastAsiaTheme="minorHAnsi" w:hAnsi="Palatino Linotype" w:cs="Arial"/>
          <w:lang w:val="es-419" w:eastAsia="en-US"/>
        </w:rPr>
        <w:t>“</w:t>
      </w:r>
      <w:r w:rsidR="00C51A50" w:rsidRPr="00C51A50">
        <w:rPr>
          <w:rFonts w:ascii="Palatino Linotype" w:eastAsiaTheme="minorHAnsi" w:hAnsi="Palatino Linotype"/>
          <w:lang w:val="es-419" w:eastAsia="en-US"/>
        </w:rPr>
        <w:t>Respuesta 1291_2022.pdf</w:t>
      </w:r>
      <w:r w:rsidR="00DC7F15" w:rsidRPr="008C6E96">
        <w:rPr>
          <w:rFonts w:ascii="Palatino Linotype" w:eastAsiaTheme="minorHAnsi" w:hAnsi="Palatino Linotype" w:cs="Arial"/>
          <w:lang w:val="es-419" w:eastAsia="en-US"/>
        </w:rPr>
        <w:t>”</w:t>
      </w:r>
      <w:r w:rsidR="00790566" w:rsidRPr="008C6E96">
        <w:rPr>
          <w:rFonts w:ascii="Palatino Linotype" w:eastAsiaTheme="minorHAnsi" w:hAnsi="Palatino Linotype" w:cs="Arial"/>
          <w:lang w:val="es-419" w:eastAsia="en-US"/>
        </w:rPr>
        <w:t xml:space="preserve">, </w:t>
      </w:r>
      <w:r w:rsidR="00C51A50">
        <w:rPr>
          <w:rFonts w:ascii="Palatino Linotype" w:eastAsiaTheme="minorHAnsi" w:hAnsi="Palatino Linotype" w:cs="Arial"/>
          <w:lang w:val="es-419" w:eastAsia="en-US"/>
        </w:rPr>
        <w:t>e</w:t>
      </w:r>
      <w:r w:rsidR="00DC7F15">
        <w:rPr>
          <w:rFonts w:ascii="Palatino Linotype" w:eastAsiaTheme="minorHAnsi" w:hAnsi="Palatino Linotype" w:cs="Arial"/>
          <w:lang w:val="es-419" w:eastAsia="en-US"/>
        </w:rPr>
        <w:t>l</w:t>
      </w:r>
      <w:r w:rsidR="00D81FF3" w:rsidRPr="008C6E96">
        <w:rPr>
          <w:rFonts w:ascii="Palatino Linotype" w:eastAsiaTheme="minorHAnsi" w:hAnsi="Palatino Linotype" w:cs="Arial"/>
          <w:lang w:val="es-419" w:eastAsia="en-US"/>
        </w:rPr>
        <w:t xml:space="preserve"> cual será analizado</w:t>
      </w:r>
      <w:r w:rsidR="00D81FF3" w:rsidRPr="00C51A50">
        <w:rPr>
          <w:rFonts w:ascii="Palatino Linotype" w:eastAsiaTheme="minorHAnsi" w:hAnsi="Palatino Linotype" w:cs="Arial"/>
          <w:lang w:val="es-419" w:eastAsia="en-US"/>
        </w:rPr>
        <w:t xml:space="preserve"> en la parte considerativa de la presente resolución.</w:t>
      </w:r>
    </w:p>
    <w:p w14:paraId="66D89A22" w14:textId="77777777" w:rsidR="00C51A50" w:rsidRPr="00C51A50" w:rsidRDefault="00C51A50" w:rsidP="00790566">
      <w:pPr>
        <w:spacing w:line="360" w:lineRule="auto"/>
        <w:jc w:val="both"/>
        <w:rPr>
          <w:rFonts w:ascii="Palatino Linotype" w:eastAsiaTheme="minorHAnsi" w:hAnsi="Palatino Linotype" w:cs="Arial"/>
          <w:lang w:val="es-419" w:eastAsia="en-US"/>
        </w:rPr>
      </w:pPr>
    </w:p>
    <w:p w14:paraId="20EE938A" w14:textId="5F882611" w:rsidR="0029071C" w:rsidRPr="008C6E96" w:rsidRDefault="0029071C" w:rsidP="004239C3">
      <w:pPr>
        <w:spacing w:line="360" w:lineRule="auto"/>
        <w:jc w:val="both"/>
        <w:rPr>
          <w:rFonts w:ascii="Palatino Linotype" w:eastAsiaTheme="minorHAnsi" w:hAnsi="Palatino Linotype" w:cs="Arial"/>
          <w:b/>
          <w:sz w:val="28"/>
          <w:lang w:val="es-MX" w:eastAsia="en-US"/>
        </w:rPr>
      </w:pPr>
      <w:r w:rsidRPr="004239C3">
        <w:rPr>
          <w:rFonts w:ascii="Palatino Linotype" w:eastAsiaTheme="minorHAnsi" w:hAnsi="Palatino Linotype" w:cs="Arial"/>
          <w:b/>
          <w:sz w:val="28"/>
          <w:lang w:val="es-MX" w:eastAsia="en-US"/>
        </w:rPr>
        <w:t>TERCERO</w:t>
      </w:r>
      <w:r w:rsidRPr="008C6E96">
        <w:rPr>
          <w:rFonts w:ascii="Palatino Linotype" w:eastAsiaTheme="minorHAnsi" w:hAnsi="Palatino Linotype" w:cs="Arial"/>
          <w:b/>
          <w:sz w:val="28"/>
          <w:lang w:val="es-MX" w:eastAsia="en-US"/>
        </w:rPr>
        <w:t>. Del recurso de revisión.</w:t>
      </w:r>
    </w:p>
    <w:p w14:paraId="7B9ED844" w14:textId="24FE4604"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Inconforme con la respuesta</w:t>
      </w:r>
      <w:r w:rsidR="00C51A50">
        <w:rPr>
          <w:rFonts w:ascii="Palatino Linotype" w:eastAsiaTheme="minorHAnsi" w:hAnsi="Palatino Linotype" w:cs="Arial"/>
          <w:lang w:val="es-419" w:eastAsia="en-US"/>
        </w:rPr>
        <w:t xml:space="preserve"> </w:t>
      </w:r>
      <w:r w:rsidRPr="004239C3">
        <w:rPr>
          <w:rFonts w:ascii="Palatino Linotype" w:eastAsiaTheme="minorHAnsi" w:hAnsi="Palatino Linotype" w:cs="Arial"/>
          <w:lang w:val="es-MX" w:eastAsia="en-US"/>
        </w:rPr>
        <w:t xml:space="preserve">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w:t>
      </w:r>
      <w:r w:rsidR="00C51A50">
        <w:rPr>
          <w:rFonts w:ascii="Palatino Linotype" w:eastAsiaTheme="minorHAnsi" w:hAnsi="Palatino Linotype" w:cs="Arial"/>
          <w:lang w:val="es-MX" w:eastAsia="en-US"/>
        </w:rPr>
        <w:t>e</w:t>
      </w:r>
      <w:r w:rsidR="002827B7">
        <w:rPr>
          <w:rFonts w:ascii="Palatino Linotype" w:eastAsiaTheme="minorHAnsi" w:hAnsi="Palatino Linotype" w:cs="Arial"/>
          <w:lang w:val="es-419" w:eastAsia="en-US"/>
        </w:rPr>
        <w:t>l</w:t>
      </w:r>
      <w:r w:rsidRPr="004239C3">
        <w:rPr>
          <w:rFonts w:ascii="Palatino Linotype" w:eastAsiaTheme="minorHAnsi" w:hAnsi="Palatino Linotype" w:cs="Arial"/>
          <w:lang w:val="es-MX" w:eastAsia="en-US"/>
        </w:rPr>
        <w:t xml:space="preserve"> presente recurso de revisión en fecha </w:t>
      </w:r>
      <w:r w:rsidR="00C51A50">
        <w:rPr>
          <w:rFonts w:ascii="Palatino Linotype" w:eastAsiaTheme="minorHAnsi" w:hAnsi="Palatino Linotype" w:cs="Arial"/>
          <w:b/>
          <w:lang w:val="es-419" w:eastAsia="en-US"/>
        </w:rPr>
        <w:t>siete</w:t>
      </w:r>
      <w:r w:rsidR="008C6E96">
        <w:rPr>
          <w:rFonts w:ascii="Palatino Linotype" w:eastAsiaTheme="minorHAnsi" w:hAnsi="Palatino Linotype" w:cs="Arial"/>
          <w:b/>
          <w:lang w:val="es-419" w:eastAsia="en-US"/>
        </w:rPr>
        <w:t xml:space="preserve"> </w:t>
      </w:r>
      <w:r w:rsidR="000E00A4" w:rsidRPr="00CF6609">
        <w:rPr>
          <w:rFonts w:ascii="Palatino Linotype" w:eastAsiaTheme="minorHAnsi" w:hAnsi="Palatino Linotype" w:cs="Arial"/>
          <w:b/>
          <w:lang w:val="es-MX" w:eastAsia="en-US"/>
        </w:rPr>
        <w:t xml:space="preserve">de </w:t>
      </w:r>
      <w:r w:rsidR="00C51A50">
        <w:rPr>
          <w:rFonts w:ascii="Palatino Linotype" w:eastAsiaTheme="minorHAnsi" w:hAnsi="Palatino Linotype" w:cs="Arial"/>
          <w:b/>
          <w:lang w:val="es-419" w:eastAsia="en-US"/>
        </w:rPr>
        <w:t>junio</w:t>
      </w:r>
      <w:r w:rsidR="000E00A4" w:rsidRPr="00CF6609">
        <w:rPr>
          <w:rFonts w:ascii="Palatino Linotype" w:eastAsiaTheme="minorHAnsi" w:hAnsi="Palatino Linotype" w:cs="Arial"/>
          <w:b/>
          <w:lang w:val="es-MX" w:eastAsia="en-US"/>
        </w:rPr>
        <w:t xml:space="preserve"> de dos mil veintidós</w:t>
      </w:r>
      <w:r w:rsidRPr="004239C3">
        <w:rPr>
          <w:rFonts w:ascii="Palatino Linotype" w:eastAsiaTheme="minorHAnsi" w:hAnsi="Palatino Linotype" w:cs="Arial"/>
          <w:lang w:val="es-MX" w:eastAsia="en-US"/>
        </w:rPr>
        <w:t xml:space="preserve">, </w:t>
      </w:r>
      <w:r w:rsidR="00C51A50">
        <w:rPr>
          <w:rFonts w:ascii="Palatino Linotype" w:eastAsiaTheme="minorHAnsi" w:hAnsi="Palatino Linotype" w:cs="Arial"/>
          <w:lang w:val="es-MX" w:eastAsia="en-US"/>
        </w:rPr>
        <w:t>e</w:t>
      </w:r>
      <w:r w:rsidR="002827B7">
        <w:rPr>
          <w:rFonts w:ascii="Palatino Linotype" w:eastAsiaTheme="minorHAnsi" w:hAnsi="Palatino Linotype" w:cs="Arial"/>
          <w:lang w:val="es-419" w:eastAsia="en-US"/>
        </w:rPr>
        <w:t>l</w:t>
      </w:r>
      <w:r w:rsidRPr="004239C3">
        <w:rPr>
          <w:rFonts w:ascii="Palatino Linotype" w:eastAsiaTheme="minorHAnsi" w:hAnsi="Palatino Linotype" w:cs="Arial"/>
          <w:lang w:val="es-MX" w:eastAsia="en-US"/>
        </w:rPr>
        <w:t xml:space="preserve"> cual fue registrado</w:t>
      </w:r>
      <w:r w:rsidR="00C51A50">
        <w:rPr>
          <w:rFonts w:ascii="Palatino Linotype" w:eastAsiaTheme="minorHAnsi" w:hAnsi="Palatino Linotype" w:cs="Arial"/>
          <w:lang w:val="es-419" w:eastAsia="en-US"/>
        </w:rPr>
        <w:t xml:space="preserve"> </w:t>
      </w:r>
      <w:r w:rsidRPr="004239C3">
        <w:rPr>
          <w:rFonts w:ascii="Palatino Linotype" w:eastAsiaTheme="minorHAnsi" w:hAnsi="Palatino Linotype" w:cs="Arial"/>
          <w:lang w:val="es-MX" w:eastAsia="en-US"/>
        </w:rPr>
        <w:t xml:space="preserve">en el sistema electrónico con </w:t>
      </w:r>
      <w:r w:rsidR="00C51A50">
        <w:rPr>
          <w:rFonts w:ascii="Palatino Linotype" w:eastAsiaTheme="minorHAnsi" w:hAnsi="Palatino Linotype" w:cs="Arial"/>
          <w:lang w:val="es-MX" w:eastAsia="en-US"/>
        </w:rPr>
        <w:t>e</w:t>
      </w:r>
      <w:r w:rsidR="002827B7">
        <w:rPr>
          <w:rFonts w:ascii="Palatino Linotype" w:eastAsiaTheme="minorHAnsi" w:hAnsi="Palatino Linotype" w:cs="Arial"/>
          <w:lang w:val="es-419" w:eastAsia="en-US"/>
        </w:rPr>
        <w:t>l</w:t>
      </w:r>
      <w:r w:rsidRPr="004239C3">
        <w:rPr>
          <w:rFonts w:ascii="Palatino Linotype" w:eastAsiaTheme="minorHAnsi" w:hAnsi="Palatino Linotype" w:cs="Arial"/>
          <w:lang w:val="es-MX" w:eastAsia="en-US"/>
        </w:rPr>
        <w:t xml:space="preserve"> expediente número </w:t>
      </w:r>
      <w:r w:rsidR="00C51A50">
        <w:rPr>
          <w:rFonts w:ascii="Palatino Linotype" w:eastAsiaTheme="minorHAnsi" w:hAnsi="Palatino Linotype" w:cs="Arial"/>
          <w:b/>
          <w:bCs/>
          <w:lang w:val="es-MX" w:eastAsia="es-MX"/>
        </w:rPr>
        <w:t>11145</w:t>
      </w:r>
      <w:r w:rsidR="008105E8" w:rsidRPr="004239C3">
        <w:rPr>
          <w:rFonts w:ascii="Palatino Linotype" w:eastAsiaTheme="minorHAnsi" w:hAnsi="Palatino Linotype" w:cs="Arial"/>
          <w:b/>
          <w:bCs/>
          <w:lang w:val="es-MX" w:eastAsia="es-MX"/>
        </w:rPr>
        <w:t>/INFOEM/IP/RR/2022</w:t>
      </w:r>
      <w:r w:rsidRPr="004239C3">
        <w:rPr>
          <w:rFonts w:ascii="Palatino Linotype" w:eastAsiaTheme="minorHAnsi" w:hAnsi="Palatino Linotype" w:cs="Arial"/>
          <w:lang w:val="es-MX" w:eastAsia="en-US"/>
        </w:rPr>
        <w:t xml:space="preserve">, en </w:t>
      </w:r>
      <w:r w:rsidR="00C51A50">
        <w:rPr>
          <w:rFonts w:ascii="Palatino Linotype" w:eastAsiaTheme="minorHAnsi" w:hAnsi="Palatino Linotype" w:cs="Arial"/>
          <w:lang w:val="es-MX" w:eastAsia="en-US"/>
        </w:rPr>
        <w:t>e</w:t>
      </w:r>
      <w:r w:rsidR="002827B7">
        <w:rPr>
          <w:rFonts w:ascii="Palatino Linotype" w:eastAsiaTheme="minorHAnsi" w:hAnsi="Palatino Linotype" w:cs="Arial"/>
          <w:lang w:val="es-419" w:eastAsia="en-US"/>
        </w:rPr>
        <w:t>l</w:t>
      </w:r>
      <w:r w:rsidRPr="004239C3">
        <w:rPr>
          <w:rFonts w:ascii="Palatino Linotype" w:eastAsiaTheme="minorHAnsi" w:hAnsi="Palatino Linotype" w:cs="Arial"/>
          <w:lang w:val="es-MX" w:eastAsia="en-US"/>
        </w:rPr>
        <w:t xml:space="preserve"> cual aduce, las siguientes manifestaciones:</w:t>
      </w:r>
    </w:p>
    <w:p w14:paraId="17DB9F51" w14:textId="77777777" w:rsidR="0029071C" w:rsidRDefault="0029071C" w:rsidP="004239C3">
      <w:pPr>
        <w:spacing w:line="360" w:lineRule="auto"/>
        <w:rPr>
          <w:rFonts w:ascii="Palatino Linotype" w:hAnsi="Palatino Linotype"/>
          <w:lang w:val="es-MX"/>
        </w:rPr>
      </w:pPr>
    </w:p>
    <w:p w14:paraId="51F003A7" w14:textId="77777777" w:rsidR="00EE4BE0" w:rsidRPr="004239C3" w:rsidRDefault="00EE4BE0" w:rsidP="004239C3">
      <w:pPr>
        <w:spacing w:line="360" w:lineRule="auto"/>
        <w:rPr>
          <w:rFonts w:ascii="Palatino Linotype" w:hAnsi="Palatino Linotype"/>
          <w:lang w:val="es-MX"/>
        </w:rPr>
      </w:pPr>
    </w:p>
    <w:p w14:paraId="26E560E6" w14:textId="77777777" w:rsidR="0029071C" w:rsidRDefault="0029071C" w:rsidP="00EE4BE0">
      <w:pPr>
        <w:numPr>
          <w:ilvl w:val="0"/>
          <w:numId w:val="2"/>
        </w:numPr>
        <w:spacing w:line="360" w:lineRule="auto"/>
        <w:ind w:right="1608"/>
        <w:jc w:val="both"/>
        <w:rPr>
          <w:rFonts w:ascii="Palatino Linotype" w:hAnsi="Palatino Linotype" w:cs="Arial"/>
          <w:b/>
        </w:rPr>
      </w:pPr>
      <w:r w:rsidRPr="00446EE4">
        <w:rPr>
          <w:rFonts w:ascii="Palatino Linotype" w:hAnsi="Palatino Linotype" w:cs="Arial"/>
          <w:b/>
        </w:rPr>
        <w:t>Acto Impugnado:</w:t>
      </w:r>
    </w:p>
    <w:p w14:paraId="5AF767B4" w14:textId="77777777" w:rsidR="00EE4BE0" w:rsidRDefault="00EE4BE0" w:rsidP="00EE4BE0">
      <w:pPr>
        <w:spacing w:line="360" w:lineRule="auto"/>
        <w:ind w:left="720" w:right="1608"/>
        <w:jc w:val="both"/>
        <w:rPr>
          <w:rFonts w:ascii="Palatino Linotype" w:hAnsi="Palatino Linotype" w:cs="Arial"/>
          <w:b/>
        </w:rPr>
      </w:pPr>
    </w:p>
    <w:p w14:paraId="48C31811" w14:textId="63011A42" w:rsidR="0029071C" w:rsidRPr="00446EE4" w:rsidRDefault="0029071C" w:rsidP="00EE4BE0">
      <w:pPr>
        <w:ind w:left="567" w:right="1608"/>
        <w:jc w:val="both"/>
        <w:rPr>
          <w:rFonts w:ascii="Palatino Linotype" w:hAnsi="Palatino Linotype"/>
          <w:i/>
          <w:lang w:val="es-MX" w:eastAsia="es-MX"/>
        </w:rPr>
      </w:pPr>
      <w:r w:rsidRPr="00446EE4">
        <w:rPr>
          <w:rFonts w:ascii="Palatino Linotype" w:hAnsi="Palatino Linotype"/>
          <w:i/>
          <w:lang w:val="es-MX" w:eastAsia="es-MX"/>
        </w:rPr>
        <w:t>“</w:t>
      </w:r>
      <w:r w:rsidR="00C51A50" w:rsidRPr="00C51A50">
        <w:rPr>
          <w:rFonts w:ascii="Palatino Linotype" w:hAnsi="Palatino Linotype"/>
          <w:i/>
          <w:lang w:val="es-MX" w:eastAsia="es-MX"/>
        </w:rPr>
        <w:t>Respuesta del sujeto obligado</w:t>
      </w:r>
      <w:r w:rsidR="008105E8" w:rsidRPr="00446EE4">
        <w:rPr>
          <w:rFonts w:ascii="Palatino Linotype" w:hAnsi="Palatino Linotype"/>
          <w:i/>
          <w:lang w:val="es-MX" w:eastAsia="es-MX"/>
        </w:rPr>
        <w:t>.</w:t>
      </w:r>
      <w:r w:rsidRPr="00446EE4">
        <w:rPr>
          <w:rFonts w:ascii="Palatino Linotype" w:hAnsi="Palatino Linotype"/>
          <w:i/>
          <w:lang w:val="es-MX" w:eastAsia="es-MX"/>
        </w:rPr>
        <w:t>” (Sic).</w:t>
      </w:r>
    </w:p>
    <w:p w14:paraId="5811361D" w14:textId="77777777" w:rsidR="0029071C" w:rsidRPr="00446EE4" w:rsidRDefault="0029071C" w:rsidP="00EE4BE0">
      <w:pPr>
        <w:spacing w:line="360" w:lineRule="auto"/>
        <w:ind w:right="1608"/>
        <w:jc w:val="both"/>
        <w:rPr>
          <w:rFonts w:ascii="Palatino Linotype" w:eastAsiaTheme="minorHAnsi" w:hAnsi="Palatino Linotype" w:cs="Arial"/>
          <w:lang w:val="es-MX" w:eastAsia="en-US"/>
        </w:rPr>
      </w:pPr>
    </w:p>
    <w:p w14:paraId="61C98AE3" w14:textId="7BCA589F" w:rsidR="008B3AF1" w:rsidRDefault="008B3AF1" w:rsidP="00EE4BE0">
      <w:pPr>
        <w:numPr>
          <w:ilvl w:val="0"/>
          <w:numId w:val="2"/>
        </w:numPr>
        <w:spacing w:line="360" w:lineRule="auto"/>
        <w:ind w:right="1608"/>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60525767" w14:textId="77777777" w:rsidR="00EE4BE0" w:rsidRDefault="00EE4BE0" w:rsidP="00EE4BE0">
      <w:pPr>
        <w:spacing w:line="360" w:lineRule="auto"/>
        <w:ind w:left="720" w:right="1608"/>
        <w:jc w:val="both"/>
        <w:rPr>
          <w:rFonts w:ascii="Palatino Linotype" w:hAnsi="Palatino Linotype" w:cs="Arial"/>
          <w:b/>
        </w:rPr>
      </w:pPr>
    </w:p>
    <w:p w14:paraId="0407CAC0" w14:textId="7C29DA55" w:rsidR="00446EE4" w:rsidRPr="008C6E96" w:rsidRDefault="008C6E96" w:rsidP="00EE4BE0">
      <w:pPr>
        <w:ind w:left="567" w:right="1608"/>
        <w:jc w:val="both"/>
        <w:rPr>
          <w:rFonts w:ascii="Palatino Linotype" w:hAnsi="Palatino Linotype"/>
          <w:i/>
          <w:lang w:val="es-MX" w:eastAsia="es-MX"/>
        </w:rPr>
      </w:pPr>
      <w:r w:rsidRPr="008C6E96">
        <w:rPr>
          <w:rFonts w:ascii="Palatino Linotype" w:hAnsi="Palatino Linotype"/>
          <w:i/>
          <w:lang w:val="es-MX" w:eastAsia="es-MX"/>
        </w:rPr>
        <w:t>“</w:t>
      </w:r>
      <w:r w:rsidR="00C51A50" w:rsidRPr="00C51A50">
        <w:rPr>
          <w:rFonts w:ascii="Palatino Linotype" w:hAnsi="Palatino Linotype"/>
          <w:i/>
          <w:lang w:val="es-MX" w:eastAsia="es-MX"/>
        </w:rPr>
        <w:t>Falta orientación toda vez que la comisión municipal de selección del cpc municipal es elegido por el propio ayuntamiento, sus actos deben ser transparentados, tal como lo exige la ley del sistema estatal anticorrupción.</w:t>
      </w:r>
      <w:r w:rsidRPr="008C6E96">
        <w:rPr>
          <w:rFonts w:ascii="Palatino Linotype" w:hAnsi="Palatino Linotype"/>
          <w:i/>
          <w:lang w:val="es-MX" w:eastAsia="es-MX"/>
        </w:rPr>
        <w:t>” (sic).</w:t>
      </w:r>
    </w:p>
    <w:p w14:paraId="39F9CFEA" w14:textId="77777777" w:rsidR="00446EE4" w:rsidRDefault="00446EE4" w:rsidP="0029071C">
      <w:pPr>
        <w:spacing w:line="360" w:lineRule="auto"/>
        <w:jc w:val="both"/>
        <w:rPr>
          <w:rFonts w:ascii="Palatino Linotype" w:eastAsiaTheme="minorHAnsi" w:hAnsi="Palatino Linotype" w:cs="Arial"/>
          <w:lang w:val="es-419" w:eastAsia="en-US"/>
        </w:rPr>
      </w:pPr>
    </w:p>
    <w:p w14:paraId="599FED0D"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CUARTO. Del turno del recurso de revisión.</w:t>
      </w:r>
    </w:p>
    <w:p w14:paraId="0CD1951D" w14:textId="22E0F136" w:rsidR="002D37A8" w:rsidRPr="0013589E" w:rsidRDefault="0029071C" w:rsidP="007208B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Medio de impugnación </w:t>
      </w:r>
      <w:r w:rsidR="00E74701" w:rsidRPr="0013589E">
        <w:rPr>
          <w:rFonts w:ascii="Palatino Linotype" w:eastAsiaTheme="minorHAnsi" w:hAnsi="Palatino Linotype" w:cs="Arial"/>
          <w:lang w:val="es-MX" w:eastAsia="en-US"/>
        </w:rPr>
        <w:t>que le fue turnado al</w:t>
      </w:r>
      <w:r w:rsidRPr="0013589E">
        <w:rPr>
          <w:rFonts w:ascii="Palatino Linotype" w:eastAsiaTheme="minorHAnsi" w:hAnsi="Palatino Linotype" w:cs="Arial"/>
          <w:lang w:val="es-MX" w:eastAsia="en-US"/>
        </w:rPr>
        <w:t xml:space="preserve"> </w:t>
      </w:r>
      <w:r w:rsidR="00E74701" w:rsidRPr="00156075">
        <w:rPr>
          <w:rFonts w:ascii="Palatino Linotype" w:eastAsiaTheme="minorHAnsi" w:hAnsi="Palatino Linotype" w:cs="Arial"/>
          <w:b/>
          <w:bCs/>
          <w:lang w:val="es-MX" w:eastAsia="en-US"/>
        </w:rPr>
        <w:t>Comisionado Presidente</w:t>
      </w:r>
      <w:r w:rsidRPr="0013589E">
        <w:rPr>
          <w:rFonts w:ascii="Palatino Linotype" w:eastAsiaTheme="minorHAnsi" w:hAnsi="Palatino Linotype" w:cs="Arial"/>
          <w:lang w:val="es-MX" w:eastAsia="en-US"/>
        </w:rPr>
        <w:t xml:space="preserve"> </w:t>
      </w:r>
      <w:r w:rsidR="00E74701" w:rsidRPr="0013589E">
        <w:rPr>
          <w:rFonts w:ascii="Palatino Linotype" w:eastAsiaTheme="minorHAnsi" w:hAnsi="Palatino Linotype" w:cs="Arial"/>
          <w:b/>
          <w:lang w:val="es-MX" w:eastAsia="en-US"/>
        </w:rPr>
        <w:t>José Martínez Vilchis</w:t>
      </w:r>
      <w:r w:rsidRPr="0013589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w:t>
      </w:r>
      <w:r w:rsidR="00A44FA0">
        <w:rPr>
          <w:rFonts w:ascii="Palatino Linotype" w:eastAsiaTheme="minorHAnsi" w:hAnsi="Palatino Linotype" w:cs="Arial"/>
          <w:lang w:val="es-419" w:eastAsia="en-US"/>
        </w:rPr>
        <w:t>al</w:t>
      </w:r>
      <w:r w:rsidRPr="0013589E">
        <w:rPr>
          <w:rFonts w:ascii="Palatino Linotype" w:eastAsiaTheme="minorHAnsi" w:hAnsi="Palatino Linotype" w:cs="Arial"/>
          <w:lang w:val="es-MX" w:eastAsia="en-US"/>
        </w:rPr>
        <w:t xml:space="preserve"> </w:t>
      </w:r>
      <w:r w:rsidR="00A44FA0">
        <w:rPr>
          <w:rFonts w:ascii="Palatino Linotype" w:eastAsiaTheme="minorHAnsi" w:hAnsi="Palatino Linotype" w:cs="Arial"/>
          <w:lang w:val="es-419" w:eastAsia="en-US"/>
        </w:rPr>
        <w:t>cual</w:t>
      </w:r>
      <w:r w:rsidR="00EA294B">
        <w:rPr>
          <w:rFonts w:ascii="Palatino Linotype" w:eastAsiaTheme="minorHAnsi" w:hAnsi="Palatino Linotype" w:cs="Arial"/>
          <w:lang w:val="es-419" w:eastAsia="en-US"/>
        </w:rPr>
        <w:t xml:space="preserve"> </w:t>
      </w:r>
      <w:r w:rsidR="00A44FA0">
        <w:rPr>
          <w:rFonts w:ascii="Palatino Linotype" w:eastAsiaTheme="minorHAnsi" w:hAnsi="Palatino Linotype" w:cs="Arial"/>
          <w:lang w:val="es-419" w:eastAsia="en-US"/>
        </w:rPr>
        <w:t xml:space="preserve">le </w:t>
      </w:r>
      <w:r w:rsidRPr="0013589E">
        <w:rPr>
          <w:rFonts w:ascii="Palatino Linotype" w:eastAsiaTheme="minorHAnsi" w:hAnsi="Palatino Linotype" w:cs="Arial"/>
          <w:lang w:val="es-MX" w:eastAsia="en-US"/>
        </w:rPr>
        <w:t xml:space="preserve">recayó </w:t>
      </w:r>
      <w:r w:rsidRPr="008B3AF1">
        <w:rPr>
          <w:rFonts w:ascii="Palatino Linotype" w:eastAsiaTheme="minorHAnsi" w:hAnsi="Palatino Linotype" w:cs="Arial"/>
          <w:b/>
          <w:lang w:val="es-MX" w:eastAsia="en-US"/>
        </w:rPr>
        <w:t xml:space="preserve">acuerdo de admisión en fecha </w:t>
      </w:r>
      <w:r w:rsidR="00EA294B">
        <w:rPr>
          <w:rFonts w:ascii="Palatino Linotype" w:eastAsiaTheme="minorHAnsi" w:hAnsi="Palatino Linotype" w:cs="Arial"/>
          <w:b/>
          <w:lang w:val="es-419" w:eastAsia="en-US"/>
        </w:rPr>
        <w:t>trece</w:t>
      </w:r>
      <w:r w:rsidR="000E00A4" w:rsidRPr="008B3AF1">
        <w:rPr>
          <w:rFonts w:ascii="Palatino Linotype" w:eastAsiaTheme="minorHAnsi" w:hAnsi="Palatino Linotype" w:cs="Arial"/>
          <w:b/>
          <w:lang w:val="es-MX" w:eastAsia="en-US"/>
        </w:rPr>
        <w:t xml:space="preserve"> de </w:t>
      </w:r>
      <w:r w:rsidR="00EA294B">
        <w:rPr>
          <w:rFonts w:ascii="Palatino Linotype" w:eastAsiaTheme="minorHAnsi" w:hAnsi="Palatino Linotype" w:cs="Arial"/>
          <w:b/>
          <w:lang w:val="es-419" w:eastAsia="en-US"/>
        </w:rPr>
        <w:t>junio</w:t>
      </w:r>
      <w:r w:rsidRPr="008B3AF1">
        <w:rPr>
          <w:rFonts w:ascii="Palatino Linotype" w:eastAsiaTheme="minorHAnsi" w:hAnsi="Palatino Linotype" w:cs="Arial"/>
          <w:b/>
          <w:lang w:val="es-MX" w:eastAsia="en-US"/>
        </w:rPr>
        <w:t xml:space="preserve"> del año </w:t>
      </w:r>
      <w:r w:rsidR="00DB4916"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 xml:space="preserve">, determinándose en </w:t>
      </w:r>
      <w:r w:rsidR="00A44FA0">
        <w:rPr>
          <w:rFonts w:ascii="Palatino Linotype" w:eastAsiaTheme="minorHAnsi" w:hAnsi="Palatino Linotype" w:cs="Arial"/>
          <w:lang w:val="es-419" w:eastAsia="en-US"/>
        </w:rPr>
        <w:t>estos</w:t>
      </w:r>
      <w:r w:rsidRPr="0013589E">
        <w:rPr>
          <w:rFonts w:ascii="Palatino Linotype" w:eastAsiaTheme="minorHAnsi" w:hAnsi="Palatino Linotype" w:cs="Arial"/>
          <w:lang w:val="es-MX" w:eastAsia="en-US"/>
        </w:rPr>
        <w:t>, un plazo de siete días para que las partes manifestaran lo que a su derecho corresponda en términos del numeral ya citado.</w:t>
      </w:r>
    </w:p>
    <w:p w14:paraId="78799B08" w14:textId="77777777" w:rsidR="007208BC" w:rsidRPr="0013589E" w:rsidRDefault="007208BC" w:rsidP="007208BC">
      <w:pPr>
        <w:spacing w:line="360" w:lineRule="auto"/>
        <w:jc w:val="both"/>
        <w:rPr>
          <w:rFonts w:ascii="Palatino Linotype" w:eastAsiaTheme="minorHAnsi" w:hAnsi="Palatino Linotype" w:cs="Arial"/>
          <w:lang w:val="es-MX" w:eastAsia="en-US"/>
        </w:rPr>
      </w:pPr>
    </w:p>
    <w:p w14:paraId="5F522E82"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QUINTO. De la etapa de manifestaciones y/o alegatos.</w:t>
      </w:r>
    </w:p>
    <w:p w14:paraId="149CB46D" w14:textId="6C130143" w:rsidR="00156075" w:rsidRDefault="00156075" w:rsidP="00156075">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 xml:space="preserve">Una vez abierta la etapa de instrucción, de las constancias que obran en </w:t>
      </w:r>
      <w:r w:rsidR="00EA294B">
        <w:rPr>
          <w:rFonts w:ascii="Palatino Linotype" w:eastAsiaTheme="minorHAnsi" w:hAnsi="Palatino Linotype" w:cs="Arial"/>
          <w:lang w:val="es-MX" w:eastAsia="en-US"/>
        </w:rPr>
        <w:t>e</w:t>
      </w:r>
      <w:r w:rsidR="00A44FA0">
        <w:rPr>
          <w:rFonts w:ascii="Palatino Linotype" w:eastAsiaTheme="minorHAnsi" w:hAnsi="Palatino Linotype" w:cs="Arial"/>
          <w:lang w:val="es-419" w:eastAsia="en-US"/>
        </w:rPr>
        <w:t>l</w:t>
      </w:r>
      <w:r w:rsidRPr="00156075">
        <w:rPr>
          <w:rFonts w:ascii="Palatino Linotype" w:eastAsiaTheme="minorHAnsi" w:hAnsi="Palatino Linotype" w:cs="Arial"/>
          <w:lang w:val="es-MX" w:eastAsia="en-US"/>
        </w:rPr>
        <w:t xml:space="preserve"> expediente </w:t>
      </w:r>
      <w:r w:rsidR="00A44FA0">
        <w:rPr>
          <w:rFonts w:ascii="Palatino Linotype" w:eastAsiaTheme="minorHAnsi" w:hAnsi="Palatino Linotype" w:cs="Arial"/>
          <w:lang w:val="es-419" w:eastAsia="en-US"/>
        </w:rPr>
        <w:t>electrónico</w:t>
      </w:r>
      <w:r w:rsidRPr="00156075">
        <w:rPr>
          <w:rFonts w:ascii="Palatino Linotype" w:eastAsiaTheme="minorHAnsi" w:hAnsi="Palatino Linotype" w:cs="Arial"/>
          <w:lang w:val="es-MX" w:eastAsia="en-US"/>
        </w:rPr>
        <w:t xml:space="preserve">, se advierte que </w:t>
      </w:r>
      <w:r w:rsidRPr="00156075">
        <w:rPr>
          <w:rFonts w:ascii="Palatino Linotype" w:eastAsiaTheme="minorHAnsi" w:hAnsi="Palatino Linotype" w:cs="Arial"/>
          <w:b/>
          <w:bCs/>
          <w:lang w:val="es-MX" w:eastAsia="en-US"/>
        </w:rPr>
        <w:t>el Sujeto Obligado</w:t>
      </w:r>
      <w:r w:rsidRPr="00156075">
        <w:rPr>
          <w:rFonts w:ascii="Palatino Linotype" w:eastAsiaTheme="minorHAnsi" w:hAnsi="Palatino Linotype" w:cs="Arial"/>
          <w:lang w:val="es-MX" w:eastAsia="en-US"/>
        </w:rPr>
        <w:t xml:space="preserve"> </w:t>
      </w:r>
      <w:r w:rsidR="00EA294B">
        <w:rPr>
          <w:rFonts w:ascii="Palatino Linotype" w:eastAsiaTheme="minorHAnsi" w:hAnsi="Palatino Linotype" w:cs="Arial"/>
          <w:lang w:val="es-419" w:eastAsia="en-US"/>
        </w:rPr>
        <w:t>rindió</w:t>
      </w:r>
      <w:r w:rsidR="00DB4916">
        <w:rPr>
          <w:rFonts w:ascii="Palatino Linotype" w:eastAsiaTheme="minorHAnsi" w:hAnsi="Palatino Linotype" w:cs="Arial"/>
          <w:lang w:val="es-419" w:eastAsia="en-US"/>
        </w:rPr>
        <w:t xml:space="preserve"> su informe justificado</w:t>
      </w:r>
      <w:r w:rsidR="008171DB">
        <w:rPr>
          <w:rFonts w:ascii="Palatino Linotype" w:eastAsiaTheme="minorHAnsi" w:hAnsi="Palatino Linotype" w:cs="Arial"/>
          <w:lang w:val="es-419" w:eastAsia="en-US"/>
        </w:rPr>
        <w:t xml:space="preserve"> mediante el archivo electrónico denominado: “</w:t>
      </w:r>
      <w:r w:rsidR="008171DB" w:rsidRPr="008171DB">
        <w:rPr>
          <w:rFonts w:ascii="Palatino Linotype" w:eastAsiaTheme="minorHAnsi" w:hAnsi="Palatino Linotype"/>
          <w:lang w:val="es-MX" w:eastAsia="en-US"/>
        </w:rPr>
        <w:t>RR 11145.pdf</w:t>
      </w:r>
      <w:r w:rsidR="008171DB">
        <w:rPr>
          <w:rFonts w:ascii="Palatino Linotype" w:eastAsiaTheme="minorHAnsi" w:hAnsi="Palatino Linotype" w:cs="Arial"/>
          <w:lang w:val="es-419" w:eastAsia="en-US"/>
        </w:rPr>
        <w:t>“,</w:t>
      </w:r>
      <w:r w:rsidR="00310A26">
        <w:rPr>
          <w:rFonts w:ascii="Palatino Linotype" w:eastAsiaTheme="minorHAnsi" w:hAnsi="Palatino Linotype" w:cs="Arial"/>
          <w:lang w:val="es-419" w:eastAsia="en-US"/>
        </w:rPr>
        <w:t xml:space="preserve"> en fecha veintidós de junio de dos mil veintidós, el cual se puso a la vista del recurrente en fecha cuatro de julio de dos mil veintidós, a efecto de que emitiera sus comentarios, </w:t>
      </w:r>
      <w:r w:rsidR="008171DB">
        <w:rPr>
          <w:rFonts w:ascii="Palatino Linotype" w:eastAsiaTheme="minorHAnsi" w:hAnsi="Palatino Linotype" w:cs="Arial"/>
          <w:lang w:val="es-419" w:eastAsia="en-US"/>
        </w:rPr>
        <w:t>documento</w:t>
      </w:r>
      <w:r w:rsidR="00310A26">
        <w:rPr>
          <w:rFonts w:ascii="Palatino Linotype" w:eastAsiaTheme="minorHAnsi" w:hAnsi="Palatino Linotype" w:cs="Arial"/>
          <w:lang w:val="es-419" w:eastAsia="en-US"/>
        </w:rPr>
        <w:t xml:space="preserve"> que será analizado </w:t>
      </w:r>
      <w:r w:rsidR="00310A26">
        <w:rPr>
          <w:rFonts w:ascii="Palatino Linotype" w:eastAsiaTheme="minorHAnsi" w:hAnsi="Palatino Linotype" w:cs="Arial"/>
          <w:lang w:val="es-419" w:eastAsia="en-US"/>
        </w:rPr>
        <w:lastRenderedPageBreak/>
        <w:t xml:space="preserve">en la parte considerativa de la presente resolución, sin embargo, </w:t>
      </w:r>
      <w:r w:rsidR="00DB4916">
        <w:rPr>
          <w:rFonts w:ascii="Palatino Linotype" w:eastAsiaTheme="minorHAnsi" w:hAnsi="Palatino Linotype" w:cs="Arial"/>
          <w:lang w:val="es-419" w:eastAsia="en-US"/>
        </w:rPr>
        <w:t>se hizo constar que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b/>
          <w:bCs/>
          <w:lang w:val="es-MX" w:eastAsia="en-US"/>
        </w:rPr>
        <w:t>el Recurrente</w:t>
      </w:r>
      <w:r w:rsidRPr="00156075">
        <w:rPr>
          <w:rFonts w:ascii="Palatino Linotype" w:eastAsiaTheme="minorHAnsi" w:hAnsi="Palatino Linotype" w:cs="Arial"/>
          <w:lang w:val="es-MX" w:eastAsia="en-US"/>
        </w:rPr>
        <w:t xml:space="preserve"> fue</w:t>
      </w:r>
      <w:r w:rsidR="00913317">
        <w:rPr>
          <w:rFonts w:ascii="Palatino Linotype" w:eastAsiaTheme="minorHAnsi" w:hAnsi="Palatino Linotype" w:cs="Arial"/>
          <w:lang w:val="es-419" w:eastAsia="en-US"/>
        </w:rPr>
        <w:t xml:space="preserve"> </w:t>
      </w:r>
      <w:r w:rsidRPr="00156075">
        <w:rPr>
          <w:rFonts w:ascii="Palatino Linotype" w:eastAsiaTheme="minorHAnsi" w:hAnsi="Palatino Linotype" w:cs="Arial"/>
          <w:lang w:val="es-MX" w:eastAsia="en-US"/>
        </w:rPr>
        <w:t xml:space="preserve">omiso en rendir </w:t>
      </w:r>
      <w:r w:rsidR="00310A26" w:rsidRPr="008171DB">
        <w:rPr>
          <w:rFonts w:ascii="Palatino Linotype" w:eastAsiaTheme="minorHAnsi" w:hAnsi="Palatino Linotype" w:cs="Arial"/>
          <w:lang w:val="es-MX" w:eastAsia="en-US"/>
        </w:rPr>
        <w:t>las</w:t>
      </w:r>
      <w:r w:rsidRPr="00156075">
        <w:rPr>
          <w:rFonts w:ascii="Palatino Linotype" w:eastAsiaTheme="minorHAnsi" w:hAnsi="Palatino Linotype" w:cs="Arial"/>
          <w:lang w:val="es-MX" w:eastAsia="en-US"/>
        </w:rPr>
        <w:t xml:space="preserve"> manifestaciones que a su </w:t>
      </w:r>
      <w:r w:rsidR="00C0648B" w:rsidRPr="00156075">
        <w:rPr>
          <w:rFonts w:ascii="Palatino Linotype" w:eastAsiaTheme="minorHAnsi" w:hAnsi="Palatino Linotype" w:cs="Arial"/>
          <w:lang w:val="es-MX" w:eastAsia="en-US"/>
        </w:rPr>
        <w:t>interés</w:t>
      </w:r>
      <w:r w:rsidRPr="00156075">
        <w:rPr>
          <w:rFonts w:ascii="Palatino Linotype" w:eastAsiaTheme="minorHAnsi" w:hAnsi="Palatino Linotype" w:cs="Arial"/>
          <w:lang w:val="es-MX" w:eastAsia="en-US"/>
        </w:rPr>
        <w:t xml:space="preserve"> conviniera</w:t>
      </w:r>
      <w:r w:rsidR="00310A26">
        <w:rPr>
          <w:rFonts w:ascii="Palatino Linotype" w:eastAsiaTheme="minorHAnsi" w:hAnsi="Palatino Linotype" w:cs="Arial"/>
          <w:lang w:val="es-MX" w:eastAsia="en-US"/>
        </w:rPr>
        <w:t>n</w:t>
      </w:r>
      <w:r w:rsidRPr="00156075">
        <w:rPr>
          <w:rFonts w:ascii="Palatino Linotype" w:eastAsiaTheme="minorHAnsi" w:hAnsi="Palatino Linotype" w:cs="Arial"/>
          <w:lang w:val="es-MX" w:eastAsia="en-US"/>
        </w:rPr>
        <w:t>.</w:t>
      </w:r>
    </w:p>
    <w:p w14:paraId="5AC27EFB" w14:textId="77777777" w:rsidR="00156075" w:rsidRPr="00156075" w:rsidRDefault="00156075" w:rsidP="00156075">
      <w:pPr>
        <w:spacing w:line="360" w:lineRule="auto"/>
        <w:jc w:val="both"/>
        <w:rPr>
          <w:rFonts w:ascii="Palatino Linotype" w:eastAsiaTheme="minorHAnsi" w:hAnsi="Palatino Linotype" w:cs="Arial"/>
          <w:lang w:val="es-MX" w:eastAsia="en-US"/>
        </w:rPr>
      </w:pPr>
    </w:p>
    <w:p w14:paraId="0E7954DF" w14:textId="191B5D68" w:rsidR="005505B2" w:rsidRDefault="00156075" w:rsidP="0029071C">
      <w:pPr>
        <w:spacing w:line="360" w:lineRule="auto"/>
        <w:jc w:val="both"/>
        <w:rPr>
          <w:rFonts w:ascii="Palatino Linotype" w:eastAsiaTheme="minorHAnsi" w:hAnsi="Palatino Linotype" w:cs="Arial"/>
          <w:lang w:val="es-MX" w:eastAsia="en-US"/>
        </w:rPr>
      </w:pPr>
      <w:r w:rsidRPr="00156075">
        <w:rPr>
          <w:rFonts w:ascii="Palatino Linotype" w:eastAsiaTheme="minorHAnsi" w:hAnsi="Palatino Linotype" w:cs="Arial"/>
          <w:lang w:val="es-MX" w:eastAsia="en-US"/>
        </w:rPr>
        <w:t>Así mismo se aprecia que no se llevaron a cabo audiencias durante la sustanciación de</w:t>
      </w:r>
      <w:r w:rsidR="00A44FA0">
        <w:rPr>
          <w:rFonts w:ascii="Palatino Linotype" w:eastAsiaTheme="minorHAnsi" w:hAnsi="Palatino Linotype" w:cs="Arial"/>
          <w:lang w:val="es-419" w:eastAsia="en-US"/>
        </w:rPr>
        <w:t xml:space="preserve"> </w:t>
      </w:r>
      <w:r w:rsidRPr="00156075">
        <w:rPr>
          <w:rFonts w:ascii="Palatino Linotype" w:eastAsiaTheme="minorHAnsi" w:hAnsi="Palatino Linotype" w:cs="Arial"/>
          <w:lang w:val="es-MX" w:eastAsia="en-US"/>
        </w:rPr>
        <w:t>l</w:t>
      </w:r>
      <w:r w:rsidR="00A44FA0">
        <w:rPr>
          <w:rFonts w:ascii="Palatino Linotype" w:eastAsiaTheme="minorHAnsi" w:hAnsi="Palatino Linotype" w:cs="Arial"/>
          <w:lang w:val="es-419" w:eastAsia="en-US"/>
        </w:rPr>
        <w:t>os</w:t>
      </w:r>
      <w:r w:rsidRPr="00156075">
        <w:rPr>
          <w:rFonts w:ascii="Palatino Linotype" w:eastAsiaTheme="minorHAnsi" w:hAnsi="Palatino Linotype" w:cs="Arial"/>
          <w:lang w:val="es-MX" w:eastAsia="en-US"/>
        </w:rPr>
        <w:t xml:space="preserve"> recurso</w:t>
      </w:r>
      <w:r w:rsidR="00A44FA0">
        <w:rPr>
          <w:rFonts w:ascii="Palatino Linotype" w:eastAsiaTheme="minorHAnsi" w:hAnsi="Palatino Linotype" w:cs="Arial"/>
          <w:lang w:val="es-419" w:eastAsia="en-US"/>
        </w:rPr>
        <w:t>s</w:t>
      </w:r>
      <w:r w:rsidRPr="00156075">
        <w:rPr>
          <w:rFonts w:ascii="Palatino Linotype" w:eastAsiaTheme="minorHAnsi" w:hAnsi="Palatino Linotype" w:cs="Arial"/>
          <w:lang w:val="es-MX" w:eastAsia="en-US"/>
        </w:rPr>
        <w:t xml:space="preserve"> de revisión, ni se ofrecieron pruebas por parte del hoy Recurrente; todo lo anterior en términos de los artículos 185 fracción IV y 195 de la Ley de Transparencia y Acceso a la Información Pública del Estado de México y Municipios.</w:t>
      </w:r>
    </w:p>
    <w:p w14:paraId="5754B100" w14:textId="77777777" w:rsidR="005505B2" w:rsidRDefault="005505B2" w:rsidP="0029071C">
      <w:pPr>
        <w:spacing w:line="360" w:lineRule="auto"/>
        <w:jc w:val="both"/>
        <w:rPr>
          <w:rFonts w:ascii="Palatino Linotype" w:eastAsiaTheme="minorHAnsi" w:hAnsi="Palatino Linotype" w:cs="Arial"/>
          <w:noProof/>
          <w:lang w:val="es-MX" w:eastAsia="es-MX"/>
        </w:rPr>
      </w:pPr>
    </w:p>
    <w:p w14:paraId="70FAF665" w14:textId="0D6B6D20" w:rsidR="0029071C" w:rsidRPr="0013589E"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SE</w:t>
      </w:r>
      <w:r w:rsidR="004F376A">
        <w:rPr>
          <w:rFonts w:ascii="Palatino Linotype" w:eastAsiaTheme="minorHAnsi" w:hAnsi="Palatino Linotype" w:cs="Arial"/>
          <w:b/>
          <w:sz w:val="28"/>
          <w:lang w:val="es-MX" w:eastAsia="en-US"/>
        </w:rPr>
        <w:t>XTO. Del cierre de instrucción.</w:t>
      </w:r>
    </w:p>
    <w:p w14:paraId="66CB78CD" w14:textId="0973E8DC" w:rsidR="0029071C"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Así, una vez transcurrido el término legal, se decretó el cierre de instrucción en fecha </w:t>
      </w:r>
      <w:r w:rsidR="008171DB">
        <w:rPr>
          <w:rFonts w:ascii="Palatino Linotype" w:eastAsiaTheme="minorHAnsi" w:hAnsi="Palatino Linotype" w:cs="Arial"/>
          <w:b/>
          <w:lang w:val="es-419" w:eastAsia="en-US"/>
        </w:rPr>
        <w:t>quince</w:t>
      </w:r>
      <w:r w:rsidR="008C6E96">
        <w:rPr>
          <w:rFonts w:ascii="Palatino Linotype" w:eastAsiaTheme="minorHAnsi" w:hAnsi="Palatino Linotype" w:cs="Arial"/>
          <w:b/>
          <w:lang w:val="es-419" w:eastAsia="en-US"/>
        </w:rPr>
        <w:t xml:space="preserve"> </w:t>
      </w:r>
      <w:r w:rsidR="00156075" w:rsidRPr="008B3AF1">
        <w:rPr>
          <w:rFonts w:ascii="Palatino Linotype" w:eastAsiaTheme="minorHAnsi" w:hAnsi="Palatino Linotype" w:cs="Arial"/>
          <w:b/>
          <w:lang w:val="es-MX" w:eastAsia="en-US"/>
        </w:rPr>
        <w:t xml:space="preserve">de </w:t>
      </w:r>
      <w:r w:rsidR="008171DB">
        <w:rPr>
          <w:rFonts w:ascii="Palatino Linotype" w:eastAsiaTheme="minorHAnsi" w:hAnsi="Palatino Linotype" w:cs="Arial"/>
          <w:b/>
          <w:lang w:val="es-419" w:eastAsia="en-US"/>
        </w:rPr>
        <w:t>julio</w:t>
      </w:r>
      <w:r w:rsidR="00121B3D" w:rsidRPr="008B3AF1">
        <w:rPr>
          <w:rFonts w:ascii="Palatino Linotype" w:eastAsiaTheme="minorHAnsi" w:hAnsi="Palatino Linotype" w:cs="Arial"/>
          <w:b/>
          <w:lang w:val="es-MX" w:eastAsia="en-US"/>
        </w:rPr>
        <w:t xml:space="preserve"> del año </w:t>
      </w:r>
      <w:r w:rsidR="004239C3" w:rsidRPr="008B3AF1">
        <w:rPr>
          <w:rFonts w:ascii="Palatino Linotype" w:eastAsiaTheme="minorHAnsi" w:hAnsi="Palatino Linotype" w:cs="Arial"/>
          <w:b/>
          <w:lang w:val="es-419" w:eastAsia="en-US"/>
        </w:rPr>
        <w:t>dos mil veintidós</w:t>
      </w:r>
      <w:r w:rsidRPr="0013589E">
        <w:rPr>
          <w:rFonts w:ascii="Palatino Linotype" w:eastAsiaTheme="minorHAnsi" w:hAnsi="Palatino Linotype" w:cs="Arial"/>
          <w:lang w:val="es-MX" w:eastAsia="en-US"/>
        </w:rPr>
        <w:t>,</w:t>
      </w:r>
      <w:r w:rsidR="007208BC" w:rsidRPr="0013589E">
        <w:rPr>
          <w:rFonts w:ascii="Palatino Linotype" w:eastAsiaTheme="minorHAnsi" w:hAnsi="Palatino Linotype" w:cs="Arial"/>
          <w:lang w:val="es-MX" w:eastAsia="en-US"/>
        </w:rPr>
        <w:t xml:space="preserve"> y</w:t>
      </w:r>
      <w:r w:rsidRPr="0013589E">
        <w:rPr>
          <w:rFonts w:ascii="Palatino Linotype" w:eastAsiaTheme="minorHAnsi" w:hAnsi="Palatino Linotype" w:cs="Arial"/>
          <w:lang w:val="es-MX" w:eastAsia="en-US"/>
        </w:rPr>
        <w:t xml:space="preserve"> en términos del artículo 185, Fracción VI, de la Ley de Transparencia y Acceso a la Información Pública del Estado de México y Municipios, iniciando el término legal para dictar resolución definitiva del asunto.</w:t>
      </w:r>
    </w:p>
    <w:p w14:paraId="17143095" w14:textId="77777777" w:rsidR="00642B75" w:rsidRDefault="00642B75" w:rsidP="0029071C">
      <w:pPr>
        <w:spacing w:line="360" w:lineRule="auto"/>
        <w:jc w:val="both"/>
        <w:rPr>
          <w:rFonts w:ascii="Palatino Linotype" w:eastAsiaTheme="minorHAnsi" w:hAnsi="Palatino Linotype" w:cs="Arial"/>
          <w:lang w:val="es-MX" w:eastAsia="en-US"/>
        </w:rPr>
      </w:pPr>
    </w:p>
    <w:p w14:paraId="245FB319" w14:textId="0322F9C7" w:rsidR="00327FC9" w:rsidRPr="00153655" w:rsidRDefault="00642B75" w:rsidP="00327FC9">
      <w:pPr>
        <w:spacing w:line="360" w:lineRule="auto"/>
        <w:jc w:val="both"/>
        <w:rPr>
          <w:rFonts w:ascii="Palatino Linotype" w:hAnsi="Palatino Linotype" w:cs="Arial"/>
          <w:b/>
          <w:sz w:val="28"/>
          <w:szCs w:val="28"/>
          <w:lang w:val="es-419"/>
        </w:rPr>
      </w:pPr>
      <w:r w:rsidRPr="00E048E2">
        <w:rPr>
          <w:rFonts w:ascii="Palatino Linotype" w:hAnsi="Palatino Linotype" w:cs="Arial"/>
          <w:b/>
          <w:sz w:val="28"/>
          <w:szCs w:val="28"/>
        </w:rPr>
        <w:t>SEPTIMO.</w:t>
      </w:r>
      <w:r w:rsidR="00327FC9" w:rsidRPr="00153655">
        <w:rPr>
          <w:rFonts w:ascii="Palatino Linotype" w:hAnsi="Palatino Linotype" w:cs="Arial"/>
          <w:b/>
          <w:sz w:val="28"/>
          <w:szCs w:val="28"/>
        </w:rPr>
        <w:t xml:space="preserve"> Ampliación del término para resolver</w:t>
      </w:r>
      <w:r w:rsidR="00327FC9">
        <w:rPr>
          <w:rFonts w:ascii="Palatino Linotype" w:hAnsi="Palatino Linotype" w:cs="Arial"/>
          <w:b/>
          <w:sz w:val="28"/>
          <w:szCs w:val="28"/>
          <w:lang w:val="es-419"/>
        </w:rPr>
        <w:t>.</w:t>
      </w:r>
    </w:p>
    <w:p w14:paraId="06669CA1" w14:textId="185E8D61" w:rsidR="00327FC9" w:rsidRDefault="00327FC9" w:rsidP="00327FC9">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0D5AA5">
        <w:rPr>
          <w:rFonts w:ascii="Palatino Linotype" w:hAnsi="Palatino Linotype" w:cs="Arial"/>
          <w:b/>
          <w:lang w:val="es-419"/>
        </w:rPr>
        <w:t>nueve</w:t>
      </w:r>
      <w:r>
        <w:rPr>
          <w:rFonts w:ascii="Palatino Linotype" w:hAnsi="Palatino Linotype" w:cs="Arial"/>
          <w:b/>
          <w:lang w:val="es-419"/>
        </w:rPr>
        <w:t xml:space="preserve"> </w:t>
      </w:r>
      <w:r w:rsidRPr="00DB01C3">
        <w:rPr>
          <w:rFonts w:ascii="Palatino Linotype" w:hAnsi="Palatino Linotype" w:cs="Arial"/>
          <w:b/>
        </w:rPr>
        <w:t xml:space="preserve">de </w:t>
      </w:r>
      <w:r w:rsidR="000D5AA5">
        <w:rPr>
          <w:rFonts w:ascii="Palatino Linotype" w:hAnsi="Palatino Linotype" w:cs="Arial"/>
          <w:b/>
          <w:lang w:val="es-419"/>
        </w:rPr>
        <w:t>agosto</w:t>
      </w:r>
      <w:r w:rsidRPr="00DB01C3">
        <w:rPr>
          <w:rFonts w:ascii="Palatino Linotype" w:hAnsi="Palatino Linotype" w:cs="Arial"/>
          <w:b/>
        </w:rPr>
        <w:t xml:space="preserve">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w:t>
      </w:r>
      <w:r>
        <w:rPr>
          <w:rFonts w:ascii="Palatino Linotype" w:hAnsi="Palatino Linotype" w:cs="Arial"/>
        </w:rPr>
        <w:t>ución que en derecho proceda.</w:t>
      </w:r>
    </w:p>
    <w:p w14:paraId="29937819" w14:textId="77777777" w:rsidR="00327FC9" w:rsidRDefault="00327FC9" w:rsidP="00327FC9">
      <w:pPr>
        <w:spacing w:line="360" w:lineRule="auto"/>
        <w:jc w:val="both"/>
        <w:rPr>
          <w:rFonts w:ascii="Palatino Linotype" w:hAnsi="Palatino Linotype" w:cs="Arial"/>
        </w:rPr>
      </w:pPr>
    </w:p>
    <w:p w14:paraId="197325FC"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 xml:space="preserve">Este organismo garante no pasa por alto justificar, </w:t>
      </w:r>
      <w:r>
        <w:rPr>
          <w:rFonts w:ascii="Palatino Linotype" w:hAnsi="Palatino Linotype" w:cstheme="majorHAnsi"/>
          <w:bCs/>
        </w:rPr>
        <w:t xml:space="preserve">que el plazo para emitir resolución en el presente asunto </w:t>
      </w:r>
      <w:r>
        <w:rPr>
          <w:rFonts w:ascii="Palatino Linotype" w:hAnsi="Palatino Linotype" w:cstheme="majorHAnsi"/>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Pr>
          <w:rFonts w:ascii="Palatino Linotype" w:hAnsi="Palatino Linotype" w:cstheme="majorHAnsi"/>
        </w:rPr>
        <w:lastRenderedPageBreak/>
        <w:t>técnicas y humanas del personal encargado de la proyección de las resoluciones a dichos medios de impugnación.</w:t>
      </w:r>
    </w:p>
    <w:p w14:paraId="7184F249" w14:textId="77777777" w:rsidR="00327FC9" w:rsidRDefault="00327FC9" w:rsidP="00327FC9">
      <w:pPr>
        <w:spacing w:line="360" w:lineRule="auto"/>
        <w:jc w:val="both"/>
        <w:rPr>
          <w:rFonts w:ascii="Palatino Linotype" w:hAnsi="Palatino Linotype" w:cstheme="majorHAnsi"/>
        </w:rPr>
      </w:pPr>
    </w:p>
    <w:p w14:paraId="144FCE23"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 xml:space="preserve">Por ello, es menester precisar que si bien se ha excedido el plazo para resolver el presente medio de impugnación, de conformidad con la ley de la materia, </w:t>
      </w:r>
      <w:r>
        <w:rPr>
          <w:rFonts w:ascii="Palatino Linotype" w:hAnsi="Palatino Linotype" w:cstheme="majorHAnsi"/>
          <w:bCs/>
        </w:rPr>
        <w:t>el plazo para emitir resolución</w:t>
      </w:r>
      <w:r>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4A3D2AE" w14:textId="77777777" w:rsidR="00327FC9" w:rsidRDefault="00327FC9" w:rsidP="00327FC9">
      <w:pPr>
        <w:spacing w:line="360" w:lineRule="auto"/>
        <w:jc w:val="both"/>
        <w:rPr>
          <w:rFonts w:ascii="Palatino Linotype" w:hAnsi="Palatino Linotype" w:cstheme="majorHAnsi"/>
        </w:rPr>
      </w:pPr>
    </w:p>
    <w:p w14:paraId="2BD63F5E"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49D10A" w14:textId="77777777" w:rsidR="00327FC9" w:rsidRDefault="00327FC9" w:rsidP="00327FC9">
      <w:pPr>
        <w:spacing w:line="360" w:lineRule="auto"/>
        <w:jc w:val="both"/>
        <w:rPr>
          <w:rFonts w:ascii="Palatino Linotype" w:hAnsi="Palatino Linotype" w:cstheme="majorHAnsi"/>
        </w:rPr>
      </w:pPr>
    </w:p>
    <w:p w14:paraId="0BE548F3"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2C3D5C"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 xml:space="preserve"> </w:t>
      </w:r>
    </w:p>
    <w:p w14:paraId="1A3ADD46"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5F477ACE" w14:textId="77777777" w:rsidR="00327FC9" w:rsidRDefault="00327FC9" w:rsidP="00EE4BE0">
      <w:pPr>
        <w:spacing w:line="360" w:lineRule="auto"/>
        <w:ind w:right="899"/>
        <w:jc w:val="both"/>
        <w:rPr>
          <w:rFonts w:ascii="Palatino Linotype" w:hAnsi="Palatino Linotype" w:cstheme="majorHAnsi"/>
        </w:rPr>
      </w:pPr>
    </w:p>
    <w:p w14:paraId="543F0966" w14:textId="77777777" w:rsidR="00327FC9" w:rsidRPr="005650DA" w:rsidRDefault="00327FC9" w:rsidP="00EE4BE0">
      <w:pPr>
        <w:pStyle w:val="Prrafodelista"/>
        <w:numPr>
          <w:ilvl w:val="0"/>
          <w:numId w:val="6"/>
        </w:numPr>
        <w:spacing w:line="360" w:lineRule="auto"/>
        <w:ind w:left="1134" w:right="1183"/>
        <w:jc w:val="both"/>
        <w:rPr>
          <w:rFonts w:ascii="Palatino Linotype" w:hAnsi="Palatino Linotype" w:cstheme="majorHAnsi"/>
        </w:rPr>
      </w:pPr>
      <w:r w:rsidRPr="00447157">
        <w:rPr>
          <w:rFonts w:ascii="Palatino Linotype" w:hAnsi="Palatino Linotype" w:cstheme="majorHAnsi"/>
          <w:b/>
        </w:rPr>
        <w:lastRenderedPageBreak/>
        <w:t>Complejidad del asunto</w:t>
      </w:r>
      <w:r w:rsidRPr="005650DA">
        <w:rPr>
          <w:rFonts w:ascii="Palatino Linotype" w:hAnsi="Palatino Linotype" w:cstheme="majorHAnsi"/>
        </w:rPr>
        <w:t>: La complejidad de la prueba, la pluralidad de sujetos procesales, el tiempo transcurrido, las características y contexto del recurso.</w:t>
      </w:r>
    </w:p>
    <w:p w14:paraId="115882B9" w14:textId="77777777" w:rsidR="00327FC9" w:rsidRDefault="00327FC9" w:rsidP="00EE4BE0">
      <w:pPr>
        <w:pStyle w:val="Prrafodelista"/>
        <w:numPr>
          <w:ilvl w:val="0"/>
          <w:numId w:val="6"/>
        </w:numPr>
        <w:spacing w:line="360" w:lineRule="auto"/>
        <w:ind w:left="1134" w:right="1183"/>
        <w:jc w:val="both"/>
        <w:rPr>
          <w:rFonts w:ascii="Palatino Linotype" w:hAnsi="Palatino Linotype" w:cstheme="majorHAnsi"/>
        </w:rPr>
      </w:pPr>
      <w:r w:rsidRPr="00447157">
        <w:rPr>
          <w:rFonts w:ascii="Palatino Linotype" w:hAnsi="Palatino Linotype" w:cstheme="majorHAnsi"/>
          <w:b/>
        </w:rPr>
        <w:t>Actividad Procesal del interesado</w:t>
      </w:r>
      <w:r>
        <w:rPr>
          <w:rFonts w:ascii="Palatino Linotype" w:hAnsi="Palatino Linotype" w:cstheme="majorHAnsi"/>
        </w:rPr>
        <w:t>: Acciones u omisiones del interesado.</w:t>
      </w:r>
    </w:p>
    <w:p w14:paraId="0B9B9F91" w14:textId="77777777" w:rsidR="00327FC9" w:rsidRDefault="00327FC9" w:rsidP="00EE4BE0">
      <w:pPr>
        <w:pStyle w:val="Prrafodelista"/>
        <w:numPr>
          <w:ilvl w:val="0"/>
          <w:numId w:val="6"/>
        </w:numPr>
        <w:spacing w:line="360" w:lineRule="auto"/>
        <w:ind w:left="1134" w:right="1183"/>
        <w:jc w:val="both"/>
        <w:rPr>
          <w:rFonts w:ascii="Palatino Linotype" w:hAnsi="Palatino Linotype" w:cstheme="majorHAnsi"/>
        </w:rPr>
      </w:pPr>
      <w:r w:rsidRPr="00447157">
        <w:rPr>
          <w:rFonts w:ascii="Palatino Linotype" w:hAnsi="Palatino Linotype" w:cstheme="majorHAnsi"/>
          <w:b/>
        </w:rPr>
        <w:t>Conducta de la Autoridad:</w:t>
      </w:r>
      <w:r>
        <w:rPr>
          <w:rFonts w:ascii="Palatino Linotype" w:hAnsi="Palatino Linotype" w:cstheme="majorHAnsi"/>
        </w:rPr>
        <w:t xml:space="preserve"> Las Acciones u omisiones realizadas en el procedimiento. Así como si la autoridad actuó con la debida diligencia.</w:t>
      </w:r>
    </w:p>
    <w:p w14:paraId="6C454588" w14:textId="77777777" w:rsidR="00327FC9" w:rsidRDefault="00327FC9" w:rsidP="00EE4BE0">
      <w:pPr>
        <w:pStyle w:val="Prrafodelista"/>
        <w:numPr>
          <w:ilvl w:val="0"/>
          <w:numId w:val="6"/>
        </w:numPr>
        <w:spacing w:line="360" w:lineRule="auto"/>
        <w:ind w:left="1134" w:right="1183"/>
        <w:jc w:val="both"/>
        <w:rPr>
          <w:rFonts w:ascii="Palatino Linotype" w:hAnsi="Palatino Linotype" w:cstheme="majorHAnsi"/>
        </w:rPr>
      </w:pPr>
      <w:r w:rsidRPr="00447157">
        <w:rPr>
          <w:rFonts w:ascii="Palatino Linotype" w:hAnsi="Palatino Linotype" w:cstheme="majorHAnsi"/>
          <w:b/>
        </w:rPr>
        <w:t>La afectación generada en la situación jurídica de la persona involucrada en el proceso</w:t>
      </w:r>
      <w:r>
        <w:rPr>
          <w:rFonts w:ascii="Palatino Linotype" w:hAnsi="Palatino Linotype" w:cstheme="majorHAnsi"/>
        </w:rPr>
        <w:t>: Violación a sus derechos humanos.</w:t>
      </w:r>
    </w:p>
    <w:p w14:paraId="388953AA" w14:textId="77777777" w:rsidR="00327FC9" w:rsidRDefault="00327FC9" w:rsidP="00EE4BE0">
      <w:pPr>
        <w:spacing w:line="360" w:lineRule="auto"/>
        <w:ind w:right="899"/>
        <w:jc w:val="both"/>
        <w:rPr>
          <w:rFonts w:ascii="Palatino Linotype" w:hAnsi="Palatino Linotype" w:cstheme="majorHAnsi"/>
        </w:rPr>
      </w:pPr>
    </w:p>
    <w:p w14:paraId="075B71E9"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2DA041" w14:textId="77777777" w:rsidR="00327FC9" w:rsidRDefault="00327FC9" w:rsidP="00327FC9">
      <w:pPr>
        <w:spacing w:line="360" w:lineRule="auto"/>
        <w:jc w:val="both"/>
        <w:rPr>
          <w:rFonts w:ascii="Palatino Linotype" w:hAnsi="Palatino Linotype" w:cstheme="majorHAnsi"/>
        </w:rPr>
      </w:pPr>
    </w:p>
    <w:p w14:paraId="2369C8B0"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44D112" w14:textId="77777777" w:rsidR="00327FC9" w:rsidRDefault="00327FC9" w:rsidP="00327FC9">
      <w:pPr>
        <w:spacing w:line="360" w:lineRule="auto"/>
        <w:jc w:val="both"/>
        <w:rPr>
          <w:rFonts w:ascii="Palatino Linotype" w:hAnsi="Palatino Linotype" w:cstheme="majorHAnsi"/>
        </w:rPr>
      </w:pPr>
    </w:p>
    <w:p w14:paraId="67155DCD"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BC7F81" w14:textId="77777777" w:rsidR="00327FC9" w:rsidRDefault="00327FC9" w:rsidP="00327FC9">
      <w:pPr>
        <w:spacing w:line="360" w:lineRule="auto"/>
        <w:jc w:val="both"/>
        <w:rPr>
          <w:rFonts w:ascii="Palatino Linotype" w:hAnsi="Palatino Linotype" w:cstheme="majorHAnsi"/>
        </w:rPr>
      </w:pPr>
    </w:p>
    <w:p w14:paraId="0F743F46"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79AC17E0" w14:textId="77777777" w:rsidR="00327FC9" w:rsidRDefault="00327FC9" w:rsidP="00327FC9">
      <w:pPr>
        <w:spacing w:line="360" w:lineRule="auto"/>
        <w:jc w:val="both"/>
        <w:rPr>
          <w:rFonts w:ascii="Palatino Linotype" w:hAnsi="Palatino Linotype" w:cstheme="majorHAnsi"/>
        </w:rPr>
      </w:pPr>
    </w:p>
    <w:p w14:paraId="5A1CD619" w14:textId="77777777" w:rsidR="00327FC9" w:rsidRDefault="00327FC9" w:rsidP="00327FC9">
      <w:pPr>
        <w:spacing w:line="360" w:lineRule="auto"/>
        <w:jc w:val="both"/>
        <w:rPr>
          <w:rFonts w:ascii="Palatino Linotype" w:hAnsi="Palatino Linotype" w:cstheme="majorHAnsi"/>
        </w:rPr>
      </w:pPr>
      <w:r>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1F4E6250" w14:textId="77777777" w:rsidR="00327FC9" w:rsidRDefault="00327FC9" w:rsidP="00327FC9">
      <w:pPr>
        <w:spacing w:line="360" w:lineRule="auto"/>
        <w:jc w:val="both"/>
        <w:rPr>
          <w:rFonts w:ascii="Palatino Linotype" w:hAnsi="Palatino Linotype" w:cstheme="majorHAnsi"/>
        </w:rPr>
      </w:pPr>
    </w:p>
    <w:p w14:paraId="1D1E59C0" w14:textId="77777777" w:rsidR="00327FC9" w:rsidRPr="00327FC9" w:rsidRDefault="00327FC9" w:rsidP="00327FC9">
      <w:pPr>
        <w:spacing w:line="360" w:lineRule="auto"/>
        <w:jc w:val="both"/>
        <w:rPr>
          <w:rFonts w:ascii="Palatino Linotype" w:hAnsi="Palatino Linotype" w:cstheme="majorHAnsi"/>
          <w:bCs/>
        </w:rPr>
      </w:pPr>
      <w:r>
        <w:rPr>
          <w:rFonts w:ascii="Palatino Linotype" w:hAnsi="Palatino Linotype" w:cstheme="majorHAnsi"/>
        </w:rPr>
        <w:t xml:space="preserve">“PLAZO RAZONABLE PARA RESOLVER. CONCEPTO Y ELEMENTOS QUE LO INTEGRAN A LA LUZ DEL DERECHO INTERNACIONAL DE LOS DERECHOS HUMANOS.”, visible en el Seminario Judicial de la Federación y su gaceta, con el </w:t>
      </w:r>
      <w:r w:rsidRPr="00327FC9">
        <w:rPr>
          <w:rFonts w:ascii="Palatino Linotype" w:hAnsi="Palatino Linotype" w:cstheme="majorHAnsi"/>
          <w:bCs/>
        </w:rPr>
        <w:t>registro digital 2002350.</w:t>
      </w:r>
    </w:p>
    <w:p w14:paraId="3065E78E" w14:textId="77777777" w:rsidR="00327FC9" w:rsidRPr="00327FC9" w:rsidRDefault="00327FC9" w:rsidP="00327FC9">
      <w:pPr>
        <w:spacing w:line="360" w:lineRule="auto"/>
        <w:jc w:val="both"/>
        <w:rPr>
          <w:rFonts w:ascii="Palatino Linotype" w:hAnsi="Palatino Linotype" w:cstheme="majorHAnsi"/>
          <w:bCs/>
        </w:rPr>
      </w:pPr>
    </w:p>
    <w:p w14:paraId="19AD2D3C" w14:textId="5667549E" w:rsidR="00156075" w:rsidRPr="00327FC9" w:rsidRDefault="00327FC9" w:rsidP="00327FC9">
      <w:pPr>
        <w:spacing w:line="360" w:lineRule="auto"/>
        <w:jc w:val="both"/>
        <w:rPr>
          <w:rFonts w:ascii="Palatino Linotype" w:hAnsi="Palatino Linotype" w:cstheme="majorHAnsi"/>
          <w:bCs/>
        </w:rPr>
      </w:pPr>
      <w:r>
        <w:rPr>
          <w:rFonts w:ascii="Palatino Linotype" w:hAnsi="Palatino Linotype" w:cstheme="majorHAnsi"/>
          <w:bCs/>
        </w:rPr>
        <w:lastRenderedPageBreak/>
        <w:t>Por ello, este organismo garante comprometido con la tutela de los derechos humanos confiados, señala que este exceso del plazo legal para resolver el presente asunto, resulta de</w:t>
      </w:r>
      <w:r w:rsidR="00E67AC0">
        <w:rPr>
          <w:rFonts w:ascii="Palatino Linotype" w:hAnsi="Palatino Linotype" w:cstheme="majorHAnsi"/>
          <w:bCs/>
        </w:rPr>
        <w:t xml:space="preserve"> carácter excepcional, y, </w:t>
      </w:r>
    </w:p>
    <w:p w14:paraId="018E9F47" w14:textId="77777777" w:rsidR="00EE4BE0" w:rsidRPr="00327FC9" w:rsidRDefault="00EE4BE0" w:rsidP="0029071C">
      <w:pPr>
        <w:spacing w:line="360" w:lineRule="auto"/>
        <w:jc w:val="both"/>
        <w:rPr>
          <w:rFonts w:ascii="Palatino Linotype" w:hAnsi="Palatino Linotype" w:cstheme="majorHAnsi"/>
          <w:bC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337CF3">
        <w:rPr>
          <w:rFonts w:ascii="Palatino Linotype" w:eastAsiaTheme="minorHAnsi" w:hAnsi="Palatino Linotype" w:cs="Arial"/>
          <w:lang w:val="es-MX" w:eastAsia="en-US"/>
        </w:rPr>
        <w:t>Este Instituto</w:t>
      </w:r>
      <w:r w:rsidRPr="0013589E">
        <w:rPr>
          <w:rFonts w:ascii="Palatino Linotype" w:eastAsiaTheme="minorHAnsi" w:hAnsi="Palatino Linotype" w:cs="Arial"/>
          <w:lang w:val="es-MX" w:eastAsia="en-US"/>
        </w:rPr>
        <w:t xml:space="preserve">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13589E">
        <w:rPr>
          <w:rFonts w:ascii="Palatino Linotype" w:eastAsiaTheme="minorHAnsi" w:hAnsi="Palatino Linotype" w:cs="Arial"/>
          <w:lang w:val="es-MX" w:eastAsia="en-US"/>
        </w:rPr>
        <w:lastRenderedPageBreak/>
        <w:t>derecho de acceso a la información pública y garantizando el principio rector de máxima publicidad.</w:t>
      </w:r>
    </w:p>
    <w:p w14:paraId="03820C22"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55C4E72A" w:rsidR="0029071C" w:rsidRPr="0013589E" w:rsidRDefault="0035394A"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419" w:eastAsia="en-US"/>
        </w:rPr>
        <w:t>TERCERO</w:t>
      </w:r>
      <w:r w:rsidR="0029071C" w:rsidRPr="0013589E">
        <w:rPr>
          <w:rFonts w:ascii="Palatino Linotype" w:eastAsiaTheme="minorHAnsi" w:hAnsi="Palatino Linotype" w:cs="Arial"/>
          <w:b/>
          <w:sz w:val="28"/>
          <w:lang w:val="es-MX" w:eastAsia="en-US"/>
        </w:rPr>
        <w:t xml:space="preserve">. Del estudio de las causas de improcedencia. </w:t>
      </w:r>
    </w:p>
    <w:p w14:paraId="0907D4D6" w14:textId="51AD6C3A" w:rsidR="008A64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9EEA825" w14:textId="77777777" w:rsidR="00EC72A3" w:rsidRPr="0013589E"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EC72A3" w:rsidRDefault="0029071C" w:rsidP="006B4D19">
      <w:pPr>
        <w:autoSpaceDE w:val="0"/>
        <w:autoSpaceDN w:val="0"/>
        <w:adjustRightInd w:val="0"/>
        <w:ind w:left="709" w:right="851"/>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54C83DF8" w14:textId="77777777" w:rsidR="0029071C" w:rsidRPr="00EC72A3" w:rsidRDefault="0029071C" w:rsidP="006B4D19">
      <w:pPr>
        <w:autoSpaceDE w:val="0"/>
        <w:autoSpaceDN w:val="0"/>
        <w:adjustRightInd w:val="0"/>
        <w:ind w:left="709" w:right="851"/>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EC72A3" w:rsidRDefault="0029071C" w:rsidP="006B4D19">
      <w:pPr>
        <w:autoSpaceDE w:val="0"/>
        <w:autoSpaceDN w:val="0"/>
        <w:adjustRightInd w:val="0"/>
        <w:ind w:left="709" w:right="851"/>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EC72A3" w:rsidRDefault="0029071C" w:rsidP="006B4D19">
      <w:pPr>
        <w:autoSpaceDE w:val="0"/>
        <w:autoSpaceDN w:val="0"/>
        <w:adjustRightInd w:val="0"/>
        <w:ind w:left="709" w:right="851"/>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05B33E2A" w14:textId="77777777" w:rsidR="0029071C" w:rsidRPr="00EC72A3" w:rsidRDefault="0029071C" w:rsidP="006B4D19">
      <w:pPr>
        <w:autoSpaceDE w:val="0"/>
        <w:autoSpaceDN w:val="0"/>
        <w:adjustRightInd w:val="0"/>
        <w:ind w:left="709" w:right="851"/>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864834F" w14:textId="77777777" w:rsidR="0029071C" w:rsidRPr="00EC72A3" w:rsidRDefault="0029071C" w:rsidP="006B4D19">
      <w:pPr>
        <w:autoSpaceDE w:val="0"/>
        <w:autoSpaceDN w:val="0"/>
        <w:adjustRightInd w:val="0"/>
        <w:ind w:left="709" w:right="851"/>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530E546D" w14:textId="77777777" w:rsidR="0029071C" w:rsidRPr="00EC72A3" w:rsidRDefault="0029071C" w:rsidP="006B4D19">
      <w:pPr>
        <w:autoSpaceDE w:val="0"/>
        <w:autoSpaceDN w:val="0"/>
        <w:adjustRightInd w:val="0"/>
        <w:ind w:left="709" w:right="851"/>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67C9B48F" w14:textId="77777777" w:rsidR="0029071C" w:rsidRPr="00EC72A3" w:rsidRDefault="0029071C" w:rsidP="006B4D19">
      <w:pPr>
        <w:autoSpaceDE w:val="0"/>
        <w:autoSpaceDN w:val="0"/>
        <w:adjustRightInd w:val="0"/>
        <w:ind w:left="709" w:right="851"/>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5A33E365" w:rsidR="0029071C" w:rsidRPr="0013589E" w:rsidRDefault="0035394A"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CUARTO</w:t>
      </w:r>
      <w:r w:rsidR="0029071C" w:rsidRPr="0013589E">
        <w:rPr>
          <w:rFonts w:ascii="Palatino Linotype" w:hAnsi="Palatino Linotype" w:cs="Arial"/>
          <w:b/>
          <w:sz w:val="28"/>
        </w:rPr>
        <w:t>.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13589E">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1460D8" w:rsidRDefault="00311808" w:rsidP="00311808">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1460D8" w:rsidRDefault="00311808" w:rsidP="00311808">
      <w:pPr>
        <w:spacing w:line="360" w:lineRule="auto"/>
        <w:jc w:val="both"/>
        <w:rPr>
          <w:rFonts w:ascii="Palatino Linotype" w:hAnsi="Palatino Linotype"/>
        </w:rPr>
      </w:pPr>
    </w:p>
    <w:p w14:paraId="5804C9E1"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AC19DFF" w14:textId="77777777" w:rsidR="00311808" w:rsidRDefault="00311808" w:rsidP="00C0746B">
      <w:pPr>
        <w:ind w:left="851" w:right="851"/>
        <w:jc w:val="both"/>
        <w:rPr>
          <w:rFonts w:ascii="Palatino Linotype" w:hAnsi="Palatino Linotype" w:cs="Arial"/>
          <w:b/>
          <w:bCs/>
          <w:i/>
          <w:color w:val="000000"/>
          <w:lang w:eastAsia="es-MX"/>
        </w:rPr>
      </w:pPr>
    </w:p>
    <w:p w14:paraId="00D710A3"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Default="00311808" w:rsidP="00C0746B">
      <w:pPr>
        <w:ind w:left="851" w:right="851"/>
        <w:jc w:val="both"/>
        <w:rPr>
          <w:rFonts w:ascii="Palatino Linotype" w:hAnsi="Palatino Linotype" w:cs="Arial"/>
          <w:b/>
          <w:bCs/>
          <w:i/>
          <w:color w:val="000000"/>
          <w:lang w:eastAsia="es-MX"/>
        </w:rPr>
      </w:pPr>
    </w:p>
    <w:p w14:paraId="5C17D090"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7B1E76">
        <w:rPr>
          <w:rFonts w:ascii="Palatino Linotype" w:hAnsi="Palatino Linotype" w:cs="Arial"/>
          <w:i/>
          <w:color w:val="000000"/>
          <w:lang w:eastAsia="es-MX"/>
        </w:rPr>
        <w:lastRenderedPageBreak/>
        <w:t xml:space="preserve">supuestos específicos bajo los cuales procederá la declaración de inexistencia de la información. </w:t>
      </w:r>
    </w:p>
    <w:p w14:paraId="18A91E86" w14:textId="77777777" w:rsidR="00311808" w:rsidRDefault="00311808" w:rsidP="00C0746B">
      <w:pPr>
        <w:ind w:left="851" w:right="851"/>
        <w:jc w:val="both"/>
        <w:rPr>
          <w:rFonts w:ascii="Palatino Linotype" w:hAnsi="Palatino Linotype" w:cs="Arial"/>
          <w:b/>
          <w:bCs/>
          <w:i/>
          <w:color w:val="000000"/>
          <w:lang w:eastAsia="es-MX"/>
        </w:rPr>
      </w:pPr>
    </w:p>
    <w:p w14:paraId="2B04B7F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Default="00311808" w:rsidP="00C0746B">
      <w:pPr>
        <w:ind w:left="851" w:right="851"/>
        <w:jc w:val="both"/>
        <w:rPr>
          <w:rFonts w:ascii="Palatino Linotype" w:hAnsi="Palatino Linotype" w:cs="Arial"/>
          <w:b/>
          <w:bCs/>
          <w:i/>
          <w:color w:val="000000"/>
          <w:lang w:eastAsia="es-MX"/>
        </w:rPr>
      </w:pPr>
    </w:p>
    <w:p w14:paraId="36F501F5"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Default="00311808" w:rsidP="00C0746B">
      <w:pPr>
        <w:ind w:left="851" w:right="851"/>
        <w:jc w:val="both"/>
        <w:rPr>
          <w:rFonts w:ascii="Palatino Linotype" w:hAnsi="Palatino Linotype" w:cs="Arial"/>
          <w:b/>
          <w:bCs/>
          <w:i/>
          <w:color w:val="000000"/>
          <w:lang w:eastAsia="es-MX"/>
        </w:rPr>
      </w:pPr>
    </w:p>
    <w:p w14:paraId="1E86CAB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Default="00311808" w:rsidP="00C0746B">
      <w:pPr>
        <w:ind w:left="851" w:right="851"/>
        <w:jc w:val="both"/>
        <w:rPr>
          <w:rFonts w:ascii="Palatino Linotype" w:hAnsi="Palatino Linotype" w:cs="Arial"/>
          <w:b/>
          <w:bCs/>
          <w:i/>
          <w:color w:val="000000"/>
          <w:lang w:eastAsia="es-MX"/>
        </w:rPr>
      </w:pPr>
    </w:p>
    <w:p w14:paraId="03349E2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Default="00311808" w:rsidP="00C0746B">
      <w:pPr>
        <w:ind w:left="851" w:right="851"/>
        <w:jc w:val="both"/>
        <w:rPr>
          <w:rFonts w:ascii="Palatino Linotype" w:hAnsi="Palatino Linotype" w:cs="Arial"/>
          <w:b/>
          <w:bCs/>
          <w:i/>
          <w:color w:val="000000"/>
          <w:lang w:eastAsia="es-MX"/>
        </w:rPr>
      </w:pPr>
    </w:p>
    <w:p w14:paraId="50F8438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Default="00311808" w:rsidP="00C0746B">
      <w:pPr>
        <w:ind w:left="851" w:right="851"/>
        <w:jc w:val="both"/>
        <w:rPr>
          <w:rFonts w:ascii="Palatino Linotype" w:hAnsi="Palatino Linotype" w:cs="Arial"/>
          <w:b/>
          <w:bCs/>
          <w:i/>
          <w:color w:val="000000"/>
          <w:lang w:eastAsia="es-MX"/>
        </w:rPr>
      </w:pPr>
    </w:p>
    <w:p w14:paraId="16243B2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6FE507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560A988" w14:textId="77777777" w:rsidR="00311808" w:rsidRPr="001460D8" w:rsidRDefault="00311808" w:rsidP="00311808">
      <w:pPr>
        <w:spacing w:line="360" w:lineRule="auto"/>
        <w:jc w:val="both"/>
        <w:rPr>
          <w:rFonts w:ascii="Palatino Linotype" w:hAnsi="Palatino Linotype"/>
        </w:rPr>
      </w:pPr>
    </w:p>
    <w:p w14:paraId="4854C63C"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1460D8" w:rsidRDefault="00311808" w:rsidP="00311808">
      <w:pPr>
        <w:spacing w:line="360" w:lineRule="auto"/>
        <w:jc w:val="both"/>
        <w:rPr>
          <w:rFonts w:ascii="Palatino Linotype" w:hAnsi="Palatino Linotype"/>
        </w:rPr>
      </w:pPr>
    </w:p>
    <w:p w14:paraId="4A0997E8"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D156BA1" w14:textId="77777777" w:rsidR="00311808" w:rsidRPr="00257CC0" w:rsidRDefault="00311808" w:rsidP="00C94FB8">
      <w:pPr>
        <w:ind w:left="851" w:right="851"/>
        <w:jc w:val="both"/>
        <w:rPr>
          <w:rFonts w:ascii="Palatino Linotype" w:hAnsi="Palatino Linotype" w:cs="Arial"/>
          <w:i/>
        </w:rPr>
      </w:pPr>
      <w:r w:rsidRPr="00257CC0">
        <w:rPr>
          <w:rFonts w:ascii="Palatino Linotype" w:hAnsi="Palatino Linotype" w:cs="Arial"/>
          <w:i/>
        </w:rPr>
        <w:t>. . .</w:t>
      </w:r>
    </w:p>
    <w:p w14:paraId="69CF0336"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5BB150B"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lastRenderedPageBreak/>
        <w:t xml:space="preserve">La ley establecerá las previsiones que permitan asegurar la protección, el respeto y la difusión de este derecho. </w:t>
      </w:r>
    </w:p>
    <w:p w14:paraId="35232C73" w14:textId="77777777" w:rsidR="00311808" w:rsidRPr="00257CC0" w:rsidRDefault="00311808" w:rsidP="00C94FB8">
      <w:pPr>
        <w:ind w:left="851" w:right="851"/>
        <w:jc w:val="both"/>
        <w:rPr>
          <w:rFonts w:ascii="Palatino Linotype" w:hAnsi="Palatino Linotype" w:cs="Arial"/>
          <w:i/>
        </w:rPr>
      </w:pPr>
    </w:p>
    <w:p w14:paraId="216D0F5F"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FF36FF3" w14:textId="77777777" w:rsidR="00311808" w:rsidRPr="00257CC0" w:rsidRDefault="00311808" w:rsidP="00C94FB8">
      <w:pPr>
        <w:ind w:left="851" w:right="851"/>
        <w:jc w:val="both"/>
        <w:rPr>
          <w:rFonts w:ascii="Palatino Linotype" w:hAnsi="Palatino Linotype" w:cs="Arial"/>
          <w:i/>
        </w:rPr>
      </w:pPr>
    </w:p>
    <w:p w14:paraId="691A9F35"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5A9DAE" w14:textId="77777777" w:rsidR="00311808" w:rsidRPr="00257CC0" w:rsidRDefault="00311808" w:rsidP="00C94FB8">
      <w:pPr>
        <w:ind w:left="851" w:right="851"/>
        <w:jc w:val="both"/>
        <w:rPr>
          <w:rFonts w:ascii="Palatino Linotype" w:hAnsi="Palatino Linotype" w:cs="Arial"/>
          <w:i/>
        </w:rPr>
      </w:pPr>
    </w:p>
    <w:p w14:paraId="585FE57D" w14:textId="77777777" w:rsidR="00311808" w:rsidRDefault="00311808" w:rsidP="00C94FB8">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257CC0" w:rsidRDefault="00311808" w:rsidP="00C94FB8">
      <w:pPr>
        <w:ind w:left="851" w:right="851"/>
        <w:jc w:val="both"/>
        <w:rPr>
          <w:rFonts w:ascii="Palatino Linotype" w:hAnsi="Palatino Linotype" w:cs="Arial"/>
          <w:i/>
          <w:color w:val="222222"/>
        </w:rPr>
      </w:pPr>
    </w:p>
    <w:p w14:paraId="33BDEC3F"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Default="00311808" w:rsidP="00C94FB8">
      <w:pPr>
        <w:ind w:left="851" w:right="851"/>
        <w:jc w:val="both"/>
        <w:rPr>
          <w:rFonts w:ascii="Palatino Linotype" w:hAnsi="Palatino Linotype" w:cs="Arial"/>
          <w:b/>
          <w:i/>
          <w:iCs/>
          <w:color w:val="222222"/>
        </w:rPr>
      </w:pPr>
    </w:p>
    <w:p w14:paraId="29F17DC4"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57CC0" w:rsidRDefault="00311808" w:rsidP="00C94FB8">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BB8220F" w14:textId="77777777" w:rsidR="00AB7BD6" w:rsidRDefault="00AB7BD6" w:rsidP="00311808">
      <w:pPr>
        <w:spacing w:line="360" w:lineRule="auto"/>
        <w:jc w:val="both"/>
        <w:rPr>
          <w:rFonts w:ascii="Palatino Linotype" w:hAnsi="Palatino Linotype"/>
        </w:rPr>
      </w:pPr>
    </w:p>
    <w:p w14:paraId="05B51778"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 xml:space="preserve">Ya que el planteamiento del problema es de toral importancia, a efecto de determinar la intención o voluntad del recurrente a la luz de la interpretación de la solicitud de </w:t>
      </w:r>
      <w:r w:rsidRPr="001460D8">
        <w:rPr>
          <w:rFonts w:ascii="Palatino Linotype" w:hAnsi="Palatino Linotype"/>
        </w:rPr>
        <w:lastRenderedPageBreak/>
        <w:t>información, y que puede generar de forma objetiva y material el sujeto obligado que se relacione con esa intención, respecto del presente asunto se realiza a continuación.</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Default="00311808" w:rsidP="00311808">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internacionales en los que el </w:t>
      </w:r>
      <w:r w:rsidRPr="00664F05">
        <w:rPr>
          <w:rFonts w:ascii="Palatino Linotype" w:hAnsi="Palatino Linotype" w:cs="Arial"/>
        </w:rPr>
        <w:t>Estado Mexicano sea parte, en concordancia con el artículo 8 de la Ley de Transparencia local, es así que el recurrente solicitó</w:t>
      </w:r>
      <w:r w:rsidRPr="00060596">
        <w:rPr>
          <w:rFonts w:ascii="Palatino Linotype" w:hAnsi="Palatino Linotype" w:cs="Arial"/>
        </w:rPr>
        <w:t>:</w:t>
      </w:r>
    </w:p>
    <w:p w14:paraId="13A78AC3" w14:textId="77777777" w:rsidR="0035394A" w:rsidRPr="0035394A" w:rsidRDefault="0035394A" w:rsidP="00311808">
      <w:pPr>
        <w:autoSpaceDE w:val="0"/>
        <w:autoSpaceDN w:val="0"/>
        <w:adjustRightInd w:val="0"/>
        <w:spacing w:line="360" w:lineRule="auto"/>
        <w:jc w:val="both"/>
        <w:rPr>
          <w:rFonts w:ascii="Palatino Linotype" w:hAnsi="Palatino Linotype" w:cs="Arial"/>
        </w:rPr>
      </w:pPr>
    </w:p>
    <w:p w14:paraId="55DB312D" w14:textId="77777777" w:rsidR="00BD25EB" w:rsidRDefault="00BD25EB" w:rsidP="00BD25EB">
      <w:pPr>
        <w:autoSpaceDE w:val="0"/>
        <w:autoSpaceDN w:val="0"/>
        <w:adjustRightInd w:val="0"/>
        <w:spacing w:line="360" w:lineRule="auto"/>
        <w:ind w:left="851" w:right="1183"/>
        <w:jc w:val="both"/>
        <w:rPr>
          <w:rFonts w:ascii="Palatino Linotype" w:hAnsi="Palatino Linotype" w:cs="Arial"/>
        </w:rPr>
      </w:pPr>
      <w:r w:rsidRPr="00BD25EB">
        <w:rPr>
          <w:rFonts w:ascii="Palatino Linotype" w:hAnsi="Palatino Linotype" w:cs="Arial"/>
          <w:b/>
        </w:rPr>
        <w:t>A.-</w:t>
      </w:r>
      <w:r>
        <w:rPr>
          <w:rFonts w:ascii="Palatino Linotype" w:hAnsi="Palatino Linotype" w:cs="Arial"/>
        </w:rPr>
        <w:t xml:space="preserve"> D</w:t>
      </w:r>
      <w:r w:rsidR="0035394A" w:rsidRPr="0035394A">
        <w:rPr>
          <w:rFonts w:ascii="Palatino Linotype" w:hAnsi="Palatino Linotype" w:cs="Arial"/>
        </w:rPr>
        <w:t xml:space="preserve">ocumentos presentados por los tres integrantes designados para el Comité de Participación Ciudadana para el municipio de Toluca </w:t>
      </w:r>
    </w:p>
    <w:p w14:paraId="4E1F06AC" w14:textId="77777777" w:rsidR="00BD25EB" w:rsidRDefault="00BD25EB" w:rsidP="00BD25EB">
      <w:pPr>
        <w:autoSpaceDE w:val="0"/>
        <w:autoSpaceDN w:val="0"/>
        <w:adjustRightInd w:val="0"/>
        <w:spacing w:line="360" w:lineRule="auto"/>
        <w:ind w:left="851" w:right="1183"/>
        <w:jc w:val="both"/>
        <w:rPr>
          <w:rFonts w:ascii="Palatino Linotype" w:hAnsi="Palatino Linotype" w:cs="Arial"/>
        </w:rPr>
      </w:pPr>
      <w:r w:rsidRPr="00BD25EB">
        <w:rPr>
          <w:rFonts w:ascii="Palatino Linotype" w:hAnsi="Palatino Linotype" w:cs="Arial"/>
          <w:b/>
        </w:rPr>
        <w:t>B.-</w:t>
      </w:r>
      <w:r>
        <w:rPr>
          <w:rFonts w:ascii="Palatino Linotype" w:hAnsi="Palatino Linotype" w:cs="Arial"/>
        </w:rPr>
        <w:t xml:space="preserve"> D</w:t>
      </w:r>
      <w:r w:rsidRPr="0035394A">
        <w:rPr>
          <w:rFonts w:ascii="Palatino Linotype" w:hAnsi="Palatino Linotype" w:cs="Arial"/>
        </w:rPr>
        <w:t>ocumentos presentados</w:t>
      </w:r>
      <w:r>
        <w:rPr>
          <w:rFonts w:ascii="Palatino Linotype" w:hAnsi="Palatino Linotype" w:cs="Arial"/>
        </w:rPr>
        <w:t xml:space="preserve"> por</w:t>
      </w:r>
      <w:r w:rsidR="0035394A" w:rsidRPr="0035394A">
        <w:rPr>
          <w:rFonts w:ascii="Palatino Linotype" w:hAnsi="Palatino Linotype" w:cs="Arial"/>
        </w:rPr>
        <w:t xml:space="preserve"> las person</w:t>
      </w:r>
      <w:r>
        <w:rPr>
          <w:rFonts w:ascii="Palatino Linotype" w:hAnsi="Palatino Linotype" w:cs="Arial"/>
        </w:rPr>
        <w:t>as que participaron en la misma.</w:t>
      </w:r>
    </w:p>
    <w:p w14:paraId="729FF859" w14:textId="07D43E39" w:rsidR="00BD25EB" w:rsidRDefault="00BD25EB" w:rsidP="00BD25EB">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D</w:t>
      </w:r>
      <w:r w:rsidR="0035394A" w:rsidRPr="0035394A">
        <w:rPr>
          <w:rFonts w:ascii="Palatino Linotype" w:hAnsi="Palatino Linotype" w:cs="Arial"/>
        </w:rPr>
        <w:t xml:space="preserve">e acuerdo a lo solicitado por la convocatoria emitida, </w:t>
      </w:r>
      <w:r>
        <w:rPr>
          <w:rFonts w:ascii="Palatino Linotype" w:hAnsi="Palatino Linotype" w:cs="Arial"/>
        </w:rPr>
        <w:t>son los siguientes documentos</w:t>
      </w:r>
      <w:r w:rsidR="0035394A" w:rsidRPr="0035394A">
        <w:rPr>
          <w:rFonts w:ascii="Palatino Linotype" w:hAnsi="Palatino Linotype" w:cs="Arial"/>
        </w:rPr>
        <w:t xml:space="preserve">: </w:t>
      </w:r>
    </w:p>
    <w:p w14:paraId="7BAA2C39" w14:textId="190D7212" w:rsidR="00BD25EB" w:rsidRDefault="00BD25EB" w:rsidP="00BD25EB">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1. Currí</w:t>
      </w:r>
      <w:r w:rsidR="0035394A" w:rsidRPr="0035394A">
        <w:rPr>
          <w:rFonts w:ascii="Palatino Linotype" w:hAnsi="Palatino Linotype" w:cs="Arial"/>
        </w:rPr>
        <w:t xml:space="preserve">culum Vitae </w:t>
      </w:r>
    </w:p>
    <w:p w14:paraId="33DDEBD0" w14:textId="77777777" w:rsidR="00BD25EB" w:rsidRDefault="0035394A" w:rsidP="00BD25EB">
      <w:pPr>
        <w:autoSpaceDE w:val="0"/>
        <w:autoSpaceDN w:val="0"/>
        <w:adjustRightInd w:val="0"/>
        <w:spacing w:line="360" w:lineRule="auto"/>
        <w:ind w:left="851" w:right="1183"/>
        <w:jc w:val="both"/>
        <w:rPr>
          <w:rFonts w:ascii="Palatino Linotype" w:hAnsi="Palatino Linotype" w:cs="Arial"/>
        </w:rPr>
      </w:pPr>
      <w:r w:rsidRPr="0035394A">
        <w:rPr>
          <w:rFonts w:ascii="Palatino Linotype" w:hAnsi="Palatino Linotype" w:cs="Arial"/>
        </w:rPr>
        <w:t xml:space="preserve">2. Constancia de residencia o vecindad </w:t>
      </w:r>
    </w:p>
    <w:p w14:paraId="68974973" w14:textId="77777777" w:rsidR="00BD25EB" w:rsidRDefault="0035394A" w:rsidP="00BD25EB">
      <w:pPr>
        <w:autoSpaceDE w:val="0"/>
        <w:autoSpaceDN w:val="0"/>
        <w:adjustRightInd w:val="0"/>
        <w:spacing w:line="360" w:lineRule="auto"/>
        <w:ind w:left="851" w:right="1183"/>
        <w:jc w:val="both"/>
        <w:rPr>
          <w:rFonts w:ascii="Palatino Linotype" w:hAnsi="Palatino Linotype" w:cs="Arial"/>
        </w:rPr>
      </w:pPr>
      <w:r w:rsidRPr="0035394A">
        <w:rPr>
          <w:rFonts w:ascii="Palatino Linotype" w:hAnsi="Palatino Linotype" w:cs="Arial"/>
        </w:rPr>
        <w:t xml:space="preserve">3. Constancia(s) de postulación </w:t>
      </w:r>
    </w:p>
    <w:p w14:paraId="34B4DBDD" w14:textId="77777777" w:rsidR="00BD25EB" w:rsidRDefault="0035394A" w:rsidP="00BD25EB">
      <w:pPr>
        <w:autoSpaceDE w:val="0"/>
        <w:autoSpaceDN w:val="0"/>
        <w:adjustRightInd w:val="0"/>
        <w:spacing w:line="360" w:lineRule="auto"/>
        <w:ind w:left="851" w:right="1183"/>
        <w:jc w:val="both"/>
        <w:rPr>
          <w:rFonts w:ascii="Palatino Linotype" w:hAnsi="Palatino Linotype" w:cs="Arial"/>
        </w:rPr>
      </w:pPr>
      <w:r w:rsidRPr="0035394A">
        <w:rPr>
          <w:rFonts w:ascii="Palatino Linotype" w:hAnsi="Palatino Linotype" w:cs="Arial"/>
        </w:rPr>
        <w:t xml:space="preserve">4. Hoja de datos de identificación </w:t>
      </w:r>
    </w:p>
    <w:p w14:paraId="16A611F1" w14:textId="72AE4232" w:rsidR="00BD25EB" w:rsidRDefault="0035394A" w:rsidP="00BD25EB">
      <w:pPr>
        <w:autoSpaceDE w:val="0"/>
        <w:autoSpaceDN w:val="0"/>
        <w:adjustRightInd w:val="0"/>
        <w:spacing w:line="360" w:lineRule="auto"/>
        <w:ind w:left="851" w:right="1183"/>
        <w:jc w:val="both"/>
        <w:rPr>
          <w:rFonts w:ascii="Palatino Linotype" w:hAnsi="Palatino Linotype" w:cs="Arial"/>
        </w:rPr>
      </w:pPr>
      <w:r w:rsidRPr="0035394A">
        <w:rPr>
          <w:rFonts w:ascii="Palatino Linotype" w:hAnsi="Palatino Linotype" w:cs="Arial"/>
        </w:rPr>
        <w:t>5.</w:t>
      </w:r>
      <w:r w:rsidR="00BD25EB">
        <w:rPr>
          <w:rFonts w:ascii="Palatino Linotype" w:hAnsi="Palatino Linotype" w:cs="Arial"/>
        </w:rPr>
        <w:t xml:space="preserve"> </w:t>
      </w:r>
      <w:r w:rsidRPr="0035394A">
        <w:rPr>
          <w:rFonts w:ascii="Palatino Linotype" w:hAnsi="Palatino Linotype" w:cs="Arial"/>
        </w:rPr>
        <w:t xml:space="preserve">Exposición de motivos </w:t>
      </w:r>
    </w:p>
    <w:p w14:paraId="5012FDEF" w14:textId="222E6363" w:rsidR="00BD25EB" w:rsidRDefault="0035394A" w:rsidP="00BD25EB">
      <w:pPr>
        <w:autoSpaceDE w:val="0"/>
        <w:autoSpaceDN w:val="0"/>
        <w:adjustRightInd w:val="0"/>
        <w:spacing w:line="360" w:lineRule="auto"/>
        <w:ind w:left="851" w:right="1183"/>
        <w:jc w:val="both"/>
        <w:rPr>
          <w:rFonts w:ascii="Palatino Linotype" w:hAnsi="Palatino Linotype" w:cs="Arial"/>
        </w:rPr>
      </w:pPr>
      <w:r w:rsidRPr="0035394A">
        <w:rPr>
          <w:rFonts w:ascii="Palatino Linotype" w:hAnsi="Palatino Linotype" w:cs="Arial"/>
        </w:rPr>
        <w:t>6.</w:t>
      </w:r>
      <w:r w:rsidR="00BD25EB">
        <w:rPr>
          <w:rFonts w:ascii="Palatino Linotype" w:hAnsi="Palatino Linotype" w:cs="Arial"/>
        </w:rPr>
        <w:t xml:space="preserve"> </w:t>
      </w:r>
      <w:r w:rsidRPr="0035394A">
        <w:rPr>
          <w:rFonts w:ascii="Palatino Linotype" w:hAnsi="Palatino Linotype" w:cs="Arial"/>
        </w:rPr>
        <w:t xml:space="preserve">Proyecto de trabajo </w:t>
      </w:r>
    </w:p>
    <w:p w14:paraId="5CE1257F" w14:textId="024F832B" w:rsidR="00BD25EB" w:rsidRDefault="0035394A" w:rsidP="00BD25EB">
      <w:pPr>
        <w:autoSpaceDE w:val="0"/>
        <w:autoSpaceDN w:val="0"/>
        <w:adjustRightInd w:val="0"/>
        <w:spacing w:line="360" w:lineRule="auto"/>
        <w:ind w:left="851" w:right="1183"/>
        <w:jc w:val="both"/>
        <w:rPr>
          <w:rFonts w:ascii="Palatino Linotype" w:hAnsi="Palatino Linotype" w:cs="Arial"/>
        </w:rPr>
      </w:pPr>
      <w:r w:rsidRPr="0035394A">
        <w:rPr>
          <w:rFonts w:ascii="Palatino Linotype" w:hAnsi="Palatino Linotype" w:cs="Arial"/>
        </w:rPr>
        <w:lastRenderedPageBreak/>
        <w:t xml:space="preserve">7. </w:t>
      </w:r>
      <w:r w:rsidR="00BD25EB" w:rsidRPr="0035394A">
        <w:rPr>
          <w:rFonts w:ascii="Palatino Linotype" w:hAnsi="Palatino Linotype" w:cs="Arial"/>
        </w:rPr>
        <w:t xml:space="preserve">Protesta </w:t>
      </w:r>
      <w:r w:rsidRPr="0035394A">
        <w:rPr>
          <w:rFonts w:ascii="Palatino Linotype" w:hAnsi="Palatino Linotype" w:cs="Arial"/>
        </w:rPr>
        <w:t xml:space="preserve">de decir verdad </w:t>
      </w:r>
    </w:p>
    <w:p w14:paraId="1D8311FD" w14:textId="4FBBEA44" w:rsidR="0035394A" w:rsidRPr="0035394A" w:rsidRDefault="0035394A" w:rsidP="00BD25EB">
      <w:pPr>
        <w:autoSpaceDE w:val="0"/>
        <w:autoSpaceDN w:val="0"/>
        <w:adjustRightInd w:val="0"/>
        <w:spacing w:line="360" w:lineRule="auto"/>
        <w:ind w:left="851" w:right="1183"/>
        <w:jc w:val="both"/>
        <w:rPr>
          <w:rFonts w:ascii="Palatino Linotype" w:hAnsi="Palatino Linotype" w:cs="Arial"/>
        </w:rPr>
      </w:pPr>
      <w:r w:rsidRPr="0035394A">
        <w:rPr>
          <w:rFonts w:ascii="Palatino Linotype" w:hAnsi="Palatino Linotype" w:cs="Arial"/>
        </w:rPr>
        <w:t xml:space="preserve">8. </w:t>
      </w:r>
      <w:r w:rsidR="00BD25EB" w:rsidRPr="0035394A">
        <w:rPr>
          <w:rFonts w:ascii="Palatino Linotype" w:hAnsi="Palatino Linotype" w:cs="Arial"/>
        </w:rPr>
        <w:t xml:space="preserve">Acta </w:t>
      </w:r>
      <w:r w:rsidRPr="0035394A">
        <w:rPr>
          <w:rFonts w:ascii="Palatino Linotype" w:hAnsi="Palatino Linotype" w:cs="Arial"/>
        </w:rPr>
        <w:t>de nacimiento y credencial</w:t>
      </w:r>
      <w:r w:rsidR="00BD25EB">
        <w:rPr>
          <w:rFonts w:ascii="Palatino Linotype" w:hAnsi="Palatino Linotype" w:cs="Arial"/>
        </w:rPr>
        <w:t xml:space="preserve"> para votar o documento oficial.</w:t>
      </w:r>
    </w:p>
    <w:p w14:paraId="4855E4C3" w14:textId="77777777" w:rsidR="0035394A" w:rsidRPr="008C2185" w:rsidRDefault="0035394A" w:rsidP="008C2185">
      <w:pPr>
        <w:spacing w:line="360" w:lineRule="auto"/>
        <w:jc w:val="both"/>
        <w:rPr>
          <w:rFonts w:ascii="Palatino Linotype" w:eastAsiaTheme="minorHAnsi" w:hAnsi="Palatino Linotype" w:cs="Arial"/>
          <w:lang w:val="es-419" w:eastAsia="en-US"/>
        </w:rPr>
      </w:pPr>
    </w:p>
    <w:p w14:paraId="1A53ABE7" w14:textId="38C00F3C" w:rsidR="008C2185" w:rsidRDefault="00F718AA" w:rsidP="008C2185">
      <w:pPr>
        <w:spacing w:line="360" w:lineRule="auto"/>
        <w:jc w:val="both"/>
        <w:rPr>
          <w:rFonts w:ascii="Palatino Linotype" w:eastAsiaTheme="minorHAnsi" w:hAnsi="Palatino Linotype" w:cs="Arial"/>
          <w:lang w:val="es-419" w:eastAsia="en-US"/>
        </w:rPr>
      </w:pPr>
      <w:r w:rsidRPr="008C2185">
        <w:rPr>
          <w:rFonts w:ascii="Palatino Linotype" w:eastAsiaTheme="minorHAnsi" w:hAnsi="Palatino Linotype" w:cs="Arial"/>
          <w:lang w:val="es-419" w:eastAsia="en-US"/>
        </w:rPr>
        <w:t>P</w:t>
      </w:r>
      <w:r w:rsidR="00AB7BD6" w:rsidRPr="008C2185">
        <w:rPr>
          <w:rFonts w:ascii="Palatino Linotype" w:eastAsiaTheme="minorHAnsi" w:hAnsi="Palatino Linotype" w:cs="Arial"/>
          <w:lang w:val="es-419" w:eastAsia="en-US"/>
        </w:rPr>
        <w:t>a</w:t>
      </w:r>
      <w:r w:rsidR="00311808" w:rsidRPr="008C2185">
        <w:rPr>
          <w:rFonts w:ascii="Palatino Linotype" w:eastAsiaTheme="minorHAnsi" w:hAnsi="Palatino Linotype" w:cs="Arial"/>
          <w:lang w:val="es-419" w:eastAsia="en-US"/>
        </w:rPr>
        <w:t>r</w:t>
      </w:r>
      <w:r w:rsidR="00AB7BD6" w:rsidRPr="008C2185">
        <w:rPr>
          <w:rFonts w:ascii="Palatino Linotype" w:eastAsiaTheme="minorHAnsi" w:hAnsi="Palatino Linotype" w:cs="Arial"/>
          <w:lang w:val="es-419" w:eastAsia="en-US"/>
        </w:rPr>
        <w:t>a</w:t>
      </w:r>
      <w:r w:rsidRPr="008C2185">
        <w:rPr>
          <w:rFonts w:ascii="Palatino Linotype" w:eastAsiaTheme="minorHAnsi" w:hAnsi="Palatino Linotype" w:cs="Arial"/>
          <w:lang w:val="es-419" w:eastAsia="en-US"/>
        </w:rPr>
        <w:t xml:space="preserve"> </w:t>
      </w:r>
      <w:r w:rsidR="00311808" w:rsidRPr="008C2185">
        <w:rPr>
          <w:rFonts w:ascii="Palatino Linotype" w:eastAsiaTheme="minorHAnsi" w:hAnsi="Palatino Linotype" w:cs="Arial"/>
          <w:lang w:val="es-419" w:eastAsia="en-US"/>
        </w:rPr>
        <w:t xml:space="preserve">lo </w:t>
      </w:r>
      <w:r w:rsidR="00AB7BD6" w:rsidRPr="008C2185">
        <w:rPr>
          <w:rFonts w:ascii="Palatino Linotype" w:eastAsiaTheme="minorHAnsi" w:hAnsi="Palatino Linotype" w:cs="Arial"/>
          <w:lang w:val="es-419" w:eastAsia="en-US"/>
        </w:rPr>
        <w:t xml:space="preserve">cual </w:t>
      </w:r>
      <w:r w:rsidR="00311808" w:rsidRPr="008C2185">
        <w:rPr>
          <w:rFonts w:ascii="Palatino Linotype" w:eastAsiaTheme="minorHAnsi" w:hAnsi="Palatino Linotype" w:cs="Arial"/>
          <w:lang w:val="es-419" w:eastAsia="en-US"/>
        </w:rPr>
        <w:t xml:space="preserve">el sujeto obligado adjuntó </w:t>
      </w:r>
      <w:r w:rsidR="00664F05" w:rsidRPr="008C2185">
        <w:rPr>
          <w:rFonts w:ascii="Palatino Linotype" w:eastAsiaTheme="minorHAnsi" w:hAnsi="Palatino Linotype" w:cs="Arial"/>
          <w:lang w:val="es-419" w:eastAsia="en-US"/>
        </w:rPr>
        <w:t xml:space="preserve">a su </w:t>
      </w:r>
      <w:r w:rsidR="008C2185">
        <w:rPr>
          <w:rFonts w:ascii="Palatino Linotype" w:eastAsiaTheme="minorHAnsi" w:hAnsi="Palatino Linotype" w:cs="Arial"/>
          <w:lang w:val="es-419" w:eastAsia="en-US"/>
        </w:rPr>
        <w:t>respuesta el archivo electrónico en formato PDF denominado: “</w:t>
      </w:r>
      <w:r w:rsidR="008C2185" w:rsidRPr="008C2185">
        <w:rPr>
          <w:rFonts w:ascii="Palatino Linotype" w:eastAsiaTheme="minorHAnsi" w:hAnsi="Palatino Linotype" w:cs="Arial"/>
          <w:lang w:val="es-419" w:eastAsia="en-US"/>
        </w:rPr>
        <w:t>Respuesta 1291_2022.pdf</w:t>
      </w:r>
      <w:r w:rsidR="008C2185">
        <w:rPr>
          <w:rFonts w:ascii="Palatino Linotype" w:eastAsiaTheme="minorHAnsi" w:hAnsi="Palatino Linotype" w:cs="Arial"/>
          <w:lang w:val="es-419" w:eastAsia="en-US"/>
        </w:rPr>
        <w:t xml:space="preserve">”, el cual consiste en </w:t>
      </w:r>
      <w:r w:rsidR="00601E49">
        <w:rPr>
          <w:rFonts w:ascii="Palatino Linotype" w:eastAsiaTheme="minorHAnsi" w:hAnsi="Palatino Linotype" w:cs="Arial"/>
          <w:lang w:val="es-419" w:eastAsia="en-US"/>
        </w:rPr>
        <w:t>un oficio de fecha tres de junio de dos mil veintidós, por medio del cual la Lic. Norma Sofía Pérez Martínez en su carácter de Titular de la Unidad de Transparencia, informa lo siguiente:</w:t>
      </w:r>
    </w:p>
    <w:p w14:paraId="3B155042" w14:textId="77777777" w:rsidR="00601E49" w:rsidRDefault="00601E49" w:rsidP="008C2185">
      <w:pPr>
        <w:spacing w:line="360" w:lineRule="auto"/>
        <w:jc w:val="both"/>
        <w:rPr>
          <w:rFonts w:ascii="Palatino Linotype" w:eastAsiaTheme="minorHAnsi" w:hAnsi="Palatino Linotype" w:cs="Arial"/>
          <w:lang w:val="es-419" w:eastAsia="en-US"/>
        </w:rPr>
      </w:pPr>
    </w:p>
    <w:p w14:paraId="3BB4B730" w14:textId="5E721BA3" w:rsidR="00601E49" w:rsidRDefault="00601E49" w:rsidP="005A28E8">
      <w:pPr>
        <w:spacing w:line="360" w:lineRule="auto"/>
        <w:ind w:left="851" w:right="1324"/>
        <w:jc w:val="both"/>
        <w:rPr>
          <w:rFonts w:ascii="Palatino Linotype" w:eastAsiaTheme="minorHAnsi" w:hAnsi="Palatino Linotype" w:cs="Arial"/>
          <w:lang w:val="es-419" w:eastAsia="en-US"/>
        </w:rPr>
      </w:pPr>
      <w:r>
        <w:rPr>
          <w:rFonts w:ascii="Palatino Linotype" w:eastAsiaTheme="minorHAnsi" w:hAnsi="Palatino Linotype" w:cs="Arial"/>
          <w:lang w:val="es-419" w:eastAsia="en-US"/>
        </w:rPr>
        <w:t>“…</w:t>
      </w:r>
      <w:r w:rsidRPr="005A28E8">
        <w:rPr>
          <w:rFonts w:ascii="Palatino Linotype" w:eastAsiaTheme="minorHAnsi" w:hAnsi="Palatino Linotype" w:cs="Arial"/>
          <w:i/>
          <w:lang w:val="es-419" w:eastAsia="en-US"/>
        </w:rPr>
        <w:t xml:space="preserve">hago de su conocimiento que la Secretaría del Ayuntamiento y Servidor Público </w:t>
      </w:r>
      <w:r w:rsidR="00B60E4C" w:rsidRPr="005A28E8">
        <w:rPr>
          <w:rFonts w:ascii="Palatino Linotype" w:eastAsiaTheme="minorHAnsi" w:hAnsi="Palatino Linotype" w:cs="Arial"/>
          <w:i/>
          <w:lang w:val="es-419" w:eastAsia="en-US"/>
        </w:rPr>
        <w:t>Habilitado</w:t>
      </w:r>
      <w:r w:rsidRPr="005A28E8">
        <w:rPr>
          <w:rFonts w:ascii="Palatino Linotype" w:eastAsiaTheme="minorHAnsi" w:hAnsi="Palatino Linotype" w:cs="Arial"/>
          <w:i/>
          <w:lang w:val="es-419" w:eastAsia="en-US"/>
        </w:rPr>
        <w:t>, informó a la que suscribe que no cuenta con la información</w:t>
      </w:r>
      <w:r w:rsidR="00B60E4C" w:rsidRPr="005A28E8">
        <w:rPr>
          <w:rFonts w:ascii="Palatino Linotype" w:eastAsiaTheme="minorHAnsi" w:hAnsi="Palatino Linotype" w:cs="Arial"/>
          <w:i/>
          <w:lang w:val="es-419" w:eastAsia="en-US"/>
        </w:rPr>
        <w:t xml:space="preserve"> que de atención a la solicitud de información </w:t>
      </w:r>
      <w:r w:rsidR="00B10B7F" w:rsidRPr="005A28E8">
        <w:rPr>
          <w:rFonts w:ascii="Palatino Linotype" w:eastAsiaTheme="minorHAnsi" w:hAnsi="Palatino Linotype" w:cs="Arial"/>
          <w:i/>
          <w:lang w:val="es-419" w:eastAsia="en-US"/>
        </w:rPr>
        <w:t xml:space="preserve">referente a las documentales presentados por los tres integrantes  designados para el Comité de Participación Ciudadana del Municipio de Toluca, toda vez que, tal como lo refiere la Ley del Sistema Anticorrupción del Estado de México y Municipios, ordenamiento legal que rige la materia, </w:t>
      </w:r>
      <w:r w:rsidR="00B10B7F" w:rsidRPr="005A28E8">
        <w:rPr>
          <w:rFonts w:ascii="Palatino Linotype" w:eastAsiaTheme="minorHAnsi" w:hAnsi="Palatino Linotype" w:cs="Arial"/>
          <w:b/>
          <w:i/>
          <w:lang w:val="es-419" w:eastAsia="en-US"/>
        </w:rPr>
        <w:t xml:space="preserve">en la cual establece que es la Comisión de Selección Municipal quien define la metodología, </w:t>
      </w:r>
      <w:r w:rsidR="00930E0C" w:rsidRPr="005A28E8">
        <w:rPr>
          <w:rFonts w:ascii="Palatino Linotype" w:eastAsiaTheme="minorHAnsi" w:hAnsi="Palatino Linotype" w:cs="Arial"/>
          <w:b/>
          <w:i/>
          <w:lang w:val="es-419" w:eastAsia="en-US"/>
        </w:rPr>
        <w:t>plazos y selección de los integrantes del Comité de Participación Ciudadana del Sistema Municipal Anticorrupción</w:t>
      </w:r>
      <w:r w:rsidR="00930E0C">
        <w:rPr>
          <w:rFonts w:ascii="Palatino Linotype" w:eastAsiaTheme="minorHAnsi" w:hAnsi="Palatino Linotype" w:cs="Arial"/>
          <w:lang w:val="es-419" w:eastAsia="en-US"/>
        </w:rPr>
        <w:t>.</w:t>
      </w:r>
      <w:r w:rsidR="005A28E8">
        <w:rPr>
          <w:rFonts w:ascii="Palatino Linotype" w:eastAsiaTheme="minorHAnsi" w:hAnsi="Palatino Linotype" w:cs="Arial"/>
          <w:lang w:val="es-419" w:eastAsia="en-US"/>
        </w:rPr>
        <w:t>” (Sic)</w:t>
      </w:r>
    </w:p>
    <w:p w14:paraId="1D42E617" w14:textId="77777777" w:rsidR="008C2185" w:rsidRPr="00CF4B46" w:rsidRDefault="008C2185" w:rsidP="00CF4B46">
      <w:pPr>
        <w:tabs>
          <w:tab w:val="left" w:pos="7938"/>
        </w:tabs>
        <w:spacing w:line="360" w:lineRule="auto"/>
        <w:jc w:val="both"/>
        <w:rPr>
          <w:rFonts w:ascii="Palatino Linotype" w:hAnsi="Palatino Linotype" w:cs="Arial"/>
        </w:rPr>
      </w:pPr>
    </w:p>
    <w:p w14:paraId="625E9C47" w14:textId="1E304442" w:rsidR="00CF4B46" w:rsidRPr="000C2670" w:rsidRDefault="00F849B1" w:rsidP="00CF4B46">
      <w:pPr>
        <w:tabs>
          <w:tab w:val="left" w:pos="7938"/>
        </w:tabs>
        <w:spacing w:line="360" w:lineRule="auto"/>
        <w:jc w:val="both"/>
        <w:rPr>
          <w:rFonts w:ascii="Palatino Linotype" w:hAnsi="Palatino Linotype"/>
        </w:rPr>
      </w:pPr>
      <w:r w:rsidRPr="00164BB5">
        <w:rPr>
          <w:rFonts w:ascii="Palatino Linotype" w:hAnsi="Palatino Linotype" w:cs="Arial"/>
        </w:rPr>
        <w:t>Como podemos apreciar</w:t>
      </w:r>
      <w:r>
        <w:rPr>
          <w:rFonts w:ascii="Palatino Linotype" w:hAnsi="Palatino Linotype" w:cs="Arial"/>
        </w:rPr>
        <w:t xml:space="preserve"> de la documental en análisis, el sujeto obligado </w:t>
      </w:r>
      <w:r w:rsidR="008463DA">
        <w:rPr>
          <w:rFonts w:ascii="Palatino Linotype" w:hAnsi="Palatino Linotype" w:cs="Arial"/>
        </w:rPr>
        <w:t xml:space="preserve">refiere no ser competente para generar, administrar o poseer la información solicitada, asimismo, en el </w:t>
      </w:r>
      <w:r w:rsidR="004F4609">
        <w:rPr>
          <w:rFonts w:ascii="Palatino Linotype" w:hAnsi="Palatino Linotype" w:cs="Arial"/>
        </w:rPr>
        <w:t>informe justificado</w:t>
      </w:r>
      <w:r w:rsidR="008463DA">
        <w:rPr>
          <w:rFonts w:ascii="Palatino Linotype" w:hAnsi="Palatino Linotype" w:cs="Arial"/>
        </w:rPr>
        <w:t xml:space="preserve"> remitido en fecha veintidós de junio de dos mil veintidós, el sujeto obligado remitió el archivo electrónico en formato PDF, denominado: “</w:t>
      </w:r>
      <w:r w:rsidR="008463DA" w:rsidRPr="008463DA">
        <w:rPr>
          <w:rFonts w:ascii="Palatino Linotype" w:hAnsi="Palatino Linotype"/>
        </w:rPr>
        <w:t>RR 11145.pdf</w:t>
      </w:r>
      <w:r w:rsidR="008463DA">
        <w:rPr>
          <w:rFonts w:ascii="Palatino Linotype" w:hAnsi="Palatino Linotype"/>
        </w:rPr>
        <w:t xml:space="preserve">”, mediante el cual remitió el oficio número 2010A4000/UT/RR/0408/2022, </w:t>
      </w:r>
      <w:r w:rsidR="002869F1">
        <w:rPr>
          <w:rFonts w:ascii="Palatino Linotype" w:hAnsi="Palatino Linotype"/>
        </w:rPr>
        <w:t xml:space="preserve">a </w:t>
      </w:r>
      <w:r w:rsidR="002869F1">
        <w:rPr>
          <w:rFonts w:ascii="Palatino Linotype" w:hAnsi="Palatino Linotype"/>
        </w:rPr>
        <w:lastRenderedPageBreak/>
        <w:t>través del</w:t>
      </w:r>
      <w:r w:rsidR="008463DA">
        <w:rPr>
          <w:rFonts w:ascii="Palatino Linotype" w:hAnsi="Palatino Linotype"/>
        </w:rPr>
        <w:t xml:space="preserve"> cual la Lic. Norma Sofía Pérez Martínez </w:t>
      </w:r>
      <w:r w:rsidR="002869F1">
        <w:rPr>
          <w:rFonts w:ascii="Palatino Linotype" w:hAnsi="Palatino Linotype"/>
        </w:rPr>
        <w:t>en términos generales ratifica la respuesta primigeniamente.</w:t>
      </w:r>
    </w:p>
    <w:p w14:paraId="629E2968" w14:textId="77777777" w:rsidR="00CF4B46" w:rsidRPr="000C2670" w:rsidRDefault="00CF4B46" w:rsidP="000C2670">
      <w:pPr>
        <w:tabs>
          <w:tab w:val="left" w:pos="7938"/>
        </w:tabs>
        <w:spacing w:line="360" w:lineRule="auto"/>
        <w:jc w:val="both"/>
        <w:rPr>
          <w:rFonts w:ascii="Palatino Linotype" w:hAnsi="Palatino Linotype"/>
        </w:rPr>
      </w:pPr>
    </w:p>
    <w:p w14:paraId="4375B054" w14:textId="77777777" w:rsidR="000C2670" w:rsidRPr="000C2670" w:rsidRDefault="000C2670" w:rsidP="000C2670">
      <w:pPr>
        <w:tabs>
          <w:tab w:val="left" w:pos="7938"/>
        </w:tabs>
        <w:spacing w:line="360" w:lineRule="auto"/>
        <w:jc w:val="both"/>
        <w:rPr>
          <w:rFonts w:ascii="Palatino Linotype" w:hAnsi="Palatino Linotype"/>
        </w:rPr>
      </w:pPr>
      <w:r w:rsidRPr="000C2670">
        <w:rPr>
          <w:rFonts w:ascii="Palatino Linotype" w:hAnsi="Palatino Linotype"/>
        </w:rPr>
        <w:t>Asimismo, este Órgano Garante considera que la solicitud es bastante clara, por lo que el Titular de la Unidad de Transparencia en uso de sus funciones debió turnar la solicitud de información a las unidades administrativas que por razón de sus atribuciones deben contar con la información solicitada, lo anterior es así ya que las unidades administrativas que pudieran dar atención, no supieron de la solicitud de información porque el Titular de la Unidad de Transparencia no se las giró a pesar de ser quienes deben contar con dicha documentación.</w:t>
      </w:r>
    </w:p>
    <w:p w14:paraId="14FA5CC3" w14:textId="77777777" w:rsidR="000C2670" w:rsidRPr="00854307" w:rsidRDefault="000C2670" w:rsidP="000C2670">
      <w:pPr>
        <w:tabs>
          <w:tab w:val="left" w:pos="7938"/>
        </w:tabs>
        <w:spacing w:line="360" w:lineRule="auto"/>
        <w:jc w:val="both"/>
        <w:rPr>
          <w:rFonts w:ascii="Palatino Linotype" w:hAnsi="Palatino Linotype" w:cs="Arial"/>
        </w:rPr>
      </w:pPr>
    </w:p>
    <w:p w14:paraId="63C55AF0" w14:textId="77777777" w:rsidR="000C2670" w:rsidRPr="00854307" w:rsidRDefault="000C2670" w:rsidP="000C2670">
      <w:pPr>
        <w:tabs>
          <w:tab w:val="left" w:pos="7938"/>
        </w:tabs>
        <w:spacing w:line="360" w:lineRule="auto"/>
        <w:jc w:val="both"/>
        <w:rPr>
          <w:rFonts w:ascii="Palatino Linotype" w:hAnsi="Palatino Linotype" w:cs="Arial"/>
        </w:rPr>
      </w:pPr>
      <w:r w:rsidRPr="00854307">
        <w:rPr>
          <w:rFonts w:ascii="Palatino Linotype" w:hAnsi="Palatino Linotype" w:cs="Arial"/>
        </w:rPr>
        <w:t>En ese orden de ideas,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253E8893" w14:textId="77777777" w:rsidR="000C2670" w:rsidRPr="00854307" w:rsidRDefault="000C2670" w:rsidP="000C2670">
      <w:pPr>
        <w:tabs>
          <w:tab w:val="left" w:pos="709"/>
        </w:tabs>
        <w:spacing w:line="360" w:lineRule="auto"/>
        <w:ind w:left="851" w:right="760"/>
        <w:jc w:val="both"/>
        <w:rPr>
          <w:rFonts w:ascii="Palatino Linotype" w:hAnsi="Palatino Linotype" w:cs="Arial"/>
          <w:i/>
          <w:lang w:eastAsia="es-MX"/>
        </w:rPr>
      </w:pPr>
    </w:p>
    <w:p w14:paraId="6B0A2BA4" w14:textId="77777777" w:rsidR="000C2670" w:rsidRPr="0073521B" w:rsidRDefault="000C2670" w:rsidP="000C2670">
      <w:pPr>
        <w:tabs>
          <w:tab w:val="left" w:pos="709"/>
        </w:tabs>
        <w:spacing w:line="360" w:lineRule="auto"/>
        <w:ind w:left="851" w:right="760"/>
        <w:jc w:val="center"/>
        <w:rPr>
          <w:rFonts w:ascii="Palatino Linotype" w:hAnsi="Palatino Linotype" w:cs="Arial"/>
          <w:b/>
          <w:i/>
          <w:lang w:eastAsia="es-MX"/>
        </w:rPr>
      </w:pPr>
      <w:r w:rsidRPr="0073521B">
        <w:rPr>
          <w:rFonts w:ascii="Palatino Linotype" w:hAnsi="Palatino Linotype" w:cs="Arial"/>
          <w:b/>
        </w:rPr>
        <w:t>Ley de Transparencia y Acceso a la Información Pública del Estado de México y Municipios</w:t>
      </w:r>
    </w:p>
    <w:p w14:paraId="00393449"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p>
    <w:p w14:paraId="2D9771D1"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lastRenderedPageBreak/>
        <w:t xml:space="preserve">“Artículo 50. Los sujetos obligados contarán con un área responsable para la atención de las solicitudes de información, a la que se le denominará Unidad de Transparencia. </w:t>
      </w:r>
    </w:p>
    <w:p w14:paraId="25F63998"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p>
    <w:p w14:paraId="720C35D6"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3521B">
        <w:rPr>
          <w:rFonts w:ascii="Palatino Linotype" w:hAnsi="Palatino Linotype" w:cs="Arial"/>
          <w:b/>
          <w:i/>
          <w:u w:val="single"/>
          <w:lang w:eastAsia="es-MX"/>
        </w:rPr>
        <w:t>Dicha Unidad será la encargada de tramitar internamente la solicitud de información</w:t>
      </w:r>
      <w:r w:rsidRPr="0073521B">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97A46BB"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42F854AB"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Artículo 53. Las Unidades de Transparencia tendrán las siguientes funciones:</w:t>
      </w:r>
    </w:p>
    <w:p w14:paraId="4BD4EAB4"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423CD947"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II. Recibir, tramitar y dar respuesta a las solicitudes de acceso a la información; </w:t>
      </w:r>
    </w:p>
    <w:p w14:paraId="3368431F"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41E3DD4B" w14:textId="77777777" w:rsidR="000C2670" w:rsidRPr="0073521B" w:rsidRDefault="000C2670" w:rsidP="000C2670">
      <w:pPr>
        <w:tabs>
          <w:tab w:val="left" w:pos="709"/>
        </w:tabs>
        <w:spacing w:line="360" w:lineRule="auto"/>
        <w:ind w:left="851" w:right="760"/>
        <w:jc w:val="both"/>
        <w:rPr>
          <w:rFonts w:ascii="Palatino Linotype" w:hAnsi="Palatino Linotype" w:cs="Arial"/>
          <w:b/>
          <w:i/>
          <w:u w:val="single"/>
          <w:lang w:eastAsia="es-MX"/>
        </w:rPr>
      </w:pPr>
      <w:r w:rsidRPr="0073521B">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5DAD68B3"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V. Entregar, en su caso, a los particulares la información solicitada; </w:t>
      </w:r>
    </w:p>
    <w:p w14:paraId="60968ECA" w14:textId="77777777" w:rsidR="000C2670" w:rsidRPr="0073521B" w:rsidRDefault="000C2670" w:rsidP="000C2670">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VI. Efectuar las notificaciones a los solicitantes;”</w:t>
      </w:r>
    </w:p>
    <w:p w14:paraId="0AF0CD94" w14:textId="77777777" w:rsidR="000C2670" w:rsidRPr="00854307" w:rsidRDefault="000C2670" w:rsidP="000C2670">
      <w:pPr>
        <w:tabs>
          <w:tab w:val="left" w:pos="7938"/>
        </w:tabs>
        <w:spacing w:line="360" w:lineRule="auto"/>
        <w:jc w:val="both"/>
        <w:rPr>
          <w:rFonts w:ascii="Palatino Linotype" w:hAnsi="Palatino Linotype" w:cs="Arial"/>
        </w:rPr>
      </w:pPr>
    </w:p>
    <w:p w14:paraId="530B5359" w14:textId="7C5AEFC8" w:rsidR="000C2670" w:rsidRDefault="000C2670" w:rsidP="000C2670">
      <w:pPr>
        <w:tabs>
          <w:tab w:val="left" w:pos="7938"/>
        </w:tabs>
        <w:spacing w:line="360" w:lineRule="auto"/>
        <w:jc w:val="both"/>
        <w:rPr>
          <w:rFonts w:ascii="Palatino Linotype" w:hAnsi="Palatino Linotype" w:cs="Arial"/>
        </w:rPr>
      </w:pPr>
      <w:r w:rsidRPr="00854307">
        <w:rPr>
          <w:rFonts w:ascii="Palatino Linotype" w:hAnsi="Palatino Linotype" w:cs="Arial"/>
        </w:rPr>
        <w:t xml:space="preserve">Lo anterior es así </w:t>
      </w:r>
      <w:r w:rsidRPr="0027680C">
        <w:rPr>
          <w:rFonts w:ascii="Palatino Linotype" w:hAnsi="Palatino Linotype" w:cs="Arial"/>
        </w:rPr>
        <w:t xml:space="preserve">ya que derivado de la solicitud número </w:t>
      </w:r>
      <w:r w:rsidRPr="000C2670">
        <w:rPr>
          <w:rFonts w:ascii="Palatino Linotype" w:hAnsi="Palatino Linotype" w:cs="Arial"/>
          <w:b/>
        </w:rPr>
        <w:t xml:space="preserve">01291/TOLUCA/IP/2022 </w:t>
      </w:r>
      <w:r w:rsidRPr="0027680C">
        <w:rPr>
          <w:rFonts w:ascii="Palatino Linotype" w:hAnsi="Palatino Linotype" w:cs="Arial"/>
        </w:rPr>
        <w:t>(en</w:t>
      </w:r>
      <w:r w:rsidRPr="00854307">
        <w:rPr>
          <w:rFonts w:ascii="Palatino Linotype" w:hAnsi="Palatino Linotype" w:cs="Arial"/>
        </w:rPr>
        <w:t xml:space="preserve"> la que se resuelve), se aprecia en el sistema SAIMEX, que la servidora pública en comento, no tramitó ante todas las instancias del Ayuntamiento, que pudieran tener lo solicitado (derivado de sus funciones) lo requerido por el particular</w:t>
      </w:r>
      <w:r>
        <w:rPr>
          <w:rFonts w:ascii="Palatino Linotype" w:hAnsi="Palatino Linotype" w:cs="Arial"/>
        </w:rPr>
        <w:t>.</w:t>
      </w:r>
    </w:p>
    <w:p w14:paraId="74895A17" w14:textId="77777777" w:rsidR="000C2670" w:rsidRPr="00854307" w:rsidRDefault="000C2670" w:rsidP="000C2670">
      <w:pPr>
        <w:tabs>
          <w:tab w:val="left" w:pos="7938"/>
        </w:tabs>
        <w:spacing w:line="360" w:lineRule="auto"/>
        <w:jc w:val="both"/>
        <w:rPr>
          <w:rFonts w:ascii="Palatino Linotype" w:hAnsi="Palatino Linotype" w:cs="Arial"/>
        </w:rPr>
      </w:pPr>
    </w:p>
    <w:p w14:paraId="54521F9D" w14:textId="77777777" w:rsidR="000C2670" w:rsidRPr="00854307" w:rsidRDefault="000C2670" w:rsidP="000C2670">
      <w:pPr>
        <w:tabs>
          <w:tab w:val="left" w:pos="7938"/>
        </w:tabs>
        <w:spacing w:line="360" w:lineRule="auto"/>
        <w:jc w:val="both"/>
        <w:rPr>
          <w:rFonts w:ascii="Palatino Linotype" w:hAnsi="Palatino Linotype" w:cs="Arial"/>
        </w:rPr>
      </w:pPr>
      <w:r>
        <w:rPr>
          <w:rFonts w:ascii="Palatino Linotype" w:hAnsi="Palatino Linotype" w:cs="Arial"/>
        </w:rPr>
        <w:t xml:space="preserve">Es decir, </w:t>
      </w:r>
      <w:r w:rsidRPr="00854307">
        <w:rPr>
          <w:rFonts w:ascii="Palatino Linotype" w:hAnsi="Palatino Linotype" w:cs="Arial"/>
        </w:rPr>
        <w:t>no se generó algún requerimiento o tramite interno por parte de la Titular de la Unidad de Transparencia que se haya dirigido a alguna otra dependencia del ayuntamiento, ya que no se adjuntó archivo electrónico alguno.</w:t>
      </w:r>
    </w:p>
    <w:p w14:paraId="6D939C3B" w14:textId="77777777" w:rsidR="000C2670" w:rsidRDefault="000C2670" w:rsidP="000C2670">
      <w:pPr>
        <w:tabs>
          <w:tab w:val="left" w:pos="7938"/>
        </w:tabs>
        <w:spacing w:line="360" w:lineRule="auto"/>
        <w:jc w:val="both"/>
        <w:rPr>
          <w:rFonts w:ascii="Palatino Linotype" w:hAnsi="Palatino Linotype" w:cs="Arial"/>
        </w:rPr>
      </w:pPr>
    </w:p>
    <w:p w14:paraId="52DD673D" w14:textId="77777777" w:rsidR="000C2670" w:rsidRPr="00854307" w:rsidRDefault="000C2670" w:rsidP="000C2670">
      <w:pPr>
        <w:tabs>
          <w:tab w:val="left" w:pos="7938"/>
        </w:tabs>
        <w:spacing w:line="360" w:lineRule="auto"/>
        <w:jc w:val="both"/>
        <w:rPr>
          <w:rFonts w:ascii="Palatino Linotype" w:hAnsi="Palatino Linotype" w:cs="Arial"/>
        </w:rPr>
      </w:pPr>
      <w:r>
        <w:rPr>
          <w:rFonts w:ascii="Palatino Linotype" w:hAnsi="Palatino Linotype" w:cs="Arial"/>
          <w:lang w:val="es-419"/>
        </w:rPr>
        <w:t xml:space="preserve">Es decir, el sujeto obligado debió llevar a cabo </w:t>
      </w:r>
      <w:r w:rsidRPr="00854307">
        <w:rPr>
          <w:rFonts w:ascii="Palatino Linotype" w:hAnsi="Palatino Linotype" w:cs="Arial"/>
        </w:rPr>
        <w:t xml:space="preserve">sus funciones de acuerdo a los artículos 50 y 53 fracciones II, V y VI de la Ley en la materia antes citada, es decir, no porque </w:t>
      </w:r>
      <w:r>
        <w:rPr>
          <w:rFonts w:ascii="Palatino Linotype" w:hAnsi="Palatino Linotype" w:cs="Arial"/>
        </w:rPr>
        <w:t xml:space="preserve">haya sólo girado la solicitud a otro sujeto obligado (SMDIF Tenancingo) </w:t>
      </w:r>
      <w:r w:rsidRPr="00854307">
        <w:rPr>
          <w:rFonts w:ascii="Palatino Linotype" w:hAnsi="Palatino Linotype" w:cs="Arial"/>
        </w:rPr>
        <w:t>da cabida a que no se lleve a cabo el procedimiento de acceso a la información</w:t>
      </w:r>
      <w:r>
        <w:rPr>
          <w:rFonts w:ascii="Palatino Linotype" w:hAnsi="Palatino Linotype" w:cs="Arial"/>
          <w:lang w:val="es-419"/>
        </w:rPr>
        <w:t xml:space="preserve"> dentro del propio ayuntamiento</w:t>
      </w:r>
      <w:r w:rsidRPr="00854307">
        <w:rPr>
          <w:rFonts w:ascii="Palatino Linotype" w:hAnsi="Palatino Linotype" w:cs="Arial"/>
        </w:rPr>
        <w:t xml:space="preserve">, ya que </w:t>
      </w:r>
      <w:r>
        <w:rPr>
          <w:rFonts w:ascii="Palatino Linotype" w:hAnsi="Palatino Linotype" w:cs="Arial"/>
          <w:lang w:val="es-419"/>
        </w:rPr>
        <w:t xml:space="preserve">es </w:t>
      </w:r>
      <w:r>
        <w:rPr>
          <w:rFonts w:ascii="Palatino Linotype" w:hAnsi="Palatino Linotype" w:cs="Arial"/>
        </w:rPr>
        <w:t xml:space="preserve">también </w:t>
      </w:r>
      <w:r w:rsidRPr="00854307">
        <w:rPr>
          <w:rFonts w:ascii="Palatino Linotype" w:hAnsi="Palatino Linotype" w:cs="Arial"/>
        </w:rPr>
        <w:t>la autoridad encargada o que de acuerdo a sus funciones le corresponde emitir</w:t>
      </w:r>
      <w:r>
        <w:rPr>
          <w:rFonts w:ascii="Palatino Linotype" w:hAnsi="Palatino Linotype" w:cs="Arial"/>
          <w:lang w:val="es-419"/>
        </w:rPr>
        <w:t xml:space="preserve"> respuesta</w:t>
      </w:r>
      <w:r w:rsidRPr="00854307">
        <w:rPr>
          <w:rFonts w:ascii="Palatino Linotype" w:hAnsi="Palatino Linotype" w:cs="Arial"/>
        </w:rPr>
        <w:t>.</w:t>
      </w:r>
    </w:p>
    <w:p w14:paraId="12CE66E7" w14:textId="77777777" w:rsidR="000C2670" w:rsidRPr="00854307" w:rsidRDefault="000C2670" w:rsidP="000C2670">
      <w:pPr>
        <w:tabs>
          <w:tab w:val="left" w:pos="7938"/>
        </w:tabs>
        <w:spacing w:line="360" w:lineRule="auto"/>
        <w:jc w:val="both"/>
        <w:rPr>
          <w:rFonts w:ascii="Palatino Linotype" w:hAnsi="Palatino Linotype" w:cs="Arial"/>
        </w:rPr>
      </w:pPr>
    </w:p>
    <w:p w14:paraId="134E7A4C" w14:textId="77777777" w:rsidR="000C2670" w:rsidRPr="00E820A0" w:rsidRDefault="000C2670" w:rsidP="000C2670">
      <w:pPr>
        <w:tabs>
          <w:tab w:val="left" w:pos="7938"/>
        </w:tabs>
        <w:spacing w:line="360" w:lineRule="auto"/>
        <w:jc w:val="both"/>
        <w:rPr>
          <w:rFonts w:ascii="Palatino Linotype" w:hAnsi="Palatino Linotype" w:cs="Arial"/>
        </w:rPr>
      </w:pPr>
      <w:r w:rsidRPr="00E820A0">
        <w:rPr>
          <w:rFonts w:ascii="Palatino Linotype" w:hAnsi="Palatino Linotype" w:cs="Arial"/>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w:t>
      </w:r>
      <w:r>
        <w:rPr>
          <w:rFonts w:ascii="Palatino Linotype" w:hAnsi="Palatino Linotype" w:cs="Arial"/>
        </w:rPr>
        <w:t>s</w:t>
      </w:r>
      <w:r w:rsidRPr="00E820A0">
        <w:rPr>
          <w:rFonts w:ascii="Palatino Linotype" w:hAnsi="Palatino Linotype" w:cs="Arial"/>
        </w:rPr>
        <w:t xml:space="preserve"> unidad</w:t>
      </w:r>
      <w:r>
        <w:rPr>
          <w:rFonts w:ascii="Palatino Linotype" w:hAnsi="Palatino Linotype" w:cs="Arial"/>
        </w:rPr>
        <w:t>es</w:t>
      </w:r>
      <w:r w:rsidRPr="00E820A0">
        <w:rPr>
          <w:rFonts w:ascii="Palatino Linotype" w:hAnsi="Palatino Linotype" w:cs="Arial"/>
        </w:rPr>
        <w:t xml:space="preserve"> administrativa</w:t>
      </w:r>
      <w:r>
        <w:rPr>
          <w:rFonts w:ascii="Palatino Linotype" w:hAnsi="Palatino Linotype" w:cs="Arial"/>
        </w:rPr>
        <w:t>s</w:t>
      </w:r>
      <w:r w:rsidRPr="00E820A0">
        <w:rPr>
          <w:rFonts w:ascii="Palatino Linotype" w:hAnsi="Palatino Linotype" w:cs="Arial"/>
        </w:rPr>
        <w:t xml:space="preserve"> que por obligación le corresponden dar atención a la misma.</w:t>
      </w:r>
    </w:p>
    <w:p w14:paraId="44B668EF" w14:textId="77777777" w:rsidR="000C2670" w:rsidRDefault="000C2670" w:rsidP="000C2670">
      <w:pPr>
        <w:tabs>
          <w:tab w:val="left" w:pos="7938"/>
        </w:tabs>
        <w:spacing w:line="360" w:lineRule="auto"/>
        <w:jc w:val="both"/>
        <w:rPr>
          <w:rFonts w:ascii="Palatino Linotype" w:hAnsi="Palatino Linotype" w:cs="Arial"/>
        </w:rPr>
      </w:pPr>
    </w:p>
    <w:p w14:paraId="24E482ED" w14:textId="01BB69FE" w:rsidR="000C2670" w:rsidRDefault="000C2670" w:rsidP="000C2670">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Por todo lo anterior es que se considera revocar la respuesta del sujeto obligado a efecto que dé atención a la solitud de información número </w:t>
      </w:r>
      <w:r w:rsidRPr="000C2670">
        <w:rPr>
          <w:rFonts w:ascii="Palatino Linotype" w:hAnsi="Palatino Linotype" w:cs="Arial"/>
          <w:b/>
          <w:lang w:eastAsia="es-MX"/>
        </w:rPr>
        <w:t>01291/TOLUCA/IP/2022</w:t>
      </w:r>
      <w:r w:rsidRPr="000C2670">
        <w:rPr>
          <w:rFonts w:ascii="Palatino Linotype" w:hAnsi="Palatino Linotype" w:cs="Arial"/>
          <w:lang w:eastAsia="es-MX"/>
        </w:rPr>
        <w:t xml:space="preserve">, </w:t>
      </w:r>
      <w:r>
        <w:rPr>
          <w:rFonts w:ascii="Palatino Linotype" w:hAnsi="Palatino Linotype" w:cs="Arial"/>
          <w:lang w:eastAsia="es-MX"/>
        </w:rPr>
        <w:t>con fundamento en los artículos 50, 51, 53 fracción IV, 162 y 165, de la Ley de Transparencia y Acceso a la Información Pública del Estado de México</w:t>
      </w:r>
      <w:r>
        <w:rPr>
          <w:rFonts w:ascii="Palatino Linotype" w:hAnsi="Palatino Linotype" w:cs="Arial"/>
        </w:rPr>
        <w:t xml:space="preserve"> y Municipios, el artículo 162 es muy categórico al establecer: </w:t>
      </w:r>
    </w:p>
    <w:p w14:paraId="6D7F795D" w14:textId="77777777" w:rsidR="000C2670" w:rsidRDefault="000C2670" w:rsidP="000C2670">
      <w:pPr>
        <w:pStyle w:val="Prrafodelista"/>
        <w:spacing w:line="360" w:lineRule="auto"/>
        <w:ind w:left="0"/>
        <w:jc w:val="both"/>
        <w:rPr>
          <w:rFonts w:ascii="Palatino Linotype" w:hAnsi="Palatino Linotype" w:cs="Arial"/>
        </w:rPr>
      </w:pPr>
    </w:p>
    <w:p w14:paraId="4E5FD8A0" w14:textId="77777777" w:rsidR="000C2670" w:rsidRPr="00A9102C" w:rsidRDefault="000C2670" w:rsidP="000C2670">
      <w:pPr>
        <w:tabs>
          <w:tab w:val="left" w:pos="7938"/>
        </w:tabs>
        <w:spacing w:line="360" w:lineRule="auto"/>
        <w:ind w:left="851" w:right="902"/>
        <w:jc w:val="both"/>
        <w:rPr>
          <w:rFonts w:ascii="Palatino Linotype" w:hAnsi="Palatino Linotype"/>
          <w:i/>
        </w:rPr>
      </w:pPr>
      <w:r w:rsidRPr="00A9102C">
        <w:rPr>
          <w:rFonts w:ascii="Palatino Linotype" w:hAnsi="Palatino Linotype"/>
          <w:i/>
        </w:rPr>
        <w:lastRenderedPageBreak/>
        <w:t xml:space="preserve">“Artículo 162. Las unidades de transparencia deberán garantizar que las solicitudes </w:t>
      </w:r>
      <w:r w:rsidRPr="00A9102C">
        <w:rPr>
          <w:rFonts w:ascii="Palatino Linotype" w:hAnsi="Palatino Linotype"/>
          <w:b/>
          <w:i/>
          <w:u w:val="single"/>
        </w:rPr>
        <w:t>se turnen a todas las Áreas</w:t>
      </w:r>
      <w:r w:rsidRPr="00A9102C">
        <w:rPr>
          <w:rFonts w:ascii="Palatino Linotype" w:hAnsi="Palatino Linotype"/>
          <w:i/>
        </w:rPr>
        <w:t xml:space="preserve"> competentes que cuenten con la información o deban tenerla de acuerdo a sus facultades, competencias y funciones, </w:t>
      </w:r>
      <w:r w:rsidRPr="00A9102C">
        <w:rPr>
          <w:rFonts w:ascii="Palatino Linotype" w:hAnsi="Palatino Linotype"/>
          <w:b/>
          <w:i/>
          <w:u w:val="single"/>
        </w:rPr>
        <w:t>con el objeto de que realicen una búsqueda exhaustiva y razonable</w:t>
      </w:r>
      <w:r w:rsidRPr="00A9102C">
        <w:rPr>
          <w:rFonts w:ascii="Palatino Linotype" w:hAnsi="Palatino Linotype"/>
          <w:i/>
        </w:rPr>
        <w:t xml:space="preserve"> de la información solicitada.”(Énfasis añadido)</w:t>
      </w:r>
    </w:p>
    <w:p w14:paraId="4E064512" w14:textId="77777777" w:rsidR="000C2670" w:rsidRDefault="000C2670" w:rsidP="000C2670">
      <w:pPr>
        <w:pStyle w:val="Prrafodelista"/>
        <w:spacing w:line="360" w:lineRule="auto"/>
        <w:ind w:left="0"/>
        <w:jc w:val="both"/>
        <w:rPr>
          <w:rFonts w:ascii="Palatino Linotype" w:hAnsi="Palatino Linotype" w:cs="Arial"/>
          <w:lang w:eastAsia="es-MX"/>
        </w:rPr>
      </w:pPr>
    </w:p>
    <w:p w14:paraId="6194A04C" w14:textId="77777777" w:rsidR="000C2670" w:rsidRDefault="000C2670" w:rsidP="000C2670">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Ayuntamiento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xml:space="preserve">, quienes a su vez deberán realizar una búsqueda exhaustiva y razonable de la información </w:t>
      </w:r>
      <w:r w:rsidRPr="005B7E29">
        <w:rPr>
          <w:rFonts w:ascii="Palatino Linotype" w:hAnsi="Palatino Linotype" w:cs="Arial"/>
          <w:lang w:eastAsia="es-MX"/>
        </w:rPr>
        <w:t>solicitada en los archivos de las unidades administrativas de las que formen parte</w:t>
      </w:r>
      <w:r w:rsidRPr="000C2670">
        <w:rPr>
          <w:rFonts w:ascii="Palatino Linotype" w:hAnsi="Palatino Linotype" w:cs="Arial"/>
          <w:lang w:eastAsia="es-MX"/>
        </w:rPr>
        <w:t>.</w:t>
      </w:r>
    </w:p>
    <w:p w14:paraId="12BDDE26" w14:textId="77777777" w:rsidR="000A1ABF" w:rsidRDefault="000A1ABF" w:rsidP="000C2670">
      <w:pPr>
        <w:pStyle w:val="Prrafodelista"/>
        <w:spacing w:line="360" w:lineRule="auto"/>
        <w:ind w:left="0"/>
        <w:jc w:val="both"/>
        <w:rPr>
          <w:rFonts w:ascii="Palatino Linotype" w:hAnsi="Palatino Linotype" w:cs="Arial"/>
          <w:lang w:eastAsia="es-MX"/>
        </w:rPr>
      </w:pPr>
    </w:p>
    <w:p w14:paraId="19000E81" w14:textId="68DC5240" w:rsidR="000A1ABF" w:rsidRPr="000C2670" w:rsidRDefault="000A1ABF" w:rsidP="000C2670">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es así, ya que de las documentales que constan en el expediente electrónico del SAIMEX, se aprecia que la solicitud de información sólo se giró al Secretario del Ayuntamiento y a la Directora General de Administración y no así </w:t>
      </w:r>
      <w:r w:rsidR="00545F5A">
        <w:rPr>
          <w:rFonts w:ascii="Palatino Linotype" w:hAnsi="Palatino Linotype" w:cs="Arial"/>
          <w:lang w:eastAsia="es-MX"/>
        </w:rPr>
        <w:t xml:space="preserve">a la </w:t>
      </w:r>
      <w:r w:rsidR="00545F5A" w:rsidRPr="00545F5A">
        <w:rPr>
          <w:rFonts w:ascii="Palatino Linotype" w:hAnsi="Palatino Linotype" w:cs="Arial"/>
          <w:lang w:eastAsia="es-MX"/>
        </w:rPr>
        <w:t>Comisión de Selección Municipal</w:t>
      </w:r>
      <w:r w:rsidR="00545F5A">
        <w:rPr>
          <w:rFonts w:ascii="Palatino Linotype" w:hAnsi="Palatino Linotype" w:cs="Arial"/>
          <w:lang w:eastAsia="es-MX"/>
        </w:rPr>
        <w:t xml:space="preserve"> del Comité de Participación Ciudadana.</w:t>
      </w:r>
    </w:p>
    <w:p w14:paraId="1DD67EDE" w14:textId="77777777" w:rsidR="000C2670" w:rsidRPr="000C2670" w:rsidRDefault="000C2670" w:rsidP="000C2670">
      <w:pPr>
        <w:pStyle w:val="Prrafodelista"/>
        <w:spacing w:line="360" w:lineRule="auto"/>
        <w:ind w:left="0"/>
        <w:jc w:val="both"/>
        <w:rPr>
          <w:rFonts w:ascii="Palatino Linotype" w:hAnsi="Palatino Linotype" w:cs="Arial"/>
          <w:lang w:eastAsia="es-MX"/>
        </w:rPr>
      </w:pPr>
    </w:p>
    <w:p w14:paraId="48CDDCC5" w14:textId="48AE6D1F" w:rsidR="000C2670" w:rsidRDefault="000C2670" w:rsidP="000C2670">
      <w:pPr>
        <w:pStyle w:val="Prrafodelista"/>
        <w:spacing w:line="360" w:lineRule="auto"/>
        <w:ind w:left="0"/>
        <w:jc w:val="both"/>
        <w:rPr>
          <w:rFonts w:ascii="Palatino Linotype" w:hAnsi="Palatino Linotype"/>
          <w:lang w:val="es-419"/>
        </w:rPr>
      </w:pPr>
      <w:r w:rsidRPr="000C2670">
        <w:rPr>
          <w:rFonts w:ascii="Palatino Linotype" w:hAnsi="Palatino Linotype" w:cs="Arial"/>
          <w:lang w:eastAsia="es-MX"/>
        </w:rPr>
        <w:t>Ahora bien, el Bando Municipal de Toluca</w:t>
      </w:r>
      <w:r>
        <w:rPr>
          <w:rFonts w:ascii="Palatino Linotype" w:hAnsi="Palatino Linotype"/>
          <w:lang w:val="es-419"/>
        </w:rPr>
        <w:t>, establece entre otras cosas, lo siguiente:</w:t>
      </w:r>
    </w:p>
    <w:p w14:paraId="1C9B4E68" w14:textId="77777777" w:rsidR="000C2670" w:rsidRDefault="000C2670" w:rsidP="000C2670">
      <w:pPr>
        <w:spacing w:line="360" w:lineRule="auto"/>
        <w:jc w:val="both"/>
        <w:rPr>
          <w:rFonts w:ascii="Palatino Linotype" w:hAnsi="Palatino Linotype"/>
          <w:lang w:val="es-419"/>
        </w:rPr>
      </w:pPr>
    </w:p>
    <w:p w14:paraId="3C7D2077" w14:textId="0583B2C1" w:rsidR="000C2670" w:rsidRDefault="000C2670" w:rsidP="000C2670">
      <w:pPr>
        <w:spacing w:line="360" w:lineRule="auto"/>
        <w:ind w:left="851" w:right="616"/>
        <w:jc w:val="both"/>
        <w:rPr>
          <w:rFonts w:ascii="Palatino Linotype" w:hAnsi="Palatino Linotype"/>
          <w:i/>
          <w:lang w:val="es-419"/>
        </w:rPr>
      </w:pPr>
      <w:r>
        <w:rPr>
          <w:rFonts w:ascii="Palatino Linotype" w:hAnsi="Palatino Linotype"/>
          <w:i/>
          <w:lang w:val="es-419"/>
        </w:rPr>
        <w:t>“</w:t>
      </w:r>
      <w:r w:rsidRPr="000C2670">
        <w:rPr>
          <w:rFonts w:ascii="Palatino Linotype" w:hAnsi="Palatino Linotype"/>
          <w:i/>
          <w:lang w:val="es-419"/>
        </w:rPr>
        <w:t xml:space="preserve">Artículo 124. El Sistema Municipal Anticorrupción se integrará por: </w:t>
      </w:r>
    </w:p>
    <w:p w14:paraId="0113A84D" w14:textId="27533D63" w:rsidR="000C2670" w:rsidRDefault="000C2670" w:rsidP="000C2670">
      <w:pPr>
        <w:spacing w:line="360" w:lineRule="auto"/>
        <w:ind w:left="851" w:right="616"/>
        <w:jc w:val="both"/>
        <w:rPr>
          <w:rFonts w:ascii="Palatino Linotype" w:hAnsi="Palatino Linotype"/>
          <w:i/>
          <w:lang w:val="es-419"/>
        </w:rPr>
      </w:pPr>
      <w:r w:rsidRPr="000C2670">
        <w:rPr>
          <w:rFonts w:ascii="Palatino Linotype" w:hAnsi="Palatino Linotype"/>
          <w:i/>
          <w:lang w:val="es-419"/>
        </w:rPr>
        <w:t xml:space="preserve">I. Un Comité Coordinador Municipal. </w:t>
      </w:r>
    </w:p>
    <w:p w14:paraId="3F66D5BB" w14:textId="77777777" w:rsidR="000C2670" w:rsidRPr="000C2670" w:rsidRDefault="000C2670" w:rsidP="000C2670">
      <w:pPr>
        <w:spacing w:line="360" w:lineRule="auto"/>
        <w:ind w:left="851" w:right="616"/>
        <w:jc w:val="both"/>
        <w:rPr>
          <w:rFonts w:ascii="Palatino Linotype" w:hAnsi="Palatino Linotype"/>
          <w:b/>
          <w:i/>
          <w:u w:val="single"/>
          <w:lang w:val="es-419"/>
        </w:rPr>
      </w:pPr>
      <w:r w:rsidRPr="000C2670">
        <w:rPr>
          <w:rFonts w:ascii="Palatino Linotype" w:hAnsi="Palatino Linotype"/>
          <w:b/>
          <w:i/>
          <w:u w:val="single"/>
          <w:lang w:val="es-419"/>
        </w:rPr>
        <w:t xml:space="preserve">II. Un Comité de Participación Ciudadana. </w:t>
      </w:r>
    </w:p>
    <w:p w14:paraId="00E35B29" w14:textId="67224DCF" w:rsidR="000C2670" w:rsidRDefault="000C2670" w:rsidP="000C2670">
      <w:pPr>
        <w:spacing w:line="360" w:lineRule="auto"/>
        <w:ind w:left="851" w:right="616"/>
        <w:jc w:val="both"/>
        <w:rPr>
          <w:rFonts w:ascii="Palatino Linotype" w:hAnsi="Palatino Linotype"/>
          <w:i/>
          <w:lang w:val="es-419"/>
        </w:rPr>
      </w:pPr>
      <w:r w:rsidRPr="000C2670">
        <w:rPr>
          <w:rFonts w:ascii="Palatino Linotype" w:hAnsi="Palatino Linotype"/>
          <w:i/>
          <w:lang w:val="es-419"/>
        </w:rPr>
        <w:t xml:space="preserve">Artículo 125. El Comité Coordinador Municipal se integrará por: </w:t>
      </w:r>
    </w:p>
    <w:p w14:paraId="2CA1311D" w14:textId="13B03F18" w:rsidR="000C2670" w:rsidRPr="000C2670" w:rsidRDefault="000C2670" w:rsidP="000C2670">
      <w:pPr>
        <w:pStyle w:val="Prrafodelista"/>
        <w:numPr>
          <w:ilvl w:val="0"/>
          <w:numId w:val="9"/>
        </w:numPr>
        <w:spacing w:line="360" w:lineRule="auto"/>
        <w:ind w:right="616"/>
        <w:jc w:val="both"/>
        <w:rPr>
          <w:rFonts w:ascii="Palatino Linotype" w:hAnsi="Palatino Linotype"/>
          <w:i/>
          <w:lang w:val="es-419"/>
        </w:rPr>
      </w:pPr>
      <w:r w:rsidRPr="000C2670">
        <w:rPr>
          <w:rFonts w:ascii="Palatino Linotype" w:hAnsi="Palatino Linotype"/>
          <w:i/>
          <w:lang w:val="es-419"/>
        </w:rPr>
        <w:t xml:space="preserve">El o la titular de la Contraloría. </w:t>
      </w:r>
    </w:p>
    <w:p w14:paraId="7E1C2C55" w14:textId="77777777" w:rsidR="000C2670" w:rsidRDefault="000C2670" w:rsidP="000C2670">
      <w:pPr>
        <w:pStyle w:val="Prrafodelista"/>
        <w:numPr>
          <w:ilvl w:val="0"/>
          <w:numId w:val="9"/>
        </w:numPr>
        <w:spacing w:line="360" w:lineRule="auto"/>
        <w:ind w:right="616"/>
        <w:jc w:val="both"/>
        <w:rPr>
          <w:rFonts w:ascii="Palatino Linotype" w:hAnsi="Palatino Linotype"/>
          <w:i/>
          <w:lang w:val="es-419"/>
        </w:rPr>
      </w:pPr>
      <w:r w:rsidRPr="000C2670">
        <w:rPr>
          <w:rFonts w:ascii="Palatino Linotype" w:hAnsi="Palatino Linotype"/>
          <w:i/>
          <w:lang w:val="es-419"/>
        </w:rPr>
        <w:lastRenderedPageBreak/>
        <w:t xml:space="preserve">El o la titular de la Unidad de Transparencia del Municipio. </w:t>
      </w:r>
    </w:p>
    <w:p w14:paraId="0D44E280" w14:textId="4158A736" w:rsidR="000C2670" w:rsidRPr="000C2670" w:rsidRDefault="000C2670" w:rsidP="000C2670">
      <w:pPr>
        <w:pStyle w:val="Prrafodelista"/>
        <w:numPr>
          <w:ilvl w:val="0"/>
          <w:numId w:val="9"/>
        </w:numPr>
        <w:spacing w:line="360" w:lineRule="auto"/>
        <w:ind w:right="616"/>
        <w:jc w:val="both"/>
        <w:rPr>
          <w:rFonts w:ascii="Palatino Linotype" w:hAnsi="Palatino Linotype"/>
          <w:b/>
          <w:i/>
          <w:lang w:val="es-419"/>
        </w:rPr>
      </w:pPr>
      <w:r w:rsidRPr="000C2670">
        <w:rPr>
          <w:rFonts w:ascii="Palatino Linotype" w:hAnsi="Palatino Linotype"/>
          <w:b/>
          <w:i/>
          <w:lang w:val="es-419"/>
        </w:rPr>
        <w:t>Un representante del Comité de Participación Ciudadana Municipal, quien lo presidirá.</w:t>
      </w:r>
    </w:p>
    <w:p w14:paraId="286D3C8E" w14:textId="77777777" w:rsidR="000C2670" w:rsidRDefault="000C2670" w:rsidP="000C2670">
      <w:pPr>
        <w:spacing w:line="360" w:lineRule="auto"/>
        <w:jc w:val="both"/>
        <w:rPr>
          <w:rFonts w:ascii="Palatino Linotype" w:hAnsi="Palatino Linotype"/>
          <w:lang w:val="es-419"/>
        </w:rPr>
      </w:pPr>
    </w:p>
    <w:p w14:paraId="71F6CE23" w14:textId="3E43EA9D" w:rsidR="000C2670" w:rsidRDefault="000C2670" w:rsidP="000C2670">
      <w:pPr>
        <w:spacing w:line="360" w:lineRule="auto"/>
        <w:jc w:val="both"/>
        <w:rPr>
          <w:rFonts w:ascii="Palatino Linotype" w:hAnsi="Palatino Linotype"/>
          <w:lang w:val="es-419"/>
        </w:rPr>
      </w:pPr>
      <w:r>
        <w:rPr>
          <w:rFonts w:ascii="Palatino Linotype" w:hAnsi="Palatino Linotype"/>
          <w:lang w:val="es-419"/>
        </w:rPr>
        <w:t xml:space="preserve">Como podemos apreciar, existen unidades administrativas que por sus funciones pueden contar con la información solicitada, </w:t>
      </w:r>
    </w:p>
    <w:p w14:paraId="244F0B67" w14:textId="77777777" w:rsidR="000C2670" w:rsidRPr="005B7E29" w:rsidRDefault="000C2670" w:rsidP="000C2670">
      <w:pPr>
        <w:spacing w:line="360" w:lineRule="auto"/>
        <w:jc w:val="both"/>
        <w:rPr>
          <w:rFonts w:ascii="Palatino Linotype" w:hAnsi="Palatino Linotype"/>
          <w:lang w:val="es-419"/>
        </w:rPr>
      </w:pPr>
    </w:p>
    <w:p w14:paraId="07753D79" w14:textId="77777777" w:rsidR="000C2670" w:rsidRPr="007C5B8D" w:rsidRDefault="000C2670" w:rsidP="000C2670">
      <w:pPr>
        <w:spacing w:line="360" w:lineRule="auto"/>
        <w:jc w:val="both"/>
        <w:rPr>
          <w:rFonts w:ascii="Palatino Linotype" w:eastAsia="Palatino Linotype" w:hAnsi="Palatino Linotype" w:cs="Palatino Linotype"/>
        </w:rPr>
      </w:pPr>
      <w:r w:rsidRPr="005B7E29">
        <w:rPr>
          <w:rFonts w:ascii="Palatino Linotype" w:hAnsi="Palatino Linotype"/>
        </w:rPr>
        <w:t>Bajo ese tenor, es importante hacer</w:t>
      </w:r>
      <w:r w:rsidRPr="005B7E29">
        <w:rPr>
          <w:rFonts w:ascii="Palatino Linotype" w:eastAsia="Palatino Linotype" w:hAnsi="Palatino Linotype" w:cs="Palatino Linotype"/>
        </w:rPr>
        <w:t xml:space="preserve"> del conocimiento de las partes que </w:t>
      </w:r>
      <w:r w:rsidRPr="005B7E29">
        <w:rPr>
          <w:rFonts w:ascii="Palatino Linotype" w:eastAsia="Palatino Linotype" w:hAnsi="Palatino Linotype" w:cs="Palatino Linotype"/>
          <w:b/>
        </w:rPr>
        <w:t xml:space="preserve">EL SUJETO OBLIGADO </w:t>
      </w:r>
      <w:r w:rsidRPr="005B7E29">
        <w:rPr>
          <w:rFonts w:ascii="Palatino Linotype" w:eastAsia="Palatino Linotype" w:hAnsi="Palatino Linotype" w:cs="Palatino Linotype"/>
        </w:rPr>
        <w:t>deberá realizar una búsqueda exhaustiva y razonable de la información solicitada; para ello, deberá seguir puntualmente el procedimiento siguiente: los Sujetos Obligados deben contar con un área responsable para la atención de las solicitudes de información, a la que se le denominará Unidad de Transparencia; asimismo, deben designar</w:t>
      </w:r>
      <w:r w:rsidRPr="007C5B8D">
        <w:rPr>
          <w:rFonts w:ascii="Palatino Linotype" w:eastAsia="Palatino Linotype" w:hAnsi="Palatino Linotype" w:cs="Palatino Linotype"/>
        </w:rPr>
        <w:t xml:space="preserve"> a un responsable para atender dicha Unidad, quien fungirá como enlace entre éstos y los solicitantes.</w:t>
      </w:r>
    </w:p>
    <w:p w14:paraId="37C3F046" w14:textId="77777777" w:rsidR="000C2670" w:rsidRDefault="000C2670" w:rsidP="000C2670">
      <w:pPr>
        <w:spacing w:line="360" w:lineRule="auto"/>
        <w:jc w:val="both"/>
        <w:rPr>
          <w:rFonts w:ascii="Palatino Linotype" w:eastAsia="Palatino Linotype" w:hAnsi="Palatino Linotype" w:cs="Palatino Linotype"/>
        </w:rPr>
      </w:pPr>
    </w:p>
    <w:p w14:paraId="72E57270" w14:textId="77777777" w:rsidR="000C2670" w:rsidRDefault="000C2670" w:rsidP="000C2670">
      <w:pPr>
        <w:spacing w:line="360" w:lineRule="auto"/>
        <w:jc w:val="both"/>
        <w:rPr>
          <w:rFonts w:ascii="Palatino Linotype" w:eastAsia="Palatino Linotype" w:hAnsi="Palatino Linotype" w:cs="Palatino Linotype"/>
          <w:lang w:val="es-419"/>
        </w:rPr>
      </w:pPr>
      <w:r w:rsidRPr="001F297E">
        <w:rPr>
          <w:rFonts w:ascii="Palatino Linotype" w:eastAsia="Palatino Linotype" w:hAnsi="Palatino Linotype" w:cs="Palatino Linotype"/>
        </w:rPr>
        <w:t xml:space="preserve">Por lo tanto, la información de la que deberá hacer búsqueda exhaustiva y razonable el sujeto obligado </w:t>
      </w:r>
      <w:r>
        <w:rPr>
          <w:rFonts w:ascii="Palatino Linotype" w:eastAsia="Palatino Linotype" w:hAnsi="Palatino Linotype" w:cs="Palatino Linotype"/>
          <w:lang w:val="es-419"/>
        </w:rPr>
        <w:t>es respecto de:</w:t>
      </w:r>
    </w:p>
    <w:p w14:paraId="1E4769E0" w14:textId="77777777" w:rsidR="000A1ABF" w:rsidRDefault="000A1ABF" w:rsidP="000A1ABF">
      <w:pPr>
        <w:autoSpaceDE w:val="0"/>
        <w:autoSpaceDN w:val="0"/>
        <w:adjustRightInd w:val="0"/>
        <w:spacing w:line="360" w:lineRule="auto"/>
        <w:jc w:val="both"/>
        <w:rPr>
          <w:rFonts w:ascii="Palatino Linotype" w:hAnsi="Palatino Linotype" w:cs="Arial"/>
        </w:rPr>
      </w:pPr>
    </w:p>
    <w:p w14:paraId="34B57970"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b/>
        </w:rPr>
        <w:t>A.-</w:t>
      </w:r>
      <w:r>
        <w:rPr>
          <w:rFonts w:ascii="Palatino Linotype" w:hAnsi="Palatino Linotype" w:cs="Arial"/>
        </w:rPr>
        <w:t xml:space="preserve"> Documentos presentados por los tres integrantes designados para el Comité de Participación Ciudadana para el municipio de Toluca </w:t>
      </w:r>
    </w:p>
    <w:p w14:paraId="310086F8"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b/>
        </w:rPr>
        <w:t>B.-</w:t>
      </w:r>
      <w:r>
        <w:rPr>
          <w:rFonts w:ascii="Palatino Linotype" w:hAnsi="Palatino Linotype" w:cs="Arial"/>
        </w:rPr>
        <w:t xml:space="preserve"> Documentos presentados por las personas que participaron en la misma.</w:t>
      </w:r>
    </w:p>
    <w:p w14:paraId="7C46A44B"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 xml:space="preserve">De acuerdo a lo solicitado por la convocatoria emitida, son los siguientes documentos: </w:t>
      </w:r>
    </w:p>
    <w:p w14:paraId="3D19C709"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lastRenderedPageBreak/>
        <w:t xml:space="preserve">1. Currículum Vitae </w:t>
      </w:r>
    </w:p>
    <w:p w14:paraId="20F56C6D"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 xml:space="preserve">2. Constancia de residencia o vecindad </w:t>
      </w:r>
    </w:p>
    <w:p w14:paraId="024D685E"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 xml:space="preserve">3. Constancia(s) de postulación </w:t>
      </w:r>
    </w:p>
    <w:p w14:paraId="6EA99EA9"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 xml:space="preserve">4. Hoja de datos de identificación </w:t>
      </w:r>
    </w:p>
    <w:p w14:paraId="7C38A24B"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 xml:space="preserve">5. Exposición de motivos </w:t>
      </w:r>
    </w:p>
    <w:p w14:paraId="23B7138E"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 xml:space="preserve">6. Proyecto de trabajo </w:t>
      </w:r>
    </w:p>
    <w:p w14:paraId="4175EF40"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 xml:space="preserve">7. Protesta de decir verdad </w:t>
      </w:r>
    </w:p>
    <w:p w14:paraId="64683AB9" w14:textId="77777777" w:rsidR="000A1ABF" w:rsidRDefault="000A1ABF" w:rsidP="000A1ABF">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rPr>
        <w:t>8. Acta de nacimiento y credencial para votar o documento oficial.</w:t>
      </w:r>
    </w:p>
    <w:p w14:paraId="7C75A30B" w14:textId="77777777" w:rsidR="000C2670" w:rsidRDefault="000C2670" w:rsidP="000C2670">
      <w:pPr>
        <w:spacing w:line="360" w:lineRule="auto"/>
        <w:jc w:val="both"/>
        <w:rPr>
          <w:rFonts w:ascii="Palatino Linotype" w:eastAsia="Palatino Linotype" w:hAnsi="Palatino Linotype" w:cs="Palatino Linotype"/>
        </w:rPr>
      </w:pPr>
    </w:p>
    <w:p w14:paraId="47FCC871" w14:textId="77777777" w:rsidR="000C2670" w:rsidRPr="007C5B8D" w:rsidRDefault="000C2670" w:rsidP="000C2670">
      <w:pPr>
        <w:widowControl w:val="0"/>
        <w:tabs>
          <w:tab w:val="left" w:pos="1276"/>
        </w:tabs>
        <w:spacing w:line="360" w:lineRule="auto"/>
        <w:jc w:val="both"/>
        <w:rPr>
          <w:rFonts w:ascii="Palatino Linotype" w:eastAsia="Palatino Linotype" w:hAnsi="Palatino Linotype" w:cs="Palatino Linotype"/>
        </w:rPr>
      </w:pPr>
      <w:r w:rsidRPr="007C5B8D">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14:paraId="47A2832C" w14:textId="77777777" w:rsidR="000C2670" w:rsidRDefault="000C2670" w:rsidP="000C2670">
      <w:pPr>
        <w:autoSpaceDE w:val="0"/>
        <w:autoSpaceDN w:val="0"/>
        <w:adjustRightInd w:val="0"/>
        <w:spacing w:line="360" w:lineRule="auto"/>
        <w:ind w:right="-141"/>
        <w:jc w:val="both"/>
        <w:rPr>
          <w:rFonts w:ascii="Palatino Linotype" w:hAnsi="Palatino Linotype" w:cs="Arial"/>
          <w:lang w:val="es-419"/>
        </w:rPr>
      </w:pPr>
    </w:p>
    <w:p w14:paraId="0DA1A832" w14:textId="11647B64" w:rsidR="000A1ABF" w:rsidRDefault="000A1ABF" w:rsidP="000C2670">
      <w:pPr>
        <w:tabs>
          <w:tab w:val="left" w:pos="7938"/>
        </w:tabs>
        <w:spacing w:line="360" w:lineRule="auto"/>
        <w:jc w:val="both"/>
        <w:rPr>
          <w:rFonts w:ascii="Palatino Linotype" w:hAnsi="Palatino Linotype" w:cs="Arial"/>
        </w:rPr>
      </w:pPr>
      <w:r>
        <w:rPr>
          <w:rFonts w:ascii="Palatino Linotype" w:hAnsi="Palatino Linotype" w:cs="Arial"/>
        </w:rPr>
        <w:t>Por su parte la Ley del Sistema Anti corrupción del Estado de México y Municipios, establece lo siguiente:</w:t>
      </w:r>
    </w:p>
    <w:p w14:paraId="56DE74C2" w14:textId="77777777" w:rsidR="000A1ABF" w:rsidRDefault="000A1ABF" w:rsidP="000C2670">
      <w:pPr>
        <w:tabs>
          <w:tab w:val="left" w:pos="7938"/>
        </w:tabs>
        <w:spacing w:line="360" w:lineRule="auto"/>
        <w:jc w:val="both"/>
        <w:rPr>
          <w:rFonts w:ascii="Palatino Linotype" w:hAnsi="Palatino Linotype" w:cs="Arial"/>
        </w:rPr>
      </w:pPr>
    </w:p>
    <w:p w14:paraId="6DF65989" w14:textId="298293F5" w:rsidR="000A1ABF" w:rsidRPr="000A1ABF" w:rsidRDefault="000A1ABF" w:rsidP="000A1ABF">
      <w:pPr>
        <w:spacing w:line="360" w:lineRule="auto"/>
        <w:ind w:left="851" w:right="616"/>
        <w:jc w:val="both"/>
        <w:rPr>
          <w:rFonts w:ascii="Palatino Linotype" w:hAnsi="Palatino Linotype"/>
          <w:i/>
          <w:lang w:val="es-419"/>
        </w:rPr>
      </w:pPr>
      <w:r>
        <w:rPr>
          <w:rFonts w:ascii="Palatino Linotype" w:hAnsi="Palatino Linotype"/>
          <w:i/>
          <w:lang w:val="es-419"/>
        </w:rPr>
        <w:t>“</w:t>
      </w:r>
      <w:r w:rsidRPr="000A1ABF">
        <w:rPr>
          <w:rFonts w:ascii="Palatino Linotype" w:hAnsi="Palatino Linotype"/>
          <w:i/>
          <w:lang w:val="es-419"/>
        </w:rPr>
        <w:t>Artículo 62. El Sistema Municipal Anticorrupción se integrará por:</w:t>
      </w:r>
    </w:p>
    <w:p w14:paraId="1ED5C359" w14:textId="588B5902"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w:t>
      </w:r>
    </w:p>
    <w:p w14:paraId="01D9E3A9"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II. Un Comité de Participación Ciudadana.</w:t>
      </w:r>
    </w:p>
    <w:p w14:paraId="0DBE499A" w14:textId="46B4F775"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w:t>
      </w:r>
    </w:p>
    <w:p w14:paraId="5CF5C399" w14:textId="77777777" w:rsidR="000A1ABF" w:rsidRPr="000A1ABF" w:rsidRDefault="000A1ABF" w:rsidP="000A1ABF">
      <w:pPr>
        <w:spacing w:line="360" w:lineRule="auto"/>
        <w:ind w:left="851" w:right="616"/>
        <w:jc w:val="both"/>
        <w:rPr>
          <w:rFonts w:ascii="Palatino Linotype" w:hAnsi="Palatino Linotype"/>
          <w:i/>
          <w:lang w:val="es-419"/>
        </w:rPr>
      </w:pPr>
    </w:p>
    <w:p w14:paraId="27860EE2" w14:textId="5B5DBA11"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 xml:space="preserve">Artículo 68. El Comité de Participación Ciudadana Municipal, tiene como objetivo coadyuvar, en términos de la presente Ley al cumplimiento de los objetivos del Comité Coordinador Municipal, así como ser la instancia de </w:t>
      </w:r>
      <w:r w:rsidRPr="000A1ABF">
        <w:rPr>
          <w:rFonts w:ascii="Palatino Linotype" w:hAnsi="Palatino Linotype"/>
          <w:i/>
          <w:lang w:val="es-419"/>
        </w:rPr>
        <w:lastRenderedPageBreak/>
        <w:t>vinculación con las organizaciones sociales y académicas relacionadas con las materias del Sistema Municipal Anticorrupción.</w:t>
      </w:r>
    </w:p>
    <w:p w14:paraId="74E27CFC" w14:textId="28303F5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w:t>
      </w:r>
    </w:p>
    <w:p w14:paraId="5DFAA3AD" w14:textId="7366111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Artículo 71.</w:t>
      </w:r>
    </w:p>
    <w:p w14:paraId="2DAA991E" w14:textId="10AA89D9"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w:t>
      </w:r>
    </w:p>
    <w:p w14:paraId="35CF1DD9"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Los integrantes del Comité de Participación Ciudadana Municipal estarán sujetos al régimen de responsabilidades que señala la Ley de Responsabilidades Administrativas del Estado de México y Municipios y le serán aplicables las obligaciones de confidencialidad, secrecía y resguardo de información que establezcan las leyes aplicables.</w:t>
      </w:r>
    </w:p>
    <w:p w14:paraId="797711FC" w14:textId="607AA21C"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w:t>
      </w:r>
    </w:p>
    <w:p w14:paraId="187622B9"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Artículo 72. Los integrantes del Comité de Participación Ciudadana Municipal, serán nombrados conforme al procedimiento siguiente:</w:t>
      </w:r>
    </w:p>
    <w:p w14:paraId="071EC6E9" w14:textId="77777777" w:rsidR="000A1ABF" w:rsidRPr="000A1ABF" w:rsidRDefault="000A1ABF" w:rsidP="000A1ABF">
      <w:pPr>
        <w:spacing w:line="360" w:lineRule="auto"/>
        <w:ind w:left="851" w:right="616"/>
        <w:jc w:val="both"/>
        <w:rPr>
          <w:rFonts w:ascii="Palatino Linotype" w:hAnsi="Palatino Linotype"/>
          <w:i/>
          <w:lang w:val="es-419"/>
        </w:rPr>
      </w:pPr>
    </w:p>
    <w:p w14:paraId="42C198DC" w14:textId="77777777" w:rsidR="000A1ABF" w:rsidRPr="00545F5A" w:rsidRDefault="000A1ABF" w:rsidP="000A1ABF">
      <w:pPr>
        <w:spacing w:line="360" w:lineRule="auto"/>
        <w:ind w:left="851" w:right="616"/>
        <w:jc w:val="both"/>
        <w:rPr>
          <w:rFonts w:ascii="Palatino Linotype" w:hAnsi="Palatino Linotype"/>
          <w:b/>
          <w:i/>
          <w:u w:val="single"/>
          <w:lang w:val="es-419"/>
        </w:rPr>
      </w:pPr>
      <w:r w:rsidRPr="000A1ABF">
        <w:rPr>
          <w:rFonts w:ascii="Palatino Linotype" w:hAnsi="Palatino Linotype"/>
          <w:i/>
          <w:lang w:val="es-419"/>
        </w:rPr>
        <w:t>I</w:t>
      </w:r>
      <w:r w:rsidRPr="00545F5A">
        <w:rPr>
          <w:rFonts w:ascii="Palatino Linotype" w:hAnsi="Palatino Linotype"/>
          <w:b/>
          <w:i/>
          <w:u w:val="single"/>
          <w:lang w:val="es-419"/>
        </w:rPr>
        <w:t>. El Ayuntamiento constituirá una Comisión de Selección Municipal, integrada por cinco mexiquenses por un periodo de dieciocho meses, de la siguiente manera:</w:t>
      </w:r>
    </w:p>
    <w:p w14:paraId="1811FCF3" w14:textId="77777777" w:rsidR="000A1ABF" w:rsidRPr="000A1ABF" w:rsidRDefault="000A1ABF" w:rsidP="000A1ABF">
      <w:pPr>
        <w:spacing w:line="360" w:lineRule="auto"/>
        <w:ind w:left="851" w:right="616"/>
        <w:jc w:val="both"/>
        <w:rPr>
          <w:rFonts w:ascii="Palatino Linotype" w:hAnsi="Palatino Linotype"/>
          <w:i/>
          <w:lang w:val="es-419"/>
        </w:rPr>
      </w:pPr>
    </w:p>
    <w:p w14:paraId="0521C5A1"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Convocará a las instituciones de educación e investigación del Municipio para proponer candidatos a fin de conformar la Comisión de referencia, para lo cual deberán enviar los documentos que acrediten el perfil solicitado en la convocatoria, en un plazo no mayor a 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w:t>
      </w:r>
    </w:p>
    <w:p w14:paraId="7BA772AC" w14:textId="77777777" w:rsidR="000A1ABF" w:rsidRPr="000A1ABF" w:rsidRDefault="000A1ABF" w:rsidP="000A1ABF">
      <w:pPr>
        <w:spacing w:line="360" w:lineRule="auto"/>
        <w:ind w:left="851" w:right="616"/>
        <w:jc w:val="both"/>
        <w:rPr>
          <w:rFonts w:ascii="Palatino Linotype" w:hAnsi="Palatino Linotype"/>
          <w:i/>
          <w:lang w:val="es-419"/>
        </w:rPr>
      </w:pPr>
    </w:p>
    <w:p w14:paraId="61E731BC"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Convocará a organizaciones de la sociedad civil o en su caso, personas con conocimientos en materia de fiscalización, de rendición de cuentas y combate a la corrupción para seleccionar a dos integrantes, en los mismos términos del inciso anterior.</w:t>
      </w:r>
    </w:p>
    <w:p w14:paraId="7D6BDFDF" w14:textId="77777777" w:rsidR="000A1ABF" w:rsidRPr="000A1ABF" w:rsidRDefault="000A1ABF" w:rsidP="000A1ABF">
      <w:pPr>
        <w:spacing w:line="360" w:lineRule="auto"/>
        <w:ind w:left="851" w:right="616"/>
        <w:jc w:val="both"/>
        <w:rPr>
          <w:rFonts w:ascii="Palatino Linotype" w:hAnsi="Palatino Linotype"/>
          <w:i/>
          <w:lang w:val="es-419"/>
        </w:rPr>
      </w:pPr>
    </w:p>
    <w:p w14:paraId="2E786167"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El cargo de miembro de la Comisión de Selección Municipal será honorario.</w:t>
      </w:r>
    </w:p>
    <w:p w14:paraId="5B3D7BC4" w14:textId="77777777" w:rsidR="000A1ABF" w:rsidRPr="000A1ABF" w:rsidRDefault="000A1ABF" w:rsidP="000A1ABF">
      <w:pPr>
        <w:spacing w:line="360" w:lineRule="auto"/>
        <w:ind w:left="851" w:right="616"/>
        <w:jc w:val="both"/>
        <w:rPr>
          <w:rFonts w:ascii="Palatino Linotype" w:hAnsi="Palatino Linotype"/>
          <w:i/>
          <w:lang w:val="es-419"/>
        </w:rPr>
      </w:pPr>
    </w:p>
    <w:p w14:paraId="60C1F5C1"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Quienes funjan como integrantes no podrán ser designados como integrantes del Comité de Participación Ciudadana Municipal, por un periodo de tres años contados a partir de la disolución de la Comisión de Selección Municipal.</w:t>
      </w:r>
    </w:p>
    <w:p w14:paraId="0BFDC801" w14:textId="77777777" w:rsidR="000A1ABF" w:rsidRPr="000A1ABF" w:rsidRDefault="000A1ABF" w:rsidP="000A1ABF">
      <w:pPr>
        <w:spacing w:line="360" w:lineRule="auto"/>
        <w:ind w:left="851" w:right="616"/>
        <w:jc w:val="both"/>
        <w:rPr>
          <w:rFonts w:ascii="Palatino Linotype" w:hAnsi="Palatino Linotype"/>
          <w:i/>
          <w:lang w:val="es-419"/>
        </w:rPr>
      </w:pPr>
    </w:p>
    <w:p w14:paraId="21EE8E81"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II. La Comisión de Selección Municipal deberá emitir una convocatoria con el objeto de realizar consulta pública municipal para que presenten sus postulaciones de aspirantes a ocupar el cargo.</w:t>
      </w:r>
    </w:p>
    <w:p w14:paraId="57DDB0EC" w14:textId="77777777" w:rsidR="000A1ABF" w:rsidRPr="000A1ABF" w:rsidRDefault="000A1ABF" w:rsidP="000A1ABF">
      <w:pPr>
        <w:spacing w:line="360" w:lineRule="auto"/>
        <w:ind w:left="851" w:right="616"/>
        <w:jc w:val="both"/>
        <w:rPr>
          <w:rFonts w:ascii="Palatino Linotype" w:hAnsi="Palatino Linotype"/>
          <w:i/>
          <w:lang w:val="es-419"/>
        </w:rPr>
      </w:pPr>
    </w:p>
    <w:p w14:paraId="6ED92134" w14:textId="77777777"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Para ello, definirá la metodología, plazos y criterios de selección de los integrantes del Comité de Participación Ciudadana Municipal y deberá hacerlo público, en donde deberá considerar al menos las siguientes características:</w:t>
      </w:r>
    </w:p>
    <w:p w14:paraId="1ADBAF12" w14:textId="77777777" w:rsidR="000A1ABF" w:rsidRPr="000A1ABF" w:rsidRDefault="000A1ABF" w:rsidP="000A1ABF">
      <w:pPr>
        <w:spacing w:line="360" w:lineRule="auto"/>
        <w:ind w:left="851" w:right="616"/>
        <w:jc w:val="both"/>
        <w:rPr>
          <w:rFonts w:ascii="Palatino Linotype" w:hAnsi="Palatino Linotype"/>
          <w:i/>
          <w:lang w:val="es-419"/>
        </w:rPr>
      </w:pPr>
    </w:p>
    <w:p w14:paraId="78D7FDA8" w14:textId="6B55CED3" w:rsidR="000A1ABF" w:rsidRPr="000A1ABF" w:rsidRDefault="000A1ABF" w:rsidP="000A1ABF">
      <w:pPr>
        <w:pStyle w:val="Prrafodelista"/>
        <w:numPr>
          <w:ilvl w:val="0"/>
          <w:numId w:val="12"/>
        </w:numPr>
        <w:spacing w:line="360" w:lineRule="auto"/>
        <w:ind w:right="616"/>
        <w:jc w:val="both"/>
        <w:rPr>
          <w:rFonts w:ascii="Palatino Linotype" w:hAnsi="Palatino Linotype"/>
          <w:i/>
          <w:lang w:val="es-419"/>
        </w:rPr>
      </w:pPr>
      <w:r w:rsidRPr="000A1ABF">
        <w:rPr>
          <w:rFonts w:ascii="Palatino Linotype" w:hAnsi="Palatino Linotype"/>
          <w:i/>
          <w:lang w:val="es-419"/>
        </w:rPr>
        <w:t>El método de registro y evaluación de los aspirantes.</w:t>
      </w:r>
    </w:p>
    <w:p w14:paraId="112B181C" w14:textId="77777777" w:rsidR="000A1ABF" w:rsidRPr="000A1ABF" w:rsidRDefault="000A1ABF" w:rsidP="000A1ABF">
      <w:pPr>
        <w:pStyle w:val="Prrafodelista"/>
        <w:numPr>
          <w:ilvl w:val="0"/>
          <w:numId w:val="12"/>
        </w:numPr>
        <w:spacing w:line="360" w:lineRule="auto"/>
        <w:ind w:right="616"/>
        <w:jc w:val="both"/>
        <w:rPr>
          <w:rFonts w:ascii="Palatino Linotype" w:hAnsi="Palatino Linotype"/>
          <w:i/>
          <w:lang w:val="es-419"/>
        </w:rPr>
      </w:pPr>
      <w:r w:rsidRPr="000A1ABF">
        <w:rPr>
          <w:rFonts w:ascii="Palatino Linotype" w:hAnsi="Palatino Linotype"/>
          <w:i/>
          <w:lang w:val="es-419"/>
        </w:rPr>
        <w:t>Hacer pública la lista de los aspirantes.</w:t>
      </w:r>
    </w:p>
    <w:p w14:paraId="3D48AA3C" w14:textId="77777777" w:rsidR="000A1ABF" w:rsidRPr="000A1ABF" w:rsidRDefault="000A1ABF" w:rsidP="000A1ABF">
      <w:pPr>
        <w:pStyle w:val="Prrafodelista"/>
        <w:numPr>
          <w:ilvl w:val="0"/>
          <w:numId w:val="12"/>
        </w:numPr>
        <w:spacing w:line="360" w:lineRule="auto"/>
        <w:ind w:right="616"/>
        <w:jc w:val="both"/>
        <w:rPr>
          <w:rFonts w:ascii="Palatino Linotype" w:hAnsi="Palatino Linotype"/>
          <w:i/>
          <w:lang w:val="es-419"/>
        </w:rPr>
      </w:pPr>
      <w:r w:rsidRPr="000A1ABF">
        <w:rPr>
          <w:rFonts w:ascii="Palatino Linotype" w:hAnsi="Palatino Linotype"/>
          <w:i/>
          <w:lang w:val="es-419"/>
        </w:rPr>
        <w:t>Hacer públicos los documentos que hayan sido entregados para su inscripción en versiones públicas.</w:t>
      </w:r>
    </w:p>
    <w:p w14:paraId="27B7A540" w14:textId="77777777" w:rsidR="000A1ABF" w:rsidRPr="000A1ABF" w:rsidRDefault="000A1ABF" w:rsidP="000A1ABF">
      <w:pPr>
        <w:pStyle w:val="Prrafodelista"/>
        <w:numPr>
          <w:ilvl w:val="0"/>
          <w:numId w:val="12"/>
        </w:numPr>
        <w:spacing w:line="360" w:lineRule="auto"/>
        <w:ind w:right="616"/>
        <w:jc w:val="both"/>
        <w:rPr>
          <w:rFonts w:ascii="Palatino Linotype" w:hAnsi="Palatino Linotype"/>
          <w:i/>
          <w:lang w:val="es-419"/>
        </w:rPr>
      </w:pPr>
      <w:r w:rsidRPr="000A1ABF">
        <w:rPr>
          <w:rFonts w:ascii="Palatino Linotype" w:hAnsi="Palatino Linotype"/>
          <w:i/>
          <w:lang w:val="es-419"/>
        </w:rPr>
        <w:t>Hacer público el cronograma de audiencias.</w:t>
      </w:r>
    </w:p>
    <w:p w14:paraId="4B4B5FD7" w14:textId="77777777" w:rsidR="000A1ABF" w:rsidRPr="000A1ABF" w:rsidRDefault="000A1ABF" w:rsidP="000A1ABF">
      <w:pPr>
        <w:pStyle w:val="Prrafodelista"/>
        <w:numPr>
          <w:ilvl w:val="0"/>
          <w:numId w:val="12"/>
        </w:numPr>
        <w:spacing w:line="360" w:lineRule="auto"/>
        <w:ind w:right="616"/>
        <w:jc w:val="both"/>
        <w:rPr>
          <w:rFonts w:ascii="Palatino Linotype" w:hAnsi="Palatino Linotype"/>
          <w:i/>
          <w:lang w:val="es-419"/>
        </w:rPr>
      </w:pPr>
      <w:r w:rsidRPr="000A1ABF">
        <w:rPr>
          <w:rFonts w:ascii="Palatino Linotype" w:hAnsi="Palatino Linotype"/>
          <w:i/>
          <w:lang w:val="es-419"/>
        </w:rPr>
        <w:lastRenderedPageBreak/>
        <w:t>Podrán efectuarse audiencias públicas en las que se invitará a participar a investigadores, académicos y a organizaciones de la sociedad civil, especialistas en la materia.</w:t>
      </w:r>
    </w:p>
    <w:p w14:paraId="25A8A1E9" w14:textId="77777777" w:rsidR="000A1ABF" w:rsidRPr="000A1ABF" w:rsidRDefault="000A1ABF" w:rsidP="000A1ABF">
      <w:pPr>
        <w:pStyle w:val="Prrafodelista"/>
        <w:numPr>
          <w:ilvl w:val="0"/>
          <w:numId w:val="12"/>
        </w:numPr>
        <w:spacing w:line="360" w:lineRule="auto"/>
        <w:ind w:right="616"/>
        <w:jc w:val="both"/>
        <w:rPr>
          <w:rFonts w:ascii="Palatino Linotype" w:hAnsi="Palatino Linotype"/>
          <w:i/>
          <w:lang w:val="es-419"/>
        </w:rPr>
      </w:pPr>
      <w:r w:rsidRPr="000A1ABF">
        <w:rPr>
          <w:rFonts w:ascii="Palatino Linotype" w:hAnsi="Palatino Linotype"/>
          <w:i/>
          <w:lang w:val="es-419"/>
        </w:rPr>
        <w:t>El plazo en que se deberá hacer la designación que al efecto se determine y que se tomará, en sesión pública, por el voto de la mayoría de sus miembros.</w:t>
      </w:r>
    </w:p>
    <w:p w14:paraId="32845319" w14:textId="77777777" w:rsidR="00545F5A" w:rsidRDefault="00545F5A" w:rsidP="000A1ABF">
      <w:pPr>
        <w:spacing w:line="360" w:lineRule="auto"/>
        <w:ind w:left="851" w:right="616"/>
        <w:jc w:val="both"/>
        <w:rPr>
          <w:rFonts w:ascii="Palatino Linotype" w:hAnsi="Palatino Linotype"/>
          <w:i/>
          <w:lang w:val="es-419"/>
        </w:rPr>
      </w:pPr>
    </w:p>
    <w:p w14:paraId="3D4BB7F8" w14:textId="28B64D53" w:rsidR="000A1ABF" w:rsidRPr="000A1ABF" w:rsidRDefault="000A1ABF" w:rsidP="000A1ABF">
      <w:pPr>
        <w:spacing w:line="360" w:lineRule="auto"/>
        <w:ind w:left="851" w:right="616"/>
        <w:jc w:val="both"/>
        <w:rPr>
          <w:rFonts w:ascii="Palatino Linotype" w:hAnsi="Palatino Linotype"/>
          <w:i/>
          <w:lang w:val="es-419"/>
        </w:rPr>
      </w:pPr>
      <w:r w:rsidRPr="000A1ABF">
        <w:rPr>
          <w:rFonts w:ascii="Palatino Linotype" w:hAnsi="Palatino Linotype"/>
          <w:i/>
          <w:lang w:val="es-419"/>
        </w:rPr>
        <w:t>En caso de generar vacantes imprevistas, el proceso de selección del nuevo integrante no podrá exceder el límite de cuarenta y cinco días hábiles y el ciudadano que resulte electo desempeñará el encargo por el tiempo restante de la vacante a ocupar.</w:t>
      </w:r>
      <w:r>
        <w:rPr>
          <w:rFonts w:ascii="Palatino Linotype" w:hAnsi="Palatino Linotype"/>
          <w:i/>
          <w:lang w:val="es-419"/>
        </w:rPr>
        <w:t>”</w:t>
      </w:r>
    </w:p>
    <w:p w14:paraId="4CC764E2" w14:textId="77777777" w:rsidR="000A1ABF" w:rsidRDefault="000A1ABF" w:rsidP="000C2670">
      <w:pPr>
        <w:tabs>
          <w:tab w:val="left" w:pos="7938"/>
        </w:tabs>
        <w:spacing w:line="360" w:lineRule="auto"/>
        <w:jc w:val="both"/>
        <w:rPr>
          <w:rFonts w:ascii="Palatino Linotype" w:hAnsi="Palatino Linotype" w:cs="Arial"/>
        </w:rPr>
      </w:pPr>
    </w:p>
    <w:p w14:paraId="5BA9EAE2" w14:textId="5777A47C" w:rsidR="000A1ABF" w:rsidRDefault="000A1ABF" w:rsidP="000C2670">
      <w:pPr>
        <w:tabs>
          <w:tab w:val="left" w:pos="7938"/>
        </w:tabs>
        <w:spacing w:line="360" w:lineRule="auto"/>
        <w:jc w:val="both"/>
        <w:rPr>
          <w:rFonts w:ascii="Palatino Linotype" w:hAnsi="Palatino Linotype" w:cs="Arial"/>
        </w:rPr>
      </w:pPr>
      <w:r>
        <w:rPr>
          <w:rFonts w:ascii="Palatino Linotype" w:hAnsi="Palatino Linotype" w:cs="Arial"/>
        </w:rPr>
        <w:t xml:space="preserve">Como podemos apreciar, la solicitud de información no se turnó </w:t>
      </w:r>
      <w:r w:rsidR="00545F5A">
        <w:rPr>
          <w:rFonts w:ascii="Palatino Linotype" w:hAnsi="Palatino Linotype" w:cs="Arial"/>
        </w:rPr>
        <w:t xml:space="preserve">a la </w:t>
      </w:r>
      <w:r w:rsidR="00545F5A" w:rsidRPr="00545F5A">
        <w:rPr>
          <w:rFonts w:ascii="Palatino Linotype" w:hAnsi="Palatino Linotype" w:cs="Arial"/>
        </w:rPr>
        <w:t>Comisión de Selección Municipal</w:t>
      </w:r>
      <w:r w:rsidR="00545F5A">
        <w:rPr>
          <w:rFonts w:ascii="Palatino Linotype" w:hAnsi="Palatino Linotype" w:cs="Arial"/>
        </w:rPr>
        <w:t xml:space="preserve"> del Comité de Participación Ciudadana a efecto de que se pronunciara al respecto, cabe hacer mención en el presente asunto, que la información solicitada no la puede administrar, generar o poseer algún otro sujeto obligado, pues la Ley en cita de forma muy clara establece que es el Municipio el que debe crear la Comisión de Selección, para elegir a los miembros del Comité de Participación Ciudadana, es información con la que debe contar el sujeto obligado, y que como se ha referido de las constancias del expediente el SAIMEX no se aprecia que se haya turnado a dicha Comisión.</w:t>
      </w:r>
      <w:bookmarkStart w:id="0" w:name="_GoBack"/>
      <w:bookmarkEnd w:id="0"/>
    </w:p>
    <w:p w14:paraId="23EE0E0D" w14:textId="77777777" w:rsidR="00545F5A" w:rsidRDefault="00545F5A" w:rsidP="000C2670">
      <w:pPr>
        <w:tabs>
          <w:tab w:val="left" w:pos="7938"/>
        </w:tabs>
        <w:spacing w:line="360" w:lineRule="auto"/>
        <w:jc w:val="both"/>
        <w:rPr>
          <w:rFonts w:ascii="Palatino Linotype" w:hAnsi="Palatino Linotype" w:cs="Arial"/>
        </w:rPr>
      </w:pPr>
    </w:p>
    <w:p w14:paraId="7E9DDCDD" w14:textId="3D9D8249" w:rsidR="00545F5A" w:rsidRDefault="00545F5A" w:rsidP="000C2670">
      <w:pPr>
        <w:tabs>
          <w:tab w:val="left" w:pos="7938"/>
        </w:tabs>
        <w:spacing w:line="360" w:lineRule="auto"/>
        <w:jc w:val="both"/>
        <w:rPr>
          <w:rFonts w:ascii="Palatino Linotype" w:hAnsi="Palatino Linotype" w:cs="Arial"/>
        </w:rPr>
      </w:pPr>
      <w:r>
        <w:rPr>
          <w:rFonts w:ascii="Palatino Linotype" w:hAnsi="Palatino Linotype" w:cs="Arial"/>
        </w:rPr>
        <w:t xml:space="preserve">Es decir, el sujeto obligado no puede alegar incompetencia pues los documentos entregados por los participantes para conformar el Comité de Participación Ciudadana fueron entregados al Sujeto Obligado Ayuntamiento de Toluca, en tal virtud se deberá turnar la solicitud de información a las unidades que de acuerdo al Bando Municipal </w:t>
      </w:r>
      <w:r>
        <w:rPr>
          <w:rFonts w:ascii="Palatino Linotype" w:hAnsi="Palatino Linotype" w:cs="Arial"/>
        </w:rPr>
        <w:lastRenderedPageBreak/>
        <w:t xml:space="preserve">conforman tanto el Comité de Participación </w:t>
      </w:r>
      <w:r w:rsidR="009A0452">
        <w:rPr>
          <w:rFonts w:ascii="Palatino Linotype" w:hAnsi="Palatino Linotype" w:cs="Arial"/>
        </w:rPr>
        <w:t>Ciudadana</w:t>
      </w:r>
      <w:r>
        <w:rPr>
          <w:rFonts w:ascii="Palatino Linotype" w:hAnsi="Palatino Linotype" w:cs="Arial"/>
        </w:rPr>
        <w:t xml:space="preserve"> como a la Comisión encargada de seleccionar a los integrantes de dicha Comisión.</w:t>
      </w:r>
    </w:p>
    <w:p w14:paraId="013F36E1" w14:textId="77777777" w:rsidR="000C2670" w:rsidRPr="006314A1" w:rsidRDefault="000C2670" w:rsidP="000C2670">
      <w:pPr>
        <w:tabs>
          <w:tab w:val="left" w:pos="7938"/>
        </w:tabs>
        <w:spacing w:line="360" w:lineRule="auto"/>
        <w:jc w:val="both"/>
        <w:rPr>
          <w:rFonts w:ascii="Palatino Linotype" w:hAnsi="Palatino Linotype" w:cs="Arial"/>
        </w:rPr>
      </w:pPr>
    </w:p>
    <w:p w14:paraId="71290072" w14:textId="77777777" w:rsidR="000C2670" w:rsidRPr="00B80855" w:rsidRDefault="000C2670" w:rsidP="000C2670">
      <w:pPr>
        <w:numPr>
          <w:ilvl w:val="0"/>
          <w:numId w:val="1"/>
        </w:numPr>
        <w:autoSpaceDE w:val="0"/>
        <w:autoSpaceDN w:val="0"/>
        <w:adjustRightInd w:val="0"/>
        <w:spacing w:after="160" w:line="360" w:lineRule="auto"/>
        <w:contextualSpacing/>
        <w:jc w:val="both"/>
        <w:rPr>
          <w:rFonts w:ascii="Palatino Linotype" w:hAnsi="Palatino Linotype" w:cs="Arial"/>
          <w:b/>
          <w:i/>
          <w:sz w:val="28"/>
        </w:rPr>
      </w:pPr>
      <w:r w:rsidRPr="00B80855">
        <w:rPr>
          <w:rFonts w:ascii="Palatino Linotype" w:hAnsi="Palatino Linotype" w:cs="Arial"/>
          <w:b/>
          <w:i/>
          <w:sz w:val="28"/>
        </w:rPr>
        <w:t>De la versión pública</w:t>
      </w:r>
    </w:p>
    <w:p w14:paraId="4D0303C9" w14:textId="77777777" w:rsidR="000C2670"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07B50A78"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75F45E8"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2D09A47B"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5F7DC4C" w14:textId="77777777" w:rsidR="000C2670"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70CB32BD"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w:t>
      </w:r>
      <w:r w:rsidRPr="00B80855">
        <w:rPr>
          <w:rFonts w:ascii="Palatino Linotype" w:eastAsiaTheme="minorHAnsi" w:hAnsi="Palatino Linotype" w:cs="Arial"/>
          <w:lang w:val="es-MX" w:eastAsia="en-US"/>
        </w:rPr>
        <w:lastRenderedPageBreak/>
        <w:t>públicas en las que se suprima aquella información relacionada con la vida privada de los particulares y de los servidores públicos.</w:t>
      </w:r>
    </w:p>
    <w:p w14:paraId="3E66626A"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78DA49C1"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80855">
        <w:rPr>
          <w:rFonts w:ascii="Palatino Linotype" w:eastAsiaTheme="minorHAnsi" w:hAnsi="Palatino Linotype" w:cs="Arial"/>
          <w:b/>
          <w:lang w:val="es-MX" w:eastAsia="en-US"/>
        </w:rPr>
        <w:t>Registro Federal de Contribuyentes</w:t>
      </w:r>
      <w:r w:rsidRPr="00B80855">
        <w:rPr>
          <w:rFonts w:ascii="Palatino Linotype" w:eastAsiaTheme="minorHAnsi" w:hAnsi="Palatino Linotype" w:cs="Arial"/>
          <w:lang w:val="es-MX" w:eastAsia="en-US"/>
        </w:rPr>
        <w:t xml:space="preserve"> (RFC), la </w:t>
      </w:r>
      <w:r w:rsidRPr="00B80855">
        <w:rPr>
          <w:rFonts w:ascii="Palatino Linotype" w:eastAsiaTheme="minorHAnsi" w:hAnsi="Palatino Linotype" w:cs="Arial"/>
          <w:b/>
          <w:lang w:val="es-MX" w:eastAsia="en-US"/>
        </w:rPr>
        <w:t>Clave Única de Registro de Población</w:t>
      </w:r>
      <w:r w:rsidRPr="00B80855">
        <w:rPr>
          <w:rFonts w:ascii="Palatino Linotype" w:eastAsiaTheme="minorHAnsi" w:hAnsi="Palatino Linotype" w:cs="Arial"/>
          <w:lang w:val="es-MX" w:eastAsia="en-US"/>
        </w:rPr>
        <w:t xml:space="preserve"> (CURP</w:t>
      </w:r>
      <w:r>
        <w:rPr>
          <w:rFonts w:ascii="Palatino Linotype" w:eastAsiaTheme="minorHAnsi" w:hAnsi="Palatino Linotype" w:cs="Arial"/>
          <w:lang w:val="es-419" w:eastAsia="en-US"/>
        </w:rPr>
        <w:t>)</w:t>
      </w:r>
      <w:r w:rsidRPr="00B80855">
        <w:rPr>
          <w:rFonts w:ascii="Palatino Linotype" w:eastAsiaTheme="minorHAnsi" w:hAnsi="Palatino Linotype" w:cs="Arial"/>
          <w:lang w:val="es-MX" w:eastAsia="en-US"/>
        </w:rPr>
        <w:t>.</w:t>
      </w:r>
    </w:p>
    <w:p w14:paraId="694C7BBA"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36339046"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3329103"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75F21A25"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63E1F999"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6F313BAB"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B80855">
        <w:rPr>
          <w:rFonts w:ascii="Palatino Linotype" w:eastAsiaTheme="minorHAnsi" w:hAnsi="Palatino Linotype" w:cs="Arial"/>
          <w:i/>
          <w:sz w:val="22"/>
          <w:szCs w:val="22"/>
          <w:lang w:val="es-MX" w:eastAsia="en-US"/>
        </w:rPr>
        <w:t>De conformidad con lo establecido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Gubernamental </w:t>
      </w:r>
      <w:r w:rsidRPr="00B80855">
        <w:rPr>
          <w:rFonts w:ascii="Palatino Linotype" w:eastAsiaTheme="minorHAnsi" w:hAnsi="Palatino Linotype" w:cs="Arial"/>
          <w:i/>
          <w:sz w:val="22"/>
          <w:szCs w:val="22"/>
          <w:u w:val="single"/>
          <w:lang w:val="es-MX" w:eastAsia="en-US"/>
        </w:rPr>
        <w:t>se considera información confidencial los datos personales que</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requieren el consentimiento de los individuos para su difusión, distribución o</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comercialización en los términos de esta Ley. Por su parte, según dispone el</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artículo 3, fracción II de la Ley Federal de Transparencia y Acceso a la Información</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 xml:space="preserve">Pública Gubernamental, dato personal es toda aquella información </w:t>
      </w:r>
      <w:r w:rsidRPr="00B80855">
        <w:rPr>
          <w:rFonts w:ascii="Palatino Linotype" w:eastAsiaTheme="minorHAnsi" w:hAnsi="Palatino Linotype" w:cs="Arial"/>
          <w:i/>
          <w:sz w:val="22"/>
          <w:szCs w:val="22"/>
          <w:u w:val="single"/>
          <w:lang w:val="es-MX" w:eastAsia="en-US"/>
        </w:rPr>
        <w:lastRenderedPageBreak/>
        <w:t>concerniente a</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una persona física identificada o identificable</w:t>
      </w:r>
      <w:r w:rsidRPr="00B80855">
        <w:rPr>
          <w:rFonts w:ascii="Palatino Linotype" w:eastAsiaTheme="minorHAnsi" w:hAnsi="Palatino Linotype" w:cs="Arial"/>
          <w:i/>
          <w:sz w:val="22"/>
          <w:szCs w:val="22"/>
          <w:lang w:val="es-MX" w:eastAsia="en-US"/>
        </w:rPr>
        <w:t xml:space="preserve">. Para </w:t>
      </w:r>
      <w:r w:rsidRPr="00B80855">
        <w:rPr>
          <w:rFonts w:ascii="Palatino Linotype" w:eastAsiaTheme="minorHAnsi" w:hAnsi="Palatino Linotype" w:cs="Arial"/>
          <w:i/>
          <w:sz w:val="22"/>
          <w:szCs w:val="22"/>
          <w:u w:val="single"/>
          <w:lang w:val="es-MX" w:eastAsia="en-US"/>
        </w:rPr>
        <w:t>obtener el RFC es necesario</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acreditar previamente mediante documentos oficiales (pasaporte, acta de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nacimiento, etc.) la identidad de la persona, su fecha y lugar de nacimiento, entre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 xml:space="preserve">otros. </w:t>
      </w:r>
      <w:r w:rsidRPr="00B80855">
        <w:rPr>
          <w:rFonts w:ascii="Palatino Linotype" w:eastAsiaTheme="minorHAnsi" w:hAnsi="Palatino Linotype" w:cs="Arial"/>
          <w:i/>
          <w:sz w:val="22"/>
          <w:szCs w:val="22"/>
          <w:lang w:val="es-MX" w:eastAsia="en-US"/>
        </w:rPr>
        <w:t>De acuerdo con la legislación tributaria, las personas físicas tramitan su</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inscripción en el Registro Federal de Contribuyentes con el único propósito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realizar mediante esa clave de identificación, operaciones o actividades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naturaleza tributaria. En este sentido, el artículo 79 del Código Fiscal de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Federación prevé que la utilización de una clave de registro no asignada por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autoridad constituye como una infracción en materia fiscal. De acuerdo con lo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antes apuntado, el RFC vinculado al nombre de su titular, permite identificar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edad de la persona, así como su homoclave, siendo esta última única e irrepetible,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por lo que es posible concluir que el RFC constituye un dato personal y, por tanto,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información confidencial, de conformidad con los previsto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Gubernamental</w:t>
      </w:r>
      <w:r w:rsidRPr="00B80855">
        <w:rPr>
          <w:rFonts w:ascii="Palatino Linotype" w:eastAsiaTheme="minorHAnsi" w:hAnsi="Palatino Linotype" w:cs="Arial"/>
          <w:bCs/>
          <w:i/>
          <w:sz w:val="22"/>
          <w:szCs w:val="22"/>
          <w:lang w:val="es-MX" w:eastAsia="en-US"/>
        </w:rPr>
        <w:t>…” (Sic)</w:t>
      </w:r>
    </w:p>
    <w:p w14:paraId="4ECB0E33" w14:textId="77777777" w:rsidR="000C2670" w:rsidRPr="00B80855" w:rsidRDefault="000C2670" w:rsidP="000C2670">
      <w:pPr>
        <w:tabs>
          <w:tab w:val="left" w:pos="8647"/>
        </w:tabs>
        <w:ind w:left="567" w:right="284"/>
        <w:jc w:val="right"/>
        <w:rPr>
          <w:rFonts w:ascii="Palatino Linotype" w:eastAsiaTheme="minorHAnsi" w:hAnsi="Palatino Linotype" w:cs="Arial"/>
          <w:sz w:val="22"/>
          <w:szCs w:val="22"/>
          <w:lang w:val="es-MX" w:eastAsia="en-US"/>
        </w:rPr>
      </w:pPr>
      <w:r w:rsidRPr="00B80855">
        <w:rPr>
          <w:rFonts w:ascii="Palatino Linotype" w:eastAsiaTheme="minorHAnsi" w:hAnsi="Palatino Linotype" w:cs="Arial"/>
          <w:sz w:val="22"/>
          <w:szCs w:val="22"/>
          <w:lang w:val="es-MX" w:eastAsia="en-US"/>
        </w:rPr>
        <w:t>(Énfasis añadido)</w:t>
      </w:r>
    </w:p>
    <w:p w14:paraId="5EEC96C3"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3560A7AF"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80DAD2E"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1FB997ED"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E062D40"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3E02B509"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Argumento que es compartido por el entonces </w:t>
      </w:r>
      <w:r w:rsidRPr="00B80855">
        <w:rPr>
          <w:rFonts w:ascii="Palatino Linotype" w:eastAsiaTheme="minorHAnsi" w:hAnsi="Palatino Linotype" w:cs="Arial"/>
          <w:b/>
          <w:bCs/>
          <w:lang w:val="es-MX" w:eastAsia="en-US"/>
        </w:rPr>
        <w:t xml:space="preserve">Instituto Federal de Acceso a la Información y Protección de Datos (IFAI), conforme al </w:t>
      </w:r>
      <w:r w:rsidRPr="00B80855">
        <w:rPr>
          <w:rFonts w:ascii="Palatino Linotype" w:eastAsiaTheme="minorHAnsi" w:hAnsi="Palatino Linotype" w:cs="Arial"/>
          <w:lang w:val="es-MX" w:eastAsia="en-US"/>
        </w:rPr>
        <w:t xml:space="preserve">criterio número 0003-10, el cual refiere: </w:t>
      </w:r>
    </w:p>
    <w:p w14:paraId="08E7EA5F" w14:textId="77777777" w:rsidR="000C2670" w:rsidRPr="00B80855" w:rsidRDefault="000C2670" w:rsidP="000C2670">
      <w:pPr>
        <w:pStyle w:val="Sinespaciado"/>
        <w:rPr>
          <w:rFonts w:eastAsiaTheme="minorHAnsi"/>
          <w:lang w:eastAsia="en-US"/>
        </w:rPr>
      </w:pPr>
    </w:p>
    <w:p w14:paraId="4416F8A8" w14:textId="77777777" w:rsidR="000C2670" w:rsidRPr="00B80855" w:rsidRDefault="000C2670" w:rsidP="000C2670">
      <w:pPr>
        <w:tabs>
          <w:tab w:val="left" w:pos="8505"/>
        </w:tabs>
        <w:ind w:left="567" w:right="567"/>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B80855">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80855">
        <w:rPr>
          <w:rFonts w:ascii="Palatino Linotype" w:eastAsiaTheme="minorHAnsi" w:hAnsi="Palatino Linotype" w:cs="Arial"/>
          <w:b/>
          <w:bCs/>
          <w:i/>
          <w:sz w:val="22"/>
          <w:szCs w:val="22"/>
          <w:lang w:val="es-MX" w:eastAsia="en-US"/>
        </w:rPr>
        <w:t>..</w:t>
      </w:r>
      <w:r w:rsidRPr="00B80855">
        <w:rPr>
          <w:rFonts w:ascii="Palatino Linotype" w:eastAsiaTheme="minorHAnsi" w:hAnsi="Palatino Linotype" w:cs="Arial"/>
          <w:i/>
          <w:sz w:val="22"/>
          <w:szCs w:val="22"/>
          <w:lang w:val="es-MX" w:eastAsia="en-US"/>
        </w:rPr>
        <w:t>.” (Sic)</w:t>
      </w:r>
    </w:p>
    <w:p w14:paraId="404E1D13" w14:textId="77777777" w:rsidR="000C2670" w:rsidRPr="00B80855" w:rsidRDefault="000C2670" w:rsidP="000C2670">
      <w:pPr>
        <w:autoSpaceDE w:val="0"/>
        <w:autoSpaceDN w:val="0"/>
        <w:adjustRightInd w:val="0"/>
        <w:spacing w:line="360" w:lineRule="auto"/>
        <w:contextualSpacing/>
        <w:jc w:val="both"/>
        <w:rPr>
          <w:rFonts w:ascii="Palatino Linotype" w:hAnsi="Palatino Linotype" w:cs="Arial"/>
        </w:rPr>
      </w:pPr>
    </w:p>
    <w:p w14:paraId="0FBE25CA" w14:textId="77777777" w:rsidR="000C2670" w:rsidRPr="00B80855" w:rsidRDefault="000C2670" w:rsidP="000C2670">
      <w:pPr>
        <w:autoSpaceDE w:val="0"/>
        <w:autoSpaceDN w:val="0"/>
        <w:adjustRightInd w:val="0"/>
        <w:spacing w:line="360" w:lineRule="auto"/>
        <w:contextualSpacing/>
        <w:jc w:val="both"/>
        <w:rPr>
          <w:rFonts w:ascii="Palatino Linotype" w:hAnsi="Palatino Linotype" w:cs="Arial"/>
        </w:rPr>
      </w:pPr>
      <w:r w:rsidRPr="00B8085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CBC7F97" w14:textId="77777777" w:rsidR="000C2670" w:rsidRPr="00B80855" w:rsidRDefault="000C2670" w:rsidP="000C2670">
      <w:pPr>
        <w:autoSpaceDE w:val="0"/>
        <w:autoSpaceDN w:val="0"/>
        <w:adjustRightInd w:val="0"/>
        <w:spacing w:line="360" w:lineRule="auto"/>
        <w:contextualSpacing/>
        <w:jc w:val="both"/>
        <w:rPr>
          <w:rFonts w:ascii="Palatino Linotype" w:hAnsi="Palatino Linotype" w:cs="Arial"/>
        </w:rPr>
      </w:pPr>
    </w:p>
    <w:p w14:paraId="36778917"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2D30AE7"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155607B4"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Por su parte, los Lineamientos Generales en materia de Clasificación y Desclasificación de la información, así como para la elaboración de versiones públicas, emitidos por el </w:t>
      </w:r>
      <w:r w:rsidRPr="00B80855">
        <w:rPr>
          <w:rFonts w:ascii="Palatino Linotype" w:eastAsiaTheme="minorHAnsi" w:hAnsi="Palatino Linotype" w:cs="Arial"/>
          <w:lang w:val="es-MX" w:eastAsia="en-US"/>
        </w:rPr>
        <w:lastRenderedPageBreak/>
        <w:t>Sistema Nacional de Transparencia, Acceso a la Información Pública y Protección de Datos Personales, establecen lo siguiente:</w:t>
      </w:r>
    </w:p>
    <w:p w14:paraId="20723851"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58E7508B" w14:textId="77777777" w:rsidR="000C2670" w:rsidRPr="00B80855" w:rsidRDefault="000C2670" w:rsidP="000C2670">
      <w:pPr>
        <w:tabs>
          <w:tab w:val="left" w:pos="8505"/>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r w:rsidRPr="00B80855">
        <w:rPr>
          <w:rFonts w:ascii="Palatino Linotype" w:eastAsiaTheme="minorHAnsi" w:hAnsi="Palatino Linotype" w:cs="Arial"/>
          <w:b/>
          <w:bCs/>
          <w:i/>
          <w:sz w:val="22"/>
          <w:szCs w:val="22"/>
          <w:lang w:val="es-MX" w:eastAsia="en-US"/>
        </w:rPr>
        <w:t>Cuarto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u w:val="single"/>
          <w:lang w:val="es-MX" w:eastAsia="en-US"/>
        </w:rPr>
        <w:t>Para clasificar la información como reservada o confidencial,</w:t>
      </w:r>
      <w:r w:rsidRPr="00B80855">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09CB86"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3BD1A427"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74934927"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Quinto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B80855">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B80855">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0855">
        <w:rPr>
          <w:rFonts w:ascii="Palatino Linotype" w:eastAsiaTheme="minorHAnsi" w:hAnsi="Palatino Linotype" w:cs="Arial"/>
          <w:bCs/>
          <w:i/>
          <w:sz w:val="22"/>
          <w:szCs w:val="22"/>
          <w:lang w:val="es-MX" w:eastAsia="en-US"/>
        </w:rPr>
        <w:t>, observando lo dispuesto en la Ley General y las demás disposiciones aplicables en la materia.</w:t>
      </w:r>
    </w:p>
    <w:p w14:paraId="516A46F7"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p>
    <w:p w14:paraId="75315DD9"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Octavo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B80855">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01EA5229"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155E99FB"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6945F6AB" w14:textId="77777777" w:rsidR="000C2670" w:rsidRPr="00B80855" w:rsidRDefault="000C2670" w:rsidP="000C2670">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
          <w:bCs/>
          <w:i/>
          <w:sz w:val="22"/>
          <w:szCs w:val="22"/>
          <w:lang w:val="es-MX" w:eastAsia="en-US"/>
        </w:rPr>
        <w:t>DE LA INFORMACIÓN CONFIDENCIAL</w:t>
      </w:r>
    </w:p>
    <w:p w14:paraId="3C14EFB7"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Trigésimo octavo. </w:t>
      </w:r>
      <w:r w:rsidRPr="00B80855">
        <w:rPr>
          <w:rFonts w:ascii="Palatino Linotype" w:eastAsiaTheme="minorHAnsi" w:hAnsi="Palatino Linotype" w:cs="Arial"/>
          <w:bCs/>
          <w:i/>
          <w:sz w:val="22"/>
          <w:szCs w:val="22"/>
          <w:lang w:val="es-MX" w:eastAsia="en-US"/>
        </w:rPr>
        <w:t>Se considera información confidencial:</w:t>
      </w:r>
    </w:p>
    <w:p w14:paraId="0A3D010C" w14:textId="77777777" w:rsidR="000C2670" w:rsidRPr="00B80855" w:rsidRDefault="000C2670" w:rsidP="000C2670">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Cs/>
          <w:i/>
          <w:sz w:val="22"/>
          <w:szCs w:val="22"/>
          <w:lang w:val="es-MX" w:eastAsia="en-US"/>
        </w:rPr>
        <w:t xml:space="preserve">I. </w:t>
      </w:r>
      <w:r w:rsidRPr="00B80855">
        <w:rPr>
          <w:rFonts w:ascii="Palatino Linotype" w:eastAsiaTheme="minorHAnsi" w:hAnsi="Palatino Linotype" w:cs="Arial"/>
          <w:b/>
          <w:bCs/>
          <w:i/>
          <w:sz w:val="22"/>
          <w:szCs w:val="22"/>
          <w:u w:val="single"/>
          <w:lang w:val="es-MX" w:eastAsia="en-US"/>
        </w:rPr>
        <w:t>Los datos personales en los términos de la norma aplicable</w:t>
      </w:r>
      <w:r w:rsidRPr="00B80855">
        <w:rPr>
          <w:rFonts w:ascii="Palatino Linotype" w:eastAsiaTheme="minorHAnsi" w:hAnsi="Palatino Linotype" w:cs="Arial"/>
          <w:b/>
          <w:bCs/>
          <w:i/>
          <w:sz w:val="22"/>
          <w:szCs w:val="22"/>
          <w:lang w:val="es-MX" w:eastAsia="en-US"/>
        </w:rPr>
        <w:t>;</w:t>
      </w:r>
    </w:p>
    <w:p w14:paraId="615DDA5C"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88EF3AE"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III …</w:t>
      </w:r>
    </w:p>
    <w:p w14:paraId="4F274881" w14:textId="77777777" w:rsidR="000C2670" w:rsidRPr="00B80855" w:rsidRDefault="000C2670" w:rsidP="000C2670">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31156517" w14:textId="77777777" w:rsidR="000C2670" w:rsidRDefault="000C2670" w:rsidP="000C2670">
      <w:pPr>
        <w:tabs>
          <w:tab w:val="left" w:pos="8647"/>
        </w:tabs>
        <w:spacing w:line="360" w:lineRule="auto"/>
        <w:ind w:right="51"/>
        <w:jc w:val="both"/>
        <w:rPr>
          <w:rFonts w:ascii="Palatino Linotype" w:eastAsiaTheme="minorHAnsi" w:hAnsi="Palatino Linotype" w:cs="Arial"/>
          <w:bCs/>
          <w:sz w:val="22"/>
          <w:szCs w:val="22"/>
          <w:lang w:val="es-MX" w:eastAsia="en-US"/>
        </w:rPr>
      </w:pPr>
    </w:p>
    <w:p w14:paraId="1CD3F03C"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9B3EF37"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56ECB40C"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C40A7F" w14:textId="77777777" w:rsidR="000C2670" w:rsidRPr="00B80855" w:rsidRDefault="000C2670" w:rsidP="000C2670">
      <w:pPr>
        <w:tabs>
          <w:tab w:val="left" w:pos="8647"/>
        </w:tabs>
        <w:spacing w:line="360" w:lineRule="auto"/>
        <w:ind w:right="51"/>
        <w:jc w:val="both"/>
        <w:rPr>
          <w:rFonts w:ascii="Palatino Linotype" w:eastAsiaTheme="minorHAnsi" w:hAnsi="Palatino Linotype" w:cs="Arial"/>
          <w:lang w:val="es-MX" w:eastAsia="en-US"/>
        </w:rPr>
      </w:pPr>
    </w:p>
    <w:p w14:paraId="68D397AE" w14:textId="77777777" w:rsidR="000C2670" w:rsidRPr="00B80855" w:rsidRDefault="000C2670" w:rsidP="000C2670">
      <w:pPr>
        <w:autoSpaceDE w:val="0"/>
        <w:autoSpaceDN w:val="0"/>
        <w:adjustRightInd w:val="0"/>
        <w:spacing w:line="360" w:lineRule="auto"/>
        <w:contextualSpacing/>
        <w:jc w:val="both"/>
        <w:rPr>
          <w:rFonts w:ascii="Palatino Linotype" w:eastAsiaTheme="minorHAnsi" w:hAnsi="Palatino Linotype" w:cs="Arial"/>
          <w:szCs w:val="22"/>
          <w:lang w:eastAsia="en-US"/>
        </w:rPr>
      </w:pPr>
      <w:r w:rsidRPr="00B80855">
        <w:rPr>
          <w:rFonts w:ascii="Palatino Linotype" w:hAnsi="Palatino Linotype" w:cs="Arial"/>
        </w:rPr>
        <w:t xml:space="preserve">Entonces, el </w:t>
      </w:r>
      <w:r w:rsidRPr="00B80855">
        <w:rPr>
          <w:rFonts w:ascii="Palatino Linotype" w:hAnsi="Palatino Linotype" w:cs="Arial"/>
          <w:b/>
        </w:rPr>
        <w:t>Sujeto Obligado</w:t>
      </w:r>
      <w:r w:rsidRPr="00B8085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80855">
        <w:rPr>
          <w:rFonts w:ascii="Palatino Linotype" w:hAnsi="Palatino Linotype" w:cs="Arial"/>
          <w:i/>
          <w:iCs/>
        </w:rPr>
        <w:t>.</w:t>
      </w:r>
    </w:p>
    <w:p w14:paraId="186EDD7B" w14:textId="77777777" w:rsidR="000C2670" w:rsidRPr="007A4C5E" w:rsidRDefault="000C2670" w:rsidP="000C2670">
      <w:pPr>
        <w:autoSpaceDE w:val="0"/>
        <w:autoSpaceDN w:val="0"/>
        <w:adjustRightInd w:val="0"/>
        <w:spacing w:line="360" w:lineRule="auto"/>
        <w:ind w:right="-141"/>
        <w:jc w:val="both"/>
        <w:rPr>
          <w:rFonts w:ascii="Palatino Linotype" w:hAnsi="Palatino Linotype" w:cs="Arial"/>
        </w:rPr>
      </w:pPr>
    </w:p>
    <w:p w14:paraId="70338768" w14:textId="5472AECB" w:rsidR="000C2670" w:rsidRPr="007A4C5E" w:rsidRDefault="000C2670" w:rsidP="000C2670">
      <w:pPr>
        <w:spacing w:line="360" w:lineRule="auto"/>
        <w:jc w:val="both"/>
        <w:rPr>
          <w:rFonts w:ascii="Palatino Linotype" w:hAnsi="Palatino Linotype"/>
        </w:rPr>
      </w:pPr>
      <w:r w:rsidRPr="007A4C5E">
        <w:rPr>
          <w:rFonts w:ascii="Palatino Linotype" w:hAnsi="Palatino Linotype"/>
        </w:rPr>
        <w:t>En mérito de lo expuesto</w:t>
      </w:r>
      <w:r>
        <w:rPr>
          <w:rFonts w:ascii="Palatino Linotype" w:hAnsi="Palatino Linotype"/>
        </w:rPr>
        <w:t xml:space="preserve"> en líneas anteriores, resultan </w:t>
      </w:r>
      <w:r w:rsidRPr="007A4C5E">
        <w:rPr>
          <w:rFonts w:ascii="Palatino Linotype" w:hAnsi="Palatino Linotype"/>
        </w:rPr>
        <w:t xml:space="preserve">fundados los motivos de inconformidad que arguye </w:t>
      </w:r>
      <w:r w:rsidRPr="007A4C5E">
        <w:rPr>
          <w:rFonts w:ascii="Palatino Linotype" w:hAnsi="Palatino Linotype"/>
          <w:b/>
        </w:rPr>
        <w:t>El Recurrente</w:t>
      </w:r>
      <w:r w:rsidRPr="007A4C5E">
        <w:rPr>
          <w:rFonts w:ascii="Palatino Linotype" w:hAnsi="Palatino Linotype"/>
        </w:rPr>
        <w:t xml:space="preserve"> en su medio de impugnación que fue materia </w:t>
      </w:r>
      <w:r w:rsidRPr="007A4C5E">
        <w:rPr>
          <w:rFonts w:ascii="Palatino Linotype" w:hAnsi="Palatino Linotype"/>
        </w:rPr>
        <w:lastRenderedPageBreak/>
        <w:t xml:space="preserve">de estudio, por ello con fundamento </w:t>
      </w:r>
      <w:r>
        <w:rPr>
          <w:rFonts w:ascii="Palatino Linotype" w:hAnsi="Palatino Linotype"/>
          <w:lang w:val="es-419"/>
        </w:rPr>
        <w:t xml:space="preserve">en la </w:t>
      </w:r>
      <w:r w:rsidRPr="007A4C5E">
        <w:rPr>
          <w:rFonts w:ascii="Palatino Linotype" w:hAnsi="Palatino Linotype"/>
        </w:rPr>
        <w:t>fracción III, del artículo 186,</w:t>
      </w:r>
      <w:r w:rsidRPr="007A4C5E">
        <w:rPr>
          <w:rFonts w:ascii="Palatino Linotype" w:hAnsi="Palatino Linotype"/>
          <w:b/>
        </w:rPr>
        <w:t xml:space="preserve"> </w:t>
      </w:r>
      <w:r w:rsidRPr="007A4C5E">
        <w:rPr>
          <w:rFonts w:ascii="Palatino Linotype" w:hAnsi="Palatino Linotype"/>
        </w:rPr>
        <w:t xml:space="preserve">de la Ley de Transparencia y Acceso a la Información Pública del Estado de México y Municipios, se </w:t>
      </w:r>
      <w:r>
        <w:rPr>
          <w:rFonts w:ascii="Palatino Linotype" w:hAnsi="Palatino Linotype"/>
          <w:b/>
          <w:lang w:val="es-419"/>
        </w:rPr>
        <w:t xml:space="preserve">REVOCA </w:t>
      </w:r>
      <w:r w:rsidRPr="007A4C5E">
        <w:rPr>
          <w:rFonts w:ascii="Palatino Linotype" w:hAnsi="Palatino Linotype"/>
        </w:rPr>
        <w:t>la respuesta a la solicitud de información número</w:t>
      </w:r>
      <w:r w:rsidRPr="007A4C5E">
        <w:rPr>
          <w:rFonts w:ascii="Palatino Linotype" w:hAnsi="Palatino Linotype"/>
          <w:b/>
        </w:rPr>
        <w:t xml:space="preserve"> </w:t>
      </w:r>
      <w:r w:rsidR="009A0452">
        <w:rPr>
          <w:rFonts w:ascii="Palatino Linotype" w:hAnsi="Palatino Linotype" w:cs="Arial"/>
          <w:b/>
          <w:lang w:eastAsia="es-MX"/>
        </w:rPr>
        <w:t>01291/TOLUCA/IP/2022</w:t>
      </w:r>
      <w:r w:rsidRPr="007A4C5E">
        <w:rPr>
          <w:rFonts w:ascii="Palatino Linotype" w:hAnsi="Palatino Linotype"/>
        </w:rPr>
        <w:t>,</w:t>
      </w:r>
      <w:r w:rsidRPr="007A4C5E">
        <w:rPr>
          <w:rFonts w:ascii="Palatino Linotype" w:hAnsi="Palatino Linotype"/>
          <w:b/>
        </w:rPr>
        <w:t xml:space="preserve"> </w:t>
      </w:r>
      <w:r w:rsidRPr="007A4C5E">
        <w:rPr>
          <w:rFonts w:ascii="Palatino Linotype" w:hAnsi="Palatino Linotype"/>
          <w:bCs/>
        </w:rPr>
        <w:t>que ha sido materia del presente fallo</w:t>
      </w:r>
      <w:r w:rsidRPr="007A4C5E">
        <w:rPr>
          <w:rFonts w:ascii="Palatino Linotype" w:hAnsi="Palatino Linotype"/>
        </w:rPr>
        <w:t>.</w:t>
      </w:r>
    </w:p>
    <w:p w14:paraId="03DE84D1" w14:textId="77777777" w:rsidR="000C2670" w:rsidRPr="0013589E" w:rsidRDefault="000C2670" w:rsidP="000C2670">
      <w:pPr>
        <w:spacing w:line="360" w:lineRule="auto"/>
        <w:jc w:val="both"/>
        <w:rPr>
          <w:rFonts w:ascii="Palatino Linotype" w:hAnsi="Palatino Linotype" w:cs="Arial"/>
        </w:rPr>
      </w:pPr>
    </w:p>
    <w:p w14:paraId="0A99E5EC" w14:textId="77777777" w:rsidR="000C2670" w:rsidRPr="0013589E" w:rsidRDefault="000C2670" w:rsidP="000C2670">
      <w:pPr>
        <w:pStyle w:val="Sinespaciado"/>
        <w:spacing w:line="360" w:lineRule="auto"/>
        <w:jc w:val="both"/>
        <w:rPr>
          <w:rFonts w:ascii="Palatino Linotype" w:hAnsi="Palatino Linotype"/>
        </w:rPr>
      </w:pPr>
      <w:r w:rsidRPr="0013589E">
        <w:rPr>
          <w:rFonts w:ascii="Palatino Linotype" w:hAnsi="Palatino Linotype"/>
        </w:rPr>
        <w:t>Por lo antes expuesto y fundado es de resolverse y,</w:t>
      </w:r>
    </w:p>
    <w:p w14:paraId="4D1657B7" w14:textId="77777777" w:rsidR="000C2670" w:rsidRPr="0013589E" w:rsidRDefault="000C2670" w:rsidP="000C2670">
      <w:pPr>
        <w:pStyle w:val="Sinespaciado"/>
        <w:spacing w:line="360" w:lineRule="auto"/>
        <w:jc w:val="both"/>
        <w:rPr>
          <w:rFonts w:ascii="Palatino Linotype" w:hAnsi="Palatino Linotype"/>
        </w:rPr>
      </w:pPr>
    </w:p>
    <w:p w14:paraId="635532C7" w14:textId="77777777" w:rsidR="009E0B9B" w:rsidRPr="0013589E" w:rsidRDefault="009E0B9B" w:rsidP="009E0B9B">
      <w:pPr>
        <w:spacing w:line="360" w:lineRule="auto"/>
        <w:jc w:val="center"/>
        <w:rPr>
          <w:rFonts w:ascii="Palatino Linotype" w:hAnsi="Palatino Linotype"/>
          <w:b/>
          <w:sz w:val="28"/>
          <w:lang w:val="pt-BR"/>
        </w:rPr>
      </w:pPr>
      <w:bookmarkStart w:id="1" w:name="_Hlk22897875"/>
      <w:r w:rsidRPr="0013589E">
        <w:rPr>
          <w:rFonts w:ascii="Palatino Linotype" w:hAnsi="Palatino Linotype"/>
          <w:b/>
          <w:sz w:val="28"/>
          <w:lang w:val="pt-BR"/>
        </w:rPr>
        <w:t>S E   R E S U E L V E</w:t>
      </w:r>
    </w:p>
    <w:bookmarkEnd w:id="1"/>
    <w:p w14:paraId="1255FFCF" w14:textId="77777777" w:rsidR="00F849B1" w:rsidRDefault="00F849B1" w:rsidP="00575E21">
      <w:pPr>
        <w:autoSpaceDE w:val="0"/>
        <w:autoSpaceDN w:val="0"/>
        <w:adjustRightInd w:val="0"/>
        <w:spacing w:line="360" w:lineRule="auto"/>
        <w:ind w:right="49"/>
        <w:jc w:val="both"/>
        <w:rPr>
          <w:rFonts w:ascii="Palatino Linotype" w:hAnsi="Palatino Linotype" w:cs="Arial"/>
          <w:b/>
          <w:sz w:val="28"/>
          <w:szCs w:val="28"/>
          <w:lang w:val="es-ES_tradnl"/>
        </w:rPr>
      </w:pPr>
    </w:p>
    <w:p w14:paraId="27806DEC" w14:textId="0E49184B"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lang w:val="es-ES_tradnl"/>
        </w:rPr>
        <w:t>PRIMERO.</w:t>
      </w:r>
      <w:r w:rsidRPr="002549ED">
        <w:rPr>
          <w:rFonts w:ascii="Palatino Linotype" w:hAnsi="Palatino Linotype" w:cs="Arial"/>
          <w:lang w:val="es-ES_tradnl"/>
        </w:rPr>
        <w:t xml:space="preserve"> </w:t>
      </w:r>
      <w:r w:rsidRPr="002549ED">
        <w:rPr>
          <w:rFonts w:ascii="Palatino Linotype" w:hAnsi="Palatino Linotype" w:cs="Arial"/>
        </w:rPr>
        <w:t>Se</w:t>
      </w:r>
      <w:r w:rsidRPr="002549ED">
        <w:rPr>
          <w:rFonts w:ascii="Palatino Linotype" w:hAnsi="Palatino Linotype" w:cs="Arial"/>
          <w:b/>
        </w:rPr>
        <w:t xml:space="preserve"> </w:t>
      </w:r>
      <w:r w:rsidR="007035C6">
        <w:rPr>
          <w:rFonts w:ascii="Palatino Linotype" w:hAnsi="Palatino Linotype" w:cs="Arial"/>
          <w:b/>
          <w:lang w:val="es-419"/>
        </w:rPr>
        <w:t>REVOCA</w:t>
      </w:r>
      <w:r w:rsidRPr="002549ED">
        <w:rPr>
          <w:rFonts w:ascii="Palatino Linotype" w:hAnsi="Palatino Linotype" w:cs="Arial"/>
          <w:b/>
        </w:rPr>
        <w:t xml:space="preserve"> </w:t>
      </w:r>
      <w:r w:rsidRPr="002549ED">
        <w:rPr>
          <w:rFonts w:ascii="Palatino Linotype" w:eastAsia="Arial Unicode MS" w:hAnsi="Palatino Linotype" w:cs="Arial"/>
        </w:rPr>
        <w:t xml:space="preserve">la respuesta entregada por </w:t>
      </w:r>
      <w:r w:rsidRPr="002549ED">
        <w:rPr>
          <w:rFonts w:ascii="Palatino Linotype" w:eastAsia="Arial Unicode MS" w:hAnsi="Palatino Linotype" w:cs="Arial"/>
          <w:b/>
        </w:rPr>
        <w:t xml:space="preserve">El Sujeto Obligado </w:t>
      </w:r>
      <w:r w:rsidRPr="002549ED">
        <w:rPr>
          <w:rFonts w:ascii="Palatino Linotype" w:eastAsia="Arial Unicode MS" w:hAnsi="Palatino Linotype" w:cs="Arial"/>
        </w:rPr>
        <w:t xml:space="preserve">a la solicitud de información número </w:t>
      </w:r>
      <w:r w:rsidR="009A0452">
        <w:rPr>
          <w:rFonts w:ascii="Palatino Linotype" w:hAnsi="Palatino Linotype" w:cs="Arial"/>
          <w:b/>
          <w:lang w:eastAsia="es-MX"/>
        </w:rPr>
        <w:t>01291/TOLUCA/IP/2022</w:t>
      </w:r>
      <w:r w:rsidRPr="002549ED">
        <w:rPr>
          <w:rFonts w:ascii="Palatino Linotype" w:hAnsi="Palatino Linotype" w:cs="Arial"/>
        </w:rPr>
        <w:t xml:space="preserve">, por resultar fundados los motivos de inconformidad vertidos por </w:t>
      </w:r>
      <w:r w:rsidRPr="002549ED">
        <w:rPr>
          <w:rFonts w:ascii="Palatino Linotype" w:hAnsi="Palatino Linotype" w:cs="Arial"/>
          <w:b/>
        </w:rPr>
        <w:t>El Recurrente</w:t>
      </w:r>
      <w:r w:rsidRPr="002549ED">
        <w:rPr>
          <w:rFonts w:ascii="Palatino Linotype" w:hAnsi="Palatino Linotype" w:cs="Arial"/>
        </w:rPr>
        <w:t xml:space="preserve">, en términos del Considerando </w:t>
      </w:r>
      <w:r w:rsidR="009A0452">
        <w:rPr>
          <w:rFonts w:ascii="Palatino Linotype" w:hAnsi="Palatino Linotype" w:cs="Arial"/>
          <w:b/>
          <w:lang w:val="es-419"/>
        </w:rPr>
        <w:t>CUARTO</w:t>
      </w:r>
      <w:r w:rsidR="00142DF4">
        <w:rPr>
          <w:rFonts w:ascii="Palatino Linotype" w:hAnsi="Palatino Linotype" w:cs="Arial"/>
          <w:b/>
          <w:lang w:val="es-419"/>
        </w:rPr>
        <w:t xml:space="preserve"> </w:t>
      </w:r>
      <w:r w:rsidRPr="002549ED">
        <w:rPr>
          <w:rFonts w:ascii="Palatino Linotype" w:hAnsi="Palatino Linotype" w:cs="Arial"/>
        </w:rPr>
        <w:t xml:space="preserve">de </w:t>
      </w:r>
      <w:r w:rsidR="001C6331" w:rsidRPr="002549ED">
        <w:rPr>
          <w:rFonts w:ascii="Palatino Linotype" w:hAnsi="Palatino Linotype" w:cs="Arial"/>
        </w:rPr>
        <w:t>esta</w:t>
      </w:r>
      <w:r w:rsidRPr="002549ED">
        <w:rPr>
          <w:rFonts w:ascii="Palatino Linotype" w:hAnsi="Palatino Linotype" w:cs="Arial"/>
        </w:rPr>
        <w:t xml:space="preserve"> resolución.</w:t>
      </w:r>
    </w:p>
    <w:p w14:paraId="0505AFAF"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rPr>
      </w:pPr>
    </w:p>
    <w:p w14:paraId="463181D9" w14:textId="165D1578" w:rsidR="00575E21" w:rsidRPr="002549ED" w:rsidRDefault="00575E21" w:rsidP="00575E21">
      <w:pPr>
        <w:spacing w:line="360" w:lineRule="auto"/>
        <w:jc w:val="both"/>
        <w:rPr>
          <w:rFonts w:ascii="Palatino Linotype" w:hAnsi="Palatino Linotype" w:cs="Arial"/>
        </w:rPr>
      </w:pPr>
      <w:r w:rsidRPr="002549ED">
        <w:rPr>
          <w:rFonts w:ascii="Palatino Linotype" w:hAnsi="Palatino Linotype" w:cs="Arial"/>
          <w:b/>
          <w:sz w:val="28"/>
          <w:szCs w:val="28"/>
        </w:rPr>
        <w:t>SEGUNDO.</w:t>
      </w:r>
      <w:r w:rsidRPr="002549ED">
        <w:rPr>
          <w:rFonts w:ascii="Palatino Linotype" w:hAnsi="Palatino Linotype" w:cs="Arial"/>
        </w:rPr>
        <w:t xml:space="preserve"> Se </w:t>
      </w:r>
      <w:r w:rsidRPr="002549ED">
        <w:rPr>
          <w:rFonts w:ascii="Palatino Linotype" w:hAnsi="Palatino Linotype" w:cs="Arial"/>
          <w:b/>
        </w:rPr>
        <w:t>ORDENA</w:t>
      </w:r>
      <w:r w:rsidRPr="002549ED">
        <w:rPr>
          <w:rFonts w:ascii="Palatino Linotype" w:hAnsi="Palatino Linotype" w:cs="Arial"/>
        </w:rPr>
        <w:t xml:space="preserve"> al </w:t>
      </w:r>
      <w:r w:rsidRPr="002549ED">
        <w:rPr>
          <w:rFonts w:ascii="Palatino Linotype" w:hAnsi="Palatino Linotype" w:cs="Arial"/>
          <w:b/>
        </w:rPr>
        <w:t>Sujeto Obligado</w:t>
      </w:r>
      <w:r w:rsidRPr="002549ED">
        <w:rPr>
          <w:rFonts w:ascii="Palatino Linotype" w:hAnsi="Palatino Linotype" w:cs="Arial"/>
        </w:rPr>
        <w:t xml:space="preserve"> haga entrega al </w:t>
      </w:r>
      <w:r w:rsidRPr="002549ED">
        <w:rPr>
          <w:rFonts w:ascii="Palatino Linotype" w:hAnsi="Palatino Linotype" w:cs="Arial"/>
          <w:b/>
        </w:rPr>
        <w:t xml:space="preserve">Recurrente </w:t>
      </w:r>
      <w:r w:rsidRPr="002549ED">
        <w:rPr>
          <w:rFonts w:ascii="Palatino Linotype" w:hAnsi="Palatino Linotype" w:cs="Arial"/>
        </w:rPr>
        <w:t xml:space="preserve">en términos del Considerando </w:t>
      </w:r>
      <w:r w:rsidR="009A0452">
        <w:rPr>
          <w:rFonts w:ascii="Palatino Linotype" w:hAnsi="Palatino Linotype" w:cs="Arial"/>
          <w:b/>
          <w:lang w:val="es-419"/>
        </w:rPr>
        <w:t xml:space="preserve">CUARTO </w:t>
      </w:r>
      <w:r w:rsidRPr="002549ED">
        <w:rPr>
          <w:rFonts w:ascii="Palatino Linotype" w:hAnsi="Palatino Linotype" w:cs="Arial"/>
        </w:rPr>
        <w:t>de e</w:t>
      </w:r>
      <w:r>
        <w:rPr>
          <w:rFonts w:ascii="Palatino Linotype" w:hAnsi="Palatino Linotype" w:cs="Arial"/>
        </w:rPr>
        <w:t>sta resolución</w:t>
      </w:r>
      <w:r w:rsidRPr="002549ED">
        <w:rPr>
          <w:rFonts w:ascii="Palatino Linotype" w:hAnsi="Palatino Linotype" w:cs="Arial"/>
        </w:rPr>
        <w:t xml:space="preserve">, a través del </w:t>
      </w:r>
      <w:r w:rsidRPr="002549ED">
        <w:rPr>
          <w:rFonts w:ascii="Palatino Linotype" w:hAnsi="Palatino Linotype"/>
        </w:rPr>
        <w:t>Sistema de Acceso a la Información Mexiquense</w:t>
      </w:r>
      <w:r w:rsidRPr="002549ED">
        <w:rPr>
          <w:rFonts w:ascii="Palatino Linotype" w:hAnsi="Palatino Linotype" w:cs="Arial"/>
        </w:rPr>
        <w:t xml:space="preserve"> </w:t>
      </w:r>
      <w:r w:rsidRPr="002549ED">
        <w:rPr>
          <w:rFonts w:ascii="Palatino Linotype" w:hAnsi="Palatino Linotype" w:cs="Arial"/>
          <w:b/>
        </w:rPr>
        <w:t>(SAIMEX)</w:t>
      </w:r>
      <w:r w:rsidR="00B80855">
        <w:rPr>
          <w:rFonts w:ascii="Palatino Linotype" w:hAnsi="Palatino Linotype" w:cs="Arial"/>
          <w:b/>
        </w:rPr>
        <w:t xml:space="preserve">, </w:t>
      </w:r>
      <w:r w:rsidR="00B80855">
        <w:rPr>
          <w:rFonts w:ascii="Palatino Linotype" w:hAnsi="Palatino Linotype" w:cs="Arial"/>
        </w:rPr>
        <w:t xml:space="preserve">previa búsqueda exhaustiva y razonable, de ser procedente en versión pública, </w:t>
      </w:r>
      <w:r w:rsidRPr="002549ED">
        <w:rPr>
          <w:rFonts w:ascii="Palatino Linotype" w:hAnsi="Palatino Linotype" w:cs="Arial"/>
        </w:rPr>
        <w:t>lo siguiente:</w:t>
      </w:r>
    </w:p>
    <w:p w14:paraId="539A189D" w14:textId="77777777" w:rsidR="009A0452" w:rsidRDefault="009A0452" w:rsidP="009A0452">
      <w:pPr>
        <w:autoSpaceDE w:val="0"/>
        <w:autoSpaceDN w:val="0"/>
        <w:adjustRightInd w:val="0"/>
        <w:spacing w:line="360" w:lineRule="auto"/>
        <w:jc w:val="both"/>
        <w:rPr>
          <w:rFonts w:ascii="Palatino Linotype" w:hAnsi="Palatino Linotype" w:cs="Arial"/>
        </w:rPr>
      </w:pPr>
    </w:p>
    <w:p w14:paraId="59AF1341" w14:textId="0105141A" w:rsidR="009A0452" w:rsidRDefault="009A0452" w:rsidP="009A0452">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b/>
        </w:rPr>
        <w:t>A.-</w:t>
      </w:r>
      <w:r>
        <w:rPr>
          <w:rFonts w:ascii="Palatino Linotype" w:hAnsi="Palatino Linotype" w:cs="Arial"/>
        </w:rPr>
        <w:t xml:space="preserve"> Documentos presentados por los tres integrantes designados para el Comité de Participación Ciudadana para el municipio de Toluca </w:t>
      </w:r>
      <w:r w:rsidR="00E9132D">
        <w:rPr>
          <w:rFonts w:ascii="Palatino Linotype" w:hAnsi="Palatino Linotype" w:cs="Arial"/>
        </w:rPr>
        <w:t>para el año dos mil veintidós.</w:t>
      </w:r>
    </w:p>
    <w:p w14:paraId="43060B40" w14:textId="52980643" w:rsidR="009A0452" w:rsidRDefault="009A0452" w:rsidP="00E9132D">
      <w:pPr>
        <w:autoSpaceDE w:val="0"/>
        <w:autoSpaceDN w:val="0"/>
        <w:adjustRightInd w:val="0"/>
        <w:spacing w:line="360" w:lineRule="auto"/>
        <w:ind w:left="851" w:right="1183"/>
        <w:jc w:val="both"/>
        <w:rPr>
          <w:rFonts w:ascii="Palatino Linotype" w:hAnsi="Palatino Linotype" w:cs="Arial"/>
        </w:rPr>
      </w:pPr>
      <w:r>
        <w:rPr>
          <w:rFonts w:ascii="Palatino Linotype" w:hAnsi="Palatino Linotype" w:cs="Arial"/>
          <w:b/>
        </w:rPr>
        <w:t>B.-</w:t>
      </w:r>
      <w:r>
        <w:rPr>
          <w:rFonts w:ascii="Palatino Linotype" w:hAnsi="Palatino Linotype" w:cs="Arial"/>
        </w:rPr>
        <w:t xml:space="preserve"> Documentos presentados por</w:t>
      </w:r>
      <w:r w:rsidR="00CA4B52">
        <w:rPr>
          <w:rFonts w:ascii="Palatino Linotype" w:hAnsi="Palatino Linotype" w:cs="Arial"/>
        </w:rPr>
        <w:t xml:space="preserve"> todas</w:t>
      </w:r>
      <w:r>
        <w:rPr>
          <w:rFonts w:ascii="Palatino Linotype" w:hAnsi="Palatino Linotype" w:cs="Arial"/>
        </w:rPr>
        <w:t xml:space="preserve"> las person</w:t>
      </w:r>
      <w:r w:rsidR="00E9132D">
        <w:rPr>
          <w:rFonts w:ascii="Palatino Linotype" w:hAnsi="Palatino Linotype" w:cs="Arial"/>
        </w:rPr>
        <w:t xml:space="preserve">as que participaron en </w:t>
      </w:r>
      <w:r w:rsidR="00CA4B52">
        <w:rPr>
          <w:rFonts w:ascii="Palatino Linotype" w:hAnsi="Palatino Linotype" w:cs="Arial"/>
        </w:rPr>
        <w:t xml:space="preserve">el procedimiento de selección de los integrantes del </w:t>
      </w:r>
      <w:r w:rsidR="00CA4B52">
        <w:rPr>
          <w:rFonts w:ascii="Palatino Linotype" w:hAnsi="Palatino Linotype" w:cs="Arial"/>
        </w:rPr>
        <w:lastRenderedPageBreak/>
        <w:t>Comité de Participación Ciudadana</w:t>
      </w:r>
      <w:r w:rsidR="00E9132D">
        <w:rPr>
          <w:rFonts w:ascii="Palatino Linotype" w:hAnsi="Palatino Linotype" w:cs="Arial"/>
        </w:rPr>
        <w:t xml:space="preserve">, </w:t>
      </w:r>
      <w:r w:rsidR="00CA4B52">
        <w:rPr>
          <w:rFonts w:ascii="Palatino Linotype" w:hAnsi="Palatino Linotype" w:cs="Arial"/>
        </w:rPr>
        <w:t>para el municipio de Toluca para el año dos mil veintidós.</w:t>
      </w:r>
    </w:p>
    <w:p w14:paraId="1668B3BC" w14:textId="77777777" w:rsidR="00D723DD" w:rsidRDefault="00D723DD" w:rsidP="00E65658">
      <w:pPr>
        <w:spacing w:line="360" w:lineRule="auto"/>
        <w:ind w:left="709" w:right="474"/>
        <w:jc w:val="both"/>
        <w:rPr>
          <w:rFonts w:ascii="Palatino Linotype" w:hAnsi="Palatino Linotype" w:cs="Arial"/>
          <w:i/>
        </w:rPr>
      </w:pPr>
    </w:p>
    <w:p w14:paraId="58EE2849" w14:textId="77777777" w:rsidR="00E65658" w:rsidRDefault="00E65658" w:rsidP="00E65658">
      <w:pPr>
        <w:spacing w:line="360" w:lineRule="auto"/>
        <w:ind w:left="709" w:right="474"/>
        <w:jc w:val="both"/>
        <w:rPr>
          <w:rFonts w:ascii="Palatino Linotype" w:hAnsi="Palatino Linotype" w:cs="Arial"/>
          <w:i/>
        </w:rPr>
      </w:pPr>
      <w:r w:rsidRPr="00E65658">
        <w:rPr>
          <w:rFonts w:ascii="Palatino Linotype" w:hAnsi="Palatino Linotype" w:cs="Arial"/>
          <w:i/>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08C809AB" w14:textId="77777777" w:rsidR="006768BB" w:rsidRDefault="006768BB" w:rsidP="00E65658">
      <w:pPr>
        <w:spacing w:line="360" w:lineRule="auto"/>
        <w:ind w:left="709" w:right="474"/>
        <w:jc w:val="both"/>
        <w:rPr>
          <w:rFonts w:ascii="Palatino Linotype" w:hAnsi="Palatino Linotype" w:cs="Arial"/>
          <w:i/>
        </w:rPr>
      </w:pPr>
    </w:p>
    <w:p w14:paraId="6E152C50"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2549ED">
        <w:rPr>
          <w:rFonts w:ascii="Palatino Linotype" w:hAnsi="Palatino Linotype" w:cs="Arial"/>
          <w:b/>
          <w:sz w:val="28"/>
          <w:szCs w:val="28"/>
          <w:lang w:val="es-ES_tradnl"/>
        </w:rPr>
        <w:t xml:space="preserve">TERCERO. </w:t>
      </w:r>
      <w:r w:rsidRPr="002549ED">
        <w:rPr>
          <w:rFonts w:ascii="Palatino Linotype" w:hAnsi="Palatino Linotype" w:cs="Arial"/>
          <w:b/>
          <w:szCs w:val="28"/>
          <w:lang w:val="es-ES_tradnl"/>
        </w:rPr>
        <w:t>NOTIFÍQUESE</w:t>
      </w:r>
      <w:r w:rsidRPr="002549ED">
        <w:rPr>
          <w:rFonts w:ascii="Palatino Linotype" w:hAnsi="Palatino Linotype" w:cs="Arial"/>
          <w:b/>
          <w:sz w:val="28"/>
          <w:szCs w:val="28"/>
          <w:lang w:val="es-ES_tradnl"/>
        </w:rPr>
        <w:t xml:space="preserve"> </w:t>
      </w:r>
      <w:r w:rsidRPr="002549E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77777777" w:rsidR="00575E21" w:rsidRPr="002549ED" w:rsidRDefault="00575E21" w:rsidP="00575E21">
      <w:pPr>
        <w:spacing w:line="360" w:lineRule="auto"/>
        <w:jc w:val="both"/>
        <w:rPr>
          <w:rFonts w:ascii="Palatino Linotype" w:hAnsi="Palatino Linotype" w:cs="Arial"/>
          <w:bCs/>
          <w:szCs w:val="28"/>
        </w:rPr>
      </w:pPr>
      <w:r w:rsidRPr="002549ED">
        <w:rPr>
          <w:rFonts w:ascii="Palatino Linotype" w:hAnsi="Palatino Linotype" w:cs="Arial"/>
          <w:b/>
          <w:bCs/>
          <w:sz w:val="28"/>
          <w:szCs w:val="28"/>
        </w:rPr>
        <w:t>CUARTO.</w:t>
      </w:r>
      <w:r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2549ED">
        <w:rPr>
          <w:rFonts w:ascii="Palatino Linotype" w:hAnsi="Palatino Linotype" w:cs="Arial"/>
          <w:b/>
          <w:bCs/>
          <w:szCs w:val="28"/>
        </w:rPr>
        <w:t>Sujeto Obligado</w:t>
      </w:r>
      <w:r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550B6688" w:rsidR="00575E21" w:rsidRPr="002549ED" w:rsidRDefault="00575E21" w:rsidP="00575E21">
      <w:pPr>
        <w:autoSpaceDE w:val="0"/>
        <w:autoSpaceDN w:val="0"/>
        <w:adjustRightInd w:val="0"/>
        <w:spacing w:line="360" w:lineRule="auto"/>
        <w:ind w:right="49"/>
        <w:jc w:val="both"/>
        <w:rPr>
          <w:rFonts w:ascii="Palatino Linotype" w:hAnsi="Palatino Linotype" w:cs="Arial"/>
        </w:rPr>
      </w:pPr>
      <w:r w:rsidRPr="002549ED">
        <w:rPr>
          <w:rFonts w:ascii="Palatino Linotype" w:hAnsi="Palatino Linotype" w:cs="Arial"/>
          <w:b/>
          <w:sz w:val="28"/>
          <w:szCs w:val="28"/>
        </w:rPr>
        <w:t>QUINTO.</w:t>
      </w:r>
      <w:r w:rsidRPr="002549ED">
        <w:rPr>
          <w:rFonts w:ascii="Palatino Linotype" w:hAnsi="Palatino Linotype" w:cs="Arial"/>
          <w:b/>
        </w:rPr>
        <w:t xml:space="preserve"> NOTIFÍQUESE</w:t>
      </w:r>
      <w:r w:rsidRPr="002549ED">
        <w:rPr>
          <w:rFonts w:ascii="Palatino Linotype" w:hAnsi="Palatino Linotype" w:cs="Arial"/>
        </w:rPr>
        <w:t xml:space="preserve"> al </w:t>
      </w:r>
      <w:r w:rsidRPr="002549ED">
        <w:rPr>
          <w:rFonts w:ascii="Palatino Linotype" w:hAnsi="Palatino Linotype" w:cs="Arial"/>
          <w:b/>
        </w:rPr>
        <w:t>Recurrente</w:t>
      </w:r>
      <w:r w:rsidRPr="002549ED">
        <w:rPr>
          <w:rFonts w:ascii="Palatino Linotype" w:hAnsi="Palatino Linotype" w:cs="Arial"/>
        </w:rPr>
        <w:t xml:space="preserve"> la presente resolución</w:t>
      </w:r>
      <w:r>
        <w:rPr>
          <w:rFonts w:ascii="Palatino Linotype" w:hAnsi="Palatino Linotype" w:cs="Arial"/>
        </w:rPr>
        <w:t xml:space="preserve"> </w:t>
      </w:r>
      <w:r w:rsidRPr="00D85D55">
        <w:rPr>
          <w:rFonts w:ascii="Palatino Linotype" w:eastAsiaTheme="minorHAnsi" w:hAnsi="Palatino Linotype" w:cs="Arial"/>
          <w:lang w:val="es-MX" w:eastAsia="en-US"/>
        </w:rPr>
        <w:t xml:space="preserve">a través del </w:t>
      </w:r>
      <w:r w:rsidRPr="00D85D55">
        <w:rPr>
          <w:rFonts w:ascii="Palatino Linotype" w:eastAsiaTheme="minorHAnsi" w:hAnsi="Palatino Linotype" w:cs="Arial"/>
          <w:szCs w:val="22"/>
          <w:lang w:val="es-MX" w:eastAsia="en-US"/>
        </w:rPr>
        <w:t xml:space="preserve">Sistema de Acceso a la Información Mexiquense </w:t>
      </w:r>
      <w:r w:rsidRPr="00D85D55">
        <w:rPr>
          <w:rFonts w:ascii="Palatino Linotype" w:eastAsiaTheme="minorHAnsi" w:hAnsi="Palatino Linotype" w:cs="Arial"/>
          <w:b/>
          <w:szCs w:val="22"/>
          <w:lang w:val="es-MX" w:eastAsia="en-US"/>
        </w:rPr>
        <w:t>(SAIMEX)</w:t>
      </w:r>
      <w:r>
        <w:rPr>
          <w:rFonts w:ascii="Palatino Linotype" w:hAnsi="Palatino Linotype" w:cs="Arial"/>
        </w:rPr>
        <w:t xml:space="preserve"> </w:t>
      </w:r>
      <w:r w:rsidRPr="002549ED">
        <w:rPr>
          <w:rFonts w:ascii="Palatino Linotype" w:hAnsi="Palatino Linotype" w:cs="Arial"/>
        </w:rPr>
        <w:t xml:space="preserve">y hágase de su conocimiento que en caso de considerar que le causa algún perjuicio, podrá promover el Juicio de Amparo en los términos de las leyes aplicables, de acuerdo a lo estipulado por el </w:t>
      </w:r>
      <w:r w:rsidRPr="002549ED">
        <w:rPr>
          <w:rFonts w:ascii="Palatino Linotype" w:hAnsi="Palatino Linotype" w:cs="Arial"/>
        </w:rPr>
        <w:lastRenderedPageBreak/>
        <w:t>artículo 196, de la Ley de Transparencia y Acceso a la Información Pública del Estado de México y Municipios.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63920D2B" w14:textId="6CC76729" w:rsidR="00525CD7" w:rsidRPr="0013589E" w:rsidRDefault="0029071C" w:rsidP="00525CD7">
      <w:pPr>
        <w:spacing w:line="360" w:lineRule="auto"/>
        <w:jc w:val="both"/>
        <w:rPr>
          <w:rFonts w:ascii="Palatino Linotype" w:eastAsiaTheme="minorHAnsi" w:hAnsi="Palatino Linotype" w:cs="Arial"/>
          <w:sz w:val="18"/>
          <w:lang w:val="es-MX"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E9132D">
        <w:rPr>
          <w:rFonts w:ascii="Palatino Linotype" w:eastAsiaTheme="minorHAnsi" w:hAnsi="Palatino Linotype" w:cs="Arial"/>
          <w:lang w:val="es-419" w:eastAsia="en-US"/>
        </w:rPr>
        <w:t>TRIGÉSIMA SÉPTIMA</w:t>
      </w:r>
      <w:r w:rsidR="004924E4">
        <w:rPr>
          <w:rFonts w:ascii="Palatino Linotype" w:eastAsiaTheme="minorHAnsi" w:hAnsi="Palatino Linotype" w:cs="Arial"/>
          <w:lang w:val="es-419" w:eastAsia="en-US"/>
        </w:rPr>
        <w:t xml:space="preserve"> </w:t>
      </w:r>
      <w:r w:rsidR="00AE3F0A" w:rsidRPr="0013589E">
        <w:rPr>
          <w:rFonts w:ascii="Palatino Linotype" w:eastAsiaTheme="minorHAnsi" w:hAnsi="Palatino Linotype" w:cs="Arial"/>
          <w:lang w:val="es-MX" w:eastAsia="en-US"/>
        </w:rPr>
        <w:t xml:space="preserve">SESIÓN ORDINARIA CELEBRADA EL </w:t>
      </w:r>
      <w:r w:rsidR="00E9132D">
        <w:rPr>
          <w:rFonts w:ascii="Palatino Linotype" w:hAnsi="Palatino Linotype" w:cs="Arial"/>
          <w:color w:val="000000"/>
          <w:lang w:val="es-419" w:eastAsia="es-MX"/>
        </w:rPr>
        <w:t xml:space="preserve">DOCE </w:t>
      </w:r>
      <w:r w:rsidR="00E9132D">
        <w:rPr>
          <w:rFonts w:ascii="Palatino Linotype" w:hAnsi="Palatino Linotype" w:cs="Arial"/>
          <w:color w:val="000000"/>
          <w:lang w:val="es-MX" w:eastAsia="es-MX"/>
        </w:rPr>
        <w:t xml:space="preserve">DE </w:t>
      </w:r>
      <w:r w:rsidR="00E9132D">
        <w:rPr>
          <w:rFonts w:ascii="Palatino Linotype" w:hAnsi="Palatino Linotype" w:cs="Arial"/>
          <w:color w:val="000000"/>
          <w:lang w:val="es-419" w:eastAsia="es-MX"/>
        </w:rPr>
        <w:t>OCTUBRE</w:t>
      </w:r>
      <w:r w:rsidR="00AE3F0A" w:rsidRPr="0013589E">
        <w:rPr>
          <w:rFonts w:ascii="Palatino Linotype" w:hAnsi="Palatino Linotype" w:cs="Arial"/>
          <w:color w:val="000000"/>
          <w:lang w:val="es-MX" w:eastAsia="es-MX"/>
        </w:rPr>
        <w:t xml:space="preserve"> DE</w:t>
      </w:r>
      <w:r w:rsidR="00AE3F0A" w:rsidRPr="0013589E">
        <w:rPr>
          <w:rFonts w:ascii="Palatino Linotype" w:eastAsiaTheme="minorHAnsi" w:hAnsi="Palatino Linotype" w:cs="Arial"/>
          <w:lang w:val="es-MX" w:eastAsia="en-US"/>
        </w:rPr>
        <w:t xml:space="preserve"> DOS MIL VEINTIDÓS, ANTE EL SECRETARIO TÉCNICO, ALEXIS TAPIA RAMÍREZ</w:t>
      </w:r>
      <w:r w:rsidR="00E9132D">
        <w:rPr>
          <w:rFonts w:ascii="Palatino Linotype" w:eastAsiaTheme="minorHAnsi" w:hAnsi="Palatino Linotype" w:cs="Arial"/>
          <w:lang w:val="es-MX" w:eastAsia="en-US"/>
        </w:rPr>
        <w:t>.</w:t>
      </w:r>
      <w:r w:rsidR="00525CD7">
        <w:rPr>
          <w:rFonts w:ascii="Palatino Linotype" w:eastAsiaTheme="minorHAnsi" w:hAnsi="Palatino Linotype" w:cs="Arial"/>
          <w:lang w:val="es-MX" w:eastAsia="en-US"/>
        </w:rPr>
        <w:t>---------------------------------------------------------------------------------------------------</w:t>
      </w:r>
      <w:r w:rsidR="00527464" w:rsidRPr="00527464">
        <w:rPr>
          <w:rFonts w:ascii="Palatino Linotype" w:hAnsi="Palatino Linotype" w:cs="Arial"/>
        </w:rPr>
        <w:t xml:space="preserve"> </w:t>
      </w:r>
      <w:r w:rsidR="00527464">
        <w:rPr>
          <w:rFonts w:ascii="Palatino Linotype" w:hAnsi="Palatino Linotype" w:cs="Arial"/>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525CD7">
        <w:rPr>
          <w:rFonts w:ascii="Palatino Linotype" w:eastAsiaTheme="minorHAnsi" w:hAnsi="Palatino Linotype" w:cs="Arial"/>
          <w:sz w:val="20"/>
          <w:szCs w:val="20"/>
          <w:lang w:val="es-MX" w:eastAsia="en-US"/>
        </w:rPr>
        <w:t>JMV/CCR/</w:t>
      </w:r>
      <w:r w:rsidR="00110D59" w:rsidRPr="00525CD7">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A003CB6"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6625DC72"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5586E272" w14:textId="77777777" w:rsidR="00342C40" w:rsidRDefault="00342C40"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0DEB1F9A" w14:textId="77777777" w:rsidR="00B25218" w:rsidRDefault="00B25218" w:rsidP="00C47A02">
      <w:pPr>
        <w:spacing w:line="360" w:lineRule="auto"/>
        <w:jc w:val="both"/>
        <w:rPr>
          <w:rFonts w:ascii="Palatino Linotype" w:eastAsiaTheme="minorHAnsi" w:hAnsi="Palatino Linotype" w:cs="Arial"/>
          <w:sz w:val="20"/>
          <w:szCs w:val="20"/>
          <w:lang w:val="es-MX" w:eastAsia="en-US"/>
        </w:rPr>
      </w:pPr>
    </w:p>
    <w:p w14:paraId="10281105" w14:textId="77777777" w:rsidR="00B25218" w:rsidRDefault="00B25218" w:rsidP="00C47A02">
      <w:pPr>
        <w:spacing w:line="360" w:lineRule="auto"/>
        <w:jc w:val="both"/>
        <w:rPr>
          <w:rFonts w:ascii="Palatino Linotype" w:eastAsiaTheme="minorHAnsi" w:hAnsi="Palatino Linotype" w:cs="Arial"/>
          <w:sz w:val="20"/>
          <w:szCs w:val="20"/>
          <w:lang w:val="es-MX" w:eastAsia="en-US"/>
        </w:rPr>
      </w:pPr>
    </w:p>
    <w:p w14:paraId="6C219786" w14:textId="77777777" w:rsidR="00B25218" w:rsidRDefault="00B25218" w:rsidP="00C47A02">
      <w:pPr>
        <w:spacing w:line="360" w:lineRule="auto"/>
        <w:jc w:val="both"/>
        <w:rPr>
          <w:rFonts w:ascii="Palatino Linotype" w:eastAsiaTheme="minorHAnsi" w:hAnsi="Palatino Linotype" w:cs="Arial"/>
          <w:sz w:val="20"/>
          <w:szCs w:val="20"/>
          <w:lang w:val="es-MX" w:eastAsia="en-US"/>
        </w:rPr>
      </w:pPr>
    </w:p>
    <w:p w14:paraId="5FBEDE0C" w14:textId="77777777" w:rsidR="00B25218" w:rsidRDefault="00B25218" w:rsidP="00C47A02">
      <w:pPr>
        <w:spacing w:line="360" w:lineRule="auto"/>
        <w:jc w:val="both"/>
        <w:rPr>
          <w:rFonts w:ascii="Palatino Linotype" w:eastAsiaTheme="minorHAnsi" w:hAnsi="Palatino Linotype" w:cs="Arial"/>
          <w:sz w:val="20"/>
          <w:szCs w:val="20"/>
          <w:lang w:val="es-MX" w:eastAsia="en-US"/>
        </w:rPr>
      </w:pPr>
    </w:p>
    <w:p w14:paraId="385961A1" w14:textId="77777777" w:rsidR="00B25218" w:rsidRDefault="00B25218" w:rsidP="00C47A02">
      <w:pPr>
        <w:spacing w:line="360" w:lineRule="auto"/>
        <w:jc w:val="both"/>
        <w:rPr>
          <w:rFonts w:ascii="Palatino Linotype" w:eastAsiaTheme="minorHAnsi" w:hAnsi="Palatino Linotype" w:cs="Arial"/>
          <w:sz w:val="20"/>
          <w:szCs w:val="20"/>
          <w:lang w:val="es-MX" w:eastAsia="en-US"/>
        </w:rPr>
      </w:pPr>
    </w:p>
    <w:p w14:paraId="58032D36" w14:textId="77777777" w:rsidR="00B25218" w:rsidRDefault="00B25218" w:rsidP="00C47A02">
      <w:pPr>
        <w:spacing w:line="360" w:lineRule="auto"/>
        <w:jc w:val="both"/>
        <w:rPr>
          <w:rFonts w:ascii="Palatino Linotype" w:eastAsiaTheme="minorHAnsi" w:hAnsi="Palatino Linotype" w:cs="Arial"/>
          <w:sz w:val="20"/>
          <w:szCs w:val="20"/>
          <w:lang w:val="es-MX" w:eastAsia="en-US"/>
        </w:rPr>
      </w:pPr>
    </w:p>
    <w:p w14:paraId="0CEA54A6" w14:textId="77777777" w:rsidR="00B25218" w:rsidRDefault="00B25218" w:rsidP="00C47A02">
      <w:pPr>
        <w:spacing w:line="360" w:lineRule="auto"/>
        <w:jc w:val="both"/>
        <w:rPr>
          <w:rFonts w:ascii="Palatino Linotype" w:eastAsiaTheme="minorHAnsi" w:hAnsi="Palatino Linotype" w:cs="Arial"/>
          <w:sz w:val="20"/>
          <w:szCs w:val="20"/>
          <w:lang w:val="es-MX" w:eastAsia="en-US"/>
        </w:rPr>
      </w:pPr>
    </w:p>
    <w:p w14:paraId="14BE2A97" w14:textId="77777777" w:rsidR="00B25218" w:rsidRDefault="00B25218"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B1250" w14:textId="77777777" w:rsidR="00905785" w:rsidRDefault="00905785" w:rsidP="000B5E25">
      <w:r>
        <w:separator/>
      </w:r>
    </w:p>
  </w:endnote>
  <w:endnote w:type="continuationSeparator" w:id="0">
    <w:p w14:paraId="1D0F52B2" w14:textId="77777777" w:rsidR="00905785" w:rsidRDefault="0090578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B076" w14:textId="2BF71A6D" w:rsidR="009A0452" w:rsidRPr="000D3AD4" w:rsidRDefault="009A045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40901">
      <w:rPr>
        <w:rFonts w:ascii="Palatino Linotype" w:hAnsi="Palatino Linotype" w:cs="Arial"/>
        <w:bCs/>
        <w:noProof/>
        <w:sz w:val="20"/>
        <w:szCs w:val="20"/>
      </w:rPr>
      <w:t>34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40901">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F826" w14:textId="3A8E7B9D" w:rsidR="009A0452" w:rsidRPr="000D3AD4" w:rsidRDefault="009A045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4090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40901">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8276C" w14:textId="77777777" w:rsidR="00905785" w:rsidRDefault="00905785" w:rsidP="000B5E25">
      <w:r>
        <w:separator/>
      </w:r>
    </w:p>
  </w:footnote>
  <w:footnote w:type="continuationSeparator" w:id="0">
    <w:p w14:paraId="501627FA" w14:textId="77777777" w:rsidR="00905785" w:rsidRDefault="00905785" w:rsidP="000B5E25">
      <w:r>
        <w:continuationSeparator/>
      </w:r>
    </w:p>
  </w:footnote>
  <w:footnote w:id="1">
    <w:p w14:paraId="27727F6A" w14:textId="77777777" w:rsidR="009A0452" w:rsidRPr="008A64CB" w:rsidRDefault="009A0452"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9A0452" w:rsidRPr="008A64CB" w:rsidRDefault="009A0452"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9A0452" w:rsidRPr="008A64CB" w:rsidRDefault="009A0452">
      <w:pPr>
        <w:pStyle w:val="Textonotapie"/>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79F4" w14:textId="77777777" w:rsidR="009A0452" w:rsidRDefault="00905785">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9" w:type="dxa"/>
      <w:tblInd w:w="2547" w:type="dxa"/>
      <w:tblLayout w:type="fixed"/>
      <w:tblLook w:val="04A0" w:firstRow="1" w:lastRow="0" w:firstColumn="1" w:lastColumn="0" w:noHBand="0" w:noVBand="1"/>
    </w:tblPr>
    <w:tblGrid>
      <w:gridCol w:w="2693"/>
      <w:gridCol w:w="4116"/>
    </w:tblGrid>
    <w:tr w:rsidR="009A0452" w:rsidRPr="008F2CCC" w14:paraId="74B9A3E9" w14:textId="77777777" w:rsidTr="008C6E96">
      <w:tc>
        <w:tcPr>
          <w:tcW w:w="2693" w:type="dxa"/>
          <w:shd w:val="clear" w:color="auto" w:fill="auto"/>
        </w:tcPr>
        <w:p w14:paraId="20B348EF" w14:textId="77777777" w:rsidR="009A0452" w:rsidRPr="00807CDA" w:rsidRDefault="009A0452"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6" w:type="dxa"/>
          <w:shd w:val="clear" w:color="auto" w:fill="auto"/>
          <w:vAlign w:val="center"/>
        </w:tcPr>
        <w:p w14:paraId="1901CA46" w14:textId="0A0C099C" w:rsidR="009A0452" w:rsidRPr="00CB053A" w:rsidRDefault="009A0452" w:rsidP="00C51A50">
          <w:pPr>
            <w:spacing w:line="276" w:lineRule="auto"/>
            <w:jc w:val="right"/>
            <w:rPr>
              <w:rFonts w:ascii="Palatino Linotype" w:hAnsi="Palatino Linotype"/>
              <w:sz w:val="22"/>
              <w:szCs w:val="22"/>
              <w:lang w:val="es-419"/>
            </w:rPr>
          </w:pPr>
          <w:r>
            <w:rPr>
              <w:rFonts w:ascii="Palatino Linotype" w:hAnsi="Palatino Linotype"/>
              <w:sz w:val="22"/>
              <w:szCs w:val="22"/>
              <w:lang w:val="es-419"/>
            </w:rPr>
            <w:t>11145</w:t>
          </w:r>
          <w:r w:rsidRPr="00971FFC">
            <w:rPr>
              <w:rFonts w:ascii="Palatino Linotype" w:hAnsi="Palatino Linotype"/>
              <w:sz w:val="22"/>
              <w:szCs w:val="22"/>
              <w:lang w:val="es-ES_tradnl"/>
            </w:rPr>
            <w:t>/INFOEM/IP/RR/2022</w:t>
          </w:r>
        </w:p>
      </w:tc>
    </w:tr>
    <w:tr w:rsidR="009A0452" w:rsidRPr="008F2CCC" w14:paraId="75D5F8C1" w14:textId="77777777" w:rsidTr="008C6E96">
      <w:tc>
        <w:tcPr>
          <w:tcW w:w="2693" w:type="dxa"/>
          <w:shd w:val="clear" w:color="auto" w:fill="auto"/>
          <w:vAlign w:val="center"/>
        </w:tcPr>
        <w:p w14:paraId="10D22299" w14:textId="77777777" w:rsidR="009A0452" w:rsidRPr="00807CDA" w:rsidRDefault="009A0452"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6" w:type="dxa"/>
          <w:shd w:val="clear" w:color="auto" w:fill="auto"/>
          <w:vAlign w:val="center"/>
        </w:tcPr>
        <w:p w14:paraId="7A785807" w14:textId="4FCD9202" w:rsidR="009A0452" w:rsidRPr="00675D99" w:rsidRDefault="009A0452" w:rsidP="007F59F5">
          <w:pPr>
            <w:spacing w:line="276" w:lineRule="auto"/>
            <w:jc w:val="right"/>
            <w:rPr>
              <w:rFonts w:ascii="Palatino Linotype" w:hAnsi="Palatino Linotype"/>
              <w:sz w:val="22"/>
              <w:szCs w:val="22"/>
              <w:lang w:val="es-419"/>
            </w:rPr>
          </w:pPr>
          <w:r>
            <w:rPr>
              <w:rFonts w:ascii="Palatino Linotype" w:hAnsi="Palatino Linotype"/>
              <w:sz w:val="22"/>
              <w:szCs w:val="22"/>
              <w:lang w:val="es-ES_tradnl"/>
            </w:rPr>
            <w:t>Ayuntamiento de Toluca</w:t>
          </w:r>
        </w:p>
      </w:tc>
    </w:tr>
    <w:tr w:rsidR="009A0452" w:rsidRPr="008F2CCC" w14:paraId="1314B4A7" w14:textId="77777777" w:rsidTr="008C6E96">
      <w:trPr>
        <w:trHeight w:val="228"/>
      </w:trPr>
      <w:tc>
        <w:tcPr>
          <w:tcW w:w="2693" w:type="dxa"/>
          <w:shd w:val="clear" w:color="auto" w:fill="auto"/>
        </w:tcPr>
        <w:p w14:paraId="2CB4F9D4" w14:textId="77777777" w:rsidR="009A0452" w:rsidRPr="00807CDA" w:rsidRDefault="009A0452"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6" w:type="dxa"/>
          <w:shd w:val="clear" w:color="auto" w:fill="auto"/>
        </w:tcPr>
        <w:p w14:paraId="35E0FB47" w14:textId="77777777" w:rsidR="009A0452" w:rsidRPr="0029071C" w:rsidRDefault="009A0452"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9A0452" w:rsidRPr="001779E0" w:rsidRDefault="0090578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Ind w:w="2552" w:type="dxa"/>
      <w:tblLayout w:type="fixed"/>
      <w:tblLook w:val="04A0" w:firstRow="1" w:lastRow="0" w:firstColumn="1" w:lastColumn="0" w:noHBand="0" w:noVBand="1"/>
    </w:tblPr>
    <w:tblGrid>
      <w:gridCol w:w="2688"/>
      <w:gridCol w:w="4116"/>
    </w:tblGrid>
    <w:tr w:rsidR="009A0452" w:rsidRPr="008F2CCC" w14:paraId="6E759B77" w14:textId="77777777" w:rsidTr="008C6E96">
      <w:tc>
        <w:tcPr>
          <w:tcW w:w="2688" w:type="dxa"/>
          <w:shd w:val="clear" w:color="auto" w:fill="auto"/>
        </w:tcPr>
        <w:p w14:paraId="7120B5F8" w14:textId="77777777" w:rsidR="009A0452" w:rsidRPr="00807CDA" w:rsidRDefault="009A0452"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6" w:type="dxa"/>
          <w:shd w:val="clear" w:color="auto" w:fill="auto"/>
          <w:vAlign w:val="center"/>
        </w:tcPr>
        <w:p w14:paraId="0EF1D499" w14:textId="2D172792" w:rsidR="009A0452" w:rsidRPr="00CB053A" w:rsidRDefault="009A0452" w:rsidP="00C51A50">
          <w:pPr>
            <w:spacing w:line="276" w:lineRule="auto"/>
            <w:jc w:val="right"/>
            <w:rPr>
              <w:rFonts w:ascii="Palatino Linotype" w:hAnsi="Palatino Linotype"/>
              <w:sz w:val="22"/>
              <w:szCs w:val="22"/>
              <w:lang w:val="es-419"/>
            </w:rPr>
          </w:pPr>
          <w:r>
            <w:rPr>
              <w:rFonts w:ascii="Palatino Linotype" w:hAnsi="Palatino Linotype"/>
              <w:sz w:val="22"/>
              <w:szCs w:val="22"/>
              <w:lang w:val="es-419"/>
            </w:rPr>
            <w:t>11145</w:t>
          </w:r>
          <w:r w:rsidRPr="00971FFC">
            <w:rPr>
              <w:rFonts w:ascii="Palatino Linotype" w:hAnsi="Palatino Linotype"/>
              <w:sz w:val="22"/>
              <w:szCs w:val="22"/>
              <w:lang w:val="es-ES_tradnl"/>
            </w:rPr>
            <w:t>/INFOEM/IP/RR/2022</w:t>
          </w:r>
          <w:r>
            <w:rPr>
              <w:rFonts w:ascii="Palatino Linotype" w:hAnsi="Palatino Linotype"/>
              <w:sz w:val="22"/>
              <w:szCs w:val="22"/>
              <w:lang w:val="es-419"/>
            </w:rPr>
            <w:t xml:space="preserve"> </w:t>
          </w:r>
        </w:p>
      </w:tc>
    </w:tr>
    <w:tr w:rsidR="009A0452" w:rsidRPr="008F2CCC" w14:paraId="00A7D2AF" w14:textId="77777777" w:rsidTr="008C6E96">
      <w:tc>
        <w:tcPr>
          <w:tcW w:w="2688" w:type="dxa"/>
          <w:shd w:val="clear" w:color="auto" w:fill="auto"/>
          <w:vAlign w:val="center"/>
        </w:tcPr>
        <w:p w14:paraId="30DA12AD" w14:textId="77777777" w:rsidR="009A0452" w:rsidRPr="00807CDA" w:rsidRDefault="009A045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116" w:type="dxa"/>
          <w:shd w:val="clear" w:color="auto" w:fill="auto"/>
          <w:vAlign w:val="center"/>
        </w:tcPr>
        <w:p w14:paraId="390B46CC" w14:textId="71C1339A" w:rsidR="009A0452" w:rsidRPr="00AF061E" w:rsidRDefault="00140901"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XXXXXXXXXXXXXXXX</w:t>
          </w:r>
        </w:p>
      </w:tc>
    </w:tr>
    <w:tr w:rsidR="009A0452" w:rsidRPr="00D81FF3" w14:paraId="30B43482" w14:textId="77777777" w:rsidTr="008C6E96">
      <w:trPr>
        <w:trHeight w:val="228"/>
      </w:trPr>
      <w:tc>
        <w:tcPr>
          <w:tcW w:w="2688" w:type="dxa"/>
          <w:shd w:val="clear" w:color="auto" w:fill="auto"/>
          <w:vAlign w:val="center"/>
        </w:tcPr>
        <w:p w14:paraId="414A3D7E" w14:textId="77777777" w:rsidR="009A0452" w:rsidRPr="00807CDA" w:rsidRDefault="009A045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6" w:type="dxa"/>
          <w:shd w:val="clear" w:color="auto" w:fill="auto"/>
          <w:vAlign w:val="center"/>
        </w:tcPr>
        <w:p w14:paraId="4318FD24" w14:textId="20E51FAF" w:rsidR="009A0452" w:rsidRPr="008C6E96" w:rsidRDefault="009A0452" w:rsidP="007F59F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Ayuntamiento de Toluca</w:t>
          </w:r>
        </w:p>
      </w:tc>
    </w:tr>
    <w:tr w:rsidR="009A0452" w:rsidRPr="008F2CCC" w14:paraId="1DA73D42" w14:textId="77777777" w:rsidTr="008C6E96">
      <w:tc>
        <w:tcPr>
          <w:tcW w:w="2688" w:type="dxa"/>
          <w:shd w:val="clear" w:color="auto" w:fill="auto"/>
        </w:tcPr>
        <w:p w14:paraId="0C4F1E52" w14:textId="77777777" w:rsidR="009A0452" w:rsidRPr="00807CDA" w:rsidRDefault="009A045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6" w:type="dxa"/>
          <w:shd w:val="clear" w:color="auto" w:fill="auto"/>
        </w:tcPr>
        <w:p w14:paraId="524AE104" w14:textId="77777777" w:rsidR="009A0452" w:rsidRPr="0029071C" w:rsidRDefault="009A0452"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9A0452" w:rsidRPr="009F1AB6" w:rsidRDefault="00905785">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548B"/>
    <w:multiLevelType w:val="hybridMultilevel"/>
    <w:tmpl w:val="338872EE"/>
    <w:lvl w:ilvl="0" w:tplc="1B2CBE9E">
      <w:start w:val="1"/>
      <w:numFmt w:val="lowerLetter"/>
      <w:lvlText w:val="%1)"/>
      <w:lvlJc w:val="left"/>
      <w:pPr>
        <w:ind w:left="114" w:hanging="210"/>
      </w:pPr>
      <w:rPr>
        <w:rFonts w:ascii="Bookman Old Style" w:hAnsi="Bookman Old Style" w:cs="Arial" w:hint="default"/>
        <w:b/>
        <w:bCs/>
        <w:spacing w:val="0"/>
        <w:w w:val="100"/>
        <w:position w:val="0"/>
        <w:sz w:val="20"/>
        <w:szCs w:val="20"/>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BB0C2C"/>
    <w:multiLevelType w:val="multilevel"/>
    <w:tmpl w:val="7154FDB0"/>
    <w:lvl w:ilvl="0">
      <w:numFmt w:val="bullet"/>
      <w:lvlText w:val="-"/>
      <w:lvlJc w:val="left"/>
      <w:pPr>
        <w:ind w:left="720" w:hanging="360"/>
      </w:pPr>
      <w:rPr>
        <w:rFonts w:ascii="Palatino Linotype" w:eastAsia="Palatino Linotype" w:hAnsi="Palatino Linotype" w:cs="Palatino Linotype"/>
        <w: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AF051A"/>
    <w:multiLevelType w:val="hybridMultilevel"/>
    <w:tmpl w:val="579200E2"/>
    <w:lvl w:ilvl="0" w:tplc="1228CE50">
      <w:start w:val="1"/>
      <w:numFmt w:val="lowerLetter"/>
      <w:lvlText w:val="%1)"/>
      <w:lvlJc w:val="left"/>
      <w:pPr>
        <w:ind w:left="114" w:hanging="220"/>
      </w:pPr>
      <w:rPr>
        <w:rFonts w:ascii="Bookman Old Style" w:hAnsi="Bookman Old Style" w:cs="Arial" w:hint="default"/>
        <w:b/>
        <w:bCs/>
        <w:spacing w:val="0"/>
        <w:w w:val="100"/>
        <w:position w:val="0"/>
        <w:sz w:val="20"/>
        <w:szCs w:val="20"/>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4"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5"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6" w15:restartNumberingAfterBreak="0">
    <w:nsid w:val="55EB6699"/>
    <w:multiLevelType w:val="hybridMultilevel"/>
    <w:tmpl w:val="724E94C2"/>
    <w:lvl w:ilvl="0" w:tplc="55E0CD2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6B7073C6"/>
    <w:multiLevelType w:val="hybridMultilevel"/>
    <w:tmpl w:val="B84840F0"/>
    <w:lvl w:ilvl="0" w:tplc="9DDEE72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5"/>
  </w:num>
  <w:num w:numId="5">
    <w:abstractNumId w:val="9"/>
  </w:num>
  <w:num w:numId="6">
    <w:abstractNumId w:val="7"/>
  </w:num>
  <w:num w:numId="7">
    <w:abstractNumId w:val="2"/>
  </w:num>
  <w:num w:numId="8">
    <w:abstractNumId w:val="4"/>
  </w:num>
  <w:num w:numId="9">
    <w:abstractNumId w:val="8"/>
  </w:num>
  <w:num w:numId="10">
    <w:abstractNumId w:val="0"/>
  </w:num>
  <w:num w:numId="11">
    <w:abstractNumId w:val="3"/>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419"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0371"/>
    <w:rsid w:val="00030906"/>
    <w:rsid w:val="00036F8B"/>
    <w:rsid w:val="00052754"/>
    <w:rsid w:val="000572E9"/>
    <w:rsid w:val="00071411"/>
    <w:rsid w:val="00087169"/>
    <w:rsid w:val="00093AE1"/>
    <w:rsid w:val="000A1ABF"/>
    <w:rsid w:val="000A2B55"/>
    <w:rsid w:val="000A5CD0"/>
    <w:rsid w:val="000A717C"/>
    <w:rsid w:val="000B5E25"/>
    <w:rsid w:val="000B7C6C"/>
    <w:rsid w:val="000B7F28"/>
    <w:rsid w:val="000C2670"/>
    <w:rsid w:val="000C43CE"/>
    <w:rsid w:val="000D3AD4"/>
    <w:rsid w:val="000D44B6"/>
    <w:rsid w:val="000D5AA5"/>
    <w:rsid w:val="000E00A4"/>
    <w:rsid w:val="000F16BA"/>
    <w:rsid w:val="000F4481"/>
    <w:rsid w:val="000F535D"/>
    <w:rsid w:val="00101AD8"/>
    <w:rsid w:val="00103CC0"/>
    <w:rsid w:val="00110D59"/>
    <w:rsid w:val="00112BE0"/>
    <w:rsid w:val="00121B3D"/>
    <w:rsid w:val="00123996"/>
    <w:rsid w:val="0012510D"/>
    <w:rsid w:val="00127BC3"/>
    <w:rsid w:val="00131A99"/>
    <w:rsid w:val="00133D72"/>
    <w:rsid w:val="0013589E"/>
    <w:rsid w:val="00140901"/>
    <w:rsid w:val="00141C55"/>
    <w:rsid w:val="00142DF4"/>
    <w:rsid w:val="00143578"/>
    <w:rsid w:val="0014497D"/>
    <w:rsid w:val="00156075"/>
    <w:rsid w:val="00164BB5"/>
    <w:rsid w:val="001679BE"/>
    <w:rsid w:val="00176DD3"/>
    <w:rsid w:val="001800C7"/>
    <w:rsid w:val="0018216B"/>
    <w:rsid w:val="00186CCB"/>
    <w:rsid w:val="0019170F"/>
    <w:rsid w:val="00192BE2"/>
    <w:rsid w:val="00193373"/>
    <w:rsid w:val="001A6109"/>
    <w:rsid w:val="001B3CA6"/>
    <w:rsid w:val="001C6331"/>
    <w:rsid w:val="001D36F8"/>
    <w:rsid w:val="001D4046"/>
    <w:rsid w:val="001E45B5"/>
    <w:rsid w:val="001F297E"/>
    <w:rsid w:val="0020249A"/>
    <w:rsid w:val="00202C04"/>
    <w:rsid w:val="00203EF3"/>
    <w:rsid w:val="00211701"/>
    <w:rsid w:val="002167BB"/>
    <w:rsid w:val="00217E6C"/>
    <w:rsid w:val="00225163"/>
    <w:rsid w:val="00231D2E"/>
    <w:rsid w:val="00234EA8"/>
    <w:rsid w:val="00235936"/>
    <w:rsid w:val="00236CBA"/>
    <w:rsid w:val="00255F1A"/>
    <w:rsid w:val="00261BC7"/>
    <w:rsid w:val="00267BB5"/>
    <w:rsid w:val="00281DBB"/>
    <w:rsid w:val="002827B7"/>
    <w:rsid w:val="002869F1"/>
    <w:rsid w:val="0029071C"/>
    <w:rsid w:val="00291C33"/>
    <w:rsid w:val="00294374"/>
    <w:rsid w:val="00295B3F"/>
    <w:rsid w:val="002A040B"/>
    <w:rsid w:val="002A46AE"/>
    <w:rsid w:val="002A4B43"/>
    <w:rsid w:val="002A4CDF"/>
    <w:rsid w:val="002A633E"/>
    <w:rsid w:val="002A676F"/>
    <w:rsid w:val="002B4B27"/>
    <w:rsid w:val="002B77CA"/>
    <w:rsid w:val="002C0BE5"/>
    <w:rsid w:val="002D225E"/>
    <w:rsid w:val="002D2830"/>
    <w:rsid w:val="002D37A8"/>
    <w:rsid w:val="002D61F7"/>
    <w:rsid w:val="002E3085"/>
    <w:rsid w:val="002E3D0D"/>
    <w:rsid w:val="002F3B20"/>
    <w:rsid w:val="0030171B"/>
    <w:rsid w:val="00304A90"/>
    <w:rsid w:val="00307006"/>
    <w:rsid w:val="0030701F"/>
    <w:rsid w:val="00310A26"/>
    <w:rsid w:val="00311808"/>
    <w:rsid w:val="00311CA0"/>
    <w:rsid w:val="00313675"/>
    <w:rsid w:val="00327FC9"/>
    <w:rsid w:val="00330FC3"/>
    <w:rsid w:val="00333378"/>
    <w:rsid w:val="00337CF3"/>
    <w:rsid w:val="00342C40"/>
    <w:rsid w:val="00343F0B"/>
    <w:rsid w:val="003520C5"/>
    <w:rsid w:val="0035394A"/>
    <w:rsid w:val="0037214F"/>
    <w:rsid w:val="0037313C"/>
    <w:rsid w:val="003746DE"/>
    <w:rsid w:val="003804E8"/>
    <w:rsid w:val="00380D3E"/>
    <w:rsid w:val="003875C5"/>
    <w:rsid w:val="003A743A"/>
    <w:rsid w:val="003B1C85"/>
    <w:rsid w:val="003C5F16"/>
    <w:rsid w:val="003D0329"/>
    <w:rsid w:val="003D201C"/>
    <w:rsid w:val="003E56C9"/>
    <w:rsid w:val="004018F9"/>
    <w:rsid w:val="004071D7"/>
    <w:rsid w:val="00421043"/>
    <w:rsid w:val="004239C3"/>
    <w:rsid w:val="00425E0F"/>
    <w:rsid w:val="0042783F"/>
    <w:rsid w:val="00430A26"/>
    <w:rsid w:val="004344EA"/>
    <w:rsid w:val="0043515A"/>
    <w:rsid w:val="00442DFB"/>
    <w:rsid w:val="00442FD8"/>
    <w:rsid w:val="00443892"/>
    <w:rsid w:val="004445A1"/>
    <w:rsid w:val="004455F2"/>
    <w:rsid w:val="00445CAA"/>
    <w:rsid w:val="00446EE4"/>
    <w:rsid w:val="00450034"/>
    <w:rsid w:val="0045595F"/>
    <w:rsid w:val="0046167C"/>
    <w:rsid w:val="00464044"/>
    <w:rsid w:val="0047739C"/>
    <w:rsid w:val="0048107F"/>
    <w:rsid w:val="004924E4"/>
    <w:rsid w:val="004A5129"/>
    <w:rsid w:val="004B3685"/>
    <w:rsid w:val="004D6F71"/>
    <w:rsid w:val="004E0818"/>
    <w:rsid w:val="004F376A"/>
    <w:rsid w:val="004F4609"/>
    <w:rsid w:val="004F5D96"/>
    <w:rsid w:val="00501DF8"/>
    <w:rsid w:val="005028F8"/>
    <w:rsid w:val="00522F48"/>
    <w:rsid w:val="00524A8D"/>
    <w:rsid w:val="00525CD7"/>
    <w:rsid w:val="00527464"/>
    <w:rsid w:val="005336D9"/>
    <w:rsid w:val="00534471"/>
    <w:rsid w:val="00534CC6"/>
    <w:rsid w:val="00545F5A"/>
    <w:rsid w:val="005505B2"/>
    <w:rsid w:val="00555C87"/>
    <w:rsid w:val="0056127B"/>
    <w:rsid w:val="00563B39"/>
    <w:rsid w:val="0057289F"/>
    <w:rsid w:val="00573BCD"/>
    <w:rsid w:val="00575E21"/>
    <w:rsid w:val="0059032F"/>
    <w:rsid w:val="00592581"/>
    <w:rsid w:val="005A28E8"/>
    <w:rsid w:val="005A6216"/>
    <w:rsid w:val="005B234D"/>
    <w:rsid w:val="005B26AD"/>
    <w:rsid w:val="005B36A8"/>
    <w:rsid w:val="005B5693"/>
    <w:rsid w:val="005B6D78"/>
    <w:rsid w:val="005C3D9E"/>
    <w:rsid w:val="005C6646"/>
    <w:rsid w:val="005D3747"/>
    <w:rsid w:val="005D77CC"/>
    <w:rsid w:val="005E5716"/>
    <w:rsid w:val="005E67E7"/>
    <w:rsid w:val="005F25CA"/>
    <w:rsid w:val="005F74BC"/>
    <w:rsid w:val="006002E0"/>
    <w:rsid w:val="00601E49"/>
    <w:rsid w:val="00602E9C"/>
    <w:rsid w:val="00620280"/>
    <w:rsid w:val="006258FD"/>
    <w:rsid w:val="00632E48"/>
    <w:rsid w:val="00642B75"/>
    <w:rsid w:val="006431AA"/>
    <w:rsid w:val="00643B58"/>
    <w:rsid w:val="0064490A"/>
    <w:rsid w:val="006645FE"/>
    <w:rsid w:val="00664F05"/>
    <w:rsid w:val="00666DAD"/>
    <w:rsid w:val="00675D99"/>
    <w:rsid w:val="006768BB"/>
    <w:rsid w:val="00691A28"/>
    <w:rsid w:val="00692788"/>
    <w:rsid w:val="00694976"/>
    <w:rsid w:val="006A0951"/>
    <w:rsid w:val="006A4451"/>
    <w:rsid w:val="006B321A"/>
    <w:rsid w:val="006B418F"/>
    <w:rsid w:val="006B4D19"/>
    <w:rsid w:val="006B6470"/>
    <w:rsid w:val="006C0690"/>
    <w:rsid w:val="006C35F4"/>
    <w:rsid w:val="006C79B8"/>
    <w:rsid w:val="006C7F91"/>
    <w:rsid w:val="006D1713"/>
    <w:rsid w:val="006D3A03"/>
    <w:rsid w:val="006E08FA"/>
    <w:rsid w:val="006E71B2"/>
    <w:rsid w:val="006F3EA6"/>
    <w:rsid w:val="006F5F93"/>
    <w:rsid w:val="007035C6"/>
    <w:rsid w:val="0070654D"/>
    <w:rsid w:val="00710FED"/>
    <w:rsid w:val="0071569A"/>
    <w:rsid w:val="007208BC"/>
    <w:rsid w:val="0072658E"/>
    <w:rsid w:val="00732345"/>
    <w:rsid w:val="00733E19"/>
    <w:rsid w:val="00756F04"/>
    <w:rsid w:val="007654D4"/>
    <w:rsid w:val="00767BEB"/>
    <w:rsid w:val="00767F43"/>
    <w:rsid w:val="00770F18"/>
    <w:rsid w:val="007777C0"/>
    <w:rsid w:val="007843A9"/>
    <w:rsid w:val="00790566"/>
    <w:rsid w:val="007A118C"/>
    <w:rsid w:val="007A4C5E"/>
    <w:rsid w:val="007C6806"/>
    <w:rsid w:val="007D2A81"/>
    <w:rsid w:val="007D759D"/>
    <w:rsid w:val="007E534B"/>
    <w:rsid w:val="007E7C02"/>
    <w:rsid w:val="007F2686"/>
    <w:rsid w:val="007F5504"/>
    <w:rsid w:val="007F59F5"/>
    <w:rsid w:val="007F7462"/>
    <w:rsid w:val="007F7FC6"/>
    <w:rsid w:val="008072E4"/>
    <w:rsid w:val="008105E8"/>
    <w:rsid w:val="00815B7E"/>
    <w:rsid w:val="008171DB"/>
    <w:rsid w:val="008320FF"/>
    <w:rsid w:val="008344D6"/>
    <w:rsid w:val="00835035"/>
    <w:rsid w:val="00835436"/>
    <w:rsid w:val="0083673D"/>
    <w:rsid w:val="00841AC5"/>
    <w:rsid w:val="00842CC3"/>
    <w:rsid w:val="008463DA"/>
    <w:rsid w:val="008500D3"/>
    <w:rsid w:val="00852668"/>
    <w:rsid w:val="00852EC4"/>
    <w:rsid w:val="0085361B"/>
    <w:rsid w:val="008578BF"/>
    <w:rsid w:val="008660D6"/>
    <w:rsid w:val="008A1A90"/>
    <w:rsid w:val="008A59DE"/>
    <w:rsid w:val="008A5D88"/>
    <w:rsid w:val="008A64CB"/>
    <w:rsid w:val="008B0295"/>
    <w:rsid w:val="008B0FB4"/>
    <w:rsid w:val="008B2E64"/>
    <w:rsid w:val="008B3AF1"/>
    <w:rsid w:val="008C2185"/>
    <w:rsid w:val="008C3B24"/>
    <w:rsid w:val="008C6E96"/>
    <w:rsid w:val="008E01E4"/>
    <w:rsid w:val="00900C9B"/>
    <w:rsid w:val="00901487"/>
    <w:rsid w:val="00905785"/>
    <w:rsid w:val="00913317"/>
    <w:rsid w:val="00916A7B"/>
    <w:rsid w:val="00926C44"/>
    <w:rsid w:val="00930E0C"/>
    <w:rsid w:val="009312F7"/>
    <w:rsid w:val="0093237A"/>
    <w:rsid w:val="00933752"/>
    <w:rsid w:val="0093645B"/>
    <w:rsid w:val="00940A97"/>
    <w:rsid w:val="009470B0"/>
    <w:rsid w:val="00955A3B"/>
    <w:rsid w:val="00955B5B"/>
    <w:rsid w:val="00957908"/>
    <w:rsid w:val="00971FFC"/>
    <w:rsid w:val="00972943"/>
    <w:rsid w:val="009758CB"/>
    <w:rsid w:val="00980909"/>
    <w:rsid w:val="00993406"/>
    <w:rsid w:val="00994608"/>
    <w:rsid w:val="009A0452"/>
    <w:rsid w:val="009A0F77"/>
    <w:rsid w:val="009A5223"/>
    <w:rsid w:val="009B23B7"/>
    <w:rsid w:val="009B2B6B"/>
    <w:rsid w:val="009B472F"/>
    <w:rsid w:val="009B671A"/>
    <w:rsid w:val="009D1E86"/>
    <w:rsid w:val="009D2E87"/>
    <w:rsid w:val="009D39B3"/>
    <w:rsid w:val="009E0B9B"/>
    <w:rsid w:val="009E0E89"/>
    <w:rsid w:val="009E1F26"/>
    <w:rsid w:val="009F4FF4"/>
    <w:rsid w:val="009F62C3"/>
    <w:rsid w:val="009F71DC"/>
    <w:rsid w:val="00A0100D"/>
    <w:rsid w:val="00A05133"/>
    <w:rsid w:val="00A05D3A"/>
    <w:rsid w:val="00A07579"/>
    <w:rsid w:val="00A16A44"/>
    <w:rsid w:val="00A40A28"/>
    <w:rsid w:val="00A44FA0"/>
    <w:rsid w:val="00A5260D"/>
    <w:rsid w:val="00A6692F"/>
    <w:rsid w:val="00A72262"/>
    <w:rsid w:val="00A95315"/>
    <w:rsid w:val="00AA26B4"/>
    <w:rsid w:val="00AB15E3"/>
    <w:rsid w:val="00AB7BD6"/>
    <w:rsid w:val="00AC2CD5"/>
    <w:rsid w:val="00AC3135"/>
    <w:rsid w:val="00AD33BE"/>
    <w:rsid w:val="00AE1A47"/>
    <w:rsid w:val="00AE3F0A"/>
    <w:rsid w:val="00AE48E9"/>
    <w:rsid w:val="00AE5995"/>
    <w:rsid w:val="00AE6704"/>
    <w:rsid w:val="00AE6E0E"/>
    <w:rsid w:val="00AF061E"/>
    <w:rsid w:val="00AF5115"/>
    <w:rsid w:val="00B01BD5"/>
    <w:rsid w:val="00B05B83"/>
    <w:rsid w:val="00B10B7F"/>
    <w:rsid w:val="00B12BA1"/>
    <w:rsid w:val="00B17992"/>
    <w:rsid w:val="00B23344"/>
    <w:rsid w:val="00B249BB"/>
    <w:rsid w:val="00B25218"/>
    <w:rsid w:val="00B309E3"/>
    <w:rsid w:val="00B31853"/>
    <w:rsid w:val="00B333DC"/>
    <w:rsid w:val="00B50B07"/>
    <w:rsid w:val="00B517E7"/>
    <w:rsid w:val="00B60E4C"/>
    <w:rsid w:val="00B6615A"/>
    <w:rsid w:val="00B80855"/>
    <w:rsid w:val="00B8098B"/>
    <w:rsid w:val="00BA5712"/>
    <w:rsid w:val="00BA77FB"/>
    <w:rsid w:val="00BB134B"/>
    <w:rsid w:val="00BC0CFA"/>
    <w:rsid w:val="00BC5966"/>
    <w:rsid w:val="00BD14B3"/>
    <w:rsid w:val="00BD25EB"/>
    <w:rsid w:val="00BD677A"/>
    <w:rsid w:val="00BE233B"/>
    <w:rsid w:val="00BE49A0"/>
    <w:rsid w:val="00BE7A6E"/>
    <w:rsid w:val="00BF31D0"/>
    <w:rsid w:val="00C00C2C"/>
    <w:rsid w:val="00C0648B"/>
    <w:rsid w:val="00C0746B"/>
    <w:rsid w:val="00C2063B"/>
    <w:rsid w:val="00C2421D"/>
    <w:rsid w:val="00C30D79"/>
    <w:rsid w:val="00C47A02"/>
    <w:rsid w:val="00C51A50"/>
    <w:rsid w:val="00C553F7"/>
    <w:rsid w:val="00C56DD5"/>
    <w:rsid w:val="00C62E5E"/>
    <w:rsid w:val="00C64A47"/>
    <w:rsid w:val="00C66114"/>
    <w:rsid w:val="00C74CE6"/>
    <w:rsid w:val="00C802FB"/>
    <w:rsid w:val="00C85B10"/>
    <w:rsid w:val="00C87001"/>
    <w:rsid w:val="00C879BA"/>
    <w:rsid w:val="00C905F5"/>
    <w:rsid w:val="00C94DC4"/>
    <w:rsid w:val="00C94FB8"/>
    <w:rsid w:val="00CA216C"/>
    <w:rsid w:val="00CA4B52"/>
    <w:rsid w:val="00CB053A"/>
    <w:rsid w:val="00CB5CD8"/>
    <w:rsid w:val="00CC0700"/>
    <w:rsid w:val="00CC4608"/>
    <w:rsid w:val="00CD024D"/>
    <w:rsid w:val="00CF4B46"/>
    <w:rsid w:val="00CF4E7B"/>
    <w:rsid w:val="00CF6609"/>
    <w:rsid w:val="00D0079A"/>
    <w:rsid w:val="00D12D45"/>
    <w:rsid w:val="00D21ECE"/>
    <w:rsid w:val="00D26A43"/>
    <w:rsid w:val="00D27727"/>
    <w:rsid w:val="00D323F5"/>
    <w:rsid w:val="00D327EA"/>
    <w:rsid w:val="00D4431A"/>
    <w:rsid w:val="00D56F25"/>
    <w:rsid w:val="00D57210"/>
    <w:rsid w:val="00D63B55"/>
    <w:rsid w:val="00D723DD"/>
    <w:rsid w:val="00D81FF3"/>
    <w:rsid w:val="00D901D7"/>
    <w:rsid w:val="00D92BFE"/>
    <w:rsid w:val="00DB4916"/>
    <w:rsid w:val="00DC2B31"/>
    <w:rsid w:val="00DC6060"/>
    <w:rsid w:val="00DC7F15"/>
    <w:rsid w:val="00DD1866"/>
    <w:rsid w:val="00DE0A8D"/>
    <w:rsid w:val="00DE562A"/>
    <w:rsid w:val="00DF027D"/>
    <w:rsid w:val="00DF266E"/>
    <w:rsid w:val="00DF3B3F"/>
    <w:rsid w:val="00DF59C5"/>
    <w:rsid w:val="00E04791"/>
    <w:rsid w:val="00E048E2"/>
    <w:rsid w:val="00E05FA7"/>
    <w:rsid w:val="00E106A2"/>
    <w:rsid w:val="00E153AB"/>
    <w:rsid w:val="00E167CC"/>
    <w:rsid w:val="00E21D69"/>
    <w:rsid w:val="00E30EBC"/>
    <w:rsid w:val="00E35F4C"/>
    <w:rsid w:val="00E42B2B"/>
    <w:rsid w:val="00E50A21"/>
    <w:rsid w:val="00E5647F"/>
    <w:rsid w:val="00E61810"/>
    <w:rsid w:val="00E65658"/>
    <w:rsid w:val="00E65F37"/>
    <w:rsid w:val="00E67AC0"/>
    <w:rsid w:val="00E711DE"/>
    <w:rsid w:val="00E74701"/>
    <w:rsid w:val="00E823B8"/>
    <w:rsid w:val="00E9091C"/>
    <w:rsid w:val="00E9132D"/>
    <w:rsid w:val="00E91CC5"/>
    <w:rsid w:val="00EA2369"/>
    <w:rsid w:val="00EA294B"/>
    <w:rsid w:val="00EA46CC"/>
    <w:rsid w:val="00EA61B9"/>
    <w:rsid w:val="00EA63F9"/>
    <w:rsid w:val="00EA7BF4"/>
    <w:rsid w:val="00EB6C62"/>
    <w:rsid w:val="00EC4C6F"/>
    <w:rsid w:val="00EC6F39"/>
    <w:rsid w:val="00EC72A3"/>
    <w:rsid w:val="00EC7A72"/>
    <w:rsid w:val="00ED46CB"/>
    <w:rsid w:val="00EE4BE0"/>
    <w:rsid w:val="00EE4D9C"/>
    <w:rsid w:val="00EE6265"/>
    <w:rsid w:val="00EE7518"/>
    <w:rsid w:val="00EF193B"/>
    <w:rsid w:val="00EF2D5F"/>
    <w:rsid w:val="00F140EB"/>
    <w:rsid w:val="00F1742A"/>
    <w:rsid w:val="00F22177"/>
    <w:rsid w:val="00F34A32"/>
    <w:rsid w:val="00F36A77"/>
    <w:rsid w:val="00F455F1"/>
    <w:rsid w:val="00F45DB2"/>
    <w:rsid w:val="00F570D3"/>
    <w:rsid w:val="00F63887"/>
    <w:rsid w:val="00F718AA"/>
    <w:rsid w:val="00F72125"/>
    <w:rsid w:val="00F73BB1"/>
    <w:rsid w:val="00F74AF6"/>
    <w:rsid w:val="00F76B72"/>
    <w:rsid w:val="00F80B7B"/>
    <w:rsid w:val="00F81441"/>
    <w:rsid w:val="00F849B1"/>
    <w:rsid w:val="00F84D96"/>
    <w:rsid w:val="00F8513C"/>
    <w:rsid w:val="00FA6D5C"/>
    <w:rsid w:val="00FC0DAE"/>
    <w:rsid w:val="00FC7CC7"/>
    <w:rsid w:val="00FD2A01"/>
    <w:rsid w:val="00FE2FFB"/>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EC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872425048">
      <w:bodyDiv w:val="1"/>
      <w:marLeft w:val="0"/>
      <w:marRight w:val="0"/>
      <w:marTop w:val="0"/>
      <w:marBottom w:val="0"/>
      <w:divBdr>
        <w:top w:val="none" w:sz="0" w:space="0" w:color="auto"/>
        <w:left w:val="none" w:sz="0" w:space="0" w:color="auto"/>
        <w:bottom w:val="none" w:sz="0" w:space="0" w:color="auto"/>
        <w:right w:val="none" w:sz="0" w:space="0" w:color="auto"/>
      </w:divBdr>
    </w:div>
    <w:div w:id="948246258">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59509470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9D9DC-1779-4058-814F-9E88EE8A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7921</Words>
  <Characters>43569</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7</cp:revision>
  <dcterms:created xsi:type="dcterms:W3CDTF">2022-10-11T00:49:00Z</dcterms:created>
  <dcterms:modified xsi:type="dcterms:W3CDTF">2022-10-27T19:05:00Z</dcterms:modified>
</cp:coreProperties>
</file>