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E6FFF" w14:textId="77777777" w:rsidR="00624757" w:rsidRDefault="008F47CD">
      <w:pPr>
        <w:spacing w:before="240" w:after="240"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b/>
        </w:rPr>
        <w:t>once de mayo del dos mil veintidós</w:t>
      </w:r>
      <w:r>
        <w:rPr>
          <w:rFonts w:ascii="Palatino Linotype" w:eastAsia="Palatino Linotype" w:hAnsi="Palatino Linotype" w:cs="Palatino Linotype"/>
        </w:rPr>
        <w:t>.</w:t>
      </w:r>
    </w:p>
    <w:p w14:paraId="182B8233" w14:textId="77777777" w:rsidR="00624757" w:rsidRDefault="008F47CD">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04014/INFOEM/IP/RR/2022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 particular de manera anónima,</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00139/CHIAUTLA/IP/2022,</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Chiautla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582E9C0B" w14:textId="77777777" w:rsidR="00624757" w:rsidRDefault="008F47CD">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0F2530B5"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veintidós de febrero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20CA5A03" w14:textId="77777777" w:rsidR="00624757" w:rsidRDefault="008F47CD">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el cuadro de clasificación archivística de la administración 2022-20224 del sistema municipal DIF de Chiautla” (Sic)</w:t>
      </w:r>
    </w:p>
    <w:p w14:paraId="0DEBD8CB"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2BE8A3F6" w14:textId="77777777" w:rsidR="00624757" w:rsidRDefault="00624757">
      <w:pPr>
        <w:spacing w:before="240" w:after="240" w:line="360" w:lineRule="auto"/>
        <w:ind w:left="567" w:right="900"/>
        <w:jc w:val="both"/>
        <w:rPr>
          <w:rFonts w:ascii="Palatino Linotype" w:eastAsia="Palatino Linotype" w:hAnsi="Palatino Linotype" w:cs="Palatino Linotype"/>
        </w:rPr>
      </w:pPr>
    </w:p>
    <w:p w14:paraId="16E6E165" w14:textId="77777777" w:rsidR="00624757" w:rsidRDefault="008F47C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14:paraId="3261AF0B" w14:textId="77777777" w:rsidR="00624757" w:rsidRDefault="008F47CD">
      <w:pPr>
        <w:spacing w:before="240" w:after="240" w:line="360" w:lineRule="auto"/>
        <w:jc w:val="both"/>
        <w:rPr>
          <w:rFonts w:ascii="Palatino Linotype" w:eastAsia="Palatino Linotype" w:hAnsi="Palatino Linotype" w:cs="Palatino Linotype"/>
          <w:b/>
        </w:rPr>
      </w:pPr>
      <w:r>
        <w:object w:dxaOrig="8835" w:dyaOrig="1365" w14:anchorId="4C28F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5pt;height:68.25pt" o:ole="">
            <v:imagedata r:id="rId8" o:title=""/>
          </v:shape>
          <o:OLEObject Type="Embed" ProgID="Paint.Picture.1" ShapeID="_x0000_i1025" DrawAspect="Content" ObjectID="_1716107177" r:id="rId9"/>
        </w:object>
      </w:r>
    </w:p>
    <w:p w14:paraId="6884FA2E" w14:textId="77777777" w:rsidR="00624757" w:rsidRDefault="008F47C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diecisiete de marzo de dos mil veintidós</w:t>
      </w:r>
      <w:r>
        <w:rPr>
          <w:rFonts w:ascii="Palatino Linotype" w:eastAsia="Palatino Linotype" w:hAnsi="Palatino Linotype" w:cs="Palatino Linotype"/>
        </w:rPr>
        <w:t>, expresando lo siguiente:</w:t>
      </w:r>
    </w:p>
    <w:p w14:paraId="507EB7F6" w14:textId="77777777" w:rsidR="00624757" w:rsidRDefault="008F47CD">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28643EDF" w14:textId="77777777" w:rsidR="00624757" w:rsidRDefault="008F47CD">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dan contestación” (Sic)</w:t>
      </w:r>
    </w:p>
    <w:p w14:paraId="28CCB712" w14:textId="77777777" w:rsidR="00624757" w:rsidRDefault="008F47C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50980102" w14:textId="77777777" w:rsidR="00624757" w:rsidRDefault="008F47CD">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dan contestación” (Sic)</w:t>
      </w:r>
    </w:p>
    <w:p w14:paraId="726B90E6" w14:textId="77777777" w:rsidR="00624757" w:rsidRDefault="008F47C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04014/INFOEM/IP/RR/2022</w:t>
      </w:r>
      <w:r>
        <w:rPr>
          <w:rFonts w:ascii="Palatino Linotype" w:eastAsia="Palatino Linotype" w:hAnsi="Palatino Linotype" w:cs="Palatino Linotype"/>
        </w:rPr>
        <w:t xml:space="preserve"> fue turnado a la </w:t>
      </w:r>
      <w:r>
        <w:rPr>
          <w:rFonts w:ascii="Palatino Linotype" w:eastAsia="Palatino Linotype" w:hAnsi="Palatino Linotype" w:cs="Palatino Linotype"/>
          <w:b/>
        </w:rPr>
        <w:t>Comisionada Ponente</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23A2CC54"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veintitrés de marzo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37858743"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w:t>
      </w:r>
      <w:r>
        <w:rPr>
          <w:rFonts w:ascii="Palatino Linotype" w:eastAsia="Palatino Linotype" w:hAnsi="Palatino Linotype" w:cs="Palatino Linotype"/>
        </w:rPr>
        <w:lastRenderedPageBreak/>
        <w:t xml:space="preserve">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18A2D987" w14:textId="77777777" w:rsidR="00624757" w:rsidRDefault="008F47CD">
      <w:pPr>
        <w:spacing w:before="240" w:after="240" w:line="360" w:lineRule="auto"/>
        <w:jc w:val="both"/>
        <w:rPr>
          <w:rFonts w:ascii="Palatino Linotype" w:eastAsia="Palatino Linotype" w:hAnsi="Palatino Linotype" w:cs="Palatino Linotype"/>
        </w:rPr>
      </w:pPr>
      <w:r>
        <w:object w:dxaOrig="8835" w:dyaOrig="2085" w14:anchorId="5A082C6C">
          <v:shape id="_x0000_i1026" type="#_x0000_t75" style="width:441.75pt;height:104.25pt" o:ole="">
            <v:imagedata r:id="rId10" o:title=""/>
          </v:shape>
          <o:OLEObject Type="Embed" ProgID="Paint.Picture.1" ShapeID="_x0000_i1026" DrawAspect="Content" ObjectID="_1716107178" r:id="rId11"/>
        </w:object>
      </w:r>
    </w:p>
    <w:p w14:paraId="3A7FCEC2"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veintinueve de abril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542BC397" w14:textId="77777777" w:rsidR="00624757" w:rsidRDefault="008F47CD">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 S:</w:t>
      </w:r>
    </w:p>
    <w:p w14:paraId="2DFB4CE7"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w:t>
      </w:r>
      <w:r>
        <w:rPr>
          <w:rFonts w:ascii="Palatino Linotype" w:eastAsia="Palatino Linotype" w:hAnsi="Palatino Linotype" w:cs="Palatino Linotype"/>
        </w:rPr>
        <w:lastRenderedPageBreak/>
        <w:t>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CC1F39D"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57ABA2A1" w14:textId="77777777" w:rsidR="00624757" w:rsidRDefault="008F47C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E8AD719" w14:textId="77777777" w:rsidR="00624757" w:rsidRDefault="008F47C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5F6AC767" w14:textId="77777777" w:rsidR="00624757" w:rsidRDefault="008F47CD">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1E7094DC" w14:textId="77777777" w:rsidR="00624757" w:rsidRDefault="008F47C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600B789D"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31EFDD2"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se constituye lo que en la doctrina se conoce como negativa ficta, figura jurídica cuya esencia consiste en atribuir un efecto negativo al silencio </w:t>
      </w:r>
      <w:r>
        <w:rPr>
          <w:rFonts w:ascii="Palatino Linotype" w:eastAsia="Palatino Linotype" w:hAnsi="Palatino Linotype" w:cs="Palatino Linotype"/>
        </w:rPr>
        <w:lastRenderedPageBreak/>
        <w:t>de la autoridad administrativa frente a las instancias y solicitudes que hagan los particulares.</w:t>
      </w:r>
    </w:p>
    <w:p w14:paraId="46FC3283" w14:textId="77777777" w:rsidR="00624757" w:rsidRDefault="008F47CD">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542AA188" w14:textId="77777777" w:rsidR="00624757" w:rsidRDefault="008F47C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0283C55D"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143723EE"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26A1C36"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w:t>
      </w:r>
      <w:r>
        <w:rPr>
          <w:rFonts w:ascii="Palatino Linotype" w:eastAsia="Palatino Linotype" w:hAnsi="Palatino Linotype" w:cs="Palatino Linotype"/>
        </w:rPr>
        <w:lastRenderedPageBreak/>
        <w:t>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5BC8F751" w14:textId="77777777" w:rsidR="00624757" w:rsidRDefault="008F47CD">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7C4C501" w14:textId="77777777" w:rsidR="00624757" w:rsidRDefault="008F47CD">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w:t>
      </w:r>
      <w:r>
        <w:rPr>
          <w:rFonts w:ascii="Palatino Linotype" w:eastAsia="Palatino Linotype" w:hAnsi="Palatino Linotype" w:cs="Palatino Linotype"/>
          <w:i/>
          <w:sz w:val="22"/>
          <w:szCs w:val="22"/>
        </w:rPr>
        <w:lastRenderedPageBreak/>
        <w:t>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62C68463"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4D1BFAD"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2DB33766" w14:textId="77777777" w:rsidR="00624757" w:rsidRDefault="008F47CD">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F611F18" w14:textId="77777777" w:rsidR="00624757" w:rsidRDefault="008F47CD">
      <w:pPr>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5BF2A9CB" w14:textId="77777777" w:rsidR="00624757" w:rsidRDefault="008F47C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0768B4EE" w14:textId="77777777" w:rsidR="00624757" w:rsidRDefault="008F47CD">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w:t>
      </w:r>
    </w:p>
    <w:p w14:paraId="56F1BC51"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12D24F90" w14:textId="77777777" w:rsidR="00624757" w:rsidRDefault="008F47CD">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éste, el derecho de acceso a la información previsto en la Constitución Política de los Estados Unidos Mexicanos y en la Constitución Política del Estado Libre y Soberano de México.</w:t>
      </w:r>
    </w:p>
    <w:p w14:paraId="2942FC83" w14:textId="77777777" w:rsidR="00624757" w:rsidRDefault="008F47CD">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00139/CHIAUTLA/IP/2022,</w:t>
      </w:r>
      <w:r>
        <w:rPr>
          <w:rFonts w:ascii="Palatino Linotype" w:eastAsia="Palatino Linotype" w:hAnsi="Palatino Linotype" w:cs="Palatino Linotype"/>
        </w:rPr>
        <w:t xml:space="preserve"> dentro del plazo legal previsto para ello.</w:t>
      </w:r>
    </w:p>
    <w:p w14:paraId="09DE0615"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259C1AF6" w14:textId="77777777" w:rsidR="00624757" w:rsidRDefault="008F47CD">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“solicito el cuadro de clasificación archivística de la administración 2022-20224 del sistema municipal DIF de Chiautla” (Sic)</w:t>
      </w:r>
    </w:p>
    <w:p w14:paraId="70C32635"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Órgano Colegiado de dictar el fallo correspondiente </w:t>
      </w:r>
      <w:r>
        <w:rPr>
          <w:rFonts w:ascii="Palatino Linotype" w:eastAsia="Palatino Linotype" w:hAnsi="Palatino Linotype" w:cs="Palatino Linotype"/>
        </w:rPr>
        <w:lastRenderedPageBreak/>
        <w:t>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99DAD1A" w14:textId="77777777" w:rsidR="00624757" w:rsidRDefault="008F47CD">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1067D04" w14:textId="77777777" w:rsidR="00624757" w:rsidRDefault="00624757">
      <w:pPr>
        <w:tabs>
          <w:tab w:val="left" w:pos="709"/>
        </w:tabs>
        <w:ind w:left="851" w:right="850"/>
        <w:jc w:val="both"/>
        <w:rPr>
          <w:rFonts w:ascii="Palatino Linotype" w:eastAsia="Palatino Linotype" w:hAnsi="Palatino Linotype" w:cs="Palatino Linotype"/>
        </w:rPr>
      </w:pPr>
    </w:p>
    <w:p w14:paraId="70F6A943" w14:textId="77777777" w:rsidR="00624757" w:rsidRDefault="008F47CD">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1C872FE" w14:textId="77777777" w:rsidR="00624757" w:rsidRDefault="008F47CD">
      <w:pPr>
        <w:tabs>
          <w:tab w:val="left" w:pos="709"/>
        </w:tabs>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1F03ED5" w14:textId="77777777" w:rsidR="00624757" w:rsidRDefault="008F47CD">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8A752F0" w14:textId="77777777" w:rsidR="00624757" w:rsidRDefault="008F47CD">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62587B3" w14:textId="77777777" w:rsidR="00624757" w:rsidRDefault="008F47CD">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68D38E94" w14:textId="77777777" w:rsidR="00624757" w:rsidRDefault="008F47CD">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711B895" w14:textId="77777777" w:rsidR="00624757" w:rsidRDefault="008F47CD">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E2E66D" w14:textId="77777777" w:rsidR="00624757" w:rsidRDefault="008F47C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4AEA337" w14:textId="77777777" w:rsidR="00624757" w:rsidRDefault="008F47CD">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AB8309F" w14:textId="77777777" w:rsidR="00624757" w:rsidRDefault="008F47CD">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72E3414" w14:textId="77777777" w:rsidR="00624757" w:rsidRDefault="008F47CD">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290C7D1" w14:textId="77777777" w:rsidR="00624757" w:rsidRDefault="008F47C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74E93FD" w14:textId="77777777" w:rsidR="00624757" w:rsidRDefault="008F47C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5C901C83" w14:textId="77777777" w:rsidR="00624757" w:rsidRDefault="008F47C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FA2B1FF" w14:textId="77777777" w:rsidR="00624757" w:rsidRDefault="008F47C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F934666" w14:textId="77777777" w:rsidR="00624757" w:rsidRDefault="00624757">
      <w:pPr>
        <w:ind w:left="1134" w:right="851"/>
        <w:jc w:val="both"/>
        <w:rPr>
          <w:rFonts w:ascii="Palatino Linotype" w:eastAsia="Palatino Linotype" w:hAnsi="Palatino Linotype" w:cs="Palatino Linotype"/>
          <w:i/>
          <w:sz w:val="22"/>
          <w:szCs w:val="22"/>
        </w:rPr>
      </w:pPr>
    </w:p>
    <w:p w14:paraId="10008AD4" w14:textId="77777777" w:rsidR="00624757" w:rsidRDefault="008F47C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FDA9D56" w14:textId="77777777" w:rsidR="00624757" w:rsidRDefault="008F47C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0D2E089" w14:textId="77777777" w:rsidR="00624757" w:rsidRDefault="008F47C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4FC97A6" w14:textId="77777777" w:rsidR="00624757" w:rsidRDefault="008F47C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95297C4" w14:textId="77777777" w:rsidR="00624757" w:rsidRDefault="008F47CD">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50952516" w14:textId="77777777" w:rsidR="00624757" w:rsidRDefault="008F47CD">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04BCAE4A" w14:textId="77777777" w:rsidR="00624757" w:rsidRDefault="008F47CD">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5576F292" w14:textId="77777777" w:rsidR="00624757" w:rsidRDefault="008F47C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4F44B2E4" w14:textId="77777777" w:rsidR="00624757" w:rsidRDefault="008F47CD">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198FA53B" w14:textId="77777777" w:rsidR="00624757" w:rsidRDefault="008F47C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36C27817" w14:textId="77777777" w:rsidR="00624757" w:rsidRDefault="008F47C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5D85D1E9" w14:textId="77777777" w:rsidR="00624757" w:rsidRDefault="008F47CD">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71D2C364" w14:textId="77777777" w:rsidR="00624757" w:rsidRDefault="008F47C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3D9EB4CF" w14:textId="77777777" w:rsidR="00624757" w:rsidRDefault="008F47C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0C8B4F2E" w14:textId="77777777" w:rsidR="00624757" w:rsidRDefault="008F47C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5769535A" w14:textId="77777777" w:rsidR="00624757" w:rsidRDefault="008F47C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7EAF9402" w14:textId="77777777" w:rsidR="00624757" w:rsidRDefault="008F47C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30CE1BA5" w14:textId="77777777" w:rsidR="00624757" w:rsidRDefault="008F47C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6E0759C9" w14:textId="77777777" w:rsidR="00624757" w:rsidRDefault="008F47C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2B0C73D9" w14:textId="77777777" w:rsidR="00624757" w:rsidRDefault="008F47C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17C5212E" w14:textId="77777777" w:rsidR="00624757" w:rsidRDefault="008F47CD">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009690EC" w14:textId="77777777" w:rsidR="00624757" w:rsidRDefault="008F47C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B424B7C" w14:textId="77777777" w:rsidR="00624757" w:rsidRDefault="008F47C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9568BCC" w14:textId="77777777" w:rsidR="00624757" w:rsidRDefault="008F47CD">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83DD57A" w14:textId="77777777" w:rsidR="00624757" w:rsidRDefault="008F47CD">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w:t>
      </w:r>
      <w:r>
        <w:rPr>
          <w:rFonts w:ascii="Palatino Linotype" w:eastAsia="Palatino Linotype" w:hAnsi="Palatino Linotype" w:cs="Palatino Linotype"/>
        </w:rPr>
        <w:lastRenderedPageBreak/>
        <w:t>los trámites internos necesarios para la atención de las solicitudes de acceso a la información; así como, entregar, en su caso, a los particulares la información solicitada.</w:t>
      </w:r>
    </w:p>
    <w:p w14:paraId="7733B2FF" w14:textId="77777777" w:rsidR="00624757" w:rsidRDefault="008F47C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566EB08" w14:textId="77777777" w:rsidR="00624757" w:rsidRDefault="008F47CD">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8535844" w14:textId="77777777" w:rsidR="00624757" w:rsidRDefault="008F47C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206DF1AF" w14:textId="77777777" w:rsidR="00624757" w:rsidRDefault="008F47C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34DD9D44" w14:textId="77777777" w:rsidR="00624757" w:rsidRDefault="008F47CD">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4E7199D" w14:textId="77777777" w:rsidR="00624757" w:rsidRDefault="008F47C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20CE62B2" w14:textId="77777777" w:rsidR="00624757" w:rsidRDefault="008F47C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14:paraId="28AD0528" w14:textId="77777777" w:rsidR="00624757" w:rsidRDefault="008F47C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w:t>
      </w:r>
      <w:r>
        <w:rPr>
          <w:rFonts w:ascii="Palatino Linotype" w:eastAsia="Palatino Linotype" w:hAnsi="Palatino Linotype" w:cs="Palatino Linotype"/>
        </w:rPr>
        <w:lastRenderedPageBreak/>
        <w:t xml:space="preserve">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10AB95BE" w14:textId="77777777" w:rsidR="00624757" w:rsidRDefault="008F47CD">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19C5512" w14:textId="77777777" w:rsidR="00624757" w:rsidRDefault="008F47CD">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5784C1D"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730CAD54"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48626394"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1930C8C"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0154F9EE"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3404D33D"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8289DD8"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093C2806"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63D820FB"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5761CDD"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4F3E48C3"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37A520F"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6AACE89"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01C22362"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FD41044"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580B3E1"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581B1E7"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1B92CBBA"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99E6C1E"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DA6BB06"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061C640"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41FF3C79"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7BFC2C6" w14:textId="77777777" w:rsidR="00624757" w:rsidRDefault="008F47C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2A025D6" w14:textId="77777777" w:rsidR="00624757" w:rsidRDefault="008F47CD">
      <w:pPr>
        <w:spacing w:before="120" w:after="120"/>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4D8389E" w14:textId="77777777" w:rsidR="00624757" w:rsidRDefault="008F47C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manera estricta, las excepciones del derecho de acceso a la información y sólo </w:t>
      </w:r>
      <w:r>
        <w:rPr>
          <w:rFonts w:ascii="Palatino Linotype" w:eastAsia="Palatino Linotype" w:hAnsi="Palatino Linotype" w:cs="Palatino Linotype"/>
        </w:rPr>
        <w:lastRenderedPageBreak/>
        <w:t>podrán invocarlas cuando acrediten su procedencia, debiendo clasificar la información en el momento en que:</w:t>
      </w:r>
    </w:p>
    <w:p w14:paraId="1600CFE1" w14:textId="77777777" w:rsidR="00624757" w:rsidRDefault="008F47CD">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3833B358" w14:textId="77777777" w:rsidR="00624757" w:rsidRDefault="008F47CD">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3274112F" w14:textId="77777777" w:rsidR="00624757" w:rsidRDefault="008F47CD">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29C4063A" w14:textId="77777777" w:rsidR="00624757" w:rsidRDefault="008F47CD">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602FA3DA" w14:textId="77777777" w:rsidR="00624757" w:rsidRDefault="008F47C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1EADD8A9" w14:textId="77777777" w:rsidR="00624757" w:rsidRDefault="008F47C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E5D858B" w14:textId="77777777" w:rsidR="00624757" w:rsidRDefault="008F47CD">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w:t>
      </w:r>
      <w:r>
        <w:rPr>
          <w:rFonts w:ascii="Palatino Linotype" w:eastAsia="Palatino Linotype" w:hAnsi="Palatino Linotype" w:cs="Palatino Linotype"/>
        </w:rPr>
        <w:lastRenderedPageBreak/>
        <w:t>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4D8D72D" w14:textId="77777777" w:rsidR="00624757" w:rsidRDefault="008F47C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7DC39D3B" w14:textId="77777777" w:rsidR="00624757" w:rsidRDefault="008F47CD">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5473D000" w14:textId="77777777" w:rsidR="00624757" w:rsidRDefault="008F47CD">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79FF7BAB" w14:textId="77777777" w:rsidR="00624757" w:rsidRDefault="008F47CD">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9384FFF" w14:textId="77777777" w:rsidR="00624757" w:rsidRDefault="008F47CD">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Atento a lo anterior, es necesario hacer hincapié que en el caso de que existan causas presentes que impiden la publicidad de la información durante cierto periodo de tiempo, las razones objetivas por las que la apertura de la información generaría </w:t>
      </w:r>
      <w:r>
        <w:rPr>
          <w:rFonts w:ascii="Palatino Linotype" w:eastAsia="Palatino Linotype" w:hAnsi="Palatino Linotype" w:cs="Palatino Linotype"/>
          <w:color w:val="000000"/>
        </w:rPr>
        <w:lastRenderedPageBreak/>
        <w:t>una afectación, deben aplicar de manera restrictiva y limitada las hipótesis de clasificación y no hacerlas valer de manera general.</w:t>
      </w:r>
    </w:p>
    <w:p w14:paraId="6061D3A9" w14:textId="77777777" w:rsidR="00624757" w:rsidRDefault="008F47C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2401D50F" w14:textId="77777777" w:rsidR="00624757" w:rsidRDefault="008F47C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7557720B" w14:textId="77777777" w:rsidR="00624757" w:rsidRDefault="008F47C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w:t>
      </w:r>
      <w:r>
        <w:rPr>
          <w:rFonts w:ascii="Palatino Linotype" w:eastAsia="Palatino Linotype" w:hAnsi="Palatino Linotype" w:cs="Palatino Linotype"/>
          <w:i/>
          <w:sz w:val="22"/>
          <w:szCs w:val="22"/>
        </w:rPr>
        <w:lastRenderedPageBreak/>
        <w:t>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36BF08C8" w14:textId="77777777" w:rsidR="00624757" w:rsidRDefault="008F47CD">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9C0B300" w14:textId="77777777" w:rsidR="00624757" w:rsidRDefault="008F47CD">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xml:space="preserve">, de igual forma </w:t>
      </w:r>
      <w:r>
        <w:rPr>
          <w:rFonts w:ascii="Palatino Linotype" w:eastAsia="Palatino Linotype" w:hAnsi="Palatino Linotype" w:cs="Palatino Linotype"/>
        </w:rPr>
        <w:lastRenderedPageBreak/>
        <w:t>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09FF8BE" w14:textId="77777777" w:rsidR="00624757" w:rsidRDefault="008F47C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24166086" w14:textId="77777777" w:rsidR="00624757" w:rsidRDefault="008F47C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981C3CF" w14:textId="77777777" w:rsidR="00624757" w:rsidRDefault="008F47C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241887B" w14:textId="77777777" w:rsidR="00624757" w:rsidRDefault="008F47C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371DBDF0" w14:textId="77777777" w:rsidR="00624757" w:rsidRDefault="008F47CD">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B0C5F35" w14:textId="77777777" w:rsidR="00624757" w:rsidRDefault="008F47C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74AD1E83" w14:textId="77777777" w:rsidR="00624757" w:rsidRDefault="008F47CD">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w:t>
      </w:r>
      <w:r>
        <w:rPr>
          <w:rFonts w:ascii="Palatino Linotype" w:eastAsia="Palatino Linotype" w:hAnsi="Palatino Linotype" w:cs="Palatino Linotype"/>
        </w:rPr>
        <w:lastRenderedPageBreak/>
        <w:t xml:space="preserve">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30787284" w14:textId="77777777" w:rsidR="00624757" w:rsidRDefault="008F47CD">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7CDED39" w14:textId="77777777" w:rsidR="00624757" w:rsidRDefault="008F47CD">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5212712F" w14:textId="77777777" w:rsidR="00624757" w:rsidRDefault="008F47C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288CEADF" w14:textId="77777777" w:rsidR="00624757" w:rsidRDefault="008F47CD">
      <w:pPr>
        <w:spacing w:before="240" w:after="240" w:line="360" w:lineRule="auto"/>
        <w:jc w:val="both"/>
        <w:rPr>
          <w:rFonts w:ascii="Palatino Linotype" w:eastAsia="Palatino Linotype" w:hAnsi="Palatino Linotype" w:cs="Palatino Linotype"/>
        </w:rPr>
      </w:pPr>
      <w:bookmarkStart w:id="4" w:name="_heading=h.3dy6vkm" w:colFirst="0" w:colLast="0"/>
      <w:bookmarkEnd w:id="4"/>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dé trámite a la solicitud de acceso a la información pública </w:t>
      </w:r>
      <w:r>
        <w:rPr>
          <w:rFonts w:ascii="Palatino Linotype" w:eastAsia="Palatino Linotype" w:hAnsi="Palatino Linotype" w:cs="Palatino Linotype"/>
          <w:b/>
        </w:rPr>
        <w:t xml:space="preserve">00139/CHIAUTLA/IP/2022, </w:t>
      </w:r>
      <w:r>
        <w:rPr>
          <w:rFonts w:ascii="Palatino Linotype" w:eastAsia="Palatino Linotype" w:hAnsi="Palatino Linotype" w:cs="Palatino Linotype"/>
        </w:rPr>
        <w:t xml:space="preserve">que dio origen al recurso de revisión </w:t>
      </w:r>
      <w:r>
        <w:rPr>
          <w:rFonts w:ascii="Palatino Linotype" w:eastAsia="Palatino Linotype" w:hAnsi="Palatino Linotype" w:cs="Palatino Linotype"/>
          <w:b/>
        </w:rPr>
        <w:t>04014/INFOEM/IP/RR/2022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vía </w:t>
      </w:r>
      <w:r>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411B3BD6" w14:textId="77777777" w:rsidR="00624757" w:rsidRDefault="008F47CD">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w:t>
      </w:r>
      <w:r>
        <w:rPr>
          <w:rFonts w:ascii="Palatino Linotype" w:eastAsia="Palatino Linotype" w:hAnsi="Palatino Linotype" w:cs="Palatino Linotype"/>
        </w:rPr>
        <w:lastRenderedPageBreak/>
        <w:t>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CD35DE1" w14:textId="77777777" w:rsidR="00624757" w:rsidRDefault="008F47C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3C5521C" w14:textId="77777777" w:rsidR="00624757" w:rsidRDefault="008F47CD">
      <w:pPr>
        <w:spacing w:before="240" w:after="240" w:line="360" w:lineRule="auto"/>
        <w:jc w:val="both"/>
        <w:rPr>
          <w:rFonts w:ascii="Palatino Linotype" w:eastAsia="Palatino Linotype" w:hAnsi="Palatino Linotype" w:cs="Palatino Linotype"/>
          <w:b/>
        </w:rPr>
      </w:pPr>
      <w:bookmarkStart w:id="6" w:name="_heading=h.tyjcwt" w:colFirst="0" w:colLast="0"/>
      <w:bookmarkEnd w:id="6"/>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3EBE00E" w14:textId="77777777" w:rsidR="00624757" w:rsidRDefault="008F47C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2AFF316F" w14:textId="77777777" w:rsidR="00624757" w:rsidRDefault="008F47C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 xml:space="preserve">Con fundamento en el artículo 198 de la Ley de la Ley de Transparencia y Acceso a la Información Pública del Estado de México y Municipios, se apercibe al </w:t>
      </w:r>
      <w:r>
        <w:rPr>
          <w:rFonts w:ascii="Palatino Linotype" w:eastAsia="Palatino Linotype" w:hAnsi="Palatino Linotype" w:cs="Palatino Linotype"/>
        </w:rPr>
        <w:lastRenderedPageBreak/>
        <w:t>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bookmarkStart w:id="7" w:name="_heading=h.2et92p0" w:colFirst="0" w:colLast="0"/>
    <w:bookmarkEnd w:id="7"/>
    <w:p w14:paraId="1B183995" w14:textId="77777777" w:rsidR="00624757" w:rsidRDefault="008F47CD">
      <w:pPr>
        <w:spacing w:line="360" w:lineRule="auto"/>
        <w:ind w:right="49"/>
        <w:jc w:val="both"/>
        <w:rPr>
          <w:rFonts w:ascii="Palatino Linotype" w:eastAsia="Palatino Linotype" w:hAnsi="Palatino Linotype" w:cs="Palatino Linotype"/>
        </w:rPr>
        <w:sectPr w:rsidR="00624757">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069D0D18" wp14:editId="520C0DBC">
                <wp:simplePos x="0" y="0"/>
                <wp:positionH relativeFrom="column">
                  <wp:posOffset>81915</wp:posOffset>
                </wp:positionH>
                <wp:positionV relativeFrom="paragraph">
                  <wp:posOffset>2679065</wp:posOffset>
                </wp:positionV>
                <wp:extent cx="5238750" cy="38862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238750" cy="388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18BEC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210.95pt" to="418.95pt,5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" strokecolor="black [3200]" strokeweight=".5pt">
                <v:stroke joinstyle="miter"/>
              </v:line>
            </w:pict>
          </mc:Fallback>
        </mc:AlternateContent>
      </w: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SÉPTIMA SESIÓN ORDINARIA CELEBRADA EL ONCE DE MAYO DE DOS MIL VEINTIDÓS, ANTE EL SECRETARIO TÉCNICO DEL PLENO ALEXIS TAPIA RAMÍREZ.</w:t>
      </w:r>
    </w:p>
    <w:p w14:paraId="0B65BCD5" w14:textId="77777777" w:rsidR="00624757" w:rsidRDefault="00624757">
      <w:pPr>
        <w:tabs>
          <w:tab w:val="left" w:pos="709"/>
        </w:tabs>
        <w:spacing w:before="240" w:after="240" w:line="360" w:lineRule="auto"/>
        <w:jc w:val="both"/>
        <w:rPr>
          <w:rFonts w:ascii="Palatino Linotype" w:eastAsia="Palatino Linotype" w:hAnsi="Palatino Linotype" w:cs="Palatino Linotype"/>
        </w:rPr>
      </w:pPr>
    </w:p>
    <w:p w14:paraId="5909F797" w14:textId="77777777" w:rsidR="00624757" w:rsidRDefault="00624757"/>
    <w:p w14:paraId="6E6C4F3E" w14:textId="77777777" w:rsidR="00624757" w:rsidRDefault="00624757"/>
    <w:sectPr w:rsidR="00624757">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49877" w14:textId="77777777" w:rsidR="00AB0653" w:rsidRDefault="00AB0653">
      <w:r>
        <w:separator/>
      </w:r>
    </w:p>
  </w:endnote>
  <w:endnote w:type="continuationSeparator" w:id="0">
    <w:p w14:paraId="0A46BFF8" w14:textId="77777777" w:rsidR="00AB0653" w:rsidRDefault="00AB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B25FD" w14:textId="77777777" w:rsidR="00624757" w:rsidRDefault="008F47C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31EE4">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31EE4">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4D5D5CC3" w14:textId="77777777" w:rsidR="00624757" w:rsidRDefault="00624757">
    <w:pPr>
      <w:pBdr>
        <w:top w:val="nil"/>
        <w:left w:val="nil"/>
        <w:bottom w:val="nil"/>
        <w:right w:val="nil"/>
        <w:between w:val="nil"/>
      </w:pBdr>
      <w:tabs>
        <w:tab w:val="center" w:pos="4252"/>
        <w:tab w:val="right" w:pos="8504"/>
      </w:tabs>
      <w:rPr>
        <w:color w:val="000000"/>
      </w:rPr>
    </w:pPr>
  </w:p>
  <w:p w14:paraId="11BC7671" w14:textId="77777777" w:rsidR="00624757" w:rsidRDefault="0062475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6E387" w14:textId="77777777" w:rsidR="00624757" w:rsidRDefault="008F47C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31EE4">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31EE4">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3063854A" w14:textId="77777777" w:rsidR="00624757" w:rsidRDefault="0062475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FE411" w14:textId="77777777" w:rsidR="00AB0653" w:rsidRDefault="00AB0653">
      <w:r>
        <w:separator/>
      </w:r>
    </w:p>
  </w:footnote>
  <w:footnote w:type="continuationSeparator" w:id="0">
    <w:p w14:paraId="06E601D7" w14:textId="77777777" w:rsidR="00AB0653" w:rsidRDefault="00AB0653">
      <w:r>
        <w:continuationSeparator/>
      </w:r>
    </w:p>
  </w:footnote>
  <w:footnote w:id="1">
    <w:p w14:paraId="20D844EB" w14:textId="77777777" w:rsidR="00624757" w:rsidRDefault="008F47C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23D8A2E5" w14:textId="77777777" w:rsidR="00624757" w:rsidRDefault="008F47C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48EDF585" w14:textId="77777777" w:rsidR="00624757" w:rsidRDefault="008F47C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6BF0D059" w14:textId="77777777" w:rsidR="00624757" w:rsidRDefault="008F47C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1075C8CB" w14:textId="77777777" w:rsidR="00624757" w:rsidRDefault="008F47C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11A4BAF0" w14:textId="77777777" w:rsidR="00624757" w:rsidRDefault="008F47C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7A43C96" w14:textId="77777777" w:rsidR="00624757" w:rsidRDefault="008F47C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2B5378E" w14:textId="77777777" w:rsidR="00624757" w:rsidRDefault="008F47C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2D214689" w14:textId="77777777" w:rsidR="00624757" w:rsidRDefault="008F47C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A73A8" w14:textId="77777777" w:rsidR="00624757" w:rsidRDefault="008F47CD">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3FC793ED" wp14:editId="6682CB14">
          <wp:simplePos x="0" y="0"/>
          <wp:positionH relativeFrom="column">
            <wp:posOffset>-1080131</wp:posOffset>
          </wp:positionH>
          <wp:positionV relativeFrom="paragraph">
            <wp:posOffset>-450844</wp:posOffset>
          </wp:positionV>
          <wp:extent cx="7635163" cy="9944100"/>
          <wp:effectExtent l="0" t="0" r="0" b="0"/>
          <wp:wrapNone/>
          <wp:docPr id="1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8"/>
      <w:tblW w:w="5528" w:type="dxa"/>
      <w:tblInd w:w="3261" w:type="dxa"/>
      <w:tblLayout w:type="fixed"/>
      <w:tblLook w:val="0400" w:firstRow="0" w:lastRow="0" w:firstColumn="0" w:lastColumn="0" w:noHBand="0" w:noVBand="1"/>
    </w:tblPr>
    <w:tblGrid>
      <w:gridCol w:w="2552"/>
      <w:gridCol w:w="2976"/>
    </w:tblGrid>
    <w:tr w:rsidR="00624757" w14:paraId="416526AD" w14:textId="77777777">
      <w:tc>
        <w:tcPr>
          <w:tcW w:w="2552" w:type="dxa"/>
          <w:vAlign w:val="center"/>
        </w:tcPr>
        <w:p w14:paraId="7D73C7F3" w14:textId="77777777" w:rsidR="00624757" w:rsidRDefault="008F47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6" w:type="dxa"/>
          <w:vAlign w:val="center"/>
        </w:tcPr>
        <w:p w14:paraId="5DCA9FE6" w14:textId="77777777" w:rsidR="00624757" w:rsidRDefault="008F47C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04014/INFOEM/IP/RR/2022 </w:t>
          </w:r>
        </w:p>
      </w:tc>
    </w:tr>
    <w:tr w:rsidR="00624757" w14:paraId="4510FB0C" w14:textId="77777777">
      <w:trPr>
        <w:trHeight w:val="228"/>
      </w:trPr>
      <w:tc>
        <w:tcPr>
          <w:tcW w:w="2552" w:type="dxa"/>
          <w:vAlign w:val="center"/>
        </w:tcPr>
        <w:p w14:paraId="608998CE" w14:textId="77777777" w:rsidR="00624757" w:rsidRDefault="008F47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6" w:type="dxa"/>
          <w:vAlign w:val="center"/>
        </w:tcPr>
        <w:p w14:paraId="19B80E80" w14:textId="77777777" w:rsidR="00624757" w:rsidRDefault="008F47C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Chiautla</w:t>
          </w:r>
        </w:p>
      </w:tc>
    </w:tr>
    <w:tr w:rsidR="00624757" w14:paraId="13843BCD" w14:textId="77777777">
      <w:tc>
        <w:tcPr>
          <w:tcW w:w="2552" w:type="dxa"/>
          <w:vAlign w:val="center"/>
        </w:tcPr>
        <w:p w14:paraId="377BDE31" w14:textId="77777777" w:rsidR="00624757" w:rsidRDefault="008F47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6" w:type="dxa"/>
          <w:vAlign w:val="center"/>
        </w:tcPr>
        <w:p w14:paraId="2607C7AF" w14:textId="77777777" w:rsidR="00624757" w:rsidRDefault="008F47C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2F6D5ED" w14:textId="77777777" w:rsidR="00624757" w:rsidRDefault="008F47CD">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AF984" w14:textId="77777777" w:rsidR="00624757" w:rsidRDefault="008F47CD">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2B5B241" wp14:editId="4F844858">
          <wp:simplePos x="0" y="0"/>
          <wp:positionH relativeFrom="column">
            <wp:posOffset>-1013455</wp:posOffset>
          </wp:positionH>
          <wp:positionV relativeFrom="paragraph">
            <wp:posOffset>-372105</wp:posOffset>
          </wp:positionV>
          <wp:extent cx="7635600" cy="9943200"/>
          <wp:effectExtent l="0" t="0" r="0" b="0"/>
          <wp:wrapNone/>
          <wp:docPr id="1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624757" w14:paraId="623E041F" w14:textId="77777777">
      <w:tc>
        <w:tcPr>
          <w:tcW w:w="2551" w:type="dxa"/>
          <w:vAlign w:val="center"/>
        </w:tcPr>
        <w:p w14:paraId="18732EB2" w14:textId="77777777" w:rsidR="00624757" w:rsidRDefault="008F47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15D33251" w14:textId="77777777" w:rsidR="00624757" w:rsidRDefault="008F47C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04014/INFOEM/IP/RR/2022</w:t>
          </w:r>
        </w:p>
      </w:tc>
    </w:tr>
    <w:tr w:rsidR="00624757" w14:paraId="524E30D5" w14:textId="77777777">
      <w:tc>
        <w:tcPr>
          <w:tcW w:w="2551" w:type="dxa"/>
          <w:vAlign w:val="center"/>
        </w:tcPr>
        <w:p w14:paraId="00310A08" w14:textId="77777777" w:rsidR="00624757" w:rsidRDefault="008F47CD">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745A968A" w14:textId="77777777" w:rsidR="00624757" w:rsidRDefault="00624757">
          <w:pPr>
            <w:jc w:val="both"/>
            <w:rPr>
              <w:rFonts w:ascii="Palatino Linotype" w:eastAsia="Palatino Linotype" w:hAnsi="Palatino Linotype" w:cs="Palatino Linotype"/>
              <w:b/>
              <w:sz w:val="22"/>
              <w:szCs w:val="22"/>
            </w:rPr>
          </w:pPr>
        </w:p>
      </w:tc>
    </w:tr>
    <w:tr w:rsidR="00624757" w14:paraId="0031EA59" w14:textId="77777777">
      <w:trPr>
        <w:trHeight w:val="228"/>
      </w:trPr>
      <w:tc>
        <w:tcPr>
          <w:tcW w:w="2551" w:type="dxa"/>
          <w:vAlign w:val="center"/>
        </w:tcPr>
        <w:p w14:paraId="1CB4379E" w14:textId="77777777" w:rsidR="00624757" w:rsidRDefault="008F47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48C672E0" w14:textId="77777777" w:rsidR="00624757" w:rsidRDefault="008F47C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Chiautla</w:t>
          </w:r>
        </w:p>
      </w:tc>
    </w:tr>
    <w:tr w:rsidR="00624757" w14:paraId="381EC539" w14:textId="77777777">
      <w:tc>
        <w:tcPr>
          <w:tcW w:w="2551" w:type="dxa"/>
          <w:vAlign w:val="center"/>
        </w:tcPr>
        <w:p w14:paraId="15F80C2F" w14:textId="77777777" w:rsidR="00624757" w:rsidRDefault="008F47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67F83539" w14:textId="77777777" w:rsidR="00624757" w:rsidRDefault="008F47C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F80EEE1" w14:textId="77777777" w:rsidR="00624757" w:rsidRDefault="0062475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CD4F1" w14:textId="77777777" w:rsidR="00624757" w:rsidRDefault="008F47CD">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4E71F53F" w14:textId="77777777" w:rsidR="00624757" w:rsidRDefault="0062475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25D2B"/>
    <w:multiLevelType w:val="multilevel"/>
    <w:tmpl w:val="10026C5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E3489"/>
    <w:multiLevelType w:val="multilevel"/>
    <w:tmpl w:val="37CCF7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297568E"/>
    <w:multiLevelType w:val="multilevel"/>
    <w:tmpl w:val="86A85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757"/>
    <w:rsid w:val="004F6AAB"/>
    <w:rsid w:val="00624757"/>
    <w:rsid w:val="00757A69"/>
    <w:rsid w:val="008F47CD"/>
    <w:rsid w:val="00931EE4"/>
    <w:rsid w:val="00AB0653"/>
    <w:rsid w:val="00BC346B"/>
    <w:rsid w:val="00C638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6D93"/>
  <w15:docId w15:val="{A1F58BC0-C45B-47FA-8C17-9C28A42A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sIFlJLs/H2R7c2J/FPV+RR9aZQ==">AMUW2mXquktXjfB+thz2ACyWfhOS7uaUreEopaTttbNEE/TiicNKKF934O6ecvedORWdpPeYBDqT5KmGMyHvHyOFlnz4yHp5cefvOikqVGp4JxxR0TaBsXO5haZZWHVcNSGlz02v071BKgmL+sI+IQZpiy5DPd0WymgZtmY5epfYpAOcS135aHHhtWvMlJJK4m+gu9ukMZXG7YIUDrX9fGFnbt4Bct0zyg==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7194</Words>
  <Characters>39572</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cp:revision>
  <cp:lastPrinted>2022-05-16T05:54:00Z</cp:lastPrinted>
  <dcterms:created xsi:type="dcterms:W3CDTF">2022-06-07T16:40:00Z</dcterms:created>
  <dcterms:modified xsi:type="dcterms:W3CDTF">2022-06-07T16:40:00Z</dcterms:modified>
</cp:coreProperties>
</file>