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trece de julio de dos mil veintidós</w:t>
      </w:r>
      <w:r>
        <w:rPr>
          <w:rFonts w:ascii="Palatino Linotype" w:eastAsia="Palatino Linotype" w:hAnsi="Palatino Linotype" w:cs="Palatino Linotype"/>
        </w:rPr>
        <w:t xml:space="preserve">. </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04309/INFOEM/IP/RR/2022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973E95" w:rsidRPr="00973E95">
        <w:rPr>
          <w:rFonts w:ascii="Palatino Linotype" w:eastAsia="Palatino Linotype" w:hAnsi="Palatino Linotype" w:cs="Palatino Linotype"/>
          <w:b/>
        </w:rPr>
        <w:t>XXXXXX XXXXXXXX 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falta de respuesta del </w:t>
      </w:r>
      <w:r>
        <w:rPr>
          <w:rFonts w:ascii="Palatino Linotype" w:eastAsia="Palatino Linotype" w:hAnsi="Palatino Linotype" w:cs="Palatino Linotype"/>
          <w:b/>
        </w:rPr>
        <w:t xml:space="preserve">Ayuntamiento de Ecatepec de Morelos,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4D0318" w:rsidRDefault="000E523D">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treinta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00966/ECATEPEC/IP/2021, </w:t>
      </w:r>
      <w:r>
        <w:rPr>
          <w:rFonts w:ascii="Palatino Linotype" w:eastAsia="Palatino Linotype" w:hAnsi="Palatino Linotype" w:cs="Palatino Linotype"/>
        </w:rPr>
        <w:t xml:space="preserve">mediante la cual requirió la información siguiente: </w:t>
      </w:r>
    </w:p>
    <w:p w:rsidR="004D0318" w:rsidRDefault="000E523D">
      <w:pPr>
        <w:spacing w:line="276" w:lineRule="auto"/>
        <w:ind w:left="851" w:right="900"/>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“SOLICITO EL</w:t>
      </w:r>
      <w:r>
        <w:rPr>
          <w:rFonts w:ascii="Palatino Linotype" w:eastAsia="Palatino Linotype" w:hAnsi="Palatino Linotype" w:cs="Palatino Linotype"/>
          <w:b/>
          <w:i/>
          <w:sz w:val="22"/>
          <w:szCs w:val="22"/>
        </w:rPr>
        <w:t xml:space="preserve"> CONTRATO RELATIVO AL DENOMINADO: CONTRATACIÓN DEL SERVICIO INTEGRAL PARA LA REALIZACIÓN DEL EVENTO DENOMINADO FAMILIAS CON VALORES BODAS COMUNITARIAS 2020 Número de expediente, folio o nomenclatura que lo identifique : MEM-DA-ST-AD-RP-01-2020-02. ASÍ COMO EL DOCUMENTO QUE ACREDITE HABERSE REALIZADO Y ENTREGADO EL BIEN, SERVICIO Y/O PRODUCTO. </w:t>
      </w:r>
      <w:r>
        <w:rPr>
          <w:rFonts w:ascii="Palatino Linotype" w:eastAsia="Palatino Linotype" w:hAnsi="Palatino Linotype" w:cs="Palatino Linotype"/>
          <w:i/>
          <w:sz w:val="22"/>
          <w:szCs w:val="22"/>
        </w:rPr>
        <w:t>lo anterior debido a que la información no se encuentra disponible.” (Sic) (Énfasis añadido)</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4D0318" w:rsidRDefault="000E523D">
      <w:pPr>
        <w:spacing w:before="240" w:after="240" w:line="360" w:lineRule="auto"/>
        <w:ind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rPr>
        <w:t>2. Respuesta.</w:t>
      </w:r>
      <w:r>
        <w:rPr>
          <w:rFonts w:ascii="Palatino Linotype" w:eastAsia="Palatino Linotype" w:hAnsi="Palatino Linotype" w:cs="Palatino Linotype"/>
        </w:rPr>
        <w:t xml:space="preserve"> De las constancias que obran en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dio respuesta a la solicitud de acceso a la información.</w:t>
      </w:r>
    </w:p>
    <w:p w:rsidR="004D0318" w:rsidRDefault="000E523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veintitrés de marzo de dos mil veintidós, 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ante la falta de respuesta, presentó el recurso de revisión en el que manifestó lo siguiente:</w:t>
      </w:r>
    </w:p>
    <w:p w:rsidR="004D0318" w:rsidRDefault="000E523D">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4D0318" w:rsidRDefault="004D0318">
      <w:pPr>
        <w:spacing w:line="360" w:lineRule="auto"/>
        <w:ind w:left="851" w:right="900"/>
        <w:jc w:val="both"/>
        <w:rPr>
          <w:rFonts w:ascii="Palatino Linotype" w:eastAsia="Palatino Linotype" w:hAnsi="Palatino Linotype" w:cs="Palatino Linotype"/>
          <w:i/>
          <w:sz w:val="2"/>
          <w:szCs w:val="2"/>
        </w:rPr>
      </w:pPr>
    </w:p>
    <w:p w:rsidR="004D0318" w:rsidRDefault="000E523D">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falta de respuesta” (sic)</w:t>
      </w:r>
    </w:p>
    <w:p w:rsidR="004D0318" w:rsidRDefault="004D0318">
      <w:pPr>
        <w:spacing w:line="360" w:lineRule="auto"/>
        <w:jc w:val="both"/>
        <w:rPr>
          <w:rFonts w:ascii="Palatino Linotype" w:eastAsia="Palatino Linotype" w:hAnsi="Palatino Linotype" w:cs="Palatino Linotype"/>
          <w:sz w:val="2"/>
          <w:szCs w:val="2"/>
        </w:rPr>
      </w:pPr>
    </w:p>
    <w:p w:rsidR="004D0318" w:rsidRDefault="004D0318">
      <w:pPr>
        <w:spacing w:line="360" w:lineRule="auto"/>
        <w:jc w:val="both"/>
        <w:rPr>
          <w:rFonts w:ascii="Palatino Linotype" w:eastAsia="Palatino Linotype" w:hAnsi="Palatino Linotype" w:cs="Palatino Linotype"/>
          <w:sz w:val="2"/>
          <w:szCs w:val="2"/>
        </w:rPr>
      </w:pPr>
    </w:p>
    <w:p w:rsidR="004D0318" w:rsidRDefault="004D0318">
      <w:pPr>
        <w:spacing w:line="360" w:lineRule="auto"/>
        <w:jc w:val="both"/>
        <w:rPr>
          <w:rFonts w:ascii="Palatino Linotype" w:eastAsia="Palatino Linotype" w:hAnsi="Palatino Linotype" w:cs="Palatino Linotype"/>
          <w:sz w:val="2"/>
          <w:szCs w:val="2"/>
        </w:rPr>
      </w:pPr>
    </w:p>
    <w:p w:rsidR="004D0318" w:rsidRDefault="000E523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4D0318" w:rsidRDefault="004D0318">
      <w:pPr>
        <w:spacing w:line="360" w:lineRule="auto"/>
        <w:jc w:val="both"/>
        <w:rPr>
          <w:rFonts w:ascii="Palatino Linotype" w:eastAsia="Palatino Linotype" w:hAnsi="Palatino Linotype" w:cs="Palatino Linotype"/>
          <w:sz w:val="2"/>
          <w:szCs w:val="2"/>
        </w:rPr>
      </w:pPr>
    </w:p>
    <w:p w:rsidR="004D0318" w:rsidRDefault="000E523D">
      <w:pPr>
        <w:spacing w:line="276"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“la falta de respuesta” (sic)</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analizara sobre su admisión o su desechamiento.</w:t>
      </w:r>
    </w:p>
    <w:p w:rsidR="004D0318" w:rsidRDefault="000E523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veintiocho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w:t>
      </w:r>
      <w:r>
        <w:rPr>
          <w:rFonts w:ascii="Palatino Linotype" w:eastAsia="Palatino Linotype" w:hAnsi="Palatino Linotype" w:cs="Palatino Linotype"/>
        </w:rPr>
        <w:lastRenderedPageBreak/>
        <w:t>manifestaran lo que a su derecho resultara conveniente, ofrecieran pruebas, formularan alegatos y el Sujeto Obligado presentara su informe justificado.</w:t>
      </w:r>
    </w:p>
    <w:p w:rsidR="004D0318" w:rsidRDefault="000E523D">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veintiséis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mediante el siguiente archivo electrónico: </w:t>
      </w:r>
    </w:p>
    <w:p w:rsidR="004D0318" w:rsidRDefault="000E523D">
      <w:pPr>
        <w:widowControl w:val="0"/>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“R.R.04309-2022.pdf”: </w:t>
      </w:r>
      <w:r>
        <w:rPr>
          <w:rFonts w:ascii="Palatino Linotype" w:eastAsia="Palatino Linotype" w:hAnsi="Palatino Linotype" w:cs="Palatino Linotype"/>
          <w:sz w:val="22"/>
          <w:szCs w:val="22"/>
        </w:rPr>
        <w:t xml:space="preserve">Documento electrónico de dos fojas en el que se advierte el pronunciamiento de la Directora de Administración, quien remite al particular a la plataforma IPOMEX, donde podrá visualizar la información requerida. </w:t>
      </w:r>
    </w:p>
    <w:p w:rsidR="004D0318" w:rsidRDefault="000E523D">
      <w:pPr>
        <w:widowControl w:val="0"/>
        <w:spacing w:before="240" w:after="240" w:line="360"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drawing>
          <wp:inline distT="0" distB="0" distL="0" distR="0">
            <wp:extent cx="3753782" cy="4555872"/>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53782" cy="4555872"/>
                    </a:xfrm>
                    <a:prstGeom prst="rect">
                      <a:avLst/>
                    </a:prstGeom>
                    <a:ln/>
                  </pic:spPr>
                </pic:pic>
              </a:graphicData>
            </a:graphic>
          </wp:inline>
        </w:drawing>
      </w:r>
    </w:p>
    <w:p w:rsidR="004D0318" w:rsidRDefault="000E523D">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sz w:val="22"/>
          <w:szCs w:val="22"/>
        </w:rPr>
        <w:lastRenderedPageBreak/>
        <w:t xml:space="preserve">Es de precisar que este </w:t>
      </w:r>
      <w:r>
        <w:rPr>
          <w:rFonts w:ascii="Palatino Linotype" w:eastAsia="Palatino Linotype" w:hAnsi="Palatino Linotype" w:cs="Palatino Linotype"/>
          <w:color w:val="000000"/>
        </w:rPr>
        <w:t xml:space="preserve">documento se puso a la vista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mediante acuerdo de fecha </w:t>
      </w:r>
      <w:r>
        <w:rPr>
          <w:rFonts w:ascii="Palatino Linotype" w:eastAsia="Palatino Linotype" w:hAnsi="Palatino Linotype" w:cs="Palatino Linotype"/>
          <w:b/>
          <w:color w:val="000000"/>
        </w:rPr>
        <w:t>treinta de junio de dos mil veintidós</w:t>
      </w:r>
      <w:r>
        <w:rPr>
          <w:rFonts w:ascii="Palatino Linotype" w:eastAsia="Palatino Linotype" w:hAnsi="Palatino Linotype" w:cs="Palatino Linotype"/>
          <w:color w:val="000000"/>
        </w:rPr>
        <w:t>, emitido por la Comisionada Ponente</w:t>
      </w:r>
      <w:r>
        <w:rPr>
          <w:rFonts w:ascii="Palatino Linotype" w:eastAsia="Palatino Linotype" w:hAnsi="Palatino Linotype" w:cs="Palatino Linotype"/>
          <w:b/>
          <w:color w:val="000000"/>
        </w:rPr>
        <w:t>.</w:t>
      </w:r>
    </w:p>
    <w:p w:rsidR="004D0318" w:rsidRDefault="004D0318">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p>
    <w:p w:rsidR="004D0318" w:rsidRDefault="000E523D">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no realizó manifestaciones, ni formuló alegatos y tampoco ofreció medios de prueba. </w:t>
      </w:r>
    </w:p>
    <w:p w:rsidR="004D0318" w:rsidRDefault="000E523D">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610225" cy="247650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0225" cy="2476500"/>
                    </a:xfrm>
                    <a:prstGeom prst="rect">
                      <a:avLst/>
                    </a:prstGeom>
                    <a:ln/>
                  </pic:spPr>
                </pic:pic>
              </a:graphicData>
            </a:graphic>
          </wp:inline>
        </w:drawing>
      </w:r>
    </w:p>
    <w:p w:rsidR="004D0318" w:rsidRDefault="000E523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de junio de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Pr>
          <w:rFonts w:ascii="Palatino Linotype" w:eastAsia="Palatino Linotype" w:hAnsi="Palatino Linotype" w:cs="Palatino Linotype"/>
        </w:rPr>
        <w:lastRenderedPageBreak/>
        <w:t>ha incrementado aproximadamente un 400%, circunstancia atípica que ha rebasado las capacidades técnicas y humanas del personal encargado de la proyección de las resoluciones a dichos medios de impugnación.</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4D0318" w:rsidRDefault="000E523D">
      <w:pPr>
        <w:numPr>
          <w:ilvl w:val="0"/>
          <w:numId w:val="3"/>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lastRenderedPageBreak/>
        <w:t>Complejidad del Asunto: La complejidad de la prueba, la pluralidad de sujetos procesales, el tiempo transcurrido, las características y contexto del recurso. </w:t>
      </w:r>
    </w:p>
    <w:p w:rsidR="004D0318" w:rsidRDefault="000E523D">
      <w:pPr>
        <w:numPr>
          <w:ilvl w:val="0"/>
          <w:numId w:val="3"/>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4D0318" w:rsidRDefault="000E523D">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4D0318" w:rsidRDefault="000E523D">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4D0318" w:rsidRDefault="000E523D">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4D0318" w:rsidRDefault="000E523D">
      <w:pPr>
        <w:pBdr>
          <w:top w:val="nil"/>
          <w:left w:val="nil"/>
          <w:bottom w:val="nil"/>
          <w:right w:val="nil"/>
          <w:between w:val="nil"/>
        </w:pBdr>
        <w:spacing w:before="240" w:after="240" w:line="360" w:lineRule="auto"/>
        <w:jc w:val="both"/>
        <w:rPr>
          <w:color w:val="000000"/>
        </w:rPr>
      </w:pPr>
      <w:bookmarkStart w:id="3" w:name="_heading=h.1fob9te" w:colFirst="0" w:colLast="0"/>
      <w:bookmarkEnd w:id="3"/>
      <w:r>
        <w:rPr>
          <w:rFonts w:ascii="Palatino Linotype" w:eastAsia="Palatino Linotype" w:hAnsi="Palatino Linotype" w:cs="Palatino Linotype"/>
          <w:b/>
          <w:color w:val="000000"/>
        </w:rPr>
        <w:t>Segundo. Oportunidad y Procedibilidad del Recurso de Revisión</w:t>
      </w:r>
      <w:r>
        <w:rPr>
          <w:rFonts w:ascii="Palatino Linotype" w:eastAsia="Palatino Linotype" w:hAnsi="Palatino Linotype" w:cs="Palatino Linotype"/>
          <w:color w:val="000000"/>
        </w:rPr>
        <w:t>. Es de precisar que la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Ley de Transparencia y Acceso a la Información Pública del Estado de México y Municipios, describe el mecanismo de procedencia de los recursos de revisión, como se dispone en los artículos 163 y 166, del tenor literal siguiente: </w:t>
      </w:r>
    </w:p>
    <w:p w:rsidR="004D0318" w:rsidRDefault="000E523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163. </w:t>
      </w:r>
      <w:r>
        <w:rPr>
          <w:rFonts w:ascii="Palatino Linotype" w:eastAsia="Palatino Linotype" w:hAnsi="Palatino Linotype" w:cs="Palatino Linotype"/>
          <w:i/>
          <w:color w:val="000000"/>
          <w:sz w:val="22"/>
          <w:szCs w:val="22"/>
        </w:rPr>
        <w:t>La Unidad de Transparencia deberá notificar la respuesta a la solicitud al interesado en el menor tiempo posible, que no podrá exceder de quince días hábiles, contados a partir del día siguiente a la presentación de aquélla. </w:t>
      </w:r>
    </w:p>
    <w:p w:rsidR="004D0318" w:rsidRDefault="000E523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p>
    <w:p w:rsidR="004D0318" w:rsidRDefault="000E523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Artículo 166.</w:t>
      </w:r>
      <w:r>
        <w:rPr>
          <w:rFonts w:ascii="Palatino Linotype" w:eastAsia="Palatino Linotype" w:hAnsi="Palatino Linotype" w:cs="Palatino Linotype"/>
          <w:i/>
          <w:color w:val="000000"/>
          <w:sz w:val="22"/>
          <w:szCs w:val="22"/>
        </w:rPr>
        <w:t xml:space="preserve"> […]</w:t>
      </w:r>
    </w:p>
    <w:p w:rsidR="004D0318" w:rsidRDefault="000E523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Cuando el sujeto obligado no entregue la respuesta a la solicitud dentro del plazo previsto en la Ley, la solicitud se entenderá negada y el solicitante podrá interponer el recurso de revisión previsto en este ordenamiento.” </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Derivado de lo anterior, se constituye lo que en la doctrina se conoce como negativa ficta, figura jurídica cuya esencia consiste en atribuir un efecto negativo al silencio </w:t>
      </w:r>
      <w:r>
        <w:rPr>
          <w:rFonts w:ascii="Palatino Linotype" w:eastAsia="Palatino Linotype" w:hAnsi="Palatino Linotype" w:cs="Palatino Linotype"/>
          <w:color w:val="000000"/>
        </w:rPr>
        <w:lastRenderedPageBreak/>
        <w:t>de la autoridad administrativa frente a las instancias y solicitudes que hagan los particulares.</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su parte, el artículo 178 del citado ordenamiento, establece:</w:t>
      </w:r>
    </w:p>
    <w:p w:rsidR="004D0318" w:rsidRDefault="000E523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color w:val="000000"/>
          <w:sz w:val="22"/>
          <w:szCs w:val="22"/>
        </w:rPr>
        <w:t>.”</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La negativa ficta constituye una presunción legal, en el entendido de que donde no hubo respuesta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4D0318" w:rsidRDefault="000E523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“CRITERIO 0001-15. NEGATIVA FICTA. PLAZO PARA INTERPONER EL RECURSO DE REVISIÓN TRATÁNDOSE DE</w:t>
      </w:r>
      <w:r>
        <w:rPr>
          <w:rFonts w:ascii="Palatino Linotype" w:eastAsia="Palatino Linotype" w:hAnsi="Palatino Linotype" w:cs="Palatino Linotype"/>
          <w:i/>
          <w:color w:val="000000"/>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w:t>
      </w:r>
      <w:r>
        <w:rPr>
          <w:rFonts w:ascii="Palatino Linotype" w:eastAsia="Palatino Linotype" w:hAnsi="Palatino Linotype" w:cs="Palatino Linotype"/>
          <w:i/>
          <w:color w:val="000000"/>
          <w:sz w:val="22"/>
          <w:szCs w:val="22"/>
        </w:rPr>
        <w:lastRenderedPageBreak/>
        <w:t>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color w:val="000000"/>
        </w:rPr>
        <w:t> </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4D0318" w:rsidRDefault="000E523D">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rsidR="004D0318" w:rsidRDefault="000E523D">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179. </w:t>
      </w:r>
      <w:r>
        <w:rPr>
          <w:rFonts w:ascii="Palatino Linotype" w:eastAsia="Palatino Linotype" w:hAnsi="Palatino Linotype" w:cs="Palatino Linotype"/>
          <w:i/>
          <w:color w:val="000000"/>
          <w:sz w:val="22"/>
          <w:szCs w:val="22"/>
        </w:rPr>
        <w:t>El recurso de revisión es un medio de protección que la Ley otorga a los particulares, para hacer valer su derecho de acceso a la información pública, y procederá en contra de las siguientes causas:</w:t>
      </w:r>
    </w:p>
    <w:p w:rsidR="004D0318" w:rsidRDefault="000E523D">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i/>
          <w:color w:val="000000"/>
        </w:rPr>
        <w:t>…</w:t>
      </w:r>
    </w:p>
    <w:p w:rsidR="004D0318" w:rsidRDefault="000E523D">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b/>
          <w:i/>
          <w:color w:val="000000"/>
          <w:sz w:val="22"/>
          <w:szCs w:val="22"/>
        </w:rPr>
        <w:t>VII. La falta de respuesta a una solicitud de acceso a la información;</w:t>
      </w:r>
    </w:p>
    <w:p w:rsidR="004D0318" w:rsidRDefault="000E523D">
      <w:pPr>
        <w:pBdr>
          <w:top w:val="nil"/>
          <w:left w:val="nil"/>
          <w:bottom w:val="nil"/>
          <w:right w:val="nil"/>
          <w:between w:val="nil"/>
        </w:pBdr>
        <w:spacing w:line="276" w:lineRule="auto"/>
        <w:ind w:left="567" w:right="851"/>
        <w:jc w:val="both"/>
        <w:rPr>
          <w:color w:val="000000"/>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4D0318" w:rsidRDefault="000E523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precepto legal citado, establece como supuesto de procedencia del recurso de revisión, en aquellos casos en que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estime negado el acceso a la </w:t>
      </w:r>
      <w:r>
        <w:rPr>
          <w:rFonts w:ascii="Palatino Linotype" w:eastAsia="Palatino Linotype" w:hAnsi="Palatino Linotype" w:cs="Palatino Linotype"/>
          <w:color w:val="000000"/>
        </w:rPr>
        <w:lastRenderedPageBreak/>
        <w:t xml:space="preserve">información por la falta de respuesta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este asunto se actualiza la hipótesis jurídica citada, en atención a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combate falta de trámite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expresa motivos de inconformidad en contra de dicha circunstancia.</w:t>
      </w:r>
    </w:p>
    <w:p w:rsidR="00D2681A" w:rsidRDefault="00D2681A" w:rsidP="00D2681A">
      <w:pPr>
        <w:pStyle w:val="NormalWeb"/>
        <w:spacing w:before="280" w:beforeAutospacing="0" w:after="280" w:afterAutospacing="0" w:line="360" w:lineRule="auto"/>
        <w:jc w:val="both"/>
        <w:rPr>
          <w:lang w:eastAsia="es-MX"/>
        </w:rPr>
      </w:pPr>
      <w:r>
        <w:rPr>
          <w:rFonts w:ascii="Palatino Linotype" w:hAnsi="Palatino Linotype"/>
          <w:b/>
          <w:bCs/>
          <w:color w:val="000000"/>
        </w:rPr>
        <w:t>Tercero. Materia de la revisión.</w:t>
      </w:r>
      <w:r>
        <w:rPr>
          <w:rFonts w:ascii="Palatino Linotype" w:hAnsi="Palatino Linotype"/>
          <w:b/>
          <w:bCs/>
          <w:color w:val="FF0000"/>
        </w:rPr>
        <w:t xml:space="preserve"> </w:t>
      </w:r>
      <w:r>
        <w:rPr>
          <w:rFonts w:ascii="Palatino Linotype" w:hAnsi="Palatino Linotype"/>
          <w:color w:val="000000"/>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hAnsi="Palatino Linotype"/>
          <w:b/>
          <w:bCs/>
          <w:color w:val="000000"/>
        </w:rPr>
        <w:t xml:space="preserve">verificar si el pronunciamiento vertido en informe justificado por el Sujeto Obligado es adecuada y suficiente para satisfacer el derecho de acceso a la información pública </w:t>
      </w:r>
      <w:r>
        <w:rPr>
          <w:rFonts w:ascii="Palatino Linotype" w:hAnsi="Palatino Linotype"/>
          <w:color w:val="000000"/>
        </w:rPr>
        <w:t xml:space="preserve">del </w:t>
      </w:r>
      <w:r w:rsidRPr="002414CB">
        <w:rPr>
          <w:rFonts w:ascii="Palatino Linotype" w:hAnsi="Palatino Linotype"/>
          <w:b/>
          <w:color w:val="000000"/>
        </w:rPr>
        <w:t>Recurrente</w:t>
      </w:r>
      <w:r>
        <w:rPr>
          <w:rFonts w:ascii="Palatino Linotype" w:hAnsi="Palatino Linotype"/>
          <w:color w:val="000000"/>
        </w:rPr>
        <w:t>, o en su defecto, en caso de ser procedente, ordenar la entrega de información oportuna.</w:t>
      </w:r>
    </w:p>
    <w:p w:rsidR="00D2681A" w:rsidRDefault="00D2681A" w:rsidP="00D2681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2681A" w:rsidRDefault="00D2681A" w:rsidP="00D2681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de las garantías para su protección, cuyo ejercicio no podrá restringirse ni </w:t>
      </w:r>
      <w:r>
        <w:rPr>
          <w:rFonts w:ascii="Palatino Linotype" w:eastAsia="Palatino Linotype" w:hAnsi="Palatino Linotype" w:cs="Palatino Linotype"/>
          <w:i/>
          <w:sz w:val="22"/>
          <w:szCs w:val="22"/>
        </w:rPr>
        <w:lastRenderedPageBreak/>
        <w:t>suspenderse, salvo en los casos y bajo las condiciones que esta Constitución establece.</w:t>
      </w:r>
    </w:p>
    <w:p w:rsidR="00D2681A" w:rsidRDefault="00D2681A" w:rsidP="00D2681A">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2681A" w:rsidRDefault="00D2681A" w:rsidP="00D2681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2681A" w:rsidRDefault="00D2681A" w:rsidP="00D2681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2681A" w:rsidRDefault="00D2681A" w:rsidP="00D2681A">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D2681A" w:rsidRDefault="00D2681A" w:rsidP="00D2681A">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2681A" w:rsidRDefault="00D2681A" w:rsidP="00D2681A">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D2681A" w:rsidRDefault="00D2681A" w:rsidP="00D2681A">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D2681A" w:rsidRDefault="00D2681A" w:rsidP="00D268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rsidR="00D2681A" w:rsidRDefault="00D2681A" w:rsidP="00D2681A">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2681A" w:rsidRDefault="00D2681A" w:rsidP="00D2681A">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2681A" w:rsidRDefault="00D2681A" w:rsidP="00D2681A">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D2681A" w:rsidRDefault="00D2681A" w:rsidP="00D268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D2681A" w:rsidRDefault="00D2681A" w:rsidP="00D2681A">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2681A" w:rsidRDefault="00D2681A" w:rsidP="00D2681A">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2681A" w:rsidRDefault="00D2681A" w:rsidP="00D2681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D2681A" w:rsidRDefault="00D2681A" w:rsidP="00D2681A">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D2681A" w:rsidRDefault="00D2681A" w:rsidP="00D2681A">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D2681A" w:rsidRDefault="00D2681A" w:rsidP="00D268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D2681A" w:rsidRDefault="00D2681A" w:rsidP="00D2681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2681A" w:rsidRDefault="00D2681A" w:rsidP="00D2681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2681A" w:rsidRDefault="00D2681A" w:rsidP="00D268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2681A" w:rsidRDefault="00D2681A" w:rsidP="00D268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D2681A" w:rsidRDefault="00D2681A" w:rsidP="00D268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2681A" w:rsidRDefault="00D2681A" w:rsidP="00D2681A">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w:t>
      </w:r>
      <w:r w:rsidRPr="006D11B3">
        <w:rPr>
          <w:rFonts w:ascii="Palatino Linotype" w:eastAsia="Palatino Linotype" w:hAnsi="Palatino Linotype" w:cs="Palatino Linotype"/>
          <w:b/>
          <w:i/>
          <w:color w:val="000000"/>
          <w:sz w:val="22"/>
          <w:szCs w:val="22"/>
        </w:rPr>
        <w:t>contratos</w:t>
      </w:r>
      <w:r>
        <w:rPr>
          <w:rFonts w:ascii="Palatino Linotype" w:eastAsia="Palatino Linotype" w:hAnsi="Palatino Linotype" w:cs="Palatino Linotype"/>
          <w:i/>
          <w:color w:val="000000"/>
          <w:sz w:val="22"/>
          <w:szCs w:val="22"/>
        </w:rPr>
        <w:t xml:space="preserve">, convenios, instructivos, notas, memorandos, estadísticas </w:t>
      </w:r>
      <w:r w:rsidRPr="006D11B3">
        <w:rPr>
          <w:rFonts w:ascii="Palatino Linotype" w:eastAsia="Palatino Linotype" w:hAnsi="Palatino Linotype" w:cs="Palatino Linotype"/>
          <w:b/>
          <w:i/>
          <w:color w:val="000000"/>
          <w:sz w:val="22"/>
          <w:szCs w:val="22"/>
        </w:rPr>
        <w:t>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D2681A" w:rsidRDefault="00D2681A" w:rsidP="00D268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2681A" w:rsidRDefault="00D2681A" w:rsidP="00D2681A">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D2681A" w:rsidRDefault="00D2681A" w:rsidP="00D268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2681A" w:rsidRDefault="00D2681A" w:rsidP="00D2681A">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D2681A" w:rsidRDefault="00D2681A" w:rsidP="00D2681A">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D2681A" w:rsidRDefault="00D2681A" w:rsidP="00D2681A">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administrada por los Sujetos Obligados, y</w:t>
      </w:r>
    </w:p>
    <w:p w:rsidR="00D2681A" w:rsidRDefault="00D2681A" w:rsidP="00D2681A">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D2681A" w:rsidRDefault="00D2681A" w:rsidP="00D268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D2681A" w:rsidRDefault="00D2681A" w:rsidP="00D268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4D0318" w:rsidRPr="00D2681A" w:rsidRDefault="000E523D">
      <w:pPr>
        <w:spacing w:before="280" w:after="280" w:line="360" w:lineRule="auto"/>
        <w:jc w:val="both"/>
        <w:rPr>
          <w:rFonts w:ascii="Palatino Linotype" w:eastAsia="Palatino Linotype" w:hAnsi="Palatino Linotype" w:cs="Palatino Linotype"/>
        </w:rPr>
      </w:pPr>
      <w:r w:rsidRPr="00D2681A">
        <w:rPr>
          <w:rFonts w:ascii="Palatino Linotype" w:eastAsia="Palatino Linotype" w:hAnsi="Palatino Linotype" w:cs="Palatino Linotype"/>
        </w:rPr>
        <w:t>En la solicitud de información pública que motivó e</w:t>
      </w:r>
      <w:r w:rsidR="00D2681A">
        <w:rPr>
          <w:rFonts w:ascii="Palatino Linotype" w:eastAsia="Palatino Linotype" w:hAnsi="Palatino Linotype" w:cs="Palatino Linotype"/>
        </w:rPr>
        <w:t xml:space="preserve">l recurso de revisión que ahora </w:t>
      </w:r>
      <w:r w:rsidRPr="00D2681A">
        <w:rPr>
          <w:rFonts w:ascii="Palatino Linotype" w:eastAsia="Palatino Linotype" w:hAnsi="Palatino Linotype" w:cs="Palatino Linotype"/>
        </w:rPr>
        <w:t xml:space="preserve">se resuelve, se advierte que la particular requirió al </w:t>
      </w:r>
      <w:r w:rsidR="00D2681A" w:rsidRPr="00D2681A">
        <w:rPr>
          <w:rFonts w:ascii="Palatino Linotype" w:eastAsia="Palatino Linotype" w:hAnsi="Palatino Linotype" w:cs="Palatino Linotype"/>
          <w:b/>
        </w:rPr>
        <w:t>Sujeto Obligado</w:t>
      </w:r>
      <w:r w:rsidRPr="00D2681A">
        <w:rPr>
          <w:rFonts w:ascii="Palatino Linotype" w:eastAsia="Palatino Linotype" w:hAnsi="Palatino Linotype" w:cs="Palatino Linotype"/>
        </w:rPr>
        <w:t>, lo siguiente:</w:t>
      </w:r>
    </w:p>
    <w:p w:rsidR="004D0318" w:rsidRDefault="000E523D">
      <w:pPr>
        <w:numPr>
          <w:ilvl w:val="0"/>
          <w:numId w:val="2"/>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color w:val="000000"/>
        </w:rPr>
        <w:t xml:space="preserve">El contrato relativo al denominado: </w:t>
      </w:r>
      <w:r>
        <w:rPr>
          <w:rFonts w:ascii="Palatino Linotype" w:eastAsia="Palatino Linotype" w:hAnsi="Palatino Linotype" w:cs="Palatino Linotype"/>
          <w:b/>
          <w:color w:val="000000"/>
        </w:rPr>
        <w:t>contratación del servicio integral para la realización del evento denominado familias con valores bodas comunitarias 2020</w:t>
      </w:r>
      <w:r>
        <w:rPr>
          <w:rFonts w:ascii="Palatino Linotype" w:eastAsia="Palatino Linotype" w:hAnsi="Palatino Linotype" w:cs="Palatino Linotype"/>
          <w:color w:val="000000"/>
        </w:rPr>
        <w:t xml:space="preserve"> número de expediente, folio o nomenclatura que lo identifique: MEM-DA-ST-AD-RP-01-2020-02, así como </w:t>
      </w:r>
      <w:r>
        <w:rPr>
          <w:rFonts w:ascii="Palatino Linotype" w:eastAsia="Palatino Linotype" w:hAnsi="Palatino Linotype" w:cs="Palatino Linotype"/>
          <w:b/>
          <w:color w:val="000000"/>
        </w:rPr>
        <w:t>el documento que acredite haberse realizado y entregado el bien, servicio y/o producto.</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de las constancias que integran el expediente, se concluye que los motivos de inconformidad vertidos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en razón a que una vez presentada la solicitud de información,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otorgó respuesta en el plazo conferido por la normatividad para ello, por lo que consecuentemente se trasgredió el derecho humano de acceso a la información pública reconocido por el texto constitucional federal y local respectivamente, luego entonces, el particular procedió a la interposición del recurso de revisión citado al rubro.</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tal suerte que en el presente asunto, en fecha </w:t>
      </w:r>
      <w:r>
        <w:rPr>
          <w:rFonts w:ascii="Palatino Linotype" w:eastAsia="Palatino Linotype" w:hAnsi="Palatino Linotype" w:cs="Palatino Linotype"/>
          <w:b/>
        </w:rPr>
        <w:t>veintiséis de abril de dos mil veintidós</w:t>
      </w:r>
      <w:r>
        <w:rPr>
          <w:rFonts w:ascii="Palatino Linotype" w:eastAsia="Palatino Linotype" w:hAnsi="Palatino Linotype" w:cs="Palatino Linotype"/>
        </w:rPr>
        <w:t xml:space="preserve">, en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un soporte documental tendiente 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cual se vislumbra un pronunciamiento por parte de la Servidora Pública Habilitada de la Dirección de Administración, quien manifiesta que </w:t>
      </w:r>
      <w:r>
        <w:rPr>
          <w:rFonts w:ascii="Palatino Linotype" w:eastAsia="Palatino Linotype" w:hAnsi="Palatino Linotype" w:cs="Palatino Linotype"/>
          <w:b/>
        </w:rPr>
        <w:t xml:space="preserve">la información puede ser consultada en la Plataforma del IPOMEX en la dirección electrónica: </w:t>
      </w:r>
      <w:hyperlink r:id="rId10">
        <w:r w:rsidRPr="00D2681A">
          <w:rPr>
            <w:rFonts w:ascii="Palatino Linotype" w:eastAsia="Palatino Linotype" w:hAnsi="Palatino Linotype" w:cs="Palatino Linotype"/>
            <w:color w:val="0000FF"/>
          </w:rPr>
          <w:t>https://www.ecatepec.gob.mx/transparencia</w:t>
        </w:r>
      </w:hyperlink>
      <w:r>
        <w:rPr>
          <w:rFonts w:ascii="Palatino Linotype" w:eastAsia="Palatino Linotype" w:hAnsi="Palatino Linotype" w:cs="Palatino Linotype"/>
          <w:b/>
        </w:rPr>
        <w:t>, ejercicio 2018 y posteriores, conforme a lo dispuesto por el artículo 92, fracción XXIX de la Ley de Transparencia y Acceso a la Información Pública del Estado de México y Municipios</w:t>
      </w:r>
      <w:r>
        <w:rPr>
          <w:rFonts w:ascii="Palatino Linotype" w:eastAsia="Palatino Linotype" w:hAnsi="Palatino Linotype" w:cs="Palatino Linotype"/>
        </w:rPr>
        <w:t xml:space="preserve">. </w:t>
      </w:r>
    </w:p>
    <w:p w:rsidR="00D2681A" w:rsidRPr="00D2681A" w:rsidRDefault="00D2681A" w:rsidP="00D2681A">
      <w:pPr>
        <w:spacing w:before="240" w:after="240" w:line="360" w:lineRule="auto"/>
        <w:jc w:val="both"/>
        <w:rPr>
          <w:rFonts w:ascii="Palatino Linotype" w:hAnsi="Palatino Linotype"/>
          <w:lang w:val="es-MX" w:eastAsia="es-MX"/>
        </w:rPr>
      </w:pPr>
      <w:r w:rsidRPr="00D2681A">
        <w:rPr>
          <w:rFonts w:ascii="Palatino Linotype" w:hAnsi="Palatino Linotype" w:cs="Arial"/>
          <w:lang w:val="es-MX" w:eastAsia="es-MX"/>
        </w:rPr>
        <w:t xml:space="preserve">En este tenor, toda vez que hubo un pronunciamiento </w:t>
      </w:r>
      <w:r>
        <w:rPr>
          <w:rFonts w:ascii="Palatino Linotype" w:hAnsi="Palatino Linotype" w:cs="Arial"/>
          <w:lang w:val="es-MX" w:eastAsia="es-MX"/>
        </w:rPr>
        <w:t xml:space="preserve">en informe justificado </w:t>
      </w:r>
      <w:r w:rsidRPr="00D2681A">
        <w:rPr>
          <w:rFonts w:ascii="Palatino Linotype" w:hAnsi="Palatino Linotype" w:cs="Arial"/>
          <w:lang w:val="es-MX" w:eastAsia="es-MX"/>
        </w:rPr>
        <w:t xml:space="preserve">por parte del </w:t>
      </w:r>
      <w:r w:rsidRPr="00D2681A">
        <w:rPr>
          <w:rFonts w:ascii="Palatino Linotype" w:hAnsi="Palatino Linotype" w:cs="Arial"/>
          <w:b/>
          <w:lang w:val="es-MX" w:eastAsia="es-MX"/>
        </w:rPr>
        <w:t>Sujeto Obligado</w:t>
      </w:r>
      <w:r w:rsidRPr="00D2681A">
        <w:rPr>
          <w:rFonts w:ascii="Palatino Linotype" w:hAnsi="Palatino Linotype" w:cs="Arial"/>
          <w:lang w:val="es-MX" w:eastAsia="es-MX"/>
        </w:rPr>
        <w:t xml:space="preserve">, se estima oportuno efectuar el análisis de la información proporcionada, a efecto de determinar si es suficiente para tener por colmado el derecho de acceso a la información de la </w:t>
      </w:r>
      <w:r w:rsidRPr="00D2681A">
        <w:rPr>
          <w:rFonts w:ascii="Palatino Linotype" w:hAnsi="Palatino Linotype" w:cs="Arial"/>
          <w:b/>
          <w:lang w:val="es-MX" w:eastAsia="es-MX"/>
        </w:rPr>
        <w:t>parte Recurrente</w:t>
      </w:r>
      <w:r w:rsidRPr="00D2681A">
        <w:rPr>
          <w:rFonts w:ascii="Palatino Linotype" w:hAnsi="Palatino Linotype" w:cs="Arial"/>
          <w:lang w:val="es-MX" w:eastAsia="es-MX"/>
        </w:rPr>
        <w:t xml:space="preserve">, y en su defecto, señalar aquellos documentos que, en el ejercicio de sus </w:t>
      </w:r>
      <w:r w:rsidRPr="00D2681A">
        <w:rPr>
          <w:rFonts w:ascii="Palatino Linotype" w:hAnsi="Palatino Linotype"/>
          <w:lang w:val="es-MX" w:eastAsia="es-MX"/>
        </w:rPr>
        <w:t>atribuciones, genera, administra o posee y que, de manera enunciativa más no limitativa, pudieran satisfacer la solicitud de información.</w:t>
      </w:r>
    </w:p>
    <w:p w:rsidR="00D2681A" w:rsidRPr="00D2681A" w:rsidRDefault="00D2681A" w:rsidP="00D2681A">
      <w:pPr>
        <w:spacing w:before="240" w:after="240" w:line="360" w:lineRule="auto"/>
        <w:jc w:val="both"/>
        <w:rPr>
          <w:rFonts w:ascii="Palatino Linotype" w:hAnsi="Palatino Linotype" w:cs="Arial"/>
          <w:lang w:val="es-MX" w:eastAsia="es-MX"/>
        </w:rPr>
      </w:pPr>
      <w:r w:rsidRPr="00D2681A">
        <w:rPr>
          <w:rFonts w:ascii="Palatino Linotype" w:hAnsi="Palatino Linotype" w:cs="Arial"/>
          <w:lang w:val="es-MX" w:eastAsia="es-MX"/>
        </w:rPr>
        <w:t xml:space="preserve">En tal contexto, en primer lugar, debemos traer a colación </w:t>
      </w:r>
      <w:r w:rsidRPr="00D2681A">
        <w:rPr>
          <w:rFonts w:ascii="Palatino Linotype" w:hAnsi="Palatino Linotype"/>
          <w:lang w:val="es-MX" w:eastAsia="es-MX"/>
        </w:rPr>
        <w:t xml:space="preserve">el </w:t>
      </w:r>
      <w:r w:rsidRPr="00D2681A">
        <w:rPr>
          <w:rFonts w:ascii="Palatino Linotype" w:hAnsi="Palatino Linotype" w:cs="Arial"/>
          <w:szCs w:val="22"/>
          <w:lang w:val="es-MX" w:eastAsia="es-MX"/>
        </w:rPr>
        <w:t>artículo 161</w:t>
      </w:r>
      <w:r w:rsidRPr="00D2681A">
        <w:rPr>
          <w:rFonts w:ascii="Palatino Linotype" w:hAnsi="Palatino Linotype" w:cs="Arial"/>
          <w:szCs w:val="22"/>
          <w:vertAlign w:val="superscript"/>
          <w:lang w:val="es-MX" w:eastAsia="es-MX"/>
        </w:rPr>
        <w:footnoteReference w:id="4"/>
      </w:r>
      <w:r w:rsidRPr="00D2681A">
        <w:rPr>
          <w:rFonts w:ascii="Palatino Linotype" w:hAnsi="Palatino Linotype" w:cs="Arial"/>
          <w:szCs w:val="22"/>
          <w:lang w:val="es-MX" w:eastAsia="es-MX"/>
        </w:rPr>
        <w:t xml:space="preserve"> de la </w:t>
      </w:r>
      <w:r w:rsidRPr="00D2681A">
        <w:rPr>
          <w:rFonts w:ascii="Palatino Linotype" w:hAnsi="Palatino Linotype"/>
          <w:lang w:val="es-MX" w:eastAsia="es-MX"/>
        </w:rPr>
        <w:t>Ley de Transparencia y Acceso a la Información Pública del Estado de México y Municipios</w:t>
      </w:r>
      <w:r w:rsidRPr="00D2681A">
        <w:rPr>
          <w:rFonts w:ascii="Palatino Linotype" w:hAnsi="Palatino Linotype"/>
          <w:i/>
          <w:lang w:val="es-MX" w:eastAsia="es-MX"/>
        </w:rPr>
        <w:t xml:space="preserve">, </w:t>
      </w:r>
      <w:r w:rsidRPr="00D2681A">
        <w:rPr>
          <w:rFonts w:ascii="Palatino Linotype" w:hAnsi="Palatino Linotype" w:cs="Arial"/>
          <w:lang w:val="es-MX" w:eastAsia="es-MX"/>
        </w:rPr>
        <w:t xml:space="preserve">el cual establece las características que debe tener la información desde </w:t>
      </w:r>
      <w:r w:rsidRPr="00D2681A">
        <w:rPr>
          <w:rFonts w:ascii="Palatino Linotype" w:hAnsi="Palatino Linotype" w:cs="Arial"/>
          <w:lang w:val="es-MX" w:eastAsia="es-MX"/>
        </w:rPr>
        <w:lastRenderedPageBreak/>
        <w:t>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D2681A" w:rsidRPr="00D2681A" w:rsidRDefault="00D2681A" w:rsidP="00D2681A">
      <w:pPr>
        <w:spacing w:before="240" w:after="240" w:line="276" w:lineRule="auto"/>
        <w:ind w:left="284" w:right="49"/>
        <w:jc w:val="both"/>
        <w:rPr>
          <w:rFonts w:ascii="Palatino Linotype" w:hAnsi="Palatino Linotype" w:cs="Arial"/>
          <w:lang w:val="es-MX" w:eastAsia="es-MX"/>
        </w:rPr>
      </w:pPr>
      <w:r w:rsidRPr="00D2681A">
        <w:rPr>
          <w:rFonts w:ascii="Palatino Linotype" w:hAnsi="Palatino Linotype" w:cs="Arial"/>
          <w:lang w:val="es-MX" w:eastAsia="es-MX"/>
        </w:rPr>
        <w:t>a) La fuente</w:t>
      </w:r>
    </w:p>
    <w:p w:rsidR="00D2681A" w:rsidRPr="00D2681A" w:rsidRDefault="00D2681A" w:rsidP="00D2681A">
      <w:pPr>
        <w:spacing w:before="240" w:after="240" w:line="276" w:lineRule="auto"/>
        <w:ind w:left="284" w:right="49"/>
        <w:jc w:val="both"/>
        <w:rPr>
          <w:rFonts w:ascii="Palatino Linotype" w:hAnsi="Palatino Linotype" w:cs="Arial"/>
          <w:lang w:val="es-MX" w:eastAsia="es-MX"/>
        </w:rPr>
      </w:pPr>
      <w:r w:rsidRPr="00D2681A">
        <w:rPr>
          <w:rFonts w:ascii="Palatino Linotype" w:hAnsi="Palatino Linotype" w:cs="Arial"/>
          <w:lang w:val="es-MX" w:eastAsia="es-MX"/>
        </w:rPr>
        <w:t>b) El lugar y</w:t>
      </w:r>
    </w:p>
    <w:p w:rsidR="00D2681A" w:rsidRPr="00D2681A" w:rsidRDefault="00D2681A" w:rsidP="00D2681A">
      <w:pPr>
        <w:spacing w:before="240" w:after="240" w:line="276" w:lineRule="auto"/>
        <w:ind w:left="284" w:right="49"/>
        <w:jc w:val="both"/>
        <w:rPr>
          <w:rFonts w:ascii="Palatino Linotype" w:hAnsi="Palatino Linotype" w:cs="Arial"/>
          <w:lang w:val="es-MX" w:eastAsia="es-MX"/>
        </w:rPr>
      </w:pPr>
      <w:r w:rsidRPr="00D2681A">
        <w:rPr>
          <w:rFonts w:ascii="Palatino Linotype" w:hAnsi="Palatino Linotype" w:cs="Arial"/>
          <w:lang w:val="es-MX" w:eastAsia="es-MX"/>
        </w:rPr>
        <w:t>c) La forma</w:t>
      </w:r>
    </w:p>
    <w:p w:rsidR="00D2681A" w:rsidRPr="00D2681A" w:rsidRDefault="00D2681A" w:rsidP="00D2681A">
      <w:pPr>
        <w:spacing w:before="240" w:after="240" w:line="360" w:lineRule="auto"/>
        <w:ind w:right="49"/>
        <w:jc w:val="both"/>
        <w:rPr>
          <w:rFonts w:ascii="Palatino Linotype" w:hAnsi="Palatino Linotype" w:cs="Arial"/>
          <w:lang w:val="es-MX" w:eastAsia="es-MX"/>
        </w:rPr>
      </w:pPr>
      <w:r w:rsidRPr="00D2681A">
        <w:rPr>
          <w:rFonts w:ascii="Palatino Linotype" w:hAnsi="Palatino Linotype" w:cs="Arial"/>
          <w:lang w:val="es-MX" w:eastAsia="es-MX"/>
        </w:rPr>
        <w:t>Asimismo, se establece que la fuente de la información deberá ser:</w:t>
      </w:r>
    </w:p>
    <w:p w:rsidR="00D2681A" w:rsidRPr="00D2681A" w:rsidRDefault="00D2681A" w:rsidP="00D2681A">
      <w:pPr>
        <w:spacing w:before="240" w:after="240" w:line="276" w:lineRule="auto"/>
        <w:ind w:left="284" w:right="49"/>
        <w:jc w:val="both"/>
        <w:rPr>
          <w:rFonts w:ascii="Palatino Linotype" w:hAnsi="Palatino Linotype" w:cs="Arial"/>
          <w:lang w:val="es-MX" w:eastAsia="es-MX"/>
        </w:rPr>
      </w:pPr>
      <w:r w:rsidRPr="00D2681A">
        <w:rPr>
          <w:rFonts w:ascii="Palatino Linotype" w:hAnsi="Palatino Linotype" w:cs="Arial"/>
          <w:lang w:val="es-MX" w:eastAsia="es-MX"/>
        </w:rPr>
        <w:t>a) Precisa</w:t>
      </w:r>
    </w:p>
    <w:p w:rsidR="00D2681A" w:rsidRPr="00D2681A" w:rsidRDefault="00D2681A" w:rsidP="00D2681A">
      <w:pPr>
        <w:spacing w:before="240" w:after="240" w:line="276" w:lineRule="auto"/>
        <w:ind w:left="284" w:right="49"/>
        <w:jc w:val="both"/>
        <w:rPr>
          <w:rFonts w:ascii="Palatino Linotype" w:hAnsi="Palatino Linotype" w:cs="Arial"/>
          <w:lang w:val="es-MX" w:eastAsia="es-MX"/>
        </w:rPr>
      </w:pPr>
      <w:r w:rsidRPr="00D2681A">
        <w:rPr>
          <w:rFonts w:ascii="Palatino Linotype" w:hAnsi="Palatino Linotype" w:cs="Arial"/>
          <w:lang w:val="es-MX" w:eastAsia="es-MX"/>
        </w:rPr>
        <w:t>b) Concreta</w:t>
      </w:r>
    </w:p>
    <w:p w:rsidR="00D2681A" w:rsidRPr="00D2681A" w:rsidRDefault="00D2681A" w:rsidP="00D2681A">
      <w:pPr>
        <w:spacing w:before="240" w:after="240" w:line="276" w:lineRule="auto"/>
        <w:ind w:left="284" w:right="49"/>
        <w:jc w:val="both"/>
        <w:rPr>
          <w:rFonts w:ascii="Palatino Linotype" w:hAnsi="Palatino Linotype" w:cs="Arial"/>
          <w:lang w:val="es-MX" w:eastAsia="es-MX"/>
        </w:rPr>
      </w:pPr>
      <w:r w:rsidRPr="00D2681A">
        <w:rPr>
          <w:rFonts w:ascii="Palatino Linotype" w:hAnsi="Palatino Linotype" w:cs="Arial"/>
          <w:lang w:val="es-MX" w:eastAsia="es-MX"/>
        </w:rPr>
        <w:t>c) Y no debe implicar que el solicitante realice una búsqueda en toda la información que se encuentre disponible.</w:t>
      </w:r>
    </w:p>
    <w:p w:rsidR="00D2681A" w:rsidRPr="00D2681A" w:rsidRDefault="00D2681A" w:rsidP="00D2681A">
      <w:pPr>
        <w:spacing w:before="240" w:after="240" w:line="360" w:lineRule="auto"/>
        <w:ind w:right="49"/>
        <w:jc w:val="both"/>
        <w:rPr>
          <w:rFonts w:ascii="Palatino Linotype" w:hAnsi="Palatino Linotype" w:cs="Arial"/>
          <w:lang w:val="es-MX" w:eastAsia="es-MX"/>
        </w:rPr>
      </w:pPr>
      <w:r w:rsidRPr="00D2681A">
        <w:rPr>
          <w:rFonts w:ascii="Palatino Linotype" w:hAnsi="Palatino Linotype" w:cs="Arial"/>
          <w:lang w:val="es-MX" w:eastAsia="es-MX"/>
        </w:rPr>
        <w:t xml:space="preserve">Imperativos legales que establecen el procedimiento que debe seguir el </w:t>
      </w:r>
      <w:r w:rsidRPr="00D2681A">
        <w:rPr>
          <w:rFonts w:ascii="Palatino Linotype" w:hAnsi="Palatino Linotype" w:cs="Arial"/>
          <w:b/>
          <w:lang w:val="es-MX" w:eastAsia="es-MX"/>
        </w:rPr>
        <w:t>Sujeto Obligado</w:t>
      </w:r>
      <w:r w:rsidRPr="00D2681A">
        <w:rPr>
          <w:rFonts w:ascii="Palatino Linotype" w:hAnsi="Palatino Linotype" w:cs="Arial"/>
          <w:lang w:val="es-MX" w:eastAsia="es-MX"/>
        </w:rPr>
        <w:t xml:space="preserve"> para que pueda tomarse como válida su orientación sobre la forma en que puede consultar la información requerida.</w:t>
      </w:r>
    </w:p>
    <w:p w:rsidR="004D0318" w:rsidRDefault="000E523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este Instituto procedió a consultar la liga electrónica remitida por el </w:t>
      </w:r>
      <w:r>
        <w:rPr>
          <w:rFonts w:ascii="Palatino Linotype" w:eastAsia="Palatino Linotype" w:hAnsi="Palatino Linotype" w:cs="Palatino Linotype"/>
          <w:b/>
        </w:rPr>
        <w:t>Sujeto Obligado</w:t>
      </w:r>
      <w:r w:rsidR="00D2681A">
        <w:rPr>
          <w:rFonts w:ascii="Palatino Linotype" w:eastAsia="Palatino Linotype" w:hAnsi="Palatino Linotype" w:cs="Palatino Linotype"/>
        </w:rPr>
        <w:t xml:space="preserve">: </w:t>
      </w:r>
      <w:hyperlink r:id="rId11" w:history="1">
        <w:r w:rsidR="00D2681A" w:rsidRPr="00D722AD">
          <w:rPr>
            <w:rStyle w:val="Hipervnculo"/>
            <w:rFonts w:ascii="Palatino Linotype" w:eastAsia="Palatino Linotype" w:hAnsi="Palatino Linotype" w:cs="Palatino Linotype"/>
            <w:u w:val="none"/>
          </w:rPr>
          <w:t>https://www.ecatepec.gob.mx/transparencia</w:t>
        </w:r>
      </w:hyperlink>
      <w:r w:rsidR="00D2681A">
        <w:rPr>
          <w:rFonts w:ascii="Palatino Linotype" w:eastAsia="Palatino Linotype" w:hAnsi="Palatino Linotype" w:cs="Palatino Linotype"/>
        </w:rPr>
        <w:t xml:space="preserve"> por lo que para </w:t>
      </w:r>
      <w:r>
        <w:rPr>
          <w:rFonts w:ascii="Palatino Linotype" w:eastAsia="Palatino Linotype" w:hAnsi="Palatino Linotype" w:cs="Palatino Linotype"/>
        </w:rPr>
        <w:t xml:space="preserve">efecto de determinar si su pronunciamiento colma el requerimiento del particular, para ello resulta conveniente traer a colación las siguientes capturas de pantalla: </w:t>
      </w:r>
    </w:p>
    <w:p w:rsidR="004D0318" w:rsidRDefault="000E523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primera instancia, siguiendo el procedimiento señalado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informe justificado, se tiene que al ingresar a la liga electrónica referida</w:t>
      </w:r>
      <w:r w:rsidR="00D2681A">
        <w:rPr>
          <w:rFonts w:ascii="Palatino Linotype" w:eastAsia="Palatino Linotype" w:hAnsi="Palatino Linotype" w:cs="Palatino Linotype"/>
        </w:rPr>
        <w:t xml:space="preserve"> </w:t>
      </w:r>
      <w:hyperlink r:id="rId12" w:history="1">
        <w:r w:rsidR="00D2681A" w:rsidRPr="00D2681A">
          <w:rPr>
            <w:rStyle w:val="Hipervnculo"/>
            <w:rFonts w:ascii="Palatino Linotype" w:eastAsia="Palatino Linotype" w:hAnsi="Palatino Linotype" w:cs="Palatino Linotype"/>
            <w:u w:val="none"/>
          </w:rPr>
          <w:t>https://www.ecatepec.gob.mx/transparencia</w:t>
        </w:r>
      </w:hyperlink>
      <w:r>
        <w:rPr>
          <w:rFonts w:ascii="Palatino Linotype" w:eastAsia="Palatino Linotype" w:hAnsi="Palatino Linotype" w:cs="Palatino Linotype"/>
        </w:rPr>
        <w:t xml:space="preserve">, nos dirige al apartado siguiente: </w:t>
      </w:r>
    </w:p>
    <w:p w:rsidR="004D0318" w:rsidRDefault="000E523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486400" cy="2733675"/>
            <wp:effectExtent l="0" t="0" r="0" b="9525"/>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171" t="-3136" r="2037" b="3136"/>
                    <a:stretch/>
                  </pic:blipFill>
                  <pic:spPr bwMode="auto">
                    <a:xfrm>
                      <a:off x="0" y="0"/>
                      <a:ext cx="5486400" cy="2733675"/>
                    </a:xfrm>
                    <a:prstGeom prst="rect">
                      <a:avLst/>
                    </a:prstGeom>
                    <a:ln>
                      <a:noFill/>
                    </a:ln>
                    <a:extLst>
                      <a:ext uri="{53640926-AAD7-44D8-BBD7-CCE9431645EC}">
                        <a14:shadowObscured xmlns:a14="http://schemas.microsoft.com/office/drawing/2010/main"/>
                      </a:ext>
                    </a:extLst>
                  </pic:spPr>
                </pic:pic>
              </a:graphicData>
            </a:graphic>
          </wp:inline>
        </w:drawing>
      </w:r>
    </w:p>
    <w:p w:rsidR="005C4599" w:rsidRDefault="000E523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w:t>
      </w:r>
      <w:r w:rsidR="00D2681A">
        <w:rPr>
          <w:rFonts w:ascii="Palatino Linotype" w:eastAsia="Palatino Linotype" w:hAnsi="Palatino Linotype" w:cs="Palatino Linotype"/>
        </w:rPr>
        <w:t xml:space="preserve">para acceder al portal de Información Pública de Oficio Mexiquense, </w:t>
      </w:r>
      <w:r>
        <w:rPr>
          <w:rFonts w:ascii="Palatino Linotype" w:eastAsia="Palatino Linotype" w:hAnsi="Palatino Linotype" w:cs="Palatino Linotype"/>
        </w:rPr>
        <w:t xml:space="preserve">deberá señalarse el apartado </w:t>
      </w:r>
      <w:r w:rsidRPr="00D2681A">
        <w:rPr>
          <w:rFonts w:ascii="Palatino Linotype" w:eastAsia="Palatino Linotype" w:hAnsi="Palatino Linotype" w:cs="Palatino Linotype"/>
          <w:b/>
        </w:rPr>
        <w:t>“transparencia”</w:t>
      </w:r>
      <w:r>
        <w:rPr>
          <w:rFonts w:ascii="Palatino Linotype" w:eastAsia="Palatino Linotype" w:hAnsi="Palatino Linotype" w:cs="Palatino Linotype"/>
        </w:rPr>
        <w:t>, el cual nos dirigirá a la plataforma IPOMEX</w:t>
      </w:r>
      <w:r w:rsidR="005C4599">
        <w:rPr>
          <w:rFonts w:ascii="Palatino Linotype" w:eastAsia="Palatino Linotype" w:hAnsi="Palatino Linotype" w:cs="Palatino Linotype"/>
        </w:rPr>
        <w:t xml:space="preserve">: </w:t>
      </w:r>
    </w:p>
    <w:p w:rsidR="005C4599" w:rsidRDefault="005C45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1967865</wp:posOffset>
                </wp:positionH>
                <wp:positionV relativeFrom="paragraph">
                  <wp:posOffset>1429385</wp:posOffset>
                </wp:positionV>
                <wp:extent cx="352425" cy="304800"/>
                <wp:effectExtent l="57150" t="38100" r="85725" b="95250"/>
                <wp:wrapNone/>
                <wp:docPr id="2" name="Rectángulo 2"/>
                <wp:cNvGraphicFramePr/>
                <a:graphic xmlns:a="http://schemas.openxmlformats.org/drawingml/2006/main">
                  <a:graphicData uri="http://schemas.microsoft.com/office/word/2010/wordprocessingShape">
                    <wps:wsp>
                      <wps:cNvSpPr/>
                      <wps:spPr>
                        <a:xfrm>
                          <a:off x="0" y="0"/>
                          <a:ext cx="352425" cy="3048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51835" id="Rectángulo 2" o:spid="_x0000_s1026" style="position:absolute;margin-left:154.95pt;margin-top:112.55pt;width:27.75pt;height: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eastAsia="es-MX"/>
        </w:rPr>
        <w:drawing>
          <wp:inline distT="0" distB="0" distL="0" distR="0">
            <wp:extent cx="5610225" cy="3933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3279"/>
                    <a:stretch/>
                  </pic:blipFill>
                  <pic:spPr bwMode="auto">
                    <a:xfrm>
                      <a:off x="0" y="0"/>
                      <a:ext cx="5610225" cy="3933825"/>
                    </a:xfrm>
                    <a:prstGeom prst="rect">
                      <a:avLst/>
                    </a:prstGeom>
                    <a:noFill/>
                    <a:ln>
                      <a:noFill/>
                    </a:ln>
                    <a:extLst>
                      <a:ext uri="{53640926-AAD7-44D8-BBD7-CCE9431645EC}">
                        <a14:shadowObscured xmlns:a14="http://schemas.microsoft.com/office/drawing/2010/main"/>
                      </a:ext>
                    </a:extLst>
                  </pic:spPr>
                </pic:pic>
              </a:graphicData>
            </a:graphic>
          </wp:inline>
        </w:drawing>
      </w:r>
    </w:p>
    <w:p w:rsidR="004D0318" w:rsidRDefault="005C459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Atendiendo a las manifestaciones</w:t>
      </w:r>
      <w:r w:rsidR="000E523D">
        <w:rPr>
          <w:rFonts w:ascii="Palatino Linotype" w:eastAsia="Palatino Linotype" w:hAnsi="Palatino Linotype" w:cs="Palatino Linotype"/>
        </w:rPr>
        <w:t xml:space="preserve"> </w:t>
      </w:r>
      <w:r>
        <w:rPr>
          <w:rFonts w:ascii="Palatino Linotype" w:eastAsia="Palatino Linotype" w:hAnsi="Palatino Linotype" w:cs="Palatino Linotype"/>
        </w:rPr>
        <w:t xml:space="preserve">del </w:t>
      </w:r>
      <w:r w:rsidRPr="005C4599">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particular deberá dar clic en el apartado </w:t>
      </w:r>
      <w:r w:rsidRPr="005C4599">
        <w:rPr>
          <w:rFonts w:ascii="Palatino Linotype" w:eastAsia="Palatino Linotype" w:hAnsi="Palatino Linotype" w:cs="Palatino Linotype"/>
          <w:b/>
        </w:rPr>
        <w:t>ejercicio 2018 y posteriores</w:t>
      </w:r>
      <w:r w:rsidRPr="005C4599">
        <w:rPr>
          <w:rFonts w:ascii="Palatino Linotype" w:eastAsia="Palatino Linotype" w:hAnsi="Palatino Linotype" w:cs="Palatino Linotype"/>
        </w:rPr>
        <w:t xml:space="preserve"> </w:t>
      </w:r>
      <w:r>
        <w:rPr>
          <w:rFonts w:ascii="Palatino Linotype" w:eastAsia="Palatino Linotype" w:hAnsi="Palatino Linotype" w:cs="Palatino Linotype"/>
        </w:rPr>
        <w:t xml:space="preserve">y  posteriormente </w:t>
      </w:r>
      <w:r w:rsidR="000E523D">
        <w:rPr>
          <w:rFonts w:ascii="Palatino Linotype" w:eastAsia="Palatino Linotype" w:hAnsi="Palatino Linotype" w:cs="Palatino Linotype"/>
        </w:rPr>
        <w:t xml:space="preserve">realizar la búsqueda de la fracción XXIX del artículo 92, </w:t>
      </w:r>
      <w:r>
        <w:rPr>
          <w:rFonts w:ascii="Palatino Linotype" w:eastAsia="Palatino Linotype" w:hAnsi="Palatino Linotype" w:cs="Palatino Linotype"/>
        </w:rPr>
        <w:t xml:space="preserve">por lo tanto, tras seguir este procedimiento, </w:t>
      </w:r>
      <w:r w:rsidR="000E523D">
        <w:rPr>
          <w:rFonts w:ascii="Palatino Linotype" w:eastAsia="Palatino Linotype" w:hAnsi="Palatino Linotype" w:cs="Palatino Linotype"/>
        </w:rPr>
        <w:t xml:space="preserve">se obtuvo la siguiente información: </w:t>
      </w:r>
    </w:p>
    <w:p w:rsidR="005C4599" w:rsidRDefault="005C4599" w:rsidP="005C4599">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2034540</wp:posOffset>
                </wp:positionH>
                <wp:positionV relativeFrom="paragraph">
                  <wp:posOffset>1143634</wp:posOffset>
                </wp:positionV>
                <wp:extent cx="1495425" cy="180975"/>
                <wp:effectExtent l="57150" t="38100" r="85725" b="104775"/>
                <wp:wrapNone/>
                <wp:docPr id="4" name="Rectángulo 4"/>
                <wp:cNvGraphicFramePr/>
                <a:graphic xmlns:a="http://schemas.openxmlformats.org/drawingml/2006/main">
                  <a:graphicData uri="http://schemas.microsoft.com/office/word/2010/wordprocessingShape">
                    <wps:wsp>
                      <wps:cNvSpPr/>
                      <wps:spPr>
                        <a:xfrm>
                          <a:off x="0" y="0"/>
                          <a:ext cx="1495425" cy="1809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5BE38" id="Rectángulo 4" o:spid="_x0000_s1026" style="position:absolute;margin-left:160.2pt;margin-top:90.05pt;width:117.75pt;height:1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eastAsia="es-MX"/>
        </w:rPr>
        <w:drawing>
          <wp:inline distT="0" distB="0" distL="0" distR="0">
            <wp:extent cx="4191000" cy="1866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7147" t="29242" r="8150"/>
                    <a:stretch/>
                  </pic:blipFill>
                  <pic:spPr bwMode="auto">
                    <a:xfrm>
                      <a:off x="0" y="0"/>
                      <a:ext cx="419100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4D0318" w:rsidRDefault="005C4599">
      <w:pPr>
        <w:spacing w:after="240" w:line="360" w:lineRule="auto"/>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1177925</wp:posOffset>
                </wp:positionH>
                <wp:positionV relativeFrom="paragraph">
                  <wp:posOffset>1390650</wp:posOffset>
                </wp:positionV>
                <wp:extent cx="1638300" cy="514350"/>
                <wp:effectExtent l="0" t="0" r="0" b="0"/>
                <wp:wrapNone/>
                <wp:docPr id="42" name="Rectángulo 42"/>
                <wp:cNvGraphicFramePr/>
                <a:graphic xmlns:a="http://schemas.openxmlformats.org/drawingml/2006/main">
                  <a:graphicData uri="http://schemas.microsoft.com/office/word/2010/wordprocessingShape">
                    <wps:wsp>
                      <wps:cNvSpPr/>
                      <wps:spPr>
                        <a:xfrm>
                          <a:off x="0" y="0"/>
                          <a:ext cx="1638300" cy="514350"/>
                        </a:xfrm>
                        <a:prstGeom prst="rect">
                          <a:avLst/>
                        </a:prstGeom>
                        <a:noFill/>
                        <a:ln w="28575" cap="flat" cmpd="sng">
                          <a:solidFill>
                            <a:srgbClr val="002060"/>
                          </a:solidFill>
                          <a:prstDash val="solid"/>
                          <a:round/>
                          <a:headEnd type="none" w="sm" len="sm"/>
                          <a:tailEnd type="none" w="sm" len="sm"/>
                        </a:ln>
                      </wps:spPr>
                      <wps:txbx>
                        <w:txbxContent>
                          <w:p w:rsidR="00477D30" w:rsidRDefault="00477D30">
                            <w:pPr>
                              <w:textDirection w:val="btLr"/>
                            </w:pPr>
                          </w:p>
                        </w:txbxContent>
                      </wps:txbx>
                      <wps:bodyPr spcFirstLastPara="1" wrap="square" lIns="91425" tIns="91425" rIns="91425" bIns="91425" anchor="ctr" anchorCtr="0">
                        <a:noAutofit/>
                      </wps:bodyPr>
                    </wps:wsp>
                  </a:graphicData>
                </a:graphic>
              </wp:anchor>
            </w:drawing>
          </mc:Choice>
          <mc:Fallback>
            <w:pict>
              <v:rect id="Rectángulo 42" o:spid="_x0000_s1026" style="position:absolute;margin-left:92.75pt;margin-top:109.5pt;width:129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" filled="f" strokecolor="#002060" strokeweight="2.25pt">
                <v:stroke startarrowwidth="narrow" startarrowlength="short" endarrowwidth="narrow" endarrowlength="short" joinstyle="round"/>
                <v:textbox inset="2.53958mm,2.53958mm,2.53958mm,2.53958mm">
                  <w:txbxContent>
                    <w:p w:rsidR="00477D30" w:rsidRDefault="00477D30">
                      <w:pPr>
                        <w:textDirection w:val="btLr"/>
                      </w:pPr>
                    </w:p>
                  </w:txbxContent>
                </v:textbox>
              </v:rect>
            </w:pict>
          </mc:Fallback>
        </mc:AlternateContent>
      </w:r>
      <w:r w:rsidR="000E523D">
        <w:rPr>
          <w:rFonts w:ascii="Palatino Linotype" w:eastAsia="Palatino Linotype" w:hAnsi="Palatino Linotype" w:cs="Palatino Linotype"/>
          <w:noProof/>
          <w:lang w:val="es-MX" w:eastAsia="es-MX"/>
        </w:rPr>
        <w:drawing>
          <wp:inline distT="0" distB="0" distL="0" distR="0">
            <wp:extent cx="6076950" cy="3676588"/>
            <wp:effectExtent l="0" t="0" r="0" b="635"/>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6"/>
                    <a:srcRect t="8747" r="1755"/>
                    <a:stretch/>
                  </pic:blipFill>
                  <pic:spPr bwMode="auto">
                    <a:xfrm>
                      <a:off x="0" y="0"/>
                      <a:ext cx="6077077" cy="3676665"/>
                    </a:xfrm>
                    <a:prstGeom prst="rect">
                      <a:avLst/>
                    </a:prstGeom>
                    <a:ln>
                      <a:noFill/>
                    </a:ln>
                    <a:extLst>
                      <a:ext uri="{53640926-AAD7-44D8-BBD7-CCE9431645EC}">
                        <a14:shadowObscured xmlns:a14="http://schemas.microsoft.com/office/drawing/2010/main"/>
                      </a:ext>
                    </a:extLst>
                  </pic:spPr>
                </pic:pic>
              </a:graphicData>
            </a:graphic>
          </wp:inline>
        </w:drawing>
      </w:r>
    </w:p>
    <w:p w:rsidR="004D0318" w:rsidRDefault="000E523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liga electrónica proporcionada </w:t>
      </w:r>
      <w:hyperlink r:id="rId17" w:history="1">
        <w:r w:rsidR="005C4599" w:rsidRPr="00AF7CAF">
          <w:rPr>
            <w:rStyle w:val="Hipervnculo"/>
            <w:rFonts w:ascii="Palatino Linotype" w:eastAsia="Palatino Linotype" w:hAnsi="Palatino Linotype" w:cs="Palatino Linotype"/>
          </w:rPr>
          <w:t>https://www.ecatepec.gob.mx/transparencia</w:t>
        </w:r>
      </w:hyperlink>
      <w:r w:rsidR="005C4599">
        <w:rPr>
          <w:rFonts w:ascii="Palatino Linotype" w:eastAsia="Palatino Linotype" w:hAnsi="Palatino Linotype" w:cs="Palatino Linotype"/>
        </w:rPr>
        <w:t xml:space="preserve"> </w:t>
      </w:r>
      <w:r>
        <w:rPr>
          <w:rFonts w:ascii="Palatino Linotype" w:eastAsia="Palatino Linotype" w:hAnsi="Palatino Linotype" w:cs="Palatino Linotype"/>
        </w:rPr>
        <w:t>dirige al portal de Información Públ</w:t>
      </w:r>
      <w:r w:rsidR="005C4599">
        <w:rPr>
          <w:rFonts w:ascii="Palatino Linotype" w:eastAsia="Palatino Linotype" w:hAnsi="Palatino Linotype" w:cs="Palatino Linotype"/>
        </w:rPr>
        <w:t>ica de Oficio Mexiquense, IPOMEX</w:t>
      </w:r>
      <w:r>
        <w:rPr>
          <w:rFonts w:ascii="Palatino Linotype" w:eastAsia="Palatino Linotype" w:hAnsi="Palatino Linotype" w:cs="Palatino Linotype"/>
        </w:rPr>
        <w:t xml:space="preserv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5C4599">
        <w:rPr>
          <w:rFonts w:ascii="Palatino Linotype" w:eastAsia="Palatino Linotype" w:hAnsi="Palatino Linotype" w:cs="Palatino Linotype"/>
        </w:rPr>
        <w:t xml:space="preserve">sin embargo, conviene mencionar que la fracción XXIX dentro del portal IPOMEX se subdivide en XXIX A </w:t>
      </w:r>
      <w:r w:rsidR="005C4599">
        <w:rPr>
          <w:rFonts w:ascii="Palatino Linotype" w:eastAsia="Palatino Linotype" w:hAnsi="Palatino Linotype" w:cs="Palatino Linotype"/>
        </w:rPr>
        <w:lastRenderedPageBreak/>
        <w:t>y XXIX B, es de precisar que dichas fracciones dan cumplimiento a</w:t>
      </w:r>
      <w:r>
        <w:rPr>
          <w:rFonts w:ascii="Palatino Linotype" w:eastAsia="Palatino Linotype" w:hAnsi="Palatino Linotype" w:cs="Palatino Linotype"/>
        </w:rPr>
        <w:t xml:space="preserve"> la obligación de transparencia común regulada por el artículo 92, fracción XXIX, a saber: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D0318" w:rsidRDefault="000E523D">
      <w:pPr>
        <w:spacing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4D0318" w:rsidRDefault="000E523D">
      <w:pPr>
        <w:spacing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 De licitaciones públicas o procedimientos de invitación restringida: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nombres de los participantes o invitados;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El nombre del ganador y las razones que lo justifican;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El área solicitante y la responsable de su ejecución;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Las convocatorias e invitaciones emitidas;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Los dictámenes y fallo de adjudicación;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contrato y, en su caso, sus anexos;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9) La partida presupuestal, de conformidad con el clasificador por objeto del gasto, en el caso de ser aplicable;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12) Los informes de avance físico y financiero sobre las obras o servicios contratados;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13) El convenio de terminación; y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14) El finiquito. </w:t>
      </w:r>
    </w:p>
    <w:p w:rsidR="004D0318" w:rsidRDefault="000E523D">
      <w:pPr>
        <w:spacing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b) De las adjudicaciones directas: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 propuesta enviada por el participante;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Los motivos y fundamentos legales aplicados para llevarla a cabo;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La autorización del ejercicio de la opción;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En su caso, las cotizaciones consideradas, especificando los nombres de los proveedores y sus montos;</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El nombre de la persona física o jurídica colectiva adjudicada;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La unidad administrativa solicitante y la responsable de su ejecución;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El número, fecha, el monto del contrato y el plazo de entrega o de ejecución de los servicios u obra;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Los informes de avance sobre las obras o servicios contratados;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El convenio de terminación; y </w:t>
      </w:r>
    </w:p>
    <w:p w:rsidR="004D0318" w:rsidRDefault="000E523D">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11) El finiquito.”</w:t>
      </w:r>
    </w:p>
    <w:p w:rsidR="00A36E53" w:rsidRPr="00A36E53" w:rsidRDefault="00A36E53" w:rsidP="00A36E53">
      <w:pPr>
        <w:spacing w:before="240" w:after="240" w:line="360" w:lineRule="auto"/>
        <w:ind w:right="49"/>
        <w:jc w:val="both"/>
        <w:rPr>
          <w:rFonts w:ascii="Palatino Linotype" w:hAnsi="Palatino Linotype"/>
          <w:lang w:val="es-MX" w:eastAsia="es-MX"/>
        </w:rPr>
      </w:pPr>
      <w:r w:rsidRPr="00A36E53">
        <w:rPr>
          <w:rFonts w:ascii="Palatino Linotype" w:hAnsi="Palatino Linotype"/>
          <w:lang w:val="es-MX" w:eastAsia="es-MX"/>
        </w:rPr>
        <w:t xml:space="preserve">No debe perderse de vista que, si bien el </w:t>
      </w:r>
      <w:r w:rsidRPr="00A36E53">
        <w:rPr>
          <w:rFonts w:ascii="Palatino Linotype" w:hAnsi="Palatino Linotype"/>
          <w:b/>
          <w:lang w:val="es-MX" w:eastAsia="es-MX"/>
        </w:rPr>
        <w:t>Sujeto Obligado</w:t>
      </w:r>
      <w:r>
        <w:rPr>
          <w:rFonts w:ascii="Palatino Linotype" w:hAnsi="Palatino Linotype"/>
          <w:lang w:val="es-MX" w:eastAsia="es-MX"/>
        </w:rPr>
        <w:t xml:space="preserve"> emitió un pronunciamiento en informe justificado</w:t>
      </w:r>
      <w:r w:rsidRPr="00A36E53">
        <w:rPr>
          <w:rFonts w:ascii="Palatino Linotype" w:hAnsi="Palatino Linotype"/>
          <w:lang w:val="es-MX" w:eastAsia="es-MX"/>
        </w:rPr>
        <w:t xml:space="preserve"> a la solicitud de información, también lo es que la información proporcionada no colma la información peticionada, ello es así, atendiendo a que </w:t>
      </w:r>
      <w:r>
        <w:rPr>
          <w:rFonts w:ascii="Palatino Linotype" w:hAnsi="Palatino Linotype"/>
          <w:b/>
          <w:lang w:val="es-MX" w:eastAsia="es-MX"/>
        </w:rPr>
        <w:t>el</w:t>
      </w:r>
      <w:r w:rsidRPr="00A36E53">
        <w:rPr>
          <w:rFonts w:ascii="Palatino Linotype" w:hAnsi="Palatino Linotype"/>
          <w:b/>
          <w:lang w:val="es-MX" w:eastAsia="es-MX"/>
        </w:rPr>
        <w:t xml:space="preserve"> Recurrente</w:t>
      </w:r>
      <w:r w:rsidRPr="00A36E53">
        <w:rPr>
          <w:rFonts w:ascii="Palatino Linotype" w:hAnsi="Palatino Linotype"/>
          <w:lang w:val="es-MX" w:eastAsia="es-MX"/>
        </w:rPr>
        <w:t xml:space="preserve"> requiere </w:t>
      </w:r>
      <w:r>
        <w:rPr>
          <w:rFonts w:ascii="Palatino Linotype" w:hAnsi="Palatino Linotype"/>
          <w:lang w:val="es-MX" w:eastAsia="es-MX"/>
        </w:rPr>
        <w:t>de manera específico, le sea entregado</w:t>
      </w:r>
      <w:r w:rsidRPr="00A36E53">
        <w:rPr>
          <w:rFonts w:ascii="Palatino Linotype" w:hAnsi="Palatino Linotype"/>
          <w:lang w:val="es-MX" w:eastAsia="es-MX"/>
        </w:rPr>
        <w:t xml:space="preserve"> </w:t>
      </w:r>
      <w:r>
        <w:rPr>
          <w:rFonts w:ascii="Palatino Linotype" w:hAnsi="Palatino Linotype"/>
          <w:lang w:val="es-MX" w:eastAsia="es-MX"/>
        </w:rPr>
        <w:t xml:space="preserve">el contrato MEM-DA-ST-AD-RP-01-2020-02, </w:t>
      </w:r>
      <w:r w:rsidRPr="00A36E53">
        <w:rPr>
          <w:rFonts w:ascii="Palatino Linotype" w:hAnsi="Palatino Linotype"/>
          <w:lang w:val="es-MX" w:eastAsia="es-MX"/>
        </w:rPr>
        <w:t xml:space="preserve">así como el documento que acredite haberse realizado y entregado el bien, servicio y/o producto, empero </w:t>
      </w:r>
      <w:r w:rsidR="00361CC8">
        <w:rPr>
          <w:rFonts w:ascii="Palatino Linotype" w:hAnsi="Palatino Linotype"/>
          <w:lang w:val="es-MX" w:eastAsia="es-MX"/>
        </w:rPr>
        <w:t xml:space="preserve">el </w:t>
      </w:r>
      <w:r w:rsidR="00361CC8" w:rsidRPr="00361CC8">
        <w:rPr>
          <w:rFonts w:ascii="Palatino Linotype" w:hAnsi="Palatino Linotype"/>
          <w:b/>
          <w:lang w:val="es-MX" w:eastAsia="es-MX"/>
        </w:rPr>
        <w:t xml:space="preserve">Sujeto Obligado </w:t>
      </w:r>
      <w:r w:rsidR="00361CC8">
        <w:rPr>
          <w:rFonts w:ascii="Palatino Linotype" w:hAnsi="Palatino Linotype"/>
          <w:lang w:val="es-MX" w:eastAsia="es-MX"/>
        </w:rPr>
        <w:t>no manifestó de manera clara y precisa si la información solicitada se localiza en la fracción XXIX A o XXIX B ni el registro en el que obra la documentación.</w:t>
      </w:r>
    </w:p>
    <w:p w:rsidR="00361CC8" w:rsidRDefault="00A36E53" w:rsidP="00361CC8">
      <w:pPr>
        <w:spacing w:before="240" w:after="240" w:line="360" w:lineRule="auto"/>
        <w:ind w:right="49"/>
        <w:jc w:val="both"/>
        <w:rPr>
          <w:rFonts w:ascii="Palatino Linotype" w:eastAsia="Palatino Linotype" w:hAnsi="Palatino Linotype" w:cs="Palatino Linotype"/>
        </w:rPr>
      </w:pPr>
      <w:r w:rsidRPr="00A36E53">
        <w:rPr>
          <w:rFonts w:ascii="Palatino Linotype" w:hAnsi="Palatino Linotype"/>
          <w:lang w:val="es-MX" w:eastAsia="es-MX"/>
        </w:rPr>
        <w:t xml:space="preserve">Ahora bien, </w:t>
      </w:r>
      <w:r w:rsidR="00361CC8">
        <w:rPr>
          <w:rFonts w:ascii="Palatino Linotype" w:eastAsia="Palatino Linotype" w:hAnsi="Palatino Linotype" w:cs="Palatino Linotype"/>
        </w:rPr>
        <w:t xml:space="preserve">al ingresar a los apartados de las fracciones XXIX A y XXIX B, este Organismo Garante encontró lo siguiente: </w:t>
      </w:r>
    </w:p>
    <w:p w:rsidR="00361CC8" w:rsidRDefault="00361CC8" w:rsidP="00A36E53">
      <w:pPr>
        <w:spacing w:before="240" w:after="240" w:line="360" w:lineRule="auto"/>
        <w:ind w:right="49"/>
        <w:jc w:val="both"/>
        <w:rPr>
          <w:rFonts w:ascii="Palatino Linotype" w:hAnsi="Palatino Linotype"/>
          <w:lang w:val="es-MX" w:eastAsia="es-MX"/>
        </w:rPr>
      </w:pPr>
      <w:r>
        <w:rPr>
          <w:rFonts w:ascii="Palatino Linotype" w:hAnsi="Palatino Linotype"/>
          <w:noProof/>
          <w:lang w:val="es-MX" w:eastAsia="es-MX"/>
        </w:rPr>
        <w:lastRenderedPageBreak/>
        <w:drawing>
          <wp:inline distT="0" distB="0" distL="0" distR="0">
            <wp:extent cx="5210175" cy="4029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4029075"/>
                    </a:xfrm>
                    <a:prstGeom prst="rect">
                      <a:avLst/>
                    </a:prstGeom>
                    <a:noFill/>
                    <a:ln>
                      <a:noFill/>
                    </a:ln>
                  </pic:spPr>
                </pic:pic>
              </a:graphicData>
            </a:graphic>
          </wp:inline>
        </w:drawing>
      </w:r>
    </w:p>
    <w:p w:rsidR="00361CC8" w:rsidRPr="00A36E53" w:rsidRDefault="00361CC8" w:rsidP="00A36E53">
      <w:pPr>
        <w:spacing w:before="240" w:after="240" w:line="360" w:lineRule="auto"/>
        <w:ind w:right="49"/>
        <w:jc w:val="both"/>
        <w:rPr>
          <w:rFonts w:ascii="Palatino Linotype" w:hAnsi="Palatino Linotype"/>
          <w:lang w:val="es-MX" w:eastAsia="es-MX"/>
        </w:rPr>
      </w:pPr>
      <w:r>
        <w:rPr>
          <w:rFonts w:ascii="Palatino Linotype" w:hAnsi="Palatino Linotype"/>
          <w:noProof/>
          <w:lang w:val="es-MX" w:eastAsia="es-MX"/>
        </w:rPr>
        <w:lastRenderedPageBreak/>
        <w:drawing>
          <wp:inline distT="0" distB="0" distL="0" distR="0">
            <wp:extent cx="5343525" cy="3743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743325"/>
                    </a:xfrm>
                    <a:prstGeom prst="rect">
                      <a:avLst/>
                    </a:prstGeom>
                    <a:noFill/>
                    <a:ln>
                      <a:noFill/>
                    </a:ln>
                  </pic:spPr>
                </pic:pic>
              </a:graphicData>
            </a:graphic>
          </wp:inline>
        </w:drawing>
      </w:r>
    </w:p>
    <w:p w:rsidR="00A36E53" w:rsidRPr="00A36E53" w:rsidRDefault="00A36E53" w:rsidP="00A36E53">
      <w:pPr>
        <w:spacing w:before="240" w:after="240" w:line="360" w:lineRule="auto"/>
        <w:ind w:right="49"/>
        <w:jc w:val="both"/>
        <w:rPr>
          <w:rFonts w:ascii="Palatino Linotype" w:hAnsi="Palatino Linotype"/>
          <w:lang w:val="es-MX" w:eastAsia="es-MX"/>
        </w:rPr>
      </w:pPr>
      <w:r w:rsidRPr="00A36E53">
        <w:rPr>
          <w:rFonts w:ascii="Palatino Linotype" w:hAnsi="Palatino Linotype"/>
          <w:lang w:val="es-MX" w:eastAsia="es-MX"/>
        </w:rPr>
        <w:t xml:space="preserve">Por lo que consecuentemente, </w:t>
      </w:r>
      <w:r w:rsidR="00361CC8">
        <w:rPr>
          <w:rFonts w:ascii="Palatino Linotype" w:hAnsi="Palatino Linotype"/>
          <w:lang w:val="es-MX" w:eastAsia="es-MX"/>
        </w:rPr>
        <w:t xml:space="preserve">al no precisarse el año en el que se generó la información, ni la fracción específica en la que obra la información requerida, </w:t>
      </w:r>
      <w:r w:rsidRPr="00A36E53">
        <w:rPr>
          <w:rFonts w:ascii="Palatino Linotype" w:hAnsi="Palatino Linotype"/>
          <w:lang w:val="es-MX" w:eastAsia="es-MX"/>
        </w:rPr>
        <w:t xml:space="preserve">nos encontramos ante una búsqueda que el particular tendría que efectuar dentro del portal del </w:t>
      </w:r>
      <w:r w:rsidRPr="00A36E53">
        <w:rPr>
          <w:rFonts w:ascii="Palatino Linotype" w:hAnsi="Palatino Linotype"/>
          <w:b/>
          <w:lang w:val="es-MX" w:eastAsia="es-MX"/>
        </w:rPr>
        <w:t>Sujeto Obligado</w:t>
      </w:r>
      <w:r w:rsidRPr="00A36E53">
        <w:rPr>
          <w:rFonts w:ascii="Palatino Linotype" w:hAnsi="Palatino Linotype"/>
          <w:lang w:val="es-MX" w:eastAsia="es-MX"/>
        </w:rPr>
        <w:t xml:space="preserve"> a efecto de localizar</w:t>
      </w:r>
      <w:r w:rsidR="00361CC8">
        <w:rPr>
          <w:rFonts w:ascii="Palatino Linotype" w:hAnsi="Palatino Linotype"/>
          <w:lang w:val="es-MX" w:eastAsia="es-MX"/>
        </w:rPr>
        <w:t xml:space="preserve"> los soportes documentales solicitados</w:t>
      </w:r>
      <w:r w:rsidRPr="00A36E53">
        <w:rPr>
          <w:rFonts w:ascii="Palatino Linotype" w:hAnsi="Palatino Linotype"/>
          <w:lang w:val="es-MX" w:eastAsia="es-MX"/>
        </w:rPr>
        <w:t>, es por ello que no se tiene por satisfecho el derecho de acceso a la información, resultando dable ordenar haga entrega de la información.</w:t>
      </w:r>
    </w:p>
    <w:p w:rsidR="00A36E53" w:rsidRPr="00A36E53" w:rsidRDefault="00A36E53" w:rsidP="00A36E53">
      <w:pPr>
        <w:spacing w:before="240" w:after="240" w:line="360" w:lineRule="auto"/>
        <w:ind w:right="49"/>
        <w:jc w:val="both"/>
        <w:rPr>
          <w:rFonts w:ascii="Palatino Linotype" w:hAnsi="Palatino Linotype"/>
          <w:lang w:val="es-MX" w:eastAsia="es-MX"/>
        </w:rPr>
      </w:pPr>
      <w:r w:rsidRPr="00A36E53">
        <w:rPr>
          <w:rFonts w:ascii="Palatino Linotype" w:hAnsi="Palatino Linotype"/>
          <w:lang w:val="es-MX" w:eastAsia="es-MX"/>
        </w:rPr>
        <w:t xml:space="preserve">Acotado lo anterior, de conformidad con la respuesta proporcionada, en la cual el </w:t>
      </w:r>
      <w:r w:rsidRPr="00A36E53">
        <w:rPr>
          <w:rFonts w:ascii="Palatino Linotype" w:hAnsi="Palatino Linotype"/>
          <w:b/>
          <w:lang w:val="es-MX" w:eastAsia="es-MX"/>
        </w:rPr>
        <w:t>Sujeto Obligado</w:t>
      </w:r>
      <w:r w:rsidRPr="00A36E53">
        <w:rPr>
          <w:rFonts w:ascii="Palatino Linotype" w:hAnsi="Palatino Linotype"/>
          <w:lang w:val="es-MX" w:eastAsia="es-MX"/>
        </w:rPr>
        <w:t xml:space="preserve"> manifiesta que la información ya se encuentra publicada en el portal de Información Pública de Oficio Mexiquense (IPOMEX), debemos partir de que los artículos 11 y 161 de la Ley de Transparencia y Acceso a la Información </w:t>
      </w:r>
      <w:r w:rsidRPr="00A36E53">
        <w:rPr>
          <w:rFonts w:ascii="Palatino Linotype" w:hAnsi="Palatino Linotype"/>
          <w:lang w:val="es-MX" w:eastAsia="es-MX"/>
        </w:rPr>
        <w:lastRenderedPageBreak/>
        <w:t>Pública del estado de México y Municipios, señalan diversas características que debe tener la información desde el momento de su generación, publicación y entrega, así como la forma en que se deberá consultar la información, señalando una fuente precisa y concreta, para mayor referencia se insertan los siguientes preceptos legales:</w:t>
      </w:r>
    </w:p>
    <w:p w:rsidR="00A36E53" w:rsidRPr="00A36E53" w:rsidRDefault="00A36E53" w:rsidP="00A36E53">
      <w:pPr>
        <w:spacing w:before="240" w:after="240"/>
        <w:ind w:left="567" w:right="900"/>
        <w:jc w:val="both"/>
        <w:rPr>
          <w:rFonts w:ascii="Palatino Linotype" w:hAnsi="Palatino Linotype"/>
          <w:i/>
          <w:sz w:val="22"/>
          <w:lang w:val="es-MX" w:eastAsia="es-MX"/>
        </w:rPr>
      </w:pPr>
      <w:r w:rsidRPr="00A36E53">
        <w:rPr>
          <w:rFonts w:ascii="Palatino Linotype" w:hAnsi="Palatino Linotype"/>
          <w:i/>
          <w:sz w:val="22"/>
          <w:lang w:val="es-MX" w:eastAsia="es-MX"/>
        </w:rPr>
        <w:t xml:space="preserve">“Artículo 11. </w:t>
      </w:r>
      <w:r w:rsidRPr="00A36E53">
        <w:rPr>
          <w:rFonts w:ascii="Palatino Linotype" w:hAnsi="Palatino Linotype"/>
          <w:b/>
          <w:i/>
          <w:sz w:val="22"/>
          <w:lang w:val="es-MX" w:eastAsia="es-MX"/>
        </w:rPr>
        <w:t>En la generación, publicación y entrega de información se deberá garantizar que ésta sea accesible, actualizada, completa, congruente, confiable, verificable, veraz, integral, oportuna y expedita</w:t>
      </w:r>
      <w:r w:rsidRPr="00A36E53">
        <w:rPr>
          <w:rFonts w:ascii="Palatino Linotype" w:hAnsi="Palatino Linotype"/>
          <w:i/>
          <w:sz w:val="22"/>
          <w:lang w:val="es-MX" w:eastAsia="es-MX"/>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A36E53" w:rsidRPr="00A36E53" w:rsidRDefault="00A36E53" w:rsidP="00A36E53">
      <w:pPr>
        <w:spacing w:before="240" w:after="240"/>
        <w:ind w:left="567" w:right="900"/>
        <w:jc w:val="both"/>
        <w:rPr>
          <w:rFonts w:ascii="Palatino Linotype" w:hAnsi="Palatino Linotype"/>
          <w:i/>
          <w:sz w:val="22"/>
          <w:lang w:val="es-MX" w:eastAsia="es-MX"/>
        </w:rPr>
      </w:pPr>
      <w:r w:rsidRPr="00A36E53">
        <w:rPr>
          <w:rFonts w:ascii="Palatino Linotype" w:hAnsi="Palatino Linotype"/>
          <w:i/>
          <w:sz w:val="22"/>
          <w:lang w:val="es-MX" w:eastAsia="es-MX"/>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A36E53" w:rsidRPr="00A36E53" w:rsidRDefault="00A36E53" w:rsidP="00A36E53">
      <w:pPr>
        <w:spacing w:before="240" w:after="240"/>
        <w:ind w:left="567" w:right="900"/>
        <w:jc w:val="both"/>
        <w:rPr>
          <w:rFonts w:ascii="Palatino Linotype" w:hAnsi="Palatino Linotype"/>
          <w:i/>
          <w:sz w:val="22"/>
          <w:lang w:val="es-MX" w:eastAsia="es-MX"/>
        </w:rPr>
      </w:pPr>
      <w:r w:rsidRPr="00A36E53">
        <w:rPr>
          <w:rFonts w:ascii="Palatino Linotype" w:hAnsi="Palatino Linotype"/>
          <w:i/>
          <w:sz w:val="22"/>
          <w:lang w:val="es-MX" w:eastAsia="es-MX"/>
        </w:rPr>
        <w:t>[…]</w:t>
      </w:r>
    </w:p>
    <w:p w:rsidR="00A36E53" w:rsidRPr="00A36E53" w:rsidRDefault="00A36E53" w:rsidP="00A36E53">
      <w:pPr>
        <w:spacing w:before="240" w:after="240"/>
        <w:ind w:left="567" w:right="900"/>
        <w:jc w:val="both"/>
        <w:rPr>
          <w:rFonts w:ascii="Palatino Linotype" w:eastAsia="MS Mincho" w:hAnsi="Palatino Linotype" w:cs="Bookman Old Style"/>
          <w:i/>
          <w:sz w:val="22"/>
          <w:lang w:val="es-MX" w:eastAsia="es-ES"/>
        </w:rPr>
      </w:pPr>
      <w:r w:rsidRPr="00A36E53">
        <w:rPr>
          <w:rFonts w:ascii="Palatino Linotype" w:eastAsia="MS Mincho" w:hAnsi="Palatino Linotype" w:cs="Bookman Old Style"/>
          <w:i/>
          <w:sz w:val="22"/>
          <w:lang w:val="es-MX" w:eastAsia="es-ES"/>
        </w:rPr>
        <w:t xml:space="preserve"> “Artículo 161. </w:t>
      </w:r>
      <w:r w:rsidRPr="00A36E53">
        <w:rPr>
          <w:rFonts w:ascii="Palatino Linotype" w:eastAsia="MS Mincho" w:hAnsi="Palatino Linotype" w:cs="Bookman Old Style"/>
          <w:b/>
          <w:i/>
          <w:sz w:val="22"/>
          <w:u w:val="single"/>
          <w:lang w:val="es-MX" w:eastAsia="es-ES"/>
        </w:rPr>
        <w:t xml:space="preserve">Cuando la información requerida por el solicitante ya esté disponible al público en </w:t>
      </w:r>
      <w:r w:rsidRPr="00A36E53">
        <w:rPr>
          <w:rFonts w:ascii="Palatino Linotype" w:eastAsia="MS Mincho" w:hAnsi="Palatino Linotype" w:cs="Bookman Old Style"/>
          <w:i/>
          <w:sz w:val="22"/>
          <w:lang w:val="es-MX" w:eastAsia="es-ES"/>
        </w:rPr>
        <w:t xml:space="preserve">medios impresos, tales como libros, compendios, trípticos, registros públicos, en </w:t>
      </w:r>
      <w:r w:rsidRPr="00A36E53">
        <w:rPr>
          <w:rFonts w:ascii="Palatino Linotype" w:eastAsia="MS Mincho" w:hAnsi="Palatino Linotype" w:cs="Bookman Old Style"/>
          <w:b/>
          <w:i/>
          <w:sz w:val="22"/>
          <w:u w:val="single"/>
          <w:lang w:val="es-MX" w:eastAsia="es-ES"/>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A36E53">
        <w:rPr>
          <w:rFonts w:ascii="Palatino Linotype" w:eastAsia="MS Mincho" w:hAnsi="Palatino Linotype" w:cs="Bookman Old Style"/>
          <w:i/>
          <w:sz w:val="22"/>
          <w:lang w:val="es-MX" w:eastAsia="es-ES"/>
        </w:rPr>
        <w:t xml:space="preserve">” </w:t>
      </w:r>
    </w:p>
    <w:p w:rsidR="00A36E53" w:rsidRPr="00A36E53" w:rsidRDefault="00A36E53" w:rsidP="00A36E53">
      <w:pPr>
        <w:spacing w:before="240" w:after="240"/>
        <w:ind w:left="567" w:right="900"/>
        <w:jc w:val="both"/>
        <w:rPr>
          <w:rFonts w:ascii="Palatino Linotype" w:eastAsia="MS Mincho" w:hAnsi="Palatino Linotype" w:cs="Bookman Old Style"/>
          <w:i/>
          <w:sz w:val="22"/>
          <w:lang w:val="es-MX" w:eastAsia="es-ES"/>
        </w:rPr>
      </w:pPr>
      <w:r w:rsidRPr="00A36E53">
        <w:rPr>
          <w:rFonts w:ascii="Palatino Linotype" w:eastAsia="MS Mincho" w:hAnsi="Palatino Linotype" w:cs="Bookman Old Style"/>
          <w:i/>
          <w:sz w:val="22"/>
          <w:lang w:val="es-MX" w:eastAsia="es-ES"/>
        </w:rPr>
        <w:t>(Énfasis añadido)</w:t>
      </w:r>
    </w:p>
    <w:p w:rsidR="00A36E53" w:rsidRPr="00A36E53" w:rsidRDefault="00A36E53" w:rsidP="00A36E53">
      <w:pPr>
        <w:spacing w:before="240" w:after="240" w:line="360" w:lineRule="auto"/>
        <w:ind w:right="49"/>
        <w:jc w:val="both"/>
        <w:rPr>
          <w:rFonts w:ascii="Palatino Linotype" w:eastAsia="MS Mincho" w:hAnsi="Palatino Linotype" w:cs="Bookman Old Style"/>
          <w:lang w:val="es-MX" w:eastAsia="es-ES"/>
        </w:rPr>
      </w:pPr>
      <w:r w:rsidRPr="00A36E53">
        <w:rPr>
          <w:rFonts w:ascii="Palatino Linotype" w:eastAsia="MS Mincho" w:hAnsi="Palatino Linotype" w:cs="Bookman Old Style"/>
          <w:lang w:val="es-MX" w:eastAsia="es-ES"/>
        </w:rPr>
        <w:t xml:space="preserve">Estos artículos consagran la facultad del </w:t>
      </w:r>
      <w:r w:rsidRPr="00A36E53">
        <w:rPr>
          <w:rFonts w:ascii="Palatino Linotype" w:eastAsia="MS Mincho" w:hAnsi="Palatino Linotype" w:cs="Bookman Old Style"/>
          <w:b/>
          <w:lang w:val="es-MX" w:eastAsia="es-ES"/>
        </w:rPr>
        <w:t>Sujeto Obligado</w:t>
      </w:r>
      <w:r w:rsidRPr="00A36E53">
        <w:rPr>
          <w:rFonts w:ascii="Palatino Linotype" w:eastAsia="MS Mincho" w:hAnsi="Palatino Linotype" w:cs="Bookman Old Style"/>
          <w:lang w:val="es-MX" w:eastAsia="es-ES"/>
        </w:rPr>
        <w:t xml:space="preserve"> para hacer del conocimiento a los solicitantes que la información peticionada ya se encuentra publicada para su consulta, caso concreto en la plataforma de internet; no obstante, el artículo 161 de la Ley de Transparencia y Acceso a la Información Pública del </w:t>
      </w:r>
      <w:r w:rsidRPr="00A36E53">
        <w:rPr>
          <w:rFonts w:ascii="Palatino Linotype" w:eastAsia="MS Mincho" w:hAnsi="Palatino Linotype" w:cs="Bookman Old Style"/>
          <w:lang w:val="es-MX" w:eastAsia="es-ES"/>
        </w:rPr>
        <w:lastRenderedPageBreak/>
        <w:t>Estado de México y Municipios establece que cuando la información ya se encuentre en medios en medios impresos o electrónicos, deberá hacerse del conocimiento de los particulares en un plazo no mayor a cinco días hábiles, además deberá ser una fuente precisa, es decir, no deberá realizarse una búsqueda dentro de la información disponible.</w:t>
      </w:r>
    </w:p>
    <w:p w:rsidR="00A36E53" w:rsidRPr="00A36E53" w:rsidRDefault="00A36E53" w:rsidP="00A36E53">
      <w:pPr>
        <w:spacing w:before="240" w:after="240" w:line="360" w:lineRule="auto"/>
        <w:ind w:right="49"/>
        <w:jc w:val="both"/>
        <w:rPr>
          <w:rFonts w:ascii="Palatino Linotype" w:eastAsia="MS Mincho" w:hAnsi="Palatino Linotype" w:cs="Bookman Old Style"/>
          <w:lang w:val="es-MX" w:eastAsia="es-ES"/>
        </w:rPr>
      </w:pPr>
      <w:r w:rsidRPr="00A36E53">
        <w:rPr>
          <w:rFonts w:ascii="Palatino Linotype" w:eastAsia="MS Mincho" w:hAnsi="Palatino Linotype" w:cs="Bookman Old Style"/>
          <w:lang w:val="es-MX" w:eastAsia="es-ES"/>
        </w:rPr>
        <w:t xml:space="preserve">Ahora bien, trasladando esta premisa al asunto que nos ocupa, se tiene que en la especie no se actualizó esta circunstancia, ello en virtud de que </w:t>
      </w:r>
      <w:r w:rsidR="00966B33">
        <w:rPr>
          <w:rFonts w:ascii="Palatino Linotype" w:eastAsia="MS Mincho" w:hAnsi="Palatino Linotype" w:cs="Bookman Old Style"/>
          <w:lang w:val="es-MX" w:eastAsia="es-ES"/>
        </w:rPr>
        <w:t xml:space="preserve">a todas luces excedió </w:t>
      </w:r>
      <w:r w:rsidRPr="00A36E53">
        <w:rPr>
          <w:rFonts w:ascii="Palatino Linotype" w:eastAsia="MS Mincho" w:hAnsi="Palatino Linotype" w:cs="Bookman Old Style"/>
          <w:lang w:val="es-MX" w:eastAsia="es-ES"/>
        </w:rPr>
        <w:t xml:space="preserve">el plazo </w:t>
      </w:r>
      <w:r w:rsidR="00966B33">
        <w:rPr>
          <w:rFonts w:ascii="Palatino Linotype" w:eastAsia="MS Mincho" w:hAnsi="Palatino Linotype" w:cs="Bookman Old Style"/>
          <w:lang w:val="es-MX" w:eastAsia="es-ES"/>
        </w:rPr>
        <w:t xml:space="preserve">para dar </w:t>
      </w:r>
      <w:r w:rsidRPr="00A36E53">
        <w:rPr>
          <w:rFonts w:ascii="Palatino Linotype" w:eastAsia="MS Mincho" w:hAnsi="Palatino Linotype" w:cs="Bookman Old Style"/>
          <w:lang w:val="es-MX" w:eastAsia="es-ES"/>
        </w:rPr>
        <w:t>respuesta tras ser turnada, además</w:t>
      </w:r>
      <w:r w:rsidRPr="00A36E53">
        <w:rPr>
          <w:rFonts w:ascii="Palatino Linotype" w:eastAsia="MS Mincho" w:hAnsi="Palatino Linotype" w:cs="Bookman Old Style"/>
          <w:b/>
          <w:lang w:val="es-MX" w:eastAsia="es-ES"/>
        </w:rPr>
        <w:t xml:space="preserve"> </w:t>
      </w:r>
      <w:r w:rsidRPr="00A36E53">
        <w:rPr>
          <w:rFonts w:ascii="Palatino Linotype" w:eastAsia="MS Mincho" w:hAnsi="Palatino Linotype" w:cs="Bookman Old Style"/>
          <w:lang w:val="es-MX" w:eastAsia="es-ES"/>
        </w:rPr>
        <w:t>implica que</w:t>
      </w:r>
      <w:r w:rsidRPr="00A36E53">
        <w:rPr>
          <w:rFonts w:ascii="Palatino Linotype" w:eastAsia="MS Mincho" w:hAnsi="Palatino Linotype" w:cs="Bookman Old Style"/>
          <w:b/>
          <w:lang w:val="es-MX" w:eastAsia="es-ES"/>
        </w:rPr>
        <w:t xml:space="preserve"> </w:t>
      </w:r>
      <w:r w:rsidRPr="00A36E53">
        <w:rPr>
          <w:rFonts w:ascii="Palatino Linotype" w:eastAsia="MS Mincho" w:hAnsi="Palatino Linotype" w:cs="Bookman Old Style"/>
          <w:lang w:val="es-MX" w:eastAsia="es-ES"/>
        </w:rPr>
        <w:t xml:space="preserve">la parte solicitante realice una búsqueda dentro del portal. </w:t>
      </w:r>
    </w:p>
    <w:p w:rsidR="00A36E53" w:rsidRPr="00A36E53" w:rsidRDefault="00A36E53" w:rsidP="00A36E53">
      <w:pPr>
        <w:spacing w:before="240" w:after="240" w:line="360" w:lineRule="auto"/>
        <w:ind w:right="49"/>
        <w:jc w:val="both"/>
        <w:rPr>
          <w:rFonts w:ascii="Palatino Linotype" w:eastAsia="MS Mincho" w:hAnsi="Palatino Linotype" w:cs="Bookman Old Style"/>
          <w:lang w:val="es-MX" w:eastAsia="es-ES"/>
        </w:rPr>
      </w:pPr>
      <w:r w:rsidRPr="00A36E53">
        <w:rPr>
          <w:rFonts w:ascii="Palatino Linotype" w:eastAsia="MS Mincho" w:hAnsi="Palatino Linotype" w:cs="Bookman Old Style"/>
          <w:lang w:val="es-MX" w:eastAsia="es-ES"/>
        </w:rPr>
        <w:t xml:space="preserve">En ese orden de ideas, se le exhorta al </w:t>
      </w:r>
      <w:r w:rsidRPr="00A36E53">
        <w:rPr>
          <w:rFonts w:ascii="Palatino Linotype" w:eastAsia="MS Mincho" w:hAnsi="Palatino Linotype" w:cs="Bookman Old Style"/>
          <w:b/>
          <w:lang w:val="es-MX" w:eastAsia="es-ES"/>
        </w:rPr>
        <w:t>Sujeto Obligado</w:t>
      </w:r>
      <w:r w:rsidRPr="00A36E53">
        <w:rPr>
          <w:rFonts w:ascii="Palatino Linotype" w:eastAsia="MS Mincho" w:hAnsi="Palatino Linotype" w:cs="Bookman Old Style"/>
          <w:lang w:val="es-MX" w:eastAsia="es-ES"/>
        </w:rPr>
        <w:t xml:space="preserve"> para que en futuras ocasiones, se sirva en sujetarse a los términos y plazos legalmente establecidos, en los ordenamientos normativos que rigen su actuación. </w:t>
      </w:r>
    </w:p>
    <w:p w:rsidR="00A36E53" w:rsidRPr="00A36E53" w:rsidRDefault="00A36E53" w:rsidP="00A36E53">
      <w:pPr>
        <w:spacing w:before="240" w:after="240" w:line="360" w:lineRule="auto"/>
        <w:ind w:right="49"/>
        <w:jc w:val="both"/>
        <w:rPr>
          <w:rFonts w:ascii="Palatino Linotype" w:eastAsia="MS Mincho" w:hAnsi="Palatino Linotype" w:cs="Bookman Old Style"/>
          <w:lang w:val="es-MX" w:eastAsia="es-ES"/>
        </w:rPr>
      </w:pPr>
      <w:r w:rsidRPr="00A36E53">
        <w:rPr>
          <w:rFonts w:ascii="Palatino Linotype" w:eastAsia="MS Mincho" w:hAnsi="Palatino Linotype" w:cs="Bookman Old Style"/>
          <w:lang w:val="es-MX" w:eastAsia="es-ES"/>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w:t>
      </w:r>
      <w:r w:rsidRPr="00A36E53">
        <w:rPr>
          <w:rFonts w:ascii="Palatino Linotype" w:eastAsia="MS Mincho" w:hAnsi="Palatino Linotype" w:cs="Bookman Old Style"/>
          <w:lang w:val="es-MX" w:eastAsia="es-ES"/>
        </w:rPr>
        <w:lastRenderedPageBreak/>
        <w:t>implicar que el solicitante realice una búsqueda en toda la información que se encuentre disponible.</w:t>
      </w:r>
    </w:p>
    <w:p w:rsidR="00A36E53" w:rsidRPr="00A36E53" w:rsidRDefault="00A36E53" w:rsidP="00A36E53">
      <w:pPr>
        <w:spacing w:before="240" w:after="240" w:line="360" w:lineRule="auto"/>
        <w:ind w:right="49"/>
        <w:jc w:val="both"/>
        <w:rPr>
          <w:rFonts w:ascii="Palatino Linotype" w:eastAsia="MS Mincho" w:hAnsi="Palatino Linotype" w:cs="Bookman Old Style"/>
          <w:lang w:val="es-MX" w:eastAsia="es-ES"/>
        </w:rPr>
      </w:pPr>
      <w:r w:rsidRPr="00A36E53">
        <w:rPr>
          <w:rFonts w:ascii="Palatino Linotype" w:eastAsia="MS Mincho" w:hAnsi="Palatino Linotype" w:cs="Bookman Old Style"/>
          <w:lang w:val="es-MX" w:eastAsia="es-ES"/>
        </w:rPr>
        <w:t xml:space="preserve">Es así que se colige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no se tiene por cumplida por el Sujeto Obligado, atendiendo que si bien proporciona las ligas electrónicas para la consulta de la información; no señala de forma exacta el procedimiento para la consulta de la misma, implicando que </w:t>
      </w:r>
      <w:r w:rsidR="00361CC8">
        <w:rPr>
          <w:rFonts w:ascii="Palatino Linotype" w:eastAsia="MS Mincho" w:hAnsi="Palatino Linotype" w:cs="Bookman Old Style"/>
          <w:b/>
          <w:lang w:val="es-MX" w:eastAsia="es-ES"/>
        </w:rPr>
        <w:t>el</w:t>
      </w:r>
      <w:r w:rsidRPr="00A36E53">
        <w:rPr>
          <w:rFonts w:ascii="Palatino Linotype" w:eastAsia="MS Mincho" w:hAnsi="Palatino Linotype" w:cs="Bookman Old Style"/>
          <w:b/>
          <w:lang w:val="es-MX" w:eastAsia="es-ES"/>
        </w:rPr>
        <w:t xml:space="preserve"> Recurrente</w:t>
      </w:r>
      <w:r w:rsidRPr="00A36E53">
        <w:rPr>
          <w:rFonts w:ascii="Palatino Linotype" w:eastAsia="MS Mincho" w:hAnsi="Palatino Linotype" w:cs="Bookman Old Style"/>
          <w:lang w:val="es-MX" w:eastAsia="es-ES"/>
        </w:rPr>
        <w:t xml:space="preserve"> navegue en un sinfín de información.</w:t>
      </w:r>
    </w:p>
    <w:p w:rsidR="00A36E53" w:rsidRDefault="00A36E53" w:rsidP="00A36E53">
      <w:pPr>
        <w:spacing w:before="240" w:after="240" w:line="360" w:lineRule="auto"/>
        <w:ind w:right="49"/>
        <w:jc w:val="both"/>
        <w:rPr>
          <w:rFonts w:ascii="Palatino Linotype" w:hAnsi="Palatino Linotype" w:cs="Arial"/>
          <w:lang w:val="es-MX" w:eastAsia="es-MX"/>
        </w:rPr>
      </w:pPr>
      <w:r w:rsidRPr="00A36E53">
        <w:rPr>
          <w:rFonts w:ascii="Palatino Linotype" w:hAnsi="Palatino Linotype" w:cs="Arial"/>
          <w:lang w:val="es-MX" w:eastAsia="es-MX"/>
        </w:rPr>
        <w:t xml:space="preserve">Es por todo lo expuesto que se concluye que el </w:t>
      </w:r>
      <w:r w:rsidRPr="00A36E53">
        <w:rPr>
          <w:rFonts w:ascii="Palatino Linotype" w:hAnsi="Palatino Linotype" w:cs="Arial"/>
          <w:b/>
          <w:lang w:val="es-MX" w:eastAsia="es-MX"/>
        </w:rPr>
        <w:t xml:space="preserve">Sujeto Obligado </w:t>
      </w:r>
      <w:r w:rsidRPr="00A36E53">
        <w:rPr>
          <w:rFonts w:ascii="Palatino Linotype" w:hAnsi="Palatino Linotype" w:cs="Arial"/>
          <w:lang w:val="es-MX" w:eastAsia="es-MX"/>
        </w:rPr>
        <w:t xml:space="preserve">no garantizó el derecho de acceso a la información del particular, toda vez que, en términos del marco normativo planteado, el Ayuntamiento genera, posee y administra </w:t>
      </w:r>
      <w:r w:rsidR="00361CC8" w:rsidRPr="00361CC8">
        <w:rPr>
          <w:rFonts w:ascii="Palatino Linotype" w:hAnsi="Palatino Linotype" w:cs="Arial"/>
          <w:lang w:val="es-MX" w:eastAsia="es-MX"/>
        </w:rPr>
        <w:t>el contrato MEM-DA-ST-AD-RP-01-2020-02, así como el documento que acredite haberse realizado y entregado el bien, servicio y/o producto</w:t>
      </w:r>
      <w:r w:rsidR="00361CC8">
        <w:rPr>
          <w:rFonts w:ascii="Palatino Linotype" w:hAnsi="Palatino Linotype" w:cs="Arial"/>
          <w:lang w:val="es-MX" w:eastAsia="es-MX"/>
        </w:rPr>
        <w:t>.</w:t>
      </w:r>
    </w:p>
    <w:p w:rsidR="00E8547B" w:rsidRPr="00E8547B" w:rsidRDefault="00E8547B" w:rsidP="00E8547B">
      <w:pPr>
        <w:spacing w:line="360" w:lineRule="auto"/>
        <w:ind w:right="49"/>
        <w:jc w:val="both"/>
        <w:rPr>
          <w:rFonts w:ascii="Palatino Linotype" w:eastAsia="Palatino Linotype" w:hAnsi="Palatino Linotype" w:cs="Palatino Linotype"/>
          <w:lang w:val="es-MX" w:eastAsia="es-MX"/>
        </w:rPr>
      </w:pPr>
      <w:r w:rsidRPr="00E8547B">
        <w:rPr>
          <w:rFonts w:ascii="Palatino Linotype" w:eastAsia="Palatino Linotype" w:hAnsi="Palatino Linotype" w:cs="Palatino Linotype"/>
          <w:lang w:val="es-ES" w:eastAsia="es-MX"/>
        </w:rPr>
        <w:t xml:space="preserve">Finalmente, es de señalar que, en razón de que el </w:t>
      </w:r>
      <w:r w:rsidRPr="00E8547B">
        <w:rPr>
          <w:rFonts w:ascii="Palatino Linotype" w:eastAsia="Palatino Linotype" w:hAnsi="Palatino Linotype" w:cs="Palatino Linotype"/>
          <w:b/>
          <w:lang w:val="es-ES" w:eastAsia="es-MX"/>
        </w:rPr>
        <w:t>Sujeto Obligado</w:t>
      </w:r>
      <w:r w:rsidRPr="00E8547B">
        <w:rPr>
          <w:rFonts w:ascii="Palatino Linotype" w:eastAsia="Palatino Linotype" w:hAnsi="Palatino Linotype" w:cs="Palatino Linotype"/>
          <w:lang w:val="es-ES" w:eastAsia="es-MX"/>
        </w:rPr>
        <w:t xml:space="preserve"> fue omiso en entregar la respuesta a la solicitud de Información Pública y dado que el Recurso de Revisión materia del presente asunto, no es el medio para investigar y en su caso, sancionar a servidores públicos por la omisión de la entrega de Información Pública, toda vez que el artículo 163 de la Ley de la materia, prevé el plazo de respuesta y atención a solicitudes de información; atento a ello, este Instituto en el ámbito de </w:t>
      </w:r>
      <w:r w:rsidRPr="00E8547B">
        <w:rPr>
          <w:rFonts w:ascii="Palatino Linotype" w:eastAsia="Palatino Linotype" w:hAnsi="Palatino Linotype" w:cs="Palatino Linotype"/>
          <w:lang w:val="es-ES" w:eastAsia="es-MX"/>
        </w:rPr>
        <w:lastRenderedPageBreak/>
        <w:t>sus atribuciones, hará del conocimiento al Contralor de este Instituto a fin de que en términos del ordinal 190 de la Ley de la materia determine lo conducente.</w:t>
      </w:r>
    </w:p>
    <w:p w:rsidR="00A36E53" w:rsidRPr="00A36E53" w:rsidRDefault="00A36E53" w:rsidP="00A36E53">
      <w:pPr>
        <w:spacing w:before="240" w:after="240" w:line="360" w:lineRule="auto"/>
        <w:jc w:val="both"/>
        <w:rPr>
          <w:rFonts w:ascii="Palatino Linotype" w:hAnsi="Palatino Linotype"/>
          <w:lang w:val="es-MX" w:eastAsia="es-MX"/>
        </w:rPr>
      </w:pPr>
      <w:r w:rsidRPr="00A36E53">
        <w:rPr>
          <w:rFonts w:ascii="Palatino Linotype" w:hAnsi="Palatino Linotype"/>
          <w:lang w:val="es-MX" w:eastAsia="es-MX"/>
        </w:rPr>
        <w:t>Ahora bien, no p</w:t>
      </w:r>
      <w:r w:rsidR="00E8547B">
        <w:rPr>
          <w:rFonts w:ascii="Palatino Linotype" w:hAnsi="Palatino Linotype"/>
          <w:lang w:val="es-MX" w:eastAsia="es-MX"/>
        </w:rPr>
        <w:t>asa de la óptica del este Organismo</w:t>
      </w:r>
      <w:r w:rsidRPr="00A36E53">
        <w:rPr>
          <w:rFonts w:ascii="Palatino Linotype" w:hAnsi="Palatino Linotype"/>
          <w:lang w:val="es-MX" w:eastAsia="es-MX"/>
        </w:rPr>
        <w:t xml:space="preserve"> Garante que dentro de la documentación que pudiera otorgarse para efecto de dar respuesta a la solicitud de información se encuentran diversos documentos que pudieran contener información de carácter confidencial que por su naturaleza contenga datos personales susceptibles de ser resguardados por el </w:t>
      </w:r>
      <w:r w:rsidRPr="00A36E53">
        <w:rPr>
          <w:rFonts w:ascii="Palatino Linotype" w:hAnsi="Palatino Linotype"/>
          <w:b/>
          <w:lang w:val="es-MX" w:eastAsia="es-MX"/>
        </w:rPr>
        <w:t>Sujeto Obligado</w:t>
      </w:r>
      <w:r w:rsidRPr="00A36E53">
        <w:rPr>
          <w:rFonts w:ascii="Palatino Linotype" w:hAnsi="Palatino Linotype"/>
          <w:lang w:val="es-MX" w:eastAsia="es-MX"/>
        </w:rPr>
        <w:t xml:space="preserve"> y para los cuales se deberá emitir una versión pública de los documentos con estricto apego al procedimiento del derecho de acceso a la información pública, ello en términos del Considerando siguiente.</w:t>
      </w:r>
    </w:p>
    <w:p w:rsidR="00A36E53" w:rsidRPr="00A36E53" w:rsidRDefault="00A36E53" w:rsidP="00A36E53">
      <w:pPr>
        <w:spacing w:before="240" w:after="240" w:line="360" w:lineRule="auto"/>
        <w:ind w:right="49"/>
        <w:jc w:val="both"/>
        <w:rPr>
          <w:rFonts w:ascii="Palatino Linotype" w:hAnsi="Palatino Linotype"/>
          <w:lang w:val="es-MX" w:eastAsia="es-MX"/>
        </w:rPr>
      </w:pPr>
      <w:r w:rsidRPr="00A36E53">
        <w:rPr>
          <w:rFonts w:ascii="Palatino Linotype" w:hAnsi="Palatino Linotype"/>
          <w:b/>
          <w:lang w:val="es-MX" w:eastAsia="es-MX"/>
        </w:rPr>
        <w:t xml:space="preserve">Quinto. </w:t>
      </w:r>
      <w:r w:rsidRPr="00A36E53">
        <w:rPr>
          <w:rFonts w:ascii="Palatino Linotype" w:hAnsi="Palatino Linotype" w:cs="Arial"/>
          <w:b/>
          <w:lang w:val="es-MX" w:eastAsia="es-MX"/>
        </w:rPr>
        <w:t>V</w:t>
      </w:r>
      <w:r w:rsidRPr="00A36E53">
        <w:rPr>
          <w:rFonts w:ascii="Palatino Linotype" w:hAnsi="Palatino Linotype"/>
          <w:b/>
          <w:lang w:val="es-MX" w:eastAsia="es-MX"/>
        </w:rPr>
        <w:t xml:space="preserve">ersión Pública. </w:t>
      </w:r>
      <w:r w:rsidRPr="00A36E53">
        <w:rPr>
          <w:rFonts w:ascii="Palatino Linotype" w:hAnsi="Palatino Linotype"/>
          <w:lang w:val="es-MX" w:eastAsia="es-MX"/>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sidRPr="00A36E53">
        <w:rPr>
          <w:rFonts w:ascii="Palatino Linotype" w:hAnsi="Palatino Linotype" w:cs="Arial"/>
          <w:lang w:val="es-MX" w:eastAsia="es-MX"/>
        </w:rPr>
        <w:t xml:space="preserve">sino que encuentra como excepciones que la información sobre la cual se peticiona el acceso, contenga datos que deban ser clasificados en los términos que la misma Ley de la Materia señala, el Sujeto Obligado </w:t>
      </w:r>
      <w:r w:rsidRPr="00A36E53">
        <w:rPr>
          <w:rFonts w:ascii="Palatino Linotype" w:hAnsi="Palatino Linotype"/>
          <w:lang w:val="es-MX" w:eastAsia="es-MX"/>
        </w:rPr>
        <w:t>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A36E53" w:rsidRPr="00A36E53" w:rsidRDefault="00A36E53" w:rsidP="00A36E53">
      <w:pPr>
        <w:autoSpaceDE w:val="0"/>
        <w:autoSpaceDN w:val="0"/>
        <w:adjustRightInd w:val="0"/>
        <w:spacing w:before="240" w:after="240" w:line="360" w:lineRule="auto"/>
        <w:ind w:right="50"/>
        <w:jc w:val="both"/>
        <w:rPr>
          <w:rFonts w:ascii="Palatino Linotype" w:hAnsi="Palatino Linotype" w:cs="Arial"/>
          <w:lang w:val="es-MX" w:eastAsia="es-MX"/>
        </w:rPr>
      </w:pPr>
      <w:r w:rsidRPr="00A36E53">
        <w:rPr>
          <w:rFonts w:ascii="Palatino Linotype" w:hAnsi="Palatino Linotype" w:cs="Arial"/>
          <w:lang w:val="es-MX" w:eastAsia="es-MX"/>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w:t>
      </w:r>
      <w:r w:rsidRPr="00A36E53">
        <w:rPr>
          <w:rFonts w:ascii="Palatino Linotype" w:hAnsi="Palatino Linotype" w:cs="Arial"/>
          <w:b/>
          <w:i/>
          <w:sz w:val="22"/>
          <w:szCs w:val="20"/>
          <w:lang w:val="es-MX" w:eastAsia="es-MX"/>
        </w:rPr>
        <w:t>Artículo 3</w:t>
      </w:r>
      <w:r w:rsidRPr="00A36E53">
        <w:rPr>
          <w:rFonts w:ascii="Palatino Linotype" w:hAnsi="Palatino Linotype" w:cs="Arial"/>
          <w:i/>
          <w:sz w:val="22"/>
          <w:szCs w:val="20"/>
          <w:lang w:val="es-MX" w:eastAsia="es-MX"/>
        </w:rPr>
        <w:t>. Para los efectos de la presente Ley se entenderá por:</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IX. Datos personales:</w:t>
      </w:r>
      <w:r w:rsidRPr="00A36E53">
        <w:rPr>
          <w:rFonts w:ascii="Palatino Linotype" w:hAnsi="Palatino Linotype" w:cs="Arial"/>
          <w:i/>
          <w:sz w:val="22"/>
          <w:szCs w:val="20"/>
          <w:lang w:val="es-MX" w:eastAsia="es-MX"/>
        </w:rPr>
        <w:t xml:space="preserve"> La información concerniente a una persona, identificada o identificable según lo dispuesto por la Ley de Protección de Datos Personales del Estado de México; </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XX. Información clasificada</w:t>
      </w:r>
      <w:r w:rsidRPr="00A36E53">
        <w:rPr>
          <w:rFonts w:ascii="Palatino Linotype" w:hAnsi="Palatino Linotype" w:cs="Arial"/>
          <w:i/>
          <w:sz w:val="22"/>
          <w:szCs w:val="20"/>
          <w:lang w:val="es-MX" w:eastAsia="es-MX"/>
        </w:rPr>
        <w:t>: Aquella considerada por la presente Ley como reservada o confidencial;</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XXI. Información confidencial:</w:t>
      </w:r>
      <w:r w:rsidRPr="00A36E53">
        <w:rPr>
          <w:rFonts w:ascii="Palatino Linotype" w:hAnsi="Palatino Linotype" w:cs="Arial"/>
          <w:i/>
          <w:sz w:val="22"/>
          <w:szCs w:val="20"/>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XLV. Versión pública:</w:t>
      </w:r>
      <w:r w:rsidRPr="00A36E53">
        <w:rPr>
          <w:rFonts w:ascii="Palatino Linotype" w:hAnsi="Palatino Linotype" w:cs="Arial"/>
          <w:i/>
          <w:sz w:val="22"/>
          <w:szCs w:val="20"/>
          <w:lang w:val="es-MX" w:eastAsia="es-MX"/>
        </w:rPr>
        <w:t xml:space="preserve"> Documento en el que se elimine, suprime o borra la información clasificada como reservada o confidencial para permitir su acceso.</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 xml:space="preserve">Artículo 91. </w:t>
      </w:r>
      <w:r w:rsidRPr="00A36E53">
        <w:rPr>
          <w:rFonts w:ascii="Palatino Linotype" w:hAnsi="Palatino Linotype" w:cs="Arial"/>
          <w:i/>
          <w:sz w:val="22"/>
          <w:szCs w:val="20"/>
          <w:lang w:val="es-MX" w:eastAsia="es-MX"/>
        </w:rPr>
        <w:t>El acceso a la información pública será restringido excepcionalmente, cuando ésta sea clasificada como reservada o confidencial.</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 xml:space="preserve">Artículo 132. </w:t>
      </w:r>
      <w:r w:rsidRPr="00A36E53">
        <w:rPr>
          <w:rFonts w:ascii="Palatino Linotype" w:hAnsi="Palatino Linotype" w:cs="Arial"/>
          <w:i/>
          <w:sz w:val="22"/>
          <w:szCs w:val="20"/>
          <w:lang w:val="es-MX" w:eastAsia="es-MX"/>
        </w:rPr>
        <w:t>La clasificación de la información se llevará a cabo en el momento en que:</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w:t>
      </w:r>
      <w:r w:rsidRPr="00A36E53">
        <w:rPr>
          <w:rFonts w:ascii="Palatino Linotype" w:hAnsi="Palatino Linotype" w:cs="Arial"/>
          <w:i/>
          <w:sz w:val="22"/>
          <w:szCs w:val="20"/>
          <w:lang w:val="es-MX" w:eastAsia="es-MX"/>
        </w:rPr>
        <w:t>. Se reciba una solicitud de acceso a la información;</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II</w:t>
      </w:r>
      <w:r w:rsidRPr="00A36E53">
        <w:rPr>
          <w:rFonts w:ascii="Palatino Linotype" w:hAnsi="Palatino Linotype" w:cs="Arial"/>
          <w:i/>
          <w:sz w:val="22"/>
          <w:szCs w:val="20"/>
          <w:lang w:val="es-MX" w:eastAsia="es-MX"/>
        </w:rPr>
        <w:t>. Se determine mediante resolución de autoridad competente; o</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III</w:t>
      </w:r>
      <w:r w:rsidRPr="00A36E53">
        <w:rPr>
          <w:rFonts w:ascii="Palatino Linotype" w:hAnsi="Palatino Linotype" w:cs="Arial"/>
          <w:i/>
          <w:sz w:val="22"/>
          <w:szCs w:val="20"/>
          <w:lang w:val="es-MX" w:eastAsia="es-MX"/>
        </w:rPr>
        <w:t>. Se generen versiones públicas para dar cumplimiento a las obligaciones de transparencia previstas en esta Ley.</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Artículo 143</w:t>
      </w:r>
      <w:r w:rsidRPr="00A36E53">
        <w:rPr>
          <w:rFonts w:ascii="Palatino Linotype" w:hAnsi="Palatino Linotype" w:cs="Arial"/>
          <w:i/>
          <w:sz w:val="22"/>
          <w:szCs w:val="20"/>
          <w:lang w:val="es-MX" w:eastAsia="es-MX"/>
        </w:rPr>
        <w:t>. Para los efectos de esta Ley se considera información confidencial, la clasificada como tal, de manera permanente, por su naturaleza, cuando:</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w:t>
      </w:r>
      <w:r w:rsidRPr="00A36E53">
        <w:rPr>
          <w:rFonts w:ascii="Palatino Linotype" w:hAnsi="Palatino Linotype" w:cs="Arial"/>
          <w:i/>
          <w:sz w:val="22"/>
          <w:szCs w:val="20"/>
          <w:lang w:val="es-MX" w:eastAsia="es-MX"/>
        </w:rPr>
        <w:t xml:space="preserve"> Se refiera a la información privada y los datos personales concernientes a una persona física o jurídico colectiva identificada o identificable;</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lastRenderedPageBreak/>
        <w:t>II.</w:t>
      </w:r>
      <w:r w:rsidRPr="00A36E53">
        <w:rPr>
          <w:rFonts w:ascii="Palatino Linotype" w:hAnsi="Palatino Linotype" w:cs="Arial"/>
          <w:i/>
          <w:sz w:val="22"/>
          <w:szCs w:val="20"/>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III</w:t>
      </w:r>
      <w:r w:rsidRPr="00A36E53">
        <w:rPr>
          <w:rFonts w:ascii="Palatino Linotype" w:hAnsi="Palatino Linotype" w:cs="Arial"/>
          <w:i/>
          <w:sz w:val="22"/>
          <w:szCs w:val="20"/>
          <w:lang w:val="es-MX" w:eastAsia="es-MX"/>
        </w:rPr>
        <w:t>. La que presenten los particulares a los sujetos obligados, de conformidad con lo dispuesto por las leyes o los tratados internacionales.</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La información confidencial no estará sujeta a temporalidad alguna y sólo podrán tener acceso a ella los titulares de la misma, sus representantes y los servidores públicos facultados para ello.</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No se considerará confidencial la información que se encuentre en los registros públicos o en fuentes de acceso público, ni tampoco la que sea considerada por la presente ley como información pública.”</w:t>
      </w:r>
    </w:p>
    <w:p w:rsidR="00A36E53" w:rsidRPr="00A36E53" w:rsidRDefault="00A36E53" w:rsidP="00A36E53">
      <w:pPr>
        <w:spacing w:before="240" w:after="240" w:line="360" w:lineRule="auto"/>
        <w:jc w:val="both"/>
        <w:rPr>
          <w:rFonts w:ascii="Palatino Linotype" w:hAnsi="Palatino Linotype" w:cs="Arial"/>
          <w:lang w:val="es-MX" w:eastAsia="es-MX"/>
        </w:rPr>
      </w:pPr>
      <w:r w:rsidRPr="00A36E53">
        <w:rPr>
          <w:rFonts w:ascii="Palatino Linotype" w:hAnsi="Palatino Linotype" w:cs="Arial"/>
          <w:lang w:val="es-MX"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36E53" w:rsidRPr="00A36E53" w:rsidRDefault="00A36E53" w:rsidP="00A36E53">
      <w:pPr>
        <w:spacing w:before="240" w:after="240" w:line="360" w:lineRule="auto"/>
        <w:jc w:val="both"/>
        <w:rPr>
          <w:rFonts w:ascii="Palatino Linotype" w:hAnsi="Palatino Linotype" w:cs="Arial"/>
          <w:lang w:val="es-MX" w:eastAsia="es-MX"/>
        </w:rPr>
      </w:pPr>
      <w:r w:rsidRPr="00A36E53">
        <w:rPr>
          <w:rFonts w:ascii="Palatino Linotype" w:hAnsi="Palatino Linotype" w:cs="Arial"/>
          <w:lang w:val="es-MX" w:eastAsia="es-MX"/>
        </w:rPr>
        <w:t>Entorno a lo que aquí nos interesa, los Lineamientos Quincuagésimo sexto, Quincuagésimo séptimo y Quincuagésimo octavo, establecen lo siguiente:</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w:t>
      </w:r>
      <w:r w:rsidRPr="00A36E53">
        <w:rPr>
          <w:rFonts w:ascii="Palatino Linotype" w:hAnsi="Palatino Linotype" w:cs="Arial"/>
          <w:b/>
          <w:i/>
          <w:sz w:val="22"/>
          <w:szCs w:val="20"/>
          <w:lang w:val="es-MX" w:eastAsia="es-MX"/>
        </w:rPr>
        <w:t>Quincuagésimo sexto</w:t>
      </w:r>
      <w:r w:rsidRPr="00A36E53">
        <w:rPr>
          <w:rFonts w:ascii="Palatino Linotype" w:hAnsi="Palatino Linotype" w:cs="Arial"/>
          <w:i/>
          <w:sz w:val="22"/>
          <w:szCs w:val="20"/>
          <w:lang w:val="es-MX"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lastRenderedPageBreak/>
        <w:t>Quincuagésimo séptimo</w:t>
      </w:r>
      <w:r w:rsidRPr="00A36E53">
        <w:rPr>
          <w:rFonts w:ascii="Palatino Linotype" w:hAnsi="Palatino Linotype" w:cs="Arial"/>
          <w:i/>
          <w:sz w:val="22"/>
          <w:szCs w:val="20"/>
          <w:lang w:val="es-MX" w:eastAsia="es-MX"/>
        </w:rPr>
        <w:t xml:space="preserve">. Se considera, en principio, como información pública y no podrá omitirse de las versiones públicas la siguiente: </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w:t>
      </w:r>
      <w:r w:rsidRPr="00A36E53">
        <w:rPr>
          <w:rFonts w:ascii="Palatino Linotype" w:hAnsi="Palatino Linotype" w:cs="Arial"/>
          <w:i/>
          <w:sz w:val="22"/>
          <w:szCs w:val="20"/>
          <w:lang w:val="es-MX" w:eastAsia="es-MX"/>
        </w:rPr>
        <w:t xml:space="preserve">. La relativa a las Obligaciones de Transparencia que contempla el Título V de la Ley General y las demás disposiciones legales aplicables; </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II.</w:t>
      </w:r>
      <w:r w:rsidRPr="00A36E53">
        <w:rPr>
          <w:rFonts w:ascii="Palatino Linotype" w:hAnsi="Palatino Linotype" w:cs="Arial"/>
          <w:i/>
          <w:sz w:val="22"/>
          <w:szCs w:val="20"/>
          <w:lang w:val="es-MX" w:eastAsia="es-MX"/>
        </w:rPr>
        <w:t xml:space="preserve"> El nombre de los servidores públicos en los documentos, y sus firmas autógrafas, cuando sean utilizados en el ejercicio de las facultades conferidas para el desempeño del servicio público, y </w:t>
      </w:r>
    </w:p>
    <w:p w:rsidR="00A36E53" w:rsidRPr="00A36E53" w:rsidRDefault="00A36E53" w:rsidP="00A36E53">
      <w:pPr>
        <w:spacing w:before="120" w:after="120"/>
        <w:ind w:left="993"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III.</w:t>
      </w:r>
      <w:r w:rsidRPr="00A36E53">
        <w:rPr>
          <w:rFonts w:ascii="Palatino Linotype" w:hAnsi="Palatino Linotype" w:cs="Arial"/>
          <w:i/>
          <w:sz w:val="22"/>
          <w:szCs w:val="20"/>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i/>
          <w:sz w:val="22"/>
          <w:szCs w:val="20"/>
          <w:lang w:val="es-MX" w:eastAsia="es-MX"/>
        </w:rPr>
        <w:t xml:space="preserve">Lo anterior, siempre y cuando no se acredite alguna causal de clasificación, prevista en las leyes o en los tratados internaciones suscritos por el Estado mexicano. </w:t>
      </w:r>
    </w:p>
    <w:p w:rsidR="00A36E53" w:rsidRPr="00A36E53" w:rsidRDefault="00A36E53" w:rsidP="00A36E53">
      <w:pPr>
        <w:spacing w:before="120" w:after="120"/>
        <w:ind w:left="851" w:right="902"/>
        <w:jc w:val="both"/>
        <w:rPr>
          <w:rFonts w:ascii="Palatino Linotype" w:hAnsi="Palatino Linotype" w:cs="Arial"/>
          <w:i/>
          <w:sz w:val="22"/>
          <w:szCs w:val="20"/>
          <w:lang w:val="es-MX" w:eastAsia="es-MX"/>
        </w:rPr>
      </w:pPr>
      <w:r w:rsidRPr="00A36E53">
        <w:rPr>
          <w:rFonts w:ascii="Palatino Linotype" w:hAnsi="Palatino Linotype" w:cs="Arial"/>
          <w:b/>
          <w:i/>
          <w:sz w:val="22"/>
          <w:szCs w:val="20"/>
          <w:lang w:val="es-MX" w:eastAsia="es-MX"/>
        </w:rPr>
        <w:t>Quincuagésimo octavo</w:t>
      </w:r>
      <w:r w:rsidRPr="00A36E53">
        <w:rPr>
          <w:rFonts w:ascii="Palatino Linotype" w:hAnsi="Palatino Linotype" w:cs="Arial"/>
          <w:i/>
          <w:sz w:val="22"/>
          <w:szCs w:val="20"/>
          <w:lang w:val="es-MX" w:eastAsia="es-MX"/>
        </w:rPr>
        <w:t>. Los sujetos obligados garantizarán que los sistemas o medios empleados para eliminar la información en las versiones públicas no permitan la recuperación o visualización de la misma.”</w:t>
      </w:r>
    </w:p>
    <w:p w:rsidR="00A36E53" w:rsidRPr="00A36E53" w:rsidRDefault="00A36E53" w:rsidP="00A36E53">
      <w:pPr>
        <w:spacing w:before="240" w:after="240" w:line="360" w:lineRule="auto"/>
        <w:jc w:val="both"/>
        <w:rPr>
          <w:rFonts w:ascii="Palatino Linotype" w:hAnsi="Palatino Linotype" w:cs="Arial"/>
          <w:lang w:val="es-MX" w:eastAsia="es-MX"/>
        </w:rPr>
      </w:pPr>
      <w:r w:rsidRPr="00A36E53">
        <w:rPr>
          <w:rFonts w:ascii="Palatino Linotype" w:hAnsi="Palatino Linotype" w:cs="Arial"/>
          <w:lang w:val="es-MX"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36E53" w:rsidRPr="00A36E53" w:rsidRDefault="00A36E53" w:rsidP="00A36E53">
      <w:pPr>
        <w:spacing w:before="240" w:after="240" w:line="360" w:lineRule="auto"/>
        <w:jc w:val="both"/>
        <w:rPr>
          <w:rFonts w:ascii="Palatino Linotype" w:hAnsi="Palatino Linotype"/>
          <w:lang w:val="es-MX" w:eastAsia="es-MX"/>
        </w:rPr>
      </w:pPr>
      <w:r w:rsidRPr="00A36E53">
        <w:rPr>
          <w:rFonts w:ascii="Palatino Linotype" w:hAnsi="Palatino Linotype" w:cs="Arial"/>
          <w:lang w:val="es-MX" w:eastAsia="es-MX"/>
        </w:rPr>
        <w:lastRenderedPageBreak/>
        <w:t>En relación directa con ello, los Lineamientos en estudio</w:t>
      </w:r>
      <w:r w:rsidRPr="00A36E53">
        <w:rPr>
          <w:rFonts w:ascii="Palatino Linotype" w:hAnsi="Palatino Linotype"/>
          <w:lang w:val="es-MX" w:eastAsia="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A36E53" w:rsidRPr="00A36E53" w:rsidTr="00477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rsidR="00A36E53" w:rsidRPr="00A36E53" w:rsidRDefault="00A36E53" w:rsidP="00A36E53">
            <w:pPr>
              <w:jc w:val="center"/>
              <w:rPr>
                <w:rFonts w:ascii="Palatino Linotype" w:hAnsi="Palatino Linotype"/>
                <w:sz w:val="12"/>
                <w:szCs w:val="12"/>
                <w:lang w:eastAsia="es-MX"/>
              </w:rPr>
            </w:pPr>
            <w:r w:rsidRPr="00A36E53">
              <w:rPr>
                <w:rFonts w:ascii="Palatino Linotype" w:hAnsi="Palatino Linotype"/>
                <w:sz w:val="12"/>
                <w:szCs w:val="12"/>
                <w:lang w:eastAsia="es-MX"/>
              </w:rPr>
              <w:t>Parcial</w:t>
            </w:r>
          </w:p>
        </w:tc>
        <w:tc>
          <w:tcPr>
            <w:tcW w:w="4575" w:type="dxa"/>
            <w:gridSpan w:val="2"/>
            <w:tcBorders>
              <w:top w:val="nil"/>
              <w:left w:val="nil"/>
              <w:right w:val="nil"/>
            </w:tcBorders>
            <w:hideMark/>
          </w:tcPr>
          <w:p w:rsidR="00A36E53" w:rsidRPr="00A36E53" w:rsidRDefault="00A36E53" w:rsidP="00A36E5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Total</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center"/>
              <w:rPr>
                <w:rFonts w:ascii="Palatino Linotype" w:hAnsi="Palatino Linotype"/>
                <w:sz w:val="12"/>
                <w:szCs w:val="12"/>
                <w:lang w:eastAsia="es-MX"/>
              </w:rPr>
            </w:pPr>
            <w:r w:rsidRPr="00A36E53">
              <w:rPr>
                <w:rFonts w:ascii="Palatino Linotype" w:hAnsi="Palatino Linotype"/>
                <w:sz w:val="12"/>
                <w:szCs w:val="12"/>
                <w:lang w:eastAsia="es-MX"/>
              </w:rPr>
              <w:t>Concepto</w:t>
            </w:r>
          </w:p>
        </w:tc>
        <w:tc>
          <w:tcPr>
            <w:tcW w:w="3119" w:type="dxa"/>
            <w:hideMark/>
          </w:tcPr>
          <w:p w:rsidR="00A36E53" w:rsidRPr="00A36E53" w:rsidRDefault="00A36E53" w:rsidP="00A36E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Dónde</w:t>
            </w:r>
          </w:p>
        </w:tc>
        <w:tc>
          <w:tcPr>
            <w:tcW w:w="1129" w:type="dxa"/>
            <w:hideMark/>
          </w:tcPr>
          <w:p w:rsidR="00A36E53" w:rsidRPr="00A36E53" w:rsidRDefault="00A36E53" w:rsidP="00A36E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Concepto</w:t>
            </w:r>
          </w:p>
        </w:tc>
        <w:tc>
          <w:tcPr>
            <w:tcW w:w="3446" w:type="dxa"/>
            <w:hideMark/>
          </w:tcPr>
          <w:p w:rsidR="00A36E53" w:rsidRPr="00A36E53" w:rsidRDefault="00A36E53" w:rsidP="00A36E5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Dónde</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8828" w:type="dxa"/>
            <w:gridSpan w:val="4"/>
            <w:hideMark/>
          </w:tcPr>
          <w:p w:rsidR="00A36E53" w:rsidRPr="00A36E53" w:rsidRDefault="00A36E53" w:rsidP="00A36E53">
            <w:pPr>
              <w:jc w:val="center"/>
              <w:rPr>
                <w:rFonts w:ascii="Palatino Linotype" w:hAnsi="Palatino Linotype"/>
                <w:sz w:val="12"/>
                <w:szCs w:val="12"/>
                <w:lang w:eastAsia="es-MX"/>
              </w:rPr>
            </w:pPr>
            <w:r w:rsidRPr="00A36E53">
              <w:rPr>
                <w:rFonts w:ascii="Palatino Linotype" w:hAnsi="Palatino Linotype"/>
                <w:sz w:val="12"/>
                <w:szCs w:val="12"/>
                <w:lang w:eastAsia="es-MX"/>
              </w:rPr>
              <w:t>Sello oficial o logotipo del sujeto obligado</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Fecha de clasificación</w:t>
            </w:r>
          </w:p>
        </w:tc>
        <w:tc>
          <w:tcPr>
            <w:tcW w:w="311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anotará la fecha en la que el Comité de Transparencia confirmó la clasificación del documento, en su caso.</w:t>
            </w:r>
          </w:p>
        </w:tc>
        <w:tc>
          <w:tcPr>
            <w:tcW w:w="112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Fecha de clasificación</w:t>
            </w:r>
          </w:p>
        </w:tc>
        <w:tc>
          <w:tcPr>
            <w:tcW w:w="3446"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anotará la fecha en la que el Comité de Transparencia confirmó la clasificación del documento, en su caso.</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Área</w:t>
            </w:r>
          </w:p>
        </w:tc>
        <w:tc>
          <w:tcPr>
            <w:tcW w:w="311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señalará el nombre del área del cual es titular quien clasifica.</w:t>
            </w:r>
          </w:p>
        </w:tc>
        <w:tc>
          <w:tcPr>
            <w:tcW w:w="112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Área</w:t>
            </w:r>
          </w:p>
        </w:tc>
        <w:tc>
          <w:tcPr>
            <w:tcW w:w="3446"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señalará el nombre del área de la cual es el titular quien clasifica.</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Información reservada</w:t>
            </w:r>
          </w:p>
        </w:tc>
        <w:tc>
          <w:tcPr>
            <w:tcW w:w="311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Reservado</w:t>
            </w:r>
          </w:p>
        </w:tc>
        <w:tc>
          <w:tcPr>
            <w:tcW w:w="3446"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Leyenda de información RESERVADA.</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Fundamento legal</w:t>
            </w:r>
          </w:p>
        </w:tc>
        <w:tc>
          <w:tcPr>
            <w:tcW w:w="311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señalará el nombre del ordenamiento, el o los artículos, fracción(es), párrafo(s) con base en los cuales se sustente la reserva.</w:t>
            </w:r>
          </w:p>
        </w:tc>
        <w:tc>
          <w:tcPr>
            <w:tcW w:w="112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Periodo de reserva</w:t>
            </w:r>
          </w:p>
        </w:tc>
        <w:tc>
          <w:tcPr>
            <w:tcW w:w="3446"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anotará el número de años o meses por los que se mantendrá el documento o las partes del mismo como reservado. Si el expediente no es reservado, sino confidencial, deberá tacharse este apartado.</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Ampliación del periodo de reserva</w:t>
            </w:r>
          </w:p>
        </w:tc>
        <w:tc>
          <w:tcPr>
            <w:tcW w:w="311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En caso de haber solicitado la ampliación del periodo de reserva originalmente establecido, se deberá anotar el número de años o meses por los que se amplía la reserva.</w:t>
            </w:r>
          </w:p>
        </w:tc>
        <w:tc>
          <w:tcPr>
            <w:tcW w:w="112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Fundamento legal</w:t>
            </w:r>
          </w:p>
        </w:tc>
        <w:tc>
          <w:tcPr>
            <w:tcW w:w="3446"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señalará el nombre del o de los ordenamientos jurídicos, el o los artículos, fracción(es), párrafo(s) con base en los cuales se sustenta la reserva.</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Confidencial</w:t>
            </w:r>
          </w:p>
        </w:tc>
        <w:tc>
          <w:tcPr>
            <w:tcW w:w="311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Ampliación del periodo de reserva</w:t>
            </w:r>
          </w:p>
        </w:tc>
        <w:tc>
          <w:tcPr>
            <w:tcW w:w="3446"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En caso de haber solicitado la ampliación del periodo de reserva originalmente establecido, se deberá anotar el número de años o meses por los que se amplía la reserva.</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Fundamento legal</w:t>
            </w:r>
          </w:p>
        </w:tc>
        <w:tc>
          <w:tcPr>
            <w:tcW w:w="311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señalará el nombre del ordenamiento, el o los artículos, fracción(es), párrafo(s) con base en los cuales se sustente la confidencialidad.</w:t>
            </w:r>
          </w:p>
        </w:tc>
        <w:tc>
          <w:tcPr>
            <w:tcW w:w="112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Confidencial</w:t>
            </w:r>
          </w:p>
        </w:tc>
        <w:tc>
          <w:tcPr>
            <w:tcW w:w="3446"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Leyenda de información CONFIDENCIAL.</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Rúbrica del titular del área</w:t>
            </w:r>
          </w:p>
        </w:tc>
        <w:tc>
          <w:tcPr>
            <w:tcW w:w="311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Rúbrica autógrafa de quien clasifica.</w:t>
            </w:r>
          </w:p>
        </w:tc>
        <w:tc>
          <w:tcPr>
            <w:tcW w:w="112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Fundamento legal</w:t>
            </w:r>
          </w:p>
        </w:tc>
        <w:tc>
          <w:tcPr>
            <w:tcW w:w="3446"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señalará el nombre del o de los ordenamientos jurídicos, el o los artículos, fracción(es), párrafo(s) con base en los cuales se sustente la confidencialidad.</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Fecha de desclasificación</w:t>
            </w:r>
          </w:p>
        </w:tc>
        <w:tc>
          <w:tcPr>
            <w:tcW w:w="311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anotará la fecha en que se desclasifica el documento.</w:t>
            </w:r>
          </w:p>
        </w:tc>
        <w:tc>
          <w:tcPr>
            <w:tcW w:w="112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Rúbrica del titular del área</w:t>
            </w:r>
          </w:p>
        </w:tc>
        <w:tc>
          <w:tcPr>
            <w:tcW w:w="3446"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Rúbrica autógrafa de quien clasifica.</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1134" w:type="dxa"/>
            <w:hideMark/>
          </w:tcPr>
          <w:p w:rsidR="00A36E53" w:rsidRPr="00A36E53" w:rsidRDefault="00A36E53" w:rsidP="00A36E53">
            <w:pPr>
              <w:jc w:val="both"/>
              <w:rPr>
                <w:rFonts w:ascii="Palatino Linotype" w:hAnsi="Palatino Linotype"/>
                <w:sz w:val="12"/>
                <w:szCs w:val="12"/>
                <w:lang w:eastAsia="es-MX"/>
              </w:rPr>
            </w:pPr>
            <w:r w:rsidRPr="00A36E53">
              <w:rPr>
                <w:rFonts w:ascii="Palatino Linotype" w:hAnsi="Palatino Linotype"/>
                <w:sz w:val="12"/>
                <w:szCs w:val="12"/>
                <w:lang w:eastAsia="es-MX"/>
              </w:rPr>
              <w:t>Rúbrica y cargo del servidor público</w:t>
            </w:r>
          </w:p>
        </w:tc>
        <w:tc>
          <w:tcPr>
            <w:tcW w:w="311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Rúbrica autógrafa de quien desclasifica.</w:t>
            </w:r>
          </w:p>
        </w:tc>
        <w:tc>
          <w:tcPr>
            <w:tcW w:w="112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Fecha de desclasificación</w:t>
            </w:r>
          </w:p>
        </w:tc>
        <w:tc>
          <w:tcPr>
            <w:tcW w:w="3446"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Se anotará la fecha en que se desclasifica.</w:t>
            </w:r>
          </w:p>
        </w:tc>
      </w:tr>
      <w:tr w:rsidR="00A36E53" w:rsidRPr="00A36E53" w:rsidTr="00477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A36E53" w:rsidRPr="00A36E53" w:rsidRDefault="00A36E53" w:rsidP="00A36E53">
            <w:pPr>
              <w:jc w:val="both"/>
              <w:rPr>
                <w:rFonts w:ascii="Palatino Linotype" w:hAnsi="Palatino Linotype"/>
                <w:sz w:val="12"/>
                <w:szCs w:val="12"/>
                <w:lang w:eastAsia="es-MX"/>
              </w:rPr>
            </w:pPr>
          </w:p>
        </w:tc>
        <w:tc>
          <w:tcPr>
            <w:tcW w:w="3119" w:type="dxa"/>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p>
        </w:tc>
        <w:tc>
          <w:tcPr>
            <w:tcW w:w="1129"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Partes o secciones reservadas o confidenciales</w:t>
            </w:r>
          </w:p>
        </w:tc>
        <w:tc>
          <w:tcPr>
            <w:tcW w:w="3446" w:type="dxa"/>
            <w:hideMark/>
          </w:tcPr>
          <w:p w:rsidR="00A36E53" w:rsidRPr="00A36E53" w:rsidRDefault="00A36E53" w:rsidP="00A36E5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En caso que una vez desclasificado el expediente, subsistanpartes o secciones del mismo reservadas o confidenciales, se señalará este hecho.</w:t>
            </w:r>
          </w:p>
        </w:tc>
      </w:tr>
      <w:tr w:rsidR="00A36E53" w:rsidRPr="00A36E53" w:rsidTr="00477D30">
        <w:tc>
          <w:tcPr>
            <w:cnfStyle w:val="001000000000" w:firstRow="0" w:lastRow="0" w:firstColumn="1" w:lastColumn="0" w:oddVBand="0" w:evenVBand="0" w:oddHBand="0" w:evenHBand="0" w:firstRowFirstColumn="0" w:firstRowLastColumn="0" w:lastRowFirstColumn="0" w:lastRowLastColumn="0"/>
            <w:tcW w:w="1134" w:type="dxa"/>
          </w:tcPr>
          <w:p w:rsidR="00A36E53" w:rsidRPr="00A36E53" w:rsidRDefault="00A36E53" w:rsidP="00A36E53">
            <w:pPr>
              <w:jc w:val="both"/>
              <w:rPr>
                <w:rFonts w:ascii="Palatino Linotype" w:hAnsi="Palatino Linotype"/>
                <w:sz w:val="12"/>
                <w:szCs w:val="12"/>
                <w:lang w:eastAsia="es-MX"/>
              </w:rPr>
            </w:pPr>
          </w:p>
        </w:tc>
        <w:tc>
          <w:tcPr>
            <w:tcW w:w="3119" w:type="dxa"/>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p>
        </w:tc>
        <w:tc>
          <w:tcPr>
            <w:tcW w:w="1129"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eastAsia="es-MX"/>
              </w:rPr>
            </w:pPr>
            <w:r w:rsidRPr="00A36E53">
              <w:rPr>
                <w:rFonts w:ascii="Palatino Linotype" w:hAnsi="Palatino Linotype"/>
                <w:b/>
                <w:sz w:val="12"/>
                <w:szCs w:val="12"/>
                <w:lang w:eastAsia="es-MX"/>
              </w:rPr>
              <w:t>Rúbrica y cargo del servidor público</w:t>
            </w:r>
          </w:p>
        </w:tc>
        <w:tc>
          <w:tcPr>
            <w:tcW w:w="3446" w:type="dxa"/>
            <w:hideMark/>
          </w:tcPr>
          <w:p w:rsidR="00A36E53" w:rsidRPr="00A36E53" w:rsidRDefault="00A36E53" w:rsidP="00A36E5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eastAsia="es-MX"/>
              </w:rPr>
            </w:pPr>
            <w:r w:rsidRPr="00A36E53">
              <w:rPr>
                <w:rFonts w:ascii="Palatino Linotype" w:hAnsi="Palatino Linotype"/>
                <w:sz w:val="12"/>
                <w:szCs w:val="12"/>
                <w:lang w:eastAsia="es-MX"/>
              </w:rPr>
              <w:t>Rúbrica autógrafa de quien desclasifica.</w:t>
            </w:r>
          </w:p>
        </w:tc>
      </w:tr>
    </w:tbl>
    <w:p w:rsidR="004D0318" w:rsidRPr="00A36E53" w:rsidRDefault="00A36E53" w:rsidP="00A36E53">
      <w:pPr>
        <w:autoSpaceDE w:val="0"/>
        <w:autoSpaceDN w:val="0"/>
        <w:adjustRightInd w:val="0"/>
        <w:spacing w:before="240" w:after="240" w:line="360" w:lineRule="auto"/>
        <w:jc w:val="both"/>
        <w:rPr>
          <w:rFonts w:ascii="Palatino Linotype" w:hAnsi="Palatino Linotype" w:cs="Arial"/>
          <w:lang w:val="es-MX" w:eastAsia="es-MX"/>
        </w:rPr>
      </w:pPr>
      <w:r w:rsidRPr="00A36E53">
        <w:rPr>
          <w:rFonts w:ascii="Palatino Linotype" w:hAnsi="Palatino Linotype" w:cs="Arial"/>
          <w:lang w:val="es-MX" w:eastAsia="es-MX"/>
        </w:rPr>
        <w:t xml:space="preserve">Así, con fundamento en lo prescrito en los artículos 5 párrafos </w:t>
      </w:r>
      <w:r w:rsidRPr="00A36E53">
        <w:rPr>
          <w:rFonts w:ascii="Palatino Linotype" w:hAnsi="Palatino Linotype"/>
          <w:shd w:val="clear" w:color="auto" w:fill="FFFFFF"/>
          <w:lang w:val="es-MX" w:eastAsia="es-MX"/>
        </w:rPr>
        <w:t>trigésimo, trigésimo primero y trigésimo segundo</w:t>
      </w:r>
      <w:r w:rsidRPr="00A36E53">
        <w:rPr>
          <w:rFonts w:ascii="Palatino Linotype" w:hAnsi="Palatino Linotype" w:cs="Arial"/>
          <w:lang w:val="es-MX" w:eastAsia="es-MX"/>
        </w:rPr>
        <w:t xml:space="preserve"> de la Constitución Política del Estado Libre y Soberano de México; 2, fracción II; 29, 36 fracciones I y II; 176, 178, 181, 185 de la Ley de Transparencia y Acceso a la Información Pública del Estado de México y Municipios, este Pleno:</w:t>
      </w:r>
    </w:p>
    <w:p w:rsidR="004D0318" w:rsidRDefault="000E523D">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lastRenderedPageBreak/>
        <w:t xml:space="preserve">III.    </w:t>
      </w:r>
      <w:r>
        <w:rPr>
          <w:rFonts w:ascii="Palatino Linotype" w:eastAsia="Palatino Linotype" w:hAnsi="Palatino Linotype" w:cs="Palatino Linotype"/>
          <w:b/>
          <w:color w:val="000000"/>
          <w:sz w:val="22"/>
          <w:szCs w:val="22"/>
        </w:rPr>
        <w:t>R E S U E L V E</w:t>
      </w:r>
    </w:p>
    <w:p w:rsidR="00B53025" w:rsidRPr="00B53025" w:rsidRDefault="00B53025" w:rsidP="00B53025">
      <w:pPr>
        <w:autoSpaceDE w:val="0"/>
        <w:autoSpaceDN w:val="0"/>
        <w:adjustRightInd w:val="0"/>
        <w:spacing w:before="240" w:after="240" w:line="360" w:lineRule="auto"/>
        <w:jc w:val="both"/>
        <w:rPr>
          <w:rFonts w:ascii="Palatino Linotype" w:hAnsi="Palatino Linotype" w:cs="Arial"/>
          <w:lang w:val="es-ES" w:eastAsia="es-ES"/>
        </w:rPr>
      </w:pPr>
      <w:bookmarkStart w:id="4" w:name="_heading=h.2et92p0" w:colFirst="0" w:colLast="0"/>
      <w:bookmarkEnd w:id="4"/>
      <w:r w:rsidRPr="00B53025">
        <w:rPr>
          <w:rFonts w:ascii="Palatino Linotype" w:hAnsi="Palatino Linotype" w:cs="Arial"/>
          <w:b/>
          <w:lang w:val="es-ES" w:eastAsia="es-ES"/>
        </w:rPr>
        <w:t>Primero</w:t>
      </w:r>
      <w:r w:rsidRPr="00B53025">
        <w:rPr>
          <w:rFonts w:ascii="Palatino Linotype" w:hAnsi="Palatino Linotype" w:cs="Arial"/>
          <w:lang w:val="es-ES" w:eastAsia="es-ES"/>
        </w:rPr>
        <w:t xml:space="preserve">. </w:t>
      </w:r>
      <w:r w:rsidRPr="00B53025">
        <w:rPr>
          <w:rFonts w:ascii="Palatino Linotype" w:hAnsi="Palatino Linotype" w:cs="Arial"/>
          <w:bCs/>
          <w:lang w:val="es-ES" w:eastAsia="es-MX"/>
        </w:rPr>
        <w:t xml:space="preserve">Resultan </w:t>
      </w:r>
      <w:r w:rsidRPr="00B53025">
        <w:rPr>
          <w:rFonts w:ascii="Palatino Linotype" w:hAnsi="Palatino Linotype" w:cs="Arial"/>
          <w:b/>
          <w:bCs/>
          <w:lang w:val="es-ES" w:eastAsia="es-MX"/>
        </w:rPr>
        <w:t xml:space="preserve">fundados </w:t>
      </w:r>
      <w:r w:rsidRPr="00B53025">
        <w:rPr>
          <w:rFonts w:ascii="Palatino Linotype" w:hAnsi="Palatino Linotype" w:cs="Arial"/>
          <w:bCs/>
          <w:lang w:val="es-ES" w:eastAsia="es-MX"/>
        </w:rPr>
        <w:t xml:space="preserve">los motivos de inconformidad hechos valer por </w:t>
      </w:r>
      <w:r w:rsidRPr="00B53025">
        <w:rPr>
          <w:rFonts w:ascii="Palatino Linotype" w:hAnsi="Palatino Linotype" w:cs="Arial"/>
          <w:b/>
          <w:bCs/>
          <w:lang w:val="es-ES" w:eastAsia="es-MX"/>
        </w:rPr>
        <w:t>el Recurrente</w:t>
      </w:r>
      <w:r w:rsidRPr="00B53025">
        <w:rPr>
          <w:rFonts w:ascii="Palatino Linotype" w:hAnsi="Palatino Linotype" w:cs="Arial"/>
          <w:lang w:val="es-ES" w:eastAsia="es-ES"/>
        </w:rPr>
        <w:t xml:space="preserve"> en el Recurso de Revisión </w:t>
      </w:r>
      <w:r>
        <w:rPr>
          <w:rFonts w:ascii="Palatino Linotype" w:hAnsi="Palatino Linotype" w:cs="Arial"/>
          <w:b/>
          <w:lang w:val="es-ES" w:eastAsia="es-ES"/>
        </w:rPr>
        <w:t>04309</w:t>
      </w:r>
      <w:r w:rsidRPr="00B53025">
        <w:rPr>
          <w:rFonts w:ascii="Palatino Linotype" w:hAnsi="Palatino Linotype" w:cs="Arial"/>
          <w:b/>
          <w:lang w:val="es-ES" w:eastAsia="es-ES"/>
        </w:rPr>
        <w:t>/INFOEM/IP/RR/2022</w:t>
      </w:r>
      <w:r w:rsidRPr="00B53025">
        <w:rPr>
          <w:rFonts w:ascii="Palatino Linotype" w:hAnsi="Palatino Linotype" w:cs="Arial"/>
          <w:lang w:val="es-ES" w:eastAsia="es-ES"/>
        </w:rPr>
        <w:t xml:space="preserve">, en términos del </w:t>
      </w:r>
      <w:r w:rsidRPr="00B53025">
        <w:rPr>
          <w:rFonts w:ascii="Palatino Linotype" w:hAnsi="Palatino Linotype" w:cs="Arial"/>
          <w:b/>
          <w:lang w:val="es-ES" w:eastAsia="es-ES"/>
        </w:rPr>
        <w:t>Considerando Cuarto</w:t>
      </w:r>
      <w:r w:rsidRPr="00B53025">
        <w:rPr>
          <w:rFonts w:ascii="Palatino Linotype" w:hAnsi="Palatino Linotype" w:cs="Arial"/>
          <w:lang w:val="es-ES" w:eastAsia="es-ES"/>
        </w:rPr>
        <w:t>.</w:t>
      </w:r>
    </w:p>
    <w:p w:rsidR="00B53025" w:rsidRPr="00B53025" w:rsidRDefault="00B53025" w:rsidP="00B53025">
      <w:pPr>
        <w:autoSpaceDE w:val="0"/>
        <w:autoSpaceDN w:val="0"/>
        <w:adjustRightInd w:val="0"/>
        <w:spacing w:before="240" w:after="240" w:line="360" w:lineRule="auto"/>
        <w:jc w:val="both"/>
        <w:rPr>
          <w:rFonts w:ascii="Palatino Linotype" w:eastAsia="Palatino Linotype" w:hAnsi="Palatino Linotype" w:cs="Palatino Linotype"/>
          <w:lang w:val="es-MX" w:eastAsia="es-MX"/>
        </w:rPr>
      </w:pPr>
      <w:r w:rsidRPr="00B53025">
        <w:rPr>
          <w:rFonts w:ascii="Palatino Linotype" w:hAnsi="Palatino Linotype" w:cs="Arial"/>
          <w:b/>
          <w:szCs w:val="28"/>
          <w:lang w:val="es-MX" w:eastAsia="es-MX"/>
        </w:rPr>
        <w:t>Segundo</w:t>
      </w:r>
      <w:r w:rsidRPr="00B53025">
        <w:rPr>
          <w:rFonts w:ascii="Palatino Linotype" w:hAnsi="Palatino Linotype" w:cs="Arial"/>
          <w:b/>
          <w:sz w:val="28"/>
          <w:szCs w:val="28"/>
          <w:lang w:val="es-MX" w:eastAsia="es-MX"/>
        </w:rPr>
        <w:t>.</w:t>
      </w:r>
      <w:r w:rsidRPr="00B53025">
        <w:rPr>
          <w:rFonts w:ascii="Palatino Linotype" w:hAnsi="Palatino Linotype" w:cs="Arial"/>
          <w:sz w:val="28"/>
          <w:szCs w:val="28"/>
          <w:lang w:val="es-MX" w:eastAsia="es-MX"/>
        </w:rPr>
        <w:t xml:space="preserve"> </w:t>
      </w:r>
      <w:r w:rsidRPr="00B53025">
        <w:rPr>
          <w:rFonts w:ascii="Palatino Linotype" w:hAnsi="Palatino Linotype" w:cs="Arial"/>
          <w:lang w:val="es-ES" w:eastAsia="es-ES"/>
        </w:rPr>
        <w:t>Se</w:t>
      </w:r>
      <w:r w:rsidRPr="00B53025">
        <w:rPr>
          <w:rFonts w:ascii="Palatino Linotype" w:hAnsi="Palatino Linotype" w:cs="Arial"/>
          <w:b/>
          <w:lang w:val="es-ES" w:eastAsia="es-ES"/>
        </w:rPr>
        <w:t xml:space="preserve"> ORDENA </w:t>
      </w:r>
      <w:r w:rsidRPr="00B53025">
        <w:rPr>
          <w:rFonts w:ascii="Palatino Linotype" w:hAnsi="Palatino Linotype" w:cs="Arial"/>
          <w:lang w:val="es-ES" w:eastAsia="es-ES"/>
        </w:rPr>
        <w:t>al</w:t>
      </w:r>
      <w:r w:rsidRPr="00B53025">
        <w:rPr>
          <w:rFonts w:ascii="Palatino Linotype" w:hAnsi="Palatino Linotype" w:cs="Arial"/>
          <w:b/>
          <w:lang w:val="es-ES" w:eastAsia="es-ES"/>
        </w:rPr>
        <w:t xml:space="preserve"> Sujeto Obligado</w:t>
      </w:r>
      <w:r w:rsidRPr="00B53025">
        <w:rPr>
          <w:rFonts w:ascii="Palatino Linotype" w:hAnsi="Palatino Linotype" w:cs="Arial"/>
          <w:lang w:val="es-ES" w:eastAsia="es-ES"/>
        </w:rPr>
        <w:t>, atienda la solicitud de información número</w:t>
      </w:r>
      <w:r w:rsidRPr="00B53025">
        <w:rPr>
          <w:lang w:val="es-ES" w:eastAsia="es-ES"/>
        </w:rPr>
        <w:t xml:space="preserve"> </w:t>
      </w:r>
      <w:r w:rsidRPr="00B53025">
        <w:rPr>
          <w:rFonts w:ascii="Palatino Linotype" w:hAnsi="Palatino Linotype"/>
          <w:b/>
          <w:bCs/>
          <w:color w:val="000000"/>
          <w:szCs w:val="22"/>
          <w:lang w:val="es-ES" w:eastAsia="es-ES"/>
        </w:rPr>
        <w:t>00966/ECATEPEC/IP/2021</w:t>
      </w:r>
      <w:r w:rsidRPr="00B53025">
        <w:rPr>
          <w:rFonts w:ascii="Palatino Linotype" w:hAnsi="Palatino Linotype"/>
          <w:bCs/>
          <w:lang w:val="es-ES" w:eastAsia="es-ES"/>
        </w:rPr>
        <w:t xml:space="preserve">, en términos de los </w:t>
      </w:r>
      <w:r w:rsidRPr="00B53025">
        <w:rPr>
          <w:rFonts w:ascii="Palatino Linotype" w:hAnsi="Palatino Linotype"/>
          <w:b/>
          <w:bCs/>
          <w:lang w:val="es-ES" w:eastAsia="es-ES"/>
        </w:rPr>
        <w:t>Considerandos</w:t>
      </w:r>
      <w:r w:rsidRPr="00B53025">
        <w:rPr>
          <w:rFonts w:ascii="Palatino Linotype" w:hAnsi="Palatino Linotype"/>
          <w:bCs/>
          <w:lang w:val="es-ES" w:eastAsia="es-ES"/>
        </w:rPr>
        <w:t xml:space="preserve"> </w:t>
      </w:r>
      <w:r w:rsidRPr="00B53025">
        <w:rPr>
          <w:rFonts w:ascii="Palatino Linotype" w:hAnsi="Palatino Linotype"/>
          <w:b/>
          <w:bCs/>
          <w:lang w:val="es-ES" w:eastAsia="es-ES"/>
        </w:rPr>
        <w:t>Cuarto y Quinto</w:t>
      </w:r>
      <w:r w:rsidRPr="00B53025">
        <w:rPr>
          <w:rFonts w:ascii="Palatino Linotype" w:hAnsi="Palatino Linotype"/>
          <w:bCs/>
          <w:lang w:val="es-ES" w:eastAsia="es-ES"/>
        </w:rPr>
        <w:t xml:space="preserve"> de esta resolución, y </w:t>
      </w:r>
      <w:r w:rsidRPr="00B53025">
        <w:rPr>
          <w:rFonts w:ascii="Palatino Linotype" w:hAnsi="Palatino Linotype" w:cs="Arial"/>
          <w:lang w:val="es-ES" w:eastAsia="es-ES"/>
        </w:rPr>
        <w:t xml:space="preserve">haga entrega vía </w:t>
      </w:r>
      <w:r w:rsidRPr="00B53025">
        <w:rPr>
          <w:rFonts w:ascii="Palatino Linotype" w:hAnsi="Palatino Linotype" w:cs="Arial"/>
          <w:b/>
          <w:lang w:val="es-ES" w:eastAsia="es-ES"/>
        </w:rPr>
        <w:t>SAIMEX</w:t>
      </w:r>
      <w:r w:rsidRPr="00B53025">
        <w:rPr>
          <w:rFonts w:ascii="Palatino Linotype" w:hAnsi="Palatino Linotype" w:cs="Arial"/>
          <w:lang w:val="es-ES" w:eastAsia="es-ES"/>
        </w:rPr>
        <w:t xml:space="preserve">, en </w:t>
      </w:r>
      <w:r w:rsidRPr="00B53025">
        <w:rPr>
          <w:rFonts w:ascii="Palatino Linotype" w:hAnsi="Palatino Linotype" w:cs="Arial"/>
          <w:b/>
          <w:lang w:val="es-ES" w:eastAsia="es-ES"/>
        </w:rPr>
        <w:t>versión pública de ser procedente</w:t>
      </w:r>
      <w:r w:rsidRPr="00B53025">
        <w:rPr>
          <w:rFonts w:ascii="Palatino Linotype" w:hAnsi="Palatino Linotype" w:cs="Arial"/>
          <w:lang w:val="es-ES" w:eastAsia="es-ES"/>
        </w:rPr>
        <w:t xml:space="preserve">, </w:t>
      </w:r>
      <w:r w:rsidRPr="00B53025">
        <w:rPr>
          <w:rFonts w:ascii="Palatino Linotype" w:eastAsia="Palatino Linotype" w:hAnsi="Palatino Linotype" w:cs="Palatino Linotype"/>
          <w:lang w:val="es-MX" w:eastAsia="es-MX"/>
        </w:rPr>
        <w:t>de lo siguiente:</w:t>
      </w:r>
    </w:p>
    <w:p w:rsidR="00B53025" w:rsidRPr="00B53025" w:rsidRDefault="00B53025" w:rsidP="00B53025">
      <w:pPr>
        <w:autoSpaceDE w:val="0"/>
        <w:autoSpaceDN w:val="0"/>
        <w:adjustRightInd w:val="0"/>
        <w:spacing w:before="240" w:after="240" w:line="276" w:lineRule="auto"/>
        <w:ind w:left="567" w:right="709"/>
        <w:jc w:val="both"/>
        <w:rPr>
          <w:rFonts w:ascii="Palatino Linotype" w:hAnsi="Palatino Linotype" w:cs="Arial"/>
          <w:b/>
          <w:i/>
          <w:sz w:val="22"/>
          <w:lang w:val="es-ES" w:eastAsia="es-ES"/>
        </w:rPr>
      </w:pPr>
      <w:r w:rsidRPr="00B53025">
        <w:rPr>
          <w:rFonts w:ascii="Palatino Linotype" w:hAnsi="Palatino Linotype" w:cs="Arial"/>
          <w:b/>
          <w:i/>
          <w:sz w:val="22"/>
          <w:lang w:val="es-ES" w:eastAsia="es-ES"/>
        </w:rPr>
        <w:t>-</w:t>
      </w:r>
      <w:r w:rsidRPr="00B53025">
        <w:t xml:space="preserve"> </w:t>
      </w:r>
      <w:r>
        <w:rPr>
          <w:rFonts w:ascii="Palatino Linotype" w:hAnsi="Palatino Linotype" w:cs="Arial"/>
          <w:b/>
          <w:i/>
          <w:sz w:val="22"/>
          <w:lang w:val="es-ES" w:eastAsia="es-ES"/>
        </w:rPr>
        <w:t>C</w:t>
      </w:r>
      <w:r w:rsidRPr="00B53025">
        <w:rPr>
          <w:rFonts w:ascii="Palatino Linotype" w:hAnsi="Palatino Linotype" w:cs="Arial"/>
          <w:b/>
          <w:i/>
          <w:sz w:val="22"/>
          <w:lang w:val="es-ES" w:eastAsia="es-ES"/>
        </w:rPr>
        <w:t xml:space="preserve">ontrato </w:t>
      </w:r>
      <w:r>
        <w:rPr>
          <w:rFonts w:ascii="Palatino Linotype" w:hAnsi="Palatino Linotype" w:cs="Arial"/>
          <w:b/>
          <w:i/>
          <w:sz w:val="22"/>
          <w:lang w:val="es-ES" w:eastAsia="es-ES"/>
        </w:rPr>
        <w:t xml:space="preserve">número: </w:t>
      </w:r>
      <w:r w:rsidRPr="00B53025">
        <w:rPr>
          <w:rFonts w:ascii="Palatino Linotype" w:hAnsi="Palatino Linotype" w:cs="Arial"/>
          <w:b/>
          <w:i/>
          <w:sz w:val="22"/>
          <w:lang w:val="es-ES" w:eastAsia="es-ES"/>
        </w:rPr>
        <w:t xml:space="preserve">MEM-DA-ST-AD-RP-01-2020-02, celebrado con motivo </w:t>
      </w:r>
      <w:r>
        <w:rPr>
          <w:rFonts w:ascii="Palatino Linotype" w:hAnsi="Palatino Linotype" w:cs="Arial"/>
          <w:b/>
          <w:i/>
          <w:sz w:val="22"/>
          <w:lang w:val="es-ES" w:eastAsia="es-ES"/>
        </w:rPr>
        <w:t xml:space="preserve">de la </w:t>
      </w:r>
      <w:r w:rsidRPr="00B53025">
        <w:rPr>
          <w:rFonts w:ascii="Palatino Linotype" w:hAnsi="Palatino Linotype" w:cs="Arial"/>
          <w:b/>
          <w:i/>
          <w:sz w:val="22"/>
          <w:lang w:val="es-ES" w:eastAsia="es-ES"/>
        </w:rPr>
        <w:t xml:space="preserve">contratación de servicio integral </w:t>
      </w:r>
      <w:r>
        <w:rPr>
          <w:rFonts w:ascii="Palatino Linotype" w:hAnsi="Palatino Linotype" w:cs="Arial"/>
          <w:b/>
          <w:i/>
          <w:sz w:val="22"/>
          <w:lang w:val="es-ES" w:eastAsia="es-ES"/>
        </w:rPr>
        <w:t xml:space="preserve">para </w:t>
      </w:r>
      <w:r w:rsidRPr="00B53025">
        <w:rPr>
          <w:rFonts w:ascii="Palatino Linotype" w:hAnsi="Palatino Linotype" w:cs="Arial"/>
          <w:b/>
          <w:i/>
          <w:sz w:val="22"/>
          <w:lang w:val="es-ES" w:eastAsia="es-ES"/>
        </w:rPr>
        <w:t xml:space="preserve">la realización del evento denominado familias con </w:t>
      </w:r>
      <w:r>
        <w:rPr>
          <w:rFonts w:ascii="Palatino Linotype" w:hAnsi="Palatino Linotype" w:cs="Arial"/>
          <w:b/>
          <w:i/>
          <w:sz w:val="22"/>
          <w:lang w:val="es-ES" w:eastAsia="es-ES"/>
        </w:rPr>
        <w:t xml:space="preserve">valores </w:t>
      </w:r>
      <w:r w:rsidRPr="00B53025">
        <w:rPr>
          <w:rFonts w:ascii="Palatino Linotype" w:hAnsi="Palatino Linotype" w:cs="Arial"/>
          <w:b/>
          <w:i/>
          <w:sz w:val="22"/>
          <w:lang w:val="es-ES" w:eastAsia="es-ES"/>
        </w:rPr>
        <w:t>bodas comunitarias 2020, así como el documento que acredite haberse realizado y entregado el bien, servicio y/o producto</w:t>
      </w:r>
      <w:r>
        <w:rPr>
          <w:rFonts w:ascii="Palatino Linotype" w:hAnsi="Palatino Linotype" w:cs="Arial"/>
          <w:b/>
          <w:i/>
          <w:sz w:val="22"/>
          <w:lang w:val="es-ES" w:eastAsia="es-ES"/>
        </w:rPr>
        <w:t>.</w:t>
      </w:r>
    </w:p>
    <w:p w:rsidR="00B53025" w:rsidRPr="00B53025" w:rsidRDefault="00B53025" w:rsidP="00B53025">
      <w:pPr>
        <w:tabs>
          <w:tab w:val="left" w:pos="8080"/>
        </w:tabs>
        <w:spacing w:after="120"/>
        <w:ind w:left="567" w:right="709"/>
        <w:jc w:val="both"/>
        <w:rPr>
          <w:rFonts w:ascii="Palatino Linotype" w:hAnsi="Palatino Linotype" w:cs="Arial"/>
          <w:i/>
          <w:sz w:val="22"/>
          <w:szCs w:val="20"/>
          <w:lang w:val="es-ES" w:eastAsia="en-US"/>
        </w:rPr>
      </w:pPr>
      <w:r w:rsidRPr="00B53025">
        <w:rPr>
          <w:rFonts w:ascii="Palatino Linotype" w:hAnsi="Palatino Linotype" w:cs="Arial"/>
          <w:i/>
          <w:sz w:val="22"/>
          <w:szCs w:val="20"/>
          <w:lang w:val="es-ES"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B53025">
        <w:rPr>
          <w:rFonts w:ascii="Palatino Linotype" w:hAnsi="Palatino Linotype" w:cs="Arial"/>
          <w:b/>
          <w:i/>
          <w:sz w:val="22"/>
          <w:szCs w:val="20"/>
          <w:lang w:val="es-ES" w:eastAsia="en-US"/>
        </w:rPr>
        <w:t>Recurrente</w:t>
      </w:r>
      <w:r w:rsidRPr="00B53025">
        <w:rPr>
          <w:rFonts w:ascii="Palatino Linotype" w:hAnsi="Palatino Linotype" w:cs="Arial"/>
          <w:i/>
          <w:sz w:val="22"/>
          <w:szCs w:val="20"/>
          <w:lang w:val="es-ES" w:eastAsia="en-US"/>
        </w:rPr>
        <w:t>.</w:t>
      </w:r>
    </w:p>
    <w:p w:rsidR="00B53025" w:rsidRPr="00B53025" w:rsidRDefault="00B53025" w:rsidP="00B53025">
      <w:pPr>
        <w:tabs>
          <w:tab w:val="left" w:pos="8080"/>
        </w:tabs>
        <w:spacing w:after="120"/>
        <w:ind w:left="785" w:right="900"/>
        <w:jc w:val="both"/>
        <w:rPr>
          <w:rFonts w:ascii="Palatino Linotype" w:hAnsi="Palatino Linotype" w:cs="Arial"/>
          <w:i/>
          <w:sz w:val="22"/>
          <w:szCs w:val="20"/>
          <w:lang w:val="es-ES" w:eastAsia="en-US"/>
        </w:rPr>
      </w:pPr>
    </w:p>
    <w:p w:rsidR="00B53025" w:rsidRPr="00B53025" w:rsidRDefault="00B53025" w:rsidP="00B5302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white"/>
          <w:lang w:val="es-ES" w:eastAsia="es-ES"/>
        </w:rPr>
      </w:pPr>
      <w:r w:rsidRPr="00B53025">
        <w:rPr>
          <w:rFonts w:ascii="Palatino Linotype" w:eastAsia="Palatino Linotype" w:hAnsi="Palatino Linotype" w:cs="Palatino Linotype"/>
          <w:b/>
          <w:color w:val="000000"/>
          <w:highlight w:val="white"/>
          <w:lang w:val="es-ES" w:eastAsia="es-ES"/>
        </w:rPr>
        <w:t xml:space="preserve">Tercero. </w:t>
      </w:r>
      <w:r w:rsidRPr="00B53025">
        <w:rPr>
          <w:rFonts w:ascii="Palatino Linotype" w:eastAsia="Palatino Linotype" w:hAnsi="Palatino Linotype" w:cs="Palatino Linotype"/>
          <w:b/>
          <w:color w:val="000000"/>
          <w:lang w:val="es-ES" w:eastAsia="es-ES"/>
        </w:rPr>
        <w:t>Notifíquese</w:t>
      </w:r>
      <w:r w:rsidRPr="00B53025">
        <w:rPr>
          <w:rFonts w:ascii="Palatino Linotype" w:eastAsia="Palatino Linotype" w:hAnsi="Palatino Linotype" w:cs="Palatino Linotype"/>
          <w:b/>
          <w:color w:val="000000"/>
          <w:highlight w:val="white"/>
          <w:lang w:val="es-ES" w:eastAsia="es-ES"/>
        </w:rPr>
        <w:t xml:space="preserve"> vía SAIMEX </w:t>
      </w:r>
      <w:r w:rsidRPr="00B53025">
        <w:rPr>
          <w:rFonts w:ascii="Palatino Linotype" w:eastAsia="Palatino Linotype" w:hAnsi="Palatino Linotype" w:cs="Palatino Linotype"/>
          <w:color w:val="000000"/>
          <w:highlight w:val="white"/>
          <w:lang w:val="es-ES" w:eastAsia="es-ES"/>
        </w:rPr>
        <w:t>al Titular de la Unidad de Transparencia del</w:t>
      </w:r>
      <w:r w:rsidRPr="00B53025">
        <w:rPr>
          <w:rFonts w:ascii="Palatino Linotype" w:eastAsia="Palatino Linotype" w:hAnsi="Palatino Linotype" w:cs="Palatino Linotype"/>
          <w:b/>
          <w:color w:val="000000"/>
          <w:highlight w:val="white"/>
          <w:lang w:val="es-ES" w:eastAsia="es-ES"/>
        </w:rPr>
        <w:t xml:space="preserve"> </w:t>
      </w:r>
      <w:r w:rsidRPr="00B53025">
        <w:rPr>
          <w:rFonts w:ascii="Palatino Linotype" w:eastAsia="Palatino Linotype" w:hAnsi="Palatino Linotype" w:cs="Palatino Linotype"/>
          <w:b/>
          <w:color w:val="000000"/>
          <w:lang w:val="es-ES" w:eastAsia="es-ES"/>
        </w:rPr>
        <w:t>Sujeto Obligado</w:t>
      </w:r>
      <w:r w:rsidRPr="00B53025">
        <w:rPr>
          <w:rFonts w:ascii="Palatino Linotype" w:eastAsia="Palatino Linotype" w:hAnsi="Palatino Linotype" w:cs="Palatino Linotype"/>
          <w:color w:val="000000"/>
          <w:highlight w:val="white"/>
          <w:lang w:val="es-ES" w:eastAsia="es-ES"/>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53025" w:rsidRPr="00B53025" w:rsidRDefault="00B53025" w:rsidP="00B53025">
      <w:pPr>
        <w:spacing w:before="240" w:after="240" w:line="360" w:lineRule="auto"/>
        <w:jc w:val="both"/>
        <w:rPr>
          <w:rFonts w:ascii="Palatino Linotype" w:eastAsia="Palatino Linotype" w:hAnsi="Palatino Linotype" w:cs="Palatino Linotype"/>
          <w:lang w:val="es-ES" w:eastAsia="es-ES"/>
        </w:rPr>
      </w:pPr>
      <w:r w:rsidRPr="00B53025">
        <w:rPr>
          <w:rFonts w:ascii="Palatino Linotype" w:eastAsia="Palatino Linotype" w:hAnsi="Palatino Linotype" w:cs="Palatino Linotype"/>
          <w:b/>
          <w:lang w:val="es-ES" w:eastAsia="es-ES"/>
        </w:rPr>
        <w:lastRenderedPageBreak/>
        <w:t>Cuarto. Notifíquese</w:t>
      </w:r>
      <w:r w:rsidRPr="00B53025">
        <w:rPr>
          <w:rFonts w:ascii="Palatino Linotype" w:eastAsia="Palatino Linotype" w:hAnsi="Palatino Linotype" w:cs="Palatino Linotype"/>
          <w:b/>
          <w:highlight w:val="white"/>
          <w:lang w:val="es-ES" w:eastAsia="es-ES"/>
        </w:rPr>
        <w:t xml:space="preserve"> </w:t>
      </w:r>
      <w:r w:rsidRPr="00B53025">
        <w:rPr>
          <w:rFonts w:ascii="Palatino Linotype" w:eastAsia="Palatino Linotype" w:hAnsi="Palatino Linotype" w:cs="Palatino Linotype"/>
          <w:highlight w:val="white"/>
          <w:lang w:val="es-ES" w:eastAsia="es-ES"/>
        </w:rPr>
        <w:t xml:space="preserve">al </w:t>
      </w:r>
      <w:r w:rsidRPr="00B53025">
        <w:rPr>
          <w:rFonts w:ascii="Palatino Linotype" w:eastAsia="Palatino Linotype" w:hAnsi="Palatino Linotype" w:cs="Palatino Linotype"/>
          <w:b/>
          <w:lang w:val="es-ES" w:eastAsia="es-ES"/>
        </w:rPr>
        <w:t>Recurrente</w:t>
      </w:r>
      <w:r w:rsidRPr="00B53025">
        <w:rPr>
          <w:rFonts w:ascii="Palatino Linotype" w:eastAsia="Palatino Linotype" w:hAnsi="Palatino Linotype" w:cs="Palatino Linotype"/>
          <w:lang w:val="es-ES" w:eastAsia="es-ES"/>
        </w:rPr>
        <w:t xml:space="preserve"> vía SAIMEX</w:t>
      </w:r>
      <w:r w:rsidRPr="00B53025">
        <w:rPr>
          <w:rFonts w:ascii="Palatino Linotype" w:eastAsia="Palatino Linotype" w:hAnsi="Palatino Linotype" w:cs="Palatino Linotype"/>
          <w:b/>
          <w:lang w:val="es-ES" w:eastAsia="es-ES"/>
        </w:rPr>
        <w:t xml:space="preserve">, </w:t>
      </w:r>
      <w:r w:rsidRPr="00B53025">
        <w:rPr>
          <w:rFonts w:ascii="Palatino Linotype" w:eastAsia="Palatino Linotype" w:hAnsi="Palatino Linotype" w:cs="Palatino Linotype"/>
          <w:lang w:val="es-ES" w:eastAsia="es-ES"/>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53025" w:rsidRPr="00B53025" w:rsidRDefault="00B53025" w:rsidP="00B53025">
      <w:pPr>
        <w:spacing w:before="240" w:after="240" w:line="360" w:lineRule="auto"/>
        <w:ind w:right="49"/>
        <w:jc w:val="both"/>
        <w:rPr>
          <w:rFonts w:ascii="Palatino Linotype" w:eastAsia="Palatino Linotype" w:hAnsi="Palatino Linotype" w:cs="Palatino Linotype"/>
          <w:b/>
          <w:lang w:val="es-ES" w:eastAsia="es-ES"/>
        </w:rPr>
      </w:pPr>
      <w:r w:rsidRPr="00B53025">
        <w:rPr>
          <w:rFonts w:ascii="Palatino Linotype" w:eastAsia="Palatino Linotype" w:hAnsi="Palatino Linotype" w:cs="Palatino Linotype"/>
          <w:b/>
          <w:lang w:val="es-ES" w:eastAsia="es-ES"/>
        </w:rPr>
        <w:t>Quinto. Notifíquese,</w:t>
      </w:r>
      <w:r w:rsidRPr="00B53025">
        <w:rPr>
          <w:rFonts w:ascii="Palatino Linotype" w:eastAsia="Palatino Linotype" w:hAnsi="Palatino Linotype" w:cs="Palatino Linotype"/>
          <w:lang w:val="es-ES" w:eastAsia="es-ES"/>
        </w:rPr>
        <w:t xml:space="preserve"> vía SAIMEX</w:t>
      </w:r>
      <w:r w:rsidRPr="00B53025">
        <w:rPr>
          <w:rFonts w:ascii="Palatino Linotype" w:eastAsia="Palatino Linotype" w:hAnsi="Palatino Linotype" w:cs="Palatino Linotype"/>
          <w:b/>
          <w:lang w:val="es-ES" w:eastAsia="es-ES"/>
        </w:rPr>
        <w:t xml:space="preserve">, </w:t>
      </w:r>
      <w:r w:rsidRPr="00B53025">
        <w:rPr>
          <w:rFonts w:ascii="Palatino Linotype" w:eastAsia="Palatino Linotype" w:hAnsi="Palatino Linotype" w:cs="Palatino Linotype"/>
          <w:lang w:val="es-ES" w:eastAsia="es-ES"/>
        </w:rPr>
        <w:t xml:space="preserve">al </w:t>
      </w:r>
      <w:r w:rsidRPr="00B53025">
        <w:rPr>
          <w:rFonts w:ascii="Palatino Linotype" w:eastAsia="Palatino Linotype" w:hAnsi="Palatino Linotype" w:cs="Palatino Linotype"/>
          <w:b/>
          <w:lang w:val="es-ES" w:eastAsia="es-ES"/>
        </w:rPr>
        <w:t>Recurrente</w:t>
      </w:r>
      <w:r w:rsidRPr="00B53025">
        <w:rPr>
          <w:rFonts w:ascii="Palatino Linotype" w:eastAsia="Palatino Linotype" w:hAnsi="Palatino Linotype" w:cs="Palatino Linotype"/>
          <w:lang w:val="es-ES" w:eastAsia="es-ES"/>
        </w:rPr>
        <w:t xml:space="preserve"> </w:t>
      </w:r>
      <w:r w:rsidRPr="00B53025">
        <w:rPr>
          <w:rFonts w:ascii="Palatino Linotype" w:eastAsia="Palatino Linotype" w:hAnsi="Palatino Linotype" w:cs="Palatino Linotype"/>
          <w:color w:val="222222"/>
          <w:lang w:val="es-ES" w:eastAsia="es-ES"/>
        </w:rPr>
        <w:t xml:space="preserve">que la respuesta que dé </w:t>
      </w:r>
      <w:r w:rsidRPr="00B53025">
        <w:rPr>
          <w:rFonts w:ascii="Palatino Linotype" w:eastAsia="Palatino Linotype" w:hAnsi="Palatino Linotype" w:cs="Palatino Linotype"/>
          <w:b/>
          <w:color w:val="222222"/>
          <w:lang w:val="es-ES" w:eastAsia="es-ES"/>
        </w:rPr>
        <w:t>el Sujeto Obligado</w:t>
      </w:r>
      <w:r w:rsidRPr="00B53025">
        <w:rPr>
          <w:rFonts w:ascii="Palatino Linotype" w:eastAsia="Palatino Linotype" w:hAnsi="Palatino Linotype" w:cs="Palatino Linotype"/>
          <w:color w:val="222222"/>
          <w:lang w:val="es-ES" w:eastAsia="es-ES"/>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rsidR="00B53025" w:rsidRPr="00B53025" w:rsidRDefault="00B53025" w:rsidP="00B53025">
      <w:pPr>
        <w:widowControl w:val="0"/>
        <w:tabs>
          <w:tab w:val="left" w:pos="1701"/>
        </w:tabs>
        <w:spacing w:before="240" w:line="360" w:lineRule="auto"/>
        <w:ind w:right="51"/>
        <w:jc w:val="both"/>
        <w:rPr>
          <w:rFonts w:ascii="Palatino Linotype" w:eastAsia="Palatino Linotype" w:hAnsi="Palatino Linotype" w:cs="Palatino Linotype"/>
          <w:lang w:val="es-ES" w:eastAsia="es-ES"/>
        </w:rPr>
      </w:pPr>
      <w:r w:rsidRPr="00B53025">
        <w:rPr>
          <w:rFonts w:ascii="Palatino Linotype" w:eastAsia="Palatino Linotype" w:hAnsi="Palatino Linotype" w:cs="Palatino Linotype"/>
          <w:b/>
          <w:lang w:val="es-ES" w:eastAsia="es-ES"/>
        </w:rPr>
        <w:t>Sexto.</w:t>
      </w:r>
      <w:r w:rsidRPr="00B53025">
        <w:rPr>
          <w:rFonts w:ascii="Palatino Linotype" w:eastAsia="Palatino Linotype" w:hAnsi="Palatino Linotype" w:cs="Palatino Linotype"/>
          <w:b/>
          <w:highlight w:val="white"/>
          <w:lang w:val="es-ES" w:eastAsia="es-ES"/>
        </w:rPr>
        <w:t xml:space="preserve"> </w:t>
      </w:r>
      <w:r w:rsidRPr="00B53025">
        <w:rPr>
          <w:rFonts w:ascii="Palatino Linotype" w:eastAsia="Palatino Linotype" w:hAnsi="Palatino Linotype" w:cs="Palatino Linotype"/>
          <w:lang w:val="es-ES" w:eastAsia="es-ES"/>
        </w:rPr>
        <w:t xml:space="preserve">Con fundamento en el artículo 198 de la Ley de Transparencia y Acceso a la Información Pública del Estado de México y Municipios, se apercibe al </w:t>
      </w:r>
      <w:r w:rsidRPr="00B53025">
        <w:rPr>
          <w:rFonts w:ascii="Palatino Linotype" w:eastAsia="Palatino Linotype" w:hAnsi="Palatino Linotype" w:cs="Palatino Linotype"/>
          <w:b/>
          <w:lang w:val="es-ES" w:eastAsia="es-ES"/>
        </w:rPr>
        <w:t>Sujeto Obligado</w:t>
      </w:r>
      <w:r w:rsidRPr="00B53025">
        <w:rPr>
          <w:rFonts w:ascii="Palatino Linotype" w:eastAsia="Palatino Linotype" w:hAnsi="Palatino Linotype" w:cs="Palatino Linotype"/>
          <w:lang w:val="es-ES" w:eastAsia="es-ES"/>
        </w:rPr>
        <w:t xml:space="preserve"> que, en caso de negarse a cumplir la presente resolución o hacerlo de manera parcial se actuará de conformidad con lo previsto en los artículos 213, 214, 216 y 217 de dicha Ley.</w:t>
      </w:r>
    </w:p>
    <w:p w:rsidR="00B53025" w:rsidRPr="00B53025" w:rsidRDefault="00B53025" w:rsidP="00B53025">
      <w:pPr>
        <w:widowControl w:val="0"/>
        <w:tabs>
          <w:tab w:val="left" w:pos="1701"/>
        </w:tabs>
        <w:spacing w:line="360" w:lineRule="auto"/>
        <w:ind w:right="51"/>
        <w:jc w:val="both"/>
        <w:rPr>
          <w:rFonts w:ascii="Palatino Linotype" w:eastAsia="Palatino Linotype" w:hAnsi="Palatino Linotype" w:cs="Palatino Linotype"/>
          <w:lang w:val="es-ES" w:eastAsia="es-ES"/>
        </w:rPr>
      </w:pPr>
    </w:p>
    <w:p w:rsidR="004D0318" w:rsidRPr="00B53025" w:rsidRDefault="00B53025">
      <w:pPr>
        <w:spacing w:line="360" w:lineRule="auto"/>
        <w:jc w:val="both"/>
        <w:rPr>
          <w:rFonts w:ascii="Palatino Linotype" w:eastAsia="MS Mincho" w:hAnsi="Palatino Linotype" w:cs="Calibri"/>
          <w:lang w:val="es-ES" w:eastAsia="es-ES"/>
        </w:rPr>
      </w:pPr>
      <w:r w:rsidRPr="00B53025">
        <w:rPr>
          <w:rFonts w:ascii="Palatino Linotype" w:eastAsia="Palatino Linotype" w:hAnsi="Palatino Linotype" w:cs="Palatino Linotype"/>
          <w:b/>
          <w:lang w:val="es-ES" w:eastAsia="es-ES"/>
        </w:rPr>
        <w:t xml:space="preserve">Séptimo. </w:t>
      </w:r>
      <w:r w:rsidRPr="00B53025">
        <w:rPr>
          <w:rFonts w:ascii="Palatino Linotype" w:hAnsi="Palatino Linotype" w:cs="Calibri"/>
          <w:b/>
          <w:lang w:val="es-ES" w:eastAsia="es-ES"/>
        </w:rPr>
        <w:t>Gírese</w:t>
      </w:r>
      <w:r w:rsidRPr="00B53025">
        <w:rPr>
          <w:rFonts w:ascii="Palatino Linotype" w:eastAsia="MS Mincho" w:hAnsi="Palatino Linotype" w:cs="Calibri"/>
          <w:lang w:eastAsia="es-ES"/>
        </w:rPr>
        <w:t xml:space="preserve"> </w:t>
      </w:r>
      <w:r w:rsidRPr="00B53025">
        <w:rPr>
          <w:rFonts w:ascii="Palatino Linotype" w:eastAsia="MS Mincho" w:hAnsi="Palatino Linotype" w:cs="Calibri"/>
          <w:lang w:val="es-ES" w:eastAsia="es-ES"/>
        </w:rPr>
        <w:t xml:space="preserve">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53025">
        <w:rPr>
          <w:rFonts w:ascii="Palatino Linotype" w:eastAsia="MS Mincho" w:hAnsi="Palatino Linotype" w:cs="Calibri"/>
          <w:b/>
          <w:lang w:val="es-ES" w:eastAsia="es-ES"/>
        </w:rPr>
        <w:t>Considerando Cuarto</w:t>
      </w:r>
      <w:r w:rsidRPr="00B53025">
        <w:rPr>
          <w:rFonts w:ascii="Palatino Linotype" w:eastAsia="MS Mincho" w:hAnsi="Palatino Linotype" w:cs="Calibri"/>
          <w:lang w:val="es-ES" w:eastAsia="es-ES"/>
        </w:rPr>
        <w:t xml:space="preserve"> de la presente resolución.</w:t>
      </w:r>
      <w:r w:rsidR="000E523D">
        <w:rPr>
          <w:rFonts w:ascii="Palatino Linotype" w:eastAsia="Palatino Linotype" w:hAnsi="Palatino Linotype" w:cs="Palatino Linotype"/>
        </w:rPr>
        <w:t xml:space="preserve"> </w:t>
      </w:r>
    </w:p>
    <w:p w:rsidR="004D0318" w:rsidRDefault="004D0318">
      <w:pPr>
        <w:spacing w:line="360" w:lineRule="auto"/>
        <w:jc w:val="both"/>
        <w:rPr>
          <w:rFonts w:ascii="Palatino Linotype" w:eastAsia="Palatino Linotype" w:hAnsi="Palatino Linotype" w:cs="Palatino Linotype"/>
        </w:rPr>
      </w:pPr>
    </w:p>
    <w:p w:rsidR="004D0318" w:rsidRDefault="006F745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81915</wp:posOffset>
                </wp:positionH>
                <wp:positionV relativeFrom="paragraph">
                  <wp:posOffset>2667634</wp:posOffset>
                </wp:positionV>
                <wp:extent cx="5391150" cy="50577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391150" cy="505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1E3D3"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45pt,210.05pt" to="430.95pt,6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" strokecolor="black [3040]"/>
            </w:pict>
          </mc:Fallback>
        </mc:AlternateContent>
      </w:r>
      <w:r w:rsidR="000E523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DE JULIO DEL DOS MIL VEINTIDÓS, ANTE EL SECRETARIO TÉCNICO DEL PLENO ALEXIS TAPIA RAMÍREZ.</w:t>
      </w:r>
    </w:p>
    <w:p w:rsidR="004D0318" w:rsidRDefault="004D0318">
      <w:pPr>
        <w:spacing w:line="360" w:lineRule="auto"/>
        <w:jc w:val="both"/>
        <w:rPr>
          <w:rFonts w:ascii="Palatino Linotype" w:eastAsia="Palatino Linotype" w:hAnsi="Palatino Linotype" w:cs="Palatino Linotype"/>
        </w:rPr>
      </w:pPr>
    </w:p>
    <w:p w:rsidR="004D0318" w:rsidRDefault="004D0318">
      <w:pPr>
        <w:jc w:val="both"/>
        <w:rPr>
          <w:rFonts w:ascii="Palatino Linotype" w:eastAsia="Palatino Linotype" w:hAnsi="Palatino Linotype" w:cs="Palatino Linotype"/>
          <w:sz w:val="20"/>
          <w:szCs w:val="20"/>
        </w:rPr>
      </w:pPr>
    </w:p>
    <w:p w:rsidR="004D0318" w:rsidRDefault="004D0318">
      <w:pPr>
        <w:jc w:val="both"/>
        <w:rPr>
          <w:rFonts w:ascii="Palatino Linotype" w:eastAsia="Palatino Linotype" w:hAnsi="Palatino Linotype" w:cs="Palatino Linotype"/>
          <w:sz w:val="20"/>
          <w:szCs w:val="20"/>
        </w:rPr>
      </w:pPr>
    </w:p>
    <w:p w:rsidR="004D0318" w:rsidRDefault="004D0318">
      <w:pPr>
        <w:jc w:val="both"/>
        <w:rPr>
          <w:rFonts w:ascii="Palatino Linotype" w:eastAsia="Palatino Linotype" w:hAnsi="Palatino Linotype" w:cs="Palatino Linotype"/>
          <w:sz w:val="20"/>
          <w:szCs w:val="20"/>
        </w:rPr>
      </w:pPr>
    </w:p>
    <w:p w:rsidR="004D0318" w:rsidRDefault="004D0318">
      <w:pPr>
        <w:jc w:val="both"/>
        <w:rPr>
          <w:rFonts w:ascii="Palatino Linotype" w:eastAsia="Palatino Linotype" w:hAnsi="Palatino Linotype" w:cs="Palatino Linotype"/>
          <w:sz w:val="20"/>
          <w:szCs w:val="20"/>
        </w:rPr>
      </w:pPr>
    </w:p>
    <w:p w:rsidR="004D0318" w:rsidRDefault="004D0318">
      <w:pPr>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p w:rsidR="004D0318" w:rsidRDefault="004D0318">
      <w:pPr>
        <w:spacing w:before="240" w:after="240"/>
        <w:jc w:val="both"/>
        <w:rPr>
          <w:rFonts w:ascii="Palatino Linotype" w:eastAsia="Palatino Linotype" w:hAnsi="Palatino Linotype" w:cs="Palatino Linotype"/>
          <w:sz w:val="20"/>
          <w:szCs w:val="20"/>
        </w:rPr>
      </w:pPr>
    </w:p>
    <w:sectPr w:rsidR="004D0318">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D30" w:rsidRDefault="00477D30">
      <w:r>
        <w:separator/>
      </w:r>
    </w:p>
  </w:endnote>
  <w:endnote w:type="continuationSeparator" w:id="0">
    <w:p w:rsidR="00477D30" w:rsidRDefault="0047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D30" w:rsidRDefault="00477D3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3E95">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3E9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477D30" w:rsidRDefault="00477D3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D30" w:rsidRDefault="00477D3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3E9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3E95">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477D30" w:rsidRDefault="00477D3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D30" w:rsidRDefault="00477D30">
      <w:r>
        <w:separator/>
      </w:r>
    </w:p>
  </w:footnote>
  <w:footnote w:type="continuationSeparator" w:id="0">
    <w:p w:rsidR="00477D30" w:rsidRDefault="00477D30">
      <w:r>
        <w:continuationSeparator/>
      </w:r>
    </w:p>
  </w:footnote>
  <w:footnote w:id="1">
    <w:p w:rsidR="00477D30" w:rsidRDefault="00477D30" w:rsidP="00D2681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477D30" w:rsidRDefault="00477D30" w:rsidP="00D268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477D30" w:rsidRDefault="00477D3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477D30" w:rsidRDefault="00477D3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477D30" w:rsidRPr="00EE3981" w:rsidRDefault="00477D30" w:rsidP="00D2681A">
      <w:pPr>
        <w:pStyle w:val="Textonotapie"/>
        <w:jc w:val="both"/>
        <w:rPr>
          <w:rFonts w:ascii="Palatino Linotype" w:hAnsi="Palatino Linotype"/>
          <w:sz w:val="16"/>
          <w:szCs w:val="16"/>
        </w:rPr>
      </w:pPr>
      <w:r w:rsidRPr="00EE3981">
        <w:rPr>
          <w:rStyle w:val="Refdenotaalpie"/>
          <w:rFonts w:ascii="Palatino Linotype" w:hAnsi="Palatino Linotype"/>
          <w:sz w:val="16"/>
          <w:szCs w:val="16"/>
        </w:rPr>
        <w:footnoteRef/>
      </w:r>
      <w:r w:rsidRPr="00EE3981">
        <w:rPr>
          <w:rFonts w:ascii="Palatino Linotype" w:hAnsi="Palatino Linotype"/>
          <w:sz w:val="16"/>
          <w:szCs w:val="16"/>
        </w:rPr>
        <w:t xml:space="preserve"> </w:t>
      </w:r>
      <w:r w:rsidRPr="00EE3981">
        <w:rPr>
          <w:rFonts w:ascii="Palatino Linotype" w:hAnsi="Palatino Linotype"/>
          <w:b/>
          <w:bCs/>
          <w:sz w:val="16"/>
          <w:szCs w:val="16"/>
        </w:rPr>
        <w:t>Artículo 161</w:t>
      </w:r>
      <w:r w:rsidRPr="00EE3981">
        <w:rPr>
          <w:rFonts w:ascii="Palatino Linotype" w:hAnsi="Palatino Linotype"/>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D30" w:rsidRDefault="00477D3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-396399</wp:posOffset>
          </wp:positionV>
          <wp:extent cx="7809865" cy="10165715"/>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477D30">
      <w:tc>
        <w:tcPr>
          <w:tcW w:w="2489" w:type="dxa"/>
          <w:shd w:val="clear" w:color="auto" w:fill="auto"/>
        </w:tcPr>
        <w:p w:rsidR="00477D30" w:rsidRDefault="00477D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77D30" w:rsidRDefault="00477D3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04309/INFOEM/IP/RR/2022</w:t>
          </w:r>
        </w:p>
      </w:tc>
    </w:tr>
    <w:tr w:rsidR="00477D30">
      <w:trPr>
        <w:trHeight w:val="228"/>
      </w:trPr>
      <w:tc>
        <w:tcPr>
          <w:tcW w:w="2489" w:type="dxa"/>
          <w:shd w:val="clear" w:color="auto" w:fill="auto"/>
          <w:vAlign w:val="center"/>
        </w:tcPr>
        <w:p w:rsidR="00477D30" w:rsidRDefault="00477D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77D30" w:rsidRDefault="00477D30">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477D30">
      <w:tc>
        <w:tcPr>
          <w:tcW w:w="2489" w:type="dxa"/>
          <w:shd w:val="clear" w:color="auto" w:fill="auto"/>
          <w:vAlign w:val="center"/>
        </w:tcPr>
        <w:p w:rsidR="00477D30" w:rsidRDefault="00477D3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77D30" w:rsidRDefault="00477D3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77D30" w:rsidRDefault="00477D3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D30" w:rsidRDefault="00477D3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r>
      <w:rPr>
        <w:noProof/>
        <w:lang w:val="es-MX" w:eastAsia="es-MX"/>
      </w:rPr>
      <w:drawing>
        <wp:anchor distT="0" distB="0" distL="0" distR="0" simplePos="0" relativeHeight="251659264" behindDoc="1" locked="0" layoutInCell="1" hidden="0" allowOverlap="1">
          <wp:simplePos x="0" y="0"/>
          <wp:positionH relativeFrom="column">
            <wp:posOffset>-1042669</wp:posOffset>
          </wp:positionH>
          <wp:positionV relativeFrom="paragraph">
            <wp:posOffset>-429259</wp:posOffset>
          </wp:positionV>
          <wp:extent cx="7809865" cy="10165715"/>
          <wp:effectExtent l="0" t="0" r="0" b="0"/>
          <wp:wrapNone/>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551"/>
      <w:gridCol w:w="3402"/>
    </w:tblGrid>
    <w:tr w:rsidR="00477D30">
      <w:tc>
        <w:tcPr>
          <w:tcW w:w="2551" w:type="dxa"/>
          <w:shd w:val="clear" w:color="auto" w:fill="auto"/>
          <w:vAlign w:val="center"/>
        </w:tcPr>
        <w:p w:rsidR="00477D30" w:rsidRDefault="00477D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477D30" w:rsidRDefault="00477D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04309/INFOEM/IP/RR/2022</w:t>
          </w:r>
        </w:p>
      </w:tc>
    </w:tr>
    <w:tr w:rsidR="00477D30">
      <w:trPr>
        <w:trHeight w:val="130"/>
      </w:trPr>
      <w:tc>
        <w:tcPr>
          <w:tcW w:w="2551" w:type="dxa"/>
          <w:shd w:val="clear" w:color="auto" w:fill="auto"/>
          <w:vAlign w:val="center"/>
        </w:tcPr>
        <w:p w:rsidR="00477D30" w:rsidRDefault="00477D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477D30" w:rsidRDefault="00973E95">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XXXXXXXX XXXXX</w:t>
          </w:r>
        </w:p>
      </w:tc>
    </w:tr>
    <w:tr w:rsidR="00477D30">
      <w:trPr>
        <w:trHeight w:val="228"/>
      </w:trPr>
      <w:tc>
        <w:tcPr>
          <w:tcW w:w="2551" w:type="dxa"/>
          <w:shd w:val="clear" w:color="auto" w:fill="auto"/>
          <w:vAlign w:val="center"/>
        </w:tcPr>
        <w:p w:rsidR="00477D30" w:rsidRDefault="00477D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477D30" w:rsidRDefault="00477D30">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477D30">
      <w:tc>
        <w:tcPr>
          <w:tcW w:w="2551" w:type="dxa"/>
          <w:shd w:val="clear" w:color="auto" w:fill="auto"/>
          <w:vAlign w:val="center"/>
        </w:tcPr>
        <w:p w:rsidR="00477D30" w:rsidRDefault="00477D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477D30" w:rsidRDefault="00477D3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77D30" w:rsidRDefault="00477D3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E6A4B"/>
    <w:multiLevelType w:val="multilevel"/>
    <w:tmpl w:val="1A908D0C"/>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1F802AC"/>
    <w:multiLevelType w:val="multilevel"/>
    <w:tmpl w:val="4CC69BB0"/>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317D55"/>
    <w:multiLevelType w:val="multilevel"/>
    <w:tmpl w:val="E996DF7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rPr>
        <w:b/>
      </w:r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483B4D6C"/>
    <w:multiLevelType w:val="multilevel"/>
    <w:tmpl w:val="E5D854B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18"/>
    <w:rsid w:val="000E523D"/>
    <w:rsid w:val="00310048"/>
    <w:rsid w:val="00361CC8"/>
    <w:rsid w:val="00477D30"/>
    <w:rsid w:val="004D0318"/>
    <w:rsid w:val="004D57B0"/>
    <w:rsid w:val="005C4599"/>
    <w:rsid w:val="006937EE"/>
    <w:rsid w:val="006F7455"/>
    <w:rsid w:val="007038E3"/>
    <w:rsid w:val="00966B33"/>
    <w:rsid w:val="00973E95"/>
    <w:rsid w:val="00A36E53"/>
    <w:rsid w:val="00B53025"/>
    <w:rsid w:val="00D2681A"/>
    <w:rsid w:val="00D722AD"/>
    <w:rsid w:val="00D76CA4"/>
    <w:rsid w:val="00E854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00B71D-1940-47D7-8E19-7D706A90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C30"/>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Tabladelista1clara-nfasis12">
    <w:name w:val="Tabla de lista 1 clara - Énfasis 12"/>
    <w:basedOn w:val="Tablanormal"/>
    <w:next w:val="Tabladelista1clara-nfasis1"/>
    <w:uiPriority w:val="46"/>
    <w:rsid w:val="00A36E53"/>
    <w:rPr>
      <w:rFonts w:asciiTheme="minorHAnsi" w:eastAsiaTheme="minorEastAsia" w:hAnsiTheme="minorHAnsi" w:cstheme="minorBidi"/>
      <w:lang w:eastAsia="es-E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catepec.gob.mx/transparencia" TargetMode="External"/><Relationship Id="rId17" Type="http://schemas.openxmlformats.org/officeDocument/2006/relationships/hyperlink" Target="https://www.ecatepec.gob.mx/transparenci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epec.gob.mx/transparenc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ecatepec.gob.mx/transparenci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B6BJx0EiZI4Kdi0LzxIO36uL3A==">AMUW2mWZCNoQWenJfi/iW6c3nbbpoJpzhJZro4jzJ1SAWlsh2XEMMYQPct0/nURW0gMNOVzarTFixrtygMkGuy9pWd0BZy5SmwqYpeQJsih48PU6I7vo/Odt29tY4If3tJJ0IGGIwTQPW9gu239mzEOc8fVscYqWiYdZBUGK/ZYvwIdnaNn8A5o=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9248</Words>
  <Characters>50864</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dcterms:created xsi:type="dcterms:W3CDTF">2022-07-13T22:52:00Z</dcterms:created>
  <dcterms:modified xsi:type="dcterms:W3CDTF">2022-08-04T19:01:00Z</dcterms:modified>
</cp:coreProperties>
</file>