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AD2" w:rsidRPr="00124FB2" w:rsidRDefault="00470AD2" w:rsidP="00470AD2">
      <w:pPr>
        <w:spacing w:line="360" w:lineRule="auto"/>
        <w:jc w:val="both"/>
        <w:rPr>
          <w:rFonts w:ascii="Palatino Linotype" w:eastAsiaTheme="minorEastAsia" w:hAnsi="Palatino Linotype"/>
          <w:lang w:val="es-ES_tradnl" w:eastAsia="es-ES"/>
        </w:rPr>
      </w:pPr>
      <w:r w:rsidRPr="00124FB2">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2A09A2" w:rsidRPr="00124FB2">
        <w:rPr>
          <w:rFonts w:ascii="Palatino Linotype" w:eastAsiaTheme="minorEastAsia" w:hAnsi="Palatino Linotype"/>
          <w:lang w:val="es-ES_tradnl" w:eastAsia="es-ES"/>
        </w:rPr>
        <w:t>dieciocho</w:t>
      </w:r>
      <w:r w:rsidR="00EB0EC7" w:rsidRPr="00124FB2">
        <w:rPr>
          <w:rFonts w:ascii="Palatino Linotype" w:eastAsiaTheme="minorEastAsia" w:hAnsi="Palatino Linotype"/>
          <w:lang w:val="es-ES_tradnl" w:eastAsia="es-ES"/>
        </w:rPr>
        <w:t xml:space="preserve"> (1</w:t>
      </w:r>
      <w:r w:rsidR="002A09A2" w:rsidRPr="00124FB2">
        <w:rPr>
          <w:rFonts w:ascii="Palatino Linotype" w:eastAsiaTheme="minorEastAsia" w:hAnsi="Palatino Linotype"/>
          <w:lang w:val="es-ES_tradnl" w:eastAsia="es-ES"/>
        </w:rPr>
        <w:t>8</w:t>
      </w:r>
      <w:r w:rsidR="00EB0EC7" w:rsidRPr="00124FB2">
        <w:rPr>
          <w:rFonts w:ascii="Palatino Linotype" w:eastAsiaTheme="minorEastAsia" w:hAnsi="Palatino Linotype"/>
          <w:lang w:val="es-ES_tradnl" w:eastAsia="es-ES"/>
        </w:rPr>
        <w:t>) de noviembre</w:t>
      </w:r>
      <w:r w:rsidRPr="00124FB2">
        <w:rPr>
          <w:rFonts w:ascii="Palatino Linotype" w:eastAsiaTheme="minorEastAsia" w:hAnsi="Palatino Linotype"/>
          <w:lang w:val="es-ES_tradnl" w:eastAsia="es-ES"/>
        </w:rPr>
        <w:t xml:space="preserve">  de dos mil veintidós.</w:t>
      </w:r>
    </w:p>
    <w:p w:rsidR="00470AD2" w:rsidRPr="00124FB2" w:rsidRDefault="00470AD2" w:rsidP="00470AD2">
      <w:pPr>
        <w:spacing w:line="360" w:lineRule="auto"/>
        <w:jc w:val="both"/>
        <w:rPr>
          <w:rFonts w:ascii="Palatino Linotype" w:eastAsiaTheme="minorEastAsia" w:hAnsi="Palatino Linotype"/>
          <w:lang w:val="es-ES_tradnl" w:eastAsia="es-ES"/>
        </w:rPr>
      </w:pPr>
    </w:p>
    <w:p w:rsidR="00470AD2" w:rsidRPr="00124FB2" w:rsidRDefault="00470AD2" w:rsidP="00470AD2">
      <w:pPr>
        <w:spacing w:line="360" w:lineRule="auto"/>
        <w:jc w:val="both"/>
        <w:rPr>
          <w:rFonts w:ascii="Palatino Linotype" w:hAnsi="Palatino Linotype"/>
        </w:rPr>
      </w:pPr>
      <w:r w:rsidRPr="00124FB2">
        <w:rPr>
          <w:rFonts w:ascii="Palatino Linotype" w:hAnsi="Palatino Linotype"/>
          <w:b/>
        </w:rPr>
        <w:t>VISTO</w:t>
      </w:r>
      <w:r w:rsidRPr="00124FB2">
        <w:rPr>
          <w:rFonts w:ascii="Palatino Linotype" w:hAnsi="Palatino Linotype"/>
        </w:rPr>
        <w:t xml:space="preserve"> el expediente electrónico formado con motivo del recurso de revisión </w:t>
      </w:r>
      <w:r w:rsidR="00EB0EC7" w:rsidRPr="00124FB2">
        <w:rPr>
          <w:rFonts w:ascii="Palatino Linotype" w:hAnsi="Palatino Linotype"/>
          <w:b/>
        </w:rPr>
        <w:t>15533</w:t>
      </w:r>
      <w:r w:rsidRPr="00124FB2">
        <w:rPr>
          <w:rFonts w:ascii="Palatino Linotype" w:hAnsi="Palatino Linotype"/>
          <w:b/>
        </w:rPr>
        <w:t>/INFOEM/IP/RR/2022,</w:t>
      </w:r>
      <w:r w:rsidRPr="00124FB2">
        <w:rPr>
          <w:rFonts w:ascii="Palatino Linotype" w:hAnsi="Palatino Linotype" w:cs="Arial"/>
          <w:b/>
          <w:bCs/>
        </w:rPr>
        <w:t xml:space="preserve"> </w:t>
      </w:r>
      <w:r w:rsidRPr="00124FB2">
        <w:rPr>
          <w:rFonts w:ascii="Palatino Linotype" w:eastAsiaTheme="minorEastAsia" w:hAnsi="Palatino Linotype"/>
          <w:lang w:val="es-ES_tradnl" w:eastAsia="es-ES"/>
        </w:rPr>
        <w:t xml:space="preserve">promovido por </w:t>
      </w:r>
      <w:r w:rsidR="00124FB2" w:rsidRPr="00124FB2">
        <w:rPr>
          <w:rFonts w:ascii="Palatino Linotype" w:eastAsiaTheme="minorEastAsia" w:hAnsi="Palatino Linotype"/>
          <w:b/>
          <w:lang w:val="es-ES" w:eastAsia="es-ES"/>
        </w:rPr>
        <w:t>XXXX XXXXXX XXXX</w:t>
      </w:r>
      <w:r w:rsidRPr="00124FB2">
        <w:rPr>
          <w:rFonts w:ascii="Palatino Linotype" w:eastAsiaTheme="minorEastAsia" w:hAnsi="Palatino Linotype"/>
          <w:b/>
          <w:lang w:val="es-ES" w:eastAsia="es-ES"/>
        </w:rPr>
        <w:t>,</w:t>
      </w:r>
      <w:r w:rsidRPr="00124FB2">
        <w:rPr>
          <w:rFonts w:ascii="Palatino Linotype" w:eastAsiaTheme="minorEastAsia" w:hAnsi="Palatino Linotype"/>
          <w:lang w:eastAsia="es-ES"/>
        </w:rPr>
        <w:t xml:space="preserve"> quien </w:t>
      </w:r>
      <w:r w:rsidRPr="00124FB2">
        <w:rPr>
          <w:rFonts w:ascii="Palatino Linotype" w:hAnsi="Palatino Linotype"/>
        </w:rPr>
        <w:t xml:space="preserve">en lo sucesivo se identificará como </w:t>
      </w:r>
      <w:r w:rsidRPr="00124FB2">
        <w:rPr>
          <w:rFonts w:ascii="Palatino Linotype" w:hAnsi="Palatino Linotype"/>
          <w:b/>
        </w:rPr>
        <w:t xml:space="preserve">EL </w:t>
      </w:r>
      <w:r w:rsidRPr="00124FB2">
        <w:rPr>
          <w:rFonts w:ascii="Palatino Linotype" w:hAnsi="Palatino Linotype" w:cs="Arial"/>
          <w:b/>
        </w:rPr>
        <w:t>RECURRENTE</w:t>
      </w:r>
      <w:r w:rsidRPr="00124FB2">
        <w:rPr>
          <w:rFonts w:ascii="Palatino Linotype" w:hAnsi="Palatino Linotype" w:cs="Arial"/>
        </w:rPr>
        <w:t xml:space="preserve">, en contra de la respuesta del </w:t>
      </w:r>
      <w:r w:rsidR="00EB0EC7" w:rsidRPr="00124FB2">
        <w:rPr>
          <w:rFonts w:ascii="Palatino Linotype" w:hAnsi="Palatino Linotype" w:cs="Arial"/>
          <w:b/>
          <w:bCs/>
        </w:rPr>
        <w:t>El Organismo Descentralizado de Agua Potable Alcantarillado y Saneamiento del Municipio de Ixtapaluca denominado por sus siglas, O.D.A.P.A.S.</w:t>
      </w:r>
      <w:r w:rsidRPr="00124FB2">
        <w:rPr>
          <w:rFonts w:ascii="Palatino Linotype" w:hAnsi="Palatino Linotype" w:cs="Arial"/>
          <w:b/>
        </w:rPr>
        <w:t>,</w:t>
      </w:r>
      <w:r w:rsidRPr="00124FB2">
        <w:rPr>
          <w:rFonts w:ascii="Palatino Linotype" w:hAnsi="Palatino Linotype"/>
          <w:b/>
        </w:rPr>
        <w:t xml:space="preserve"> </w:t>
      </w:r>
      <w:r w:rsidRPr="00124FB2">
        <w:rPr>
          <w:rFonts w:ascii="Palatino Linotype" w:hAnsi="Palatino Linotype"/>
        </w:rPr>
        <w:t>en lo sucesivo el</w:t>
      </w:r>
      <w:r w:rsidRPr="00124FB2">
        <w:rPr>
          <w:rFonts w:ascii="Palatino Linotype" w:hAnsi="Palatino Linotype"/>
          <w:b/>
        </w:rPr>
        <w:t xml:space="preserve"> SUJETO OBLIGADO</w:t>
      </w:r>
      <w:r w:rsidRPr="00124FB2">
        <w:rPr>
          <w:rFonts w:ascii="Palatino Linotype" w:hAnsi="Palatino Linotype"/>
        </w:rPr>
        <w:t>, por lo que se procede a dictar la presente resolución, con base en los siguientes:</w:t>
      </w:r>
    </w:p>
    <w:p w:rsidR="00470AD2" w:rsidRPr="00124FB2" w:rsidRDefault="00470AD2" w:rsidP="00470AD2">
      <w:pPr>
        <w:spacing w:line="360" w:lineRule="auto"/>
        <w:jc w:val="both"/>
        <w:rPr>
          <w:rFonts w:ascii="Palatino Linotype" w:hAnsi="Palatino Linotype"/>
        </w:rPr>
      </w:pPr>
    </w:p>
    <w:p w:rsidR="00470AD2" w:rsidRPr="00124FB2" w:rsidRDefault="00470AD2" w:rsidP="00470AD2">
      <w:pPr>
        <w:keepNext/>
        <w:keepLines/>
        <w:spacing w:line="360" w:lineRule="auto"/>
        <w:jc w:val="center"/>
        <w:outlineLvl w:val="0"/>
        <w:rPr>
          <w:rFonts w:ascii="Palatino Linotype" w:eastAsiaTheme="majorEastAsia" w:hAnsi="Palatino Linotype" w:cstheme="majorBidi"/>
          <w:b/>
          <w:szCs w:val="32"/>
        </w:rPr>
      </w:pPr>
      <w:bookmarkStart w:id="0" w:name="_Toc83301633"/>
      <w:r w:rsidRPr="00124FB2">
        <w:rPr>
          <w:rFonts w:ascii="Palatino Linotype" w:eastAsiaTheme="majorEastAsia" w:hAnsi="Palatino Linotype" w:cstheme="majorBidi"/>
          <w:b/>
          <w:szCs w:val="32"/>
        </w:rPr>
        <w:t>ANTECEDENTES</w:t>
      </w:r>
      <w:bookmarkEnd w:id="0"/>
    </w:p>
    <w:p w:rsidR="00470AD2" w:rsidRPr="00124FB2" w:rsidRDefault="00470AD2" w:rsidP="00470AD2">
      <w:pPr>
        <w:spacing w:line="360" w:lineRule="auto"/>
        <w:rPr>
          <w:rFonts w:ascii="Palatino Linotype" w:eastAsiaTheme="minorEastAsia" w:hAnsi="Palatino Linotype"/>
        </w:rPr>
      </w:pPr>
    </w:p>
    <w:p w:rsidR="00470AD2" w:rsidRPr="00124FB2" w:rsidRDefault="00470AD2" w:rsidP="00470AD2">
      <w:pPr>
        <w:numPr>
          <w:ilvl w:val="0"/>
          <w:numId w:val="1"/>
        </w:numPr>
        <w:spacing w:line="360" w:lineRule="auto"/>
        <w:ind w:left="0" w:firstLine="0"/>
        <w:contextualSpacing/>
        <w:jc w:val="both"/>
        <w:rPr>
          <w:rFonts w:ascii="Palatino Linotype" w:hAnsi="Palatino Linotype" w:cs="Arial"/>
          <w:lang w:val="es-ES" w:eastAsia="es-ES"/>
        </w:rPr>
      </w:pPr>
      <w:r w:rsidRPr="00124FB2">
        <w:rPr>
          <w:rFonts w:ascii="Palatino Linotype" w:eastAsia="Calibri" w:hAnsi="Palatino Linotype" w:cs="Arial"/>
          <w:lang w:val="es-ES" w:eastAsia="es-ES"/>
        </w:rPr>
        <w:t xml:space="preserve">El </w:t>
      </w:r>
      <w:r w:rsidR="00A34A07" w:rsidRPr="00124FB2">
        <w:rPr>
          <w:rFonts w:ascii="Palatino Linotype" w:eastAsia="Calibri" w:hAnsi="Palatino Linotype" w:cs="Arial"/>
          <w:lang w:val="es-ES" w:eastAsia="es-ES"/>
        </w:rPr>
        <w:t>ocho (08) de septiembre</w:t>
      </w:r>
      <w:r w:rsidRPr="00124FB2">
        <w:rPr>
          <w:rFonts w:ascii="Palatino Linotype" w:eastAsia="Calibri" w:hAnsi="Palatino Linotype" w:cs="Arial"/>
          <w:lang w:val="es-ES" w:eastAsia="es-ES"/>
        </w:rPr>
        <w:t xml:space="preserve">  de dos mil veintidós,</w:t>
      </w:r>
      <w:r w:rsidRPr="00124FB2">
        <w:rPr>
          <w:rFonts w:ascii="Palatino Linotype" w:eastAsia="Calibri" w:hAnsi="Palatino Linotype"/>
          <w:lang w:val="es-ES" w:eastAsia="es-ES"/>
        </w:rPr>
        <w:t xml:space="preserve"> </w:t>
      </w:r>
      <w:r w:rsidRPr="00124FB2">
        <w:rPr>
          <w:rFonts w:ascii="Palatino Linotype" w:eastAsia="Calibri" w:hAnsi="Palatino Linotype"/>
          <w:b/>
          <w:lang w:val="es-ES" w:eastAsia="es-ES"/>
        </w:rPr>
        <w:t>EL RECURRENTE</w:t>
      </w:r>
      <w:r w:rsidRPr="00124FB2">
        <w:rPr>
          <w:rFonts w:ascii="Palatino Linotype" w:eastAsiaTheme="minorEastAsia" w:hAnsi="Palatino Linotype"/>
          <w:b/>
          <w:lang w:val="es-ES_tradnl" w:eastAsia="es-ES"/>
        </w:rPr>
        <w:t>,</w:t>
      </w:r>
      <w:r w:rsidRPr="00124FB2">
        <w:rPr>
          <w:rFonts w:ascii="Palatino Linotype" w:eastAsia="Calibri" w:hAnsi="Palatino Linotype" w:cs="Arial"/>
          <w:lang w:val="es-ES" w:eastAsia="es-ES"/>
        </w:rPr>
        <w:t xml:space="preserve"> ante el </w:t>
      </w:r>
      <w:r w:rsidRPr="00124FB2">
        <w:rPr>
          <w:rFonts w:ascii="Palatino Linotype" w:eastAsia="Calibri" w:hAnsi="Palatino Linotype" w:cs="Arial"/>
          <w:b/>
          <w:lang w:val="es-ES" w:eastAsia="es-ES"/>
        </w:rPr>
        <w:t>SUJETO OBLIGADO</w:t>
      </w:r>
      <w:r w:rsidRPr="00124FB2">
        <w:rPr>
          <w:rFonts w:ascii="Palatino Linotype" w:eastAsia="Calibri" w:hAnsi="Palatino Linotype" w:cs="Arial"/>
          <w:lang w:val="es-ES_tradnl" w:eastAsia="es-ES"/>
        </w:rPr>
        <w:t xml:space="preserve"> vía </w:t>
      </w:r>
      <w:r w:rsidRPr="00124FB2">
        <w:rPr>
          <w:rFonts w:ascii="Palatino Linotype" w:eastAsia="Calibri" w:hAnsi="Palatino Linotype" w:cs="Arial"/>
          <w:lang w:val="es-ES" w:eastAsia="es-ES"/>
        </w:rPr>
        <w:t>Sistema de Acceso a la Información Mexiquense (</w:t>
      </w:r>
      <w:r w:rsidRPr="00124FB2">
        <w:rPr>
          <w:rFonts w:ascii="Palatino Linotype" w:eastAsia="Calibri" w:hAnsi="Palatino Linotype" w:cs="Arial"/>
          <w:b/>
          <w:lang w:val="es-ES" w:eastAsia="es-ES"/>
        </w:rPr>
        <w:t>SAIMEX)</w:t>
      </w:r>
      <w:r w:rsidRPr="00124FB2">
        <w:rPr>
          <w:rFonts w:ascii="Palatino Linotype" w:eastAsia="Calibri" w:hAnsi="Palatino Linotype" w:cs="Arial"/>
          <w:lang w:val="es-ES" w:eastAsia="es-ES"/>
        </w:rPr>
        <w:t xml:space="preserve">, presentó una solicitud de información registrada con el número </w:t>
      </w:r>
      <w:r w:rsidR="00A34A07" w:rsidRPr="00124FB2">
        <w:rPr>
          <w:rFonts w:ascii="Palatino Linotype" w:hAnsi="Palatino Linotype"/>
          <w:b/>
          <w:bCs/>
        </w:rPr>
        <w:t>00065/OASIXTAPAL/IP/2022</w:t>
      </w:r>
      <w:r w:rsidRPr="00124FB2">
        <w:rPr>
          <w:rFonts w:ascii="Palatino Linotype" w:eastAsiaTheme="minorEastAsia" w:hAnsi="Palatino Linotype"/>
          <w:b/>
          <w:lang w:val="es-ES_tradnl" w:eastAsia="es-ES"/>
        </w:rPr>
        <w:t xml:space="preserve">, </w:t>
      </w:r>
      <w:r w:rsidRPr="00124FB2">
        <w:rPr>
          <w:rFonts w:ascii="Palatino Linotype" w:eastAsia="Calibri" w:hAnsi="Palatino Linotype" w:cs="Arial"/>
          <w:lang w:val="es-ES" w:eastAsia="es-ES"/>
        </w:rPr>
        <w:t>mediante la cual solicitó lo siguiente:</w:t>
      </w:r>
    </w:p>
    <w:p w:rsidR="00470AD2" w:rsidRPr="00124FB2" w:rsidRDefault="00470AD2" w:rsidP="00470AD2">
      <w:pPr>
        <w:spacing w:line="360" w:lineRule="auto"/>
        <w:contextualSpacing/>
        <w:jc w:val="both"/>
        <w:rPr>
          <w:rFonts w:ascii="Palatino Linotype" w:hAnsi="Palatino Linotype" w:cs="Arial"/>
          <w:lang w:val="es-ES" w:eastAsia="es-ES"/>
        </w:rPr>
      </w:pPr>
    </w:p>
    <w:p w:rsidR="00470AD2" w:rsidRPr="00124FB2" w:rsidRDefault="00470AD2" w:rsidP="00470AD2">
      <w:pPr>
        <w:pStyle w:val="Prrafodelista"/>
        <w:spacing w:line="360" w:lineRule="auto"/>
        <w:ind w:left="1069" w:right="567"/>
        <w:jc w:val="both"/>
        <w:rPr>
          <w:rFonts w:ascii="Palatino Linotype" w:hAnsi="Palatino Linotype"/>
          <w:i/>
          <w:color w:val="000000"/>
        </w:rPr>
      </w:pPr>
      <w:r w:rsidRPr="00124FB2">
        <w:rPr>
          <w:rFonts w:ascii="Palatino Linotype" w:hAnsi="Palatino Linotype"/>
          <w:i/>
          <w:color w:val="000000"/>
        </w:rPr>
        <w:t xml:space="preserve"> “</w:t>
      </w:r>
      <w:r w:rsidR="00A34A07" w:rsidRPr="00124FB2">
        <w:rPr>
          <w:rFonts w:ascii="Palatino Linotype" w:hAnsi="Palatino Linotype"/>
          <w:i/>
          <w:color w:val="000000"/>
        </w:rPr>
        <w:t xml:space="preserve">Se solicita con fundamento a lo dispuesto en los artículos 6° (sexto), párrafos I, III, V, y 8° (Octavo) de la Constitución Política de los Estados Unidos Mexicanos, 1, 4, y 6 de la Ley General de Transparencia y Acceso a la Información Pública, 1, 3, </w:t>
      </w:r>
      <w:r w:rsidR="00A34A07" w:rsidRPr="00124FB2">
        <w:rPr>
          <w:rFonts w:ascii="Palatino Linotype" w:hAnsi="Palatino Linotype"/>
          <w:i/>
          <w:color w:val="000000"/>
        </w:rPr>
        <w:lastRenderedPageBreak/>
        <w:t>fracción XLI, Capitulo III, 23, fracción IV de la Ley de Transparencia y Acceso a la Información Pública del Estado de México y Municipios, 05 (cinco), párrafos XIII, XIV, XVIIII, XIX, incisos I, y III de la Constitución Política del Estado Libre y Soberano de México, para que se haga una búsqueda de manera exhaustiva, desglosada, clara y detallada así como su entrega en versión publica y en formato PDF, de la siguiente información: Con fundamento en el artículo 74, 75, 76, 77 y 78 del Bando Municipal 2022 del Ayuntamiento de Ixtapaluca solicito en versión pública el Curriculum Vitae de todas y todos los Servidores Públicos de la Administración 2022-2024.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r w:rsidRPr="00124FB2">
        <w:rPr>
          <w:rFonts w:ascii="Palatino Linotype" w:hAnsi="Palatino Linotype"/>
          <w:i/>
          <w:color w:val="000000"/>
        </w:rPr>
        <w:t xml:space="preserve">” (Sic) </w:t>
      </w:r>
    </w:p>
    <w:p w:rsidR="00470AD2" w:rsidRPr="00124FB2" w:rsidRDefault="00470AD2" w:rsidP="00470AD2">
      <w:pPr>
        <w:pStyle w:val="Prrafodelista"/>
        <w:spacing w:line="360" w:lineRule="auto"/>
        <w:ind w:left="1069" w:right="567"/>
        <w:jc w:val="both"/>
        <w:rPr>
          <w:rFonts w:ascii="Palatino Linotype" w:hAnsi="Palatino Linotype"/>
          <w:i/>
          <w:color w:val="000000"/>
        </w:rPr>
      </w:pPr>
    </w:p>
    <w:p w:rsidR="00470AD2" w:rsidRPr="00124FB2" w:rsidRDefault="00470AD2" w:rsidP="00470AD2">
      <w:pPr>
        <w:numPr>
          <w:ilvl w:val="0"/>
          <w:numId w:val="1"/>
        </w:numPr>
        <w:spacing w:line="360" w:lineRule="auto"/>
        <w:ind w:left="0" w:firstLine="0"/>
        <w:contextualSpacing/>
        <w:jc w:val="both"/>
        <w:rPr>
          <w:rFonts w:ascii="Palatino Linotype" w:eastAsia="Calibri" w:hAnsi="Palatino Linotype"/>
          <w:lang w:val="es-ES" w:eastAsia="es-ES"/>
        </w:rPr>
      </w:pPr>
      <w:r w:rsidRPr="00124FB2">
        <w:rPr>
          <w:rFonts w:ascii="Palatino Linotype" w:eastAsia="Calibri" w:hAnsi="Palatino Linotype"/>
          <w:lang w:val="es-ES" w:eastAsia="es-ES"/>
        </w:rPr>
        <w:t>Se eligió como modalidad de entrega a través de la plataforma digital Sistema de Acceso a la Información Mexiquense (SAIMEX).</w:t>
      </w:r>
    </w:p>
    <w:p w:rsidR="00470AD2" w:rsidRPr="00124FB2" w:rsidRDefault="00470AD2" w:rsidP="00470AD2">
      <w:pPr>
        <w:spacing w:line="360" w:lineRule="auto"/>
        <w:contextualSpacing/>
        <w:jc w:val="both"/>
        <w:rPr>
          <w:rFonts w:ascii="Palatino Linotype" w:eastAsia="Calibri" w:hAnsi="Palatino Linotype"/>
          <w:lang w:val="es-ES" w:eastAsia="es-ES"/>
        </w:rPr>
      </w:pPr>
    </w:p>
    <w:p w:rsidR="00470AD2" w:rsidRPr="00124FB2" w:rsidRDefault="00470AD2" w:rsidP="00470AD2">
      <w:pPr>
        <w:numPr>
          <w:ilvl w:val="0"/>
          <w:numId w:val="1"/>
        </w:numPr>
        <w:spacing w:line="360" w:lineRule="auto"/>
        <w:ind w:left="0" w:firstLine="0"/>
        <w:contextualSpacing/>
        <w:jc w:val="both"/>
        <w:rPr>
          <w:rFonts w:ascii="Palatino Linotype" w:eastAsia="Calibri" w:hAnsi="Palatino Linotype"/>
          <w:lang w:val="es-ES" w:eastAsia="es-ES"/>
        </w:rPr>
      </w:pPr>
      <w:r w:rsidRPr="00124FB2">
        <w:rPr>
          <w:rFonts w:ascii="Palatino Linotype" w:eastAsia="Calibri" w:hAnsi="Palatino Linotype"/>
          <w:lang w:val="es-ES" w:eastAsia="es-ES"/>
        </w:rPr>
        <w:t xml:space="preserve">El </w:t>
      </w:r>
      <w:r w:rsidR="00A34A07" w:rsidRPr="00124FB2">
        <w:rPr>
          <w:rFonts w:ascii="Palatino Linotype" w:eastAsia="Calibri" w:hAnsi="Palatino Linotype"/>
          <w:lang w:val="es-ES" w:eastAsia="es-ES"/>
        </w:rPr>
        <w:t>veinte (20) de septiembre de</w:t>
      </w:r>
      <w:r w:rsidRPr="00124FB2">
        <w:rPr>
          <w:rFonts w:ascii="Palatino Linotype" w:eastAsia="Calibri" w:hAnsi="Palatino Linotype"/>
          <w:lang w:val="es-ES" w:eastAsia="es-ES"/>
        </w:rPr>
        <w:t xml:space="preserve"> dos mil veintidós, se realizó un requerimiento al servidor público habilitado. </w:t>
      </w:r>
    </w:p>
    <w:p w:rsidR="00470AD2" w:rsidRPr="00124FB2" w:rsidRDefault="00470AD2" w:rsidP="00470AD2">
      <w:pPr>
        <w:spacing w:line="360" w:lineRule="auto"/>
        <w:contextualSpacing/>
        <w:jc w:val="both"/>
        <w:rPr>
          <w:rFonts w:ascii="Palatino Linotype" w:eastAsia="Calibri" w:hAnsi="Palatino Linotype"/>
          <w:lang w:val="es-ES" w:eastAsia="es-ES"/>
        </w:rPr>
      </w:pPr>
    </w:p>
    <w:p w:rsidR="00470AD2" w:rsidRPr="00124FB2" w:rsidRDefault="00470AD2" w:rsidP="00470AD2">
      <w:pPr>
        <w:numPr>
          <w:ilvl w:val="0"/>
          <w:numId w:val="1"/>
        </w:numPr>
        <w:spacing w:line="360" w:lineRule="auto"/>
        <w:ind w:left="0" w:firstLine="0"/>
        <w:contextualSpacing/>
        <w:jc w:val="both"/>
        <w:rPr>
          <w:rFonts w:ascii="Palatino Linotype" w:eastAsia="Calibri" w:hAnsi="Palatino Linotype"/>
          <w:lang w:val="es-ES" w:eastAsia="es-ES"/>
        </w:rPr>
      </w:pPr>
      <w:r w:rsidRPr="00124FB2">
        <w:rPr>
          <w:rFonts w:ascii="Palatino Linotype" w:eastAsiaTheme="minorEastAsia" w:hAnsi="Palatino Linotype"/>
          <w:lang w:val="es-ES_tradnl" w:eastAsia="es-ES"/>
        </w:rPr>
        <w:t xml:space="preserve">El </w:t>
      </w:r>
      <w:r w:rsidR="00A34A07" w:rsidRPr="00124FB2">
        <w:rPr>
          <w:rFonts w:ascii="Palatino Linotype" w:eastAsiaTheme="minorEastAsia" w:hAnsi="Palatino Linotype"/>
          <w:lang w:val="es-ES_tradnl" w:eastAsia="es-ES"/>
        </w:rPr>
        <w:t>veintiséis (26) de septiembre</w:t>
      </w:r>
      <w:r w:rsidRPr="00124FB2">
        <w:rPr>
          <w:rFonts w:ascii="Palatino Linotype" w:eastAsiaTheme="minorEastAsia" w:hAnsi="Palatino Linotype"/>
          <w:lang w:val="es-ES_tradnl" w:eastAsia="es-ES"/>
        </w:rPr>
        <w:t xml:space="preserve"> de dos mil veintidós, </w:t>
      </w:r>
      <w:r w:rsidRPr="00124FB2">
        <w:rPr>
          <w:rFonts w:ascii="Palatino Linotype" w:eastAsia="Calibri" w:hAnsi="Palatino Linotype"/>
          <w:lang w:val="es-ES" w:eastAsia="es-ES"/>
        </w:rPr>
        <w:t xml:space="preserve">el </w:t>
      </w:r>
      <w:r w:rsidRPr="00124FB2">
        <w:rPr>
          <w:rFonts w:ascii="Palatino Linotype" w:eastAsia="Calibri" w:hAnsi="Palatino Linotype" w:cs="Arial"/>
          <w:b/>
          <w:lang w:val="es-AR" w:eastAsia="es-ES"/>
        </w:rPr>
        <w:t>SUJETO OBLIGADO</w:t>
      </w:r>
      <w:r w:rsidRPr="00124FB2">
        <w:rPr>
          <w:rFonts w:ascii="Palatino Linotype" w:eastAsia="Calibri" w:hAnsi="Palatino Linotype" w:cs="Arial"/>
          <w:b/>
          <w:i/>
          <w:lang w:val="es-AR" w:eastAsia="es-ES"/>
        </w:rPr>
        <w:t xml:space="preserve"> </w:t>
      </w:r>
      <w:r w:rsidRPr="00124FB2">
        <w:rPr>
          <w:rFonts w:ascii="Palatino Linotype" w:hAnsi="Palatino Linotype" w:cs="Arial"/>
          <w:lang w:val="es-ES" w:eastAsia="es-ES"/>
        </w:rPr>
        <w:t>dio respuesta a la solicitud de información en los siguientes términos:</w:t>
      </w:r>
    </w:p>
    <w:p w:rsidR="00470AD2" w:rsidRPr="00124FB2" w:rsidRDefault="00470AD2" w:rsidP="00470AD2">
      <w:pPr>
        <w:spacing w:line="360" w:lineRule="auto"/>
        <w:contextualSpacing/>
        <w:jc w:val="both"/>
        <w:rPr>
          <w:rFonts w:ascii="Palatino Linotype" w:eastAsia="Calibri" w:hAnsi="Palatino Linotype"/>
          <w:lang w:val="es-ES" w:eastAsia="es-ES"/>
        </w:rPr>
      </w:pPr>
    </w:p>
    <w:tbl>
      <w:tblPr>
        <w:tblW w:w="8082" w:type="dxa"/>
        <w:jc w:val="center"/>
        <w:tblCellSpacing w:w="0" w:type="dxa"/>
        <w:tblCellMar>
          <w:left w:w="0" w:type="dxa"/>
          <w:right w:w="0" w:type="dxa"/>
        </w:tblCellMar>
        <w:tblLook w:val="04A0" w:firstRow="1" w:lastRow="0" w:firstColumn="1" w:lastColumn="0" w:noHBand="0" w:noVBand="1"/>
      </w:tblPr>
      <w:tblGrid>
        <w:gridCol w:w="9044"/>
      </w:tblGrid>
      <w:tr w:rsidR="00A34A07" w:rsidRPr="00124FB2" w:rsidTr="00A34A07">
        <w:trPr>
          <w:trHeight w:val="265"/>
          <w:tblCellSpacing w:w="0" w:type="dxa"/>
          <w:jc w:val="center"/>
        </w:trPr>
        <w:tc>
          <w:tcPr>
            <w:tcW w:w="0" w:type="auto"/>
            <w:vAlign w:val="center"/>
            <w:hideMark/>
          </w:tcPr>
          <w:p w:rsidR="00A34A07" w:rsidRPr="00124FB2" w:rsidRDefault="00A34A07" w:rsidP="00A34A07">
            <w:pPr>
              <w:rPr>
                <w:rFonts w:ascii="Palatino Linotype" w:hAnsi="Palatino Linotype"/>
                <w:i/>
                <w:sz w:val="22"/>
                <w:lang w:val="es-ES" w:eastAsia="es-ES"/>
              </w:rPr>
            </w:pPr>
            <w:r w:rsidRPr="00124FB2">
              <w:rPr>
                <w:rFonts w:ascii="Palatino Linotype" w:hAnsi="Palatino Linotype"/>
                <w:i/>
                <w:sz w:val="22"/>
                <w:szCs w:val="18"/>
                <w:lang w:val="es-ES" w:eastAsia="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34A07" w:rsidRPr="00124FB2" w:rsidTr="00A34A07">
        <w:trPr>
          <w:trHeight w:val="668"/>
          <w:tblCellSpacing w:w="0" w:type="dxa"/>
          <w:jc w:val="center"/>
        </w:trPr>
        <w:tc>
          <w:tcPr>
            <w:tcW w:w="0" w:type="auto"/>
            <w:vAlign w:val="center"/>
            <w:hideMark/>
          </w:tcPr>
          <w:p w:rsidR="00A34A07" w:rsidRPr="00124FB2" w:rsidRDefault="00A34A07" w:rsidP="00A34A07">
            <w:pPr>
              <w:rPr>
                <w:rFonts w:ascii="Palatino Linotype" w:hAnsi="Palatino Linotype"/>
                <w:i/>
                <w:sz w:val="22"/>
                <w:lang w:val="es-ES" w:eastAsia="es-ES"/>
              </w:rPr>
            </w:pPr>
          </w:p>
        </w:tc>
      </w:tr>
      <w:tr w:rsidR="00A34A07" w:rsidRPr="00124FB2" w:rsidTr="00A34A07">
        <w:trPr>
          <w:trHeight w:val="265"/>
          <w:tblCellSpacing w:w="0" w:type="dxa"/>
          <w:jc w:val="center"/>
        </w:trPr>
        <w:tc>
          <w:tcPr>
            <w:tcW w:w="0" w:type="auto"/>
            <w:vAlign w:val="center"/>
            <w:hideMark/>
          </w:tcPr>
          <w:p w:rsidR="00A34A07" w:rsidRPr="00124FB2" w:rsidRDefault="00A34A07" w:rsidP="00A34A07">
            <w:pPr>
              <w:rPr>
                <w:rFonts w:ascii="Palatino Linotype" w:hAnsi="Palatino Linotype"/>
                <w:i/>
                <w:sz w:val="22"/>
                <w:lang w:val="es-ES" w:eastAsia="es-ES"/>
              </w:rPr>
            </w:pPr>
            <w:r w:rsidRPr="00124FB2">
              <w:rPr>
                <w:rFonts w:ascii="Palatino Linotype" w:hAnsi="Palatino Linotype"/>
                <w:i/>
                <w:sz w:val="22"/>
                <w:szCs w:val="18"/>
                <w:lang w:val="es-ES" w:eastAsia="es-ES"/>
              </w:rPr>
              <w:t xml:space="preserve">Sea este el medio por el cual le envío un cordial saludo, así mismo se da respuesta a su solicitud de información ingresada mediante la plataforma SAIMEX. La información solicitada forma parte de las Obligaciones de Transparencia que este sujeto obligado debe poner a disposición de la ciudadanía en la plataforma de internet IPOMEX (Información Pública de Oficio Mexiquense) correspondiente al O.P.D.A.P.A.S., Ixtapaluca, de acuerdo al artículo 92 fracción I y 161 de la Ley de Transparencia y Acceso a la Información Pública del Estado de México y Municipios, que a la letra dice: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XXI. La información curricular, desde el nivel de jefe de departamento o equivalente, hasta el titular del sujeto obligado, así como, en su caso, las sanciones administrativas de que haya sido objeto.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Es así que, la información la podrá encontrar en el siguiente link: </w:t>
            </w:r>
            <w:hyperlink r:id="rId7" w:history="1">
              <w:r w:rsidR="00AB5CC4" w:rsidRPr="00124FB2">
                <w:rPr>
                  <w:rStyle w:val="Hipervnculo"/>
                  <w:rFonts w:ascii="Palatino Linotype" w:hAnsi="Palatino Linotype"/>
                  <w:i/>
                  <w:sz w:val="22"/>
                  <w:szCs w:val="18"/>
                  <w:lang w:val="es-ES" w:eastAsia="es-ES"/>
                </w:rPr>
                <w:t>https://ipomex.org.mx/ipo3/lgt/indice/OASIXTAPALUCA/art_92_xxi.web?token=03AIIukziNG3fD8ofvabqTNu2zOiweW4C2KSPCiG53FIybC7tIwICw-hZxGpy0xnZiQbf1rbgbA8EJJgTwC13u0a6nkN84IZ2LEuDwopp6BvIS9IBem4Jt81b1neA5RJL5vIoNDwkZHiYNO2QlwduEZ-sIxExjQmknfWJhHnZ_0qe2UUa8WQTOydIOKvr69GHTZD0xaQTAaV1KnqcmjJMt_-3luncCGo-bBWczCVSKJCf4RxhdS87xQ9jgbmcule52XvnEhaEpHEs5vrDfyAN5bxWKDHeaV-miKx0Bcn6DL78fq1H0_m21Np4Kx_GjWusJYM4pXewJ7e3LfWMtiYrs949SBAoymLhfzAFBYvwwwFc4iln1rOuJpXhCwlZZGMQN9GM3SZ4uFecs3P9BCfbzb8mgKut5MSJH9PoGbF-Se2-pkn_TDDzJCVj-ipnQfngKcmPBgHQhyq8Sk1bVz4w7Gc3ezT-SC3LChBE4CZQAY_aEMgJ1MHWfMKmm_4ZRK3aDWkZqTnG_f2K2T7MFp97TBkyzAw9pPcZ_bJBtMYyw0vJp1Oc5GIx9k-FN6xNCv071fl0-W-_LPkCa</w:t>
              </w:r>
            </w:hyperlink>
            <w:r w:rsidR="00AB5CC4" w:rsidRPr="00124FB2">
              <w:rPr>
                <w:rFonts w:ascii="Palatino Linotype" w:hAnsi="Palatino Linotype"/>
                <w:i/>
                <w:sz w:val="22"/>
                <w:szCs w:val="18"/>
                <w:lang w:val="es-ES" w:eastAsia="es-ES"/>
              </w:rPr>
              <w:t xml:space="preserve"> </w:t>
            </w:r>
            <w:r w:rsidRPr="00124FB2">
              <w:rPr>
                <w:rFonts w:ascii="Palatino Linotype" w:hAnsi="Palatino Linotype"/>
                <w:i/>
                <w:sz w:val="22"/>
                <w:szCs w:val="18"/>
                <w:lang w:val="es-ES" w:eastAsia="es-ES"/>
              </w:rPr>
              <w:t>”</w:t>
            </w:r>
          </w:p>
        </w:tc>
      </w:tr>
      <w:tr w:rsidR="00A34A07" w:rsidRPr="00124FB2" w:rsidTr="00A34A07">
        <w:trPr>
          <w:trHeight w:val="255"/>
          <w:tblCellSpacing w:w="0" w:type="dxa"/>
          <w:jc w:val="center"/>
        </w:trPr>
        <w:tc>
          <w:tcPr>
            <w:tcW w:w="0" w:type="auto"/>
            <w:vAlign w:val="center"/>
            <w:hideMark/>
          </w:tcPr>
          <w:p w:rsidR="00A34A07" w:rsidRPr="00124FB2" w:rsidRDefault="00A34A07" w:rsidP="00A34A07">
            <w:pPr>
              <w:rPr>
                <w:lang w:val="es-ES" w:eastAsia="es-ES"/>
              </w:rPr>
            </w:pPr>
          </w:p>
        </w:tc>
      </w:tr>
    </w:tbl>
    <w:p w:rsidR="00470AD2" w:rsidRPr="00124FB2" w:rsidRDefault="00470AD2" w:rsidP="00470AD2">
      <w:pPr>
        <w:spacing w:line="360" w:lineRule="auto"/>
        <w:ind w:right="567"/>
        <w:jc w:val="both"/>
        <w:rPr>
          <w:rFonts w:ascii="Palatino Linotype" w:hAnsi="Palatino Linotype"/>
          <w:i/>
          <w:sz w:val="32"/>
        </w:rPr>
      </w:pPr>
    </w:p>
    <w:p w:rsidR="00470AD2" w:rsidRPr="00124FB2" w:rsidRDefault="00470AD2" w:rsidP="00A34A07">
      <w:pPr>
        <w:pStyle w:val="Prrafodelista"/>
        <w:numPr>
          <w:ilvl w:val="0"/>
          <w:numId w:val="5"/>
        </w:numPr>
        <w:spacing w:line="360" w:lineRule="auto"/>
        <w:ind w:right="567"/>
        <w:jc w:val="both"/>
        <w:rPr>
          <w:rFonts w:ascii="Palatino Linotype" w:hAnsi="Palatino Linotype"/>
          <w:szCs w:val="22"/>
        </w:rPr>
      </w:pPr>
      <w:r w:rsidRPr="00124FB2">
        <w:rPr>
          <w:rFonts w:ascii="Palatino Linotype" w:hAnsi="Palatino Linotype"/>
        </w:rPr>
        <w:t xml:space="preserve">A la respuesta se adjuntó el archivo </w:t>
      </w:r>
      <w:hyperlink r:id="rId8" w:tgtFrame="_blank" w:history="1">
        <w:r w:rsidR="00A34A07" w:rsidRPr="00124FB2">
          <w:rPr>
            <w:rStyle w:val="Hipervnculo"/>
            <w:rFonts w:ascii="Palatino Linotype" w:eastAsiaTheme="majorEastAsia" w:hAnsi="Palatino Linotype" w:cs="Arial"/>
            <w:b/>
            <w:bCs/>
            <w:color w:val="auto"/>
            <w:szCs w:val="22"/>
          </w:rPr>
          <w:t>TRASN..pdf</w:t>
        </w:r>
      </w:hyperlink>
      <w:r w:rsidR="00A34A07" w:rsidRPr="00124FB2">
        <w:rPr>
          <w:rFonts w:ascii="Palatino Linotype" w:hAnsi="Palatino Linotype"/>
          <w:b/>
          <w:szCs w:val="22"/>
        </w:rPr>
        <w:t>:</w:t>
      </w:r>
      <w:r w:rsidR="00A34A07" w:rsidRPr="00124FB2">
        <w:t xml:space="preserve"> </w:t>
      </w:r>
      <w:r w:rsidR="00A34A07" w:rsidRPr="00124FB2">
        <w:rPr>
          <w:rFonts w:ascii="Palatino Linotype" w:hAnsi="Palatino Linotype"/>
        </w:rPr>
        <w:t xml:space="preserve">oficio RH/Ol/217/2022 de fecha veintidós (22) de septiembre de dos mil veintidós, suscrito por la Jefa de Recursos Humanos, </w:t>
      </w:r>
      <w:r w:rsidR="00D02680" w:rsidRPr="00124FB2">
        <w:rPr>
          <w:rFonts w:ascii="Palatino Linotype" w:hAnsi="Palatino Linotype"/>
        </w:rPr>
        <w:t xml:space="preserve">a través del cual señaló que la información solicitada se encontraba en la liga electrónica que adjuntó. </w:t>
      </w:r>
    </w:p>
    <w:p w:rsidR="00470AD2" w:rsidRPr="00124FB2" w:rsidRDefault="00470AD2" w:rsidP="00470AD2">
      <w:pPr>
        <w:spacing w:line="360" w:lineRule="auto"/>
        <w:ind w:right="567"/>
        <w:jc w:val="both"/>
        <w:rPr>
          <w:rFonts w:ascii="Palatino Linotype" w:hAnsi="Palatino Linotype"/>
          <w:b/>
        </w:rPr>
      </w:pPr>
    </w:p>
    <w:p w:rsidR="00470AD2" w:rsidRPr="00124FB2" w:rsidRDefault="00470AD2" w:rsidP="00470AD2">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124FB2">
        <w:rPr>
          <w:rFonts w:ascii="Palatino Linotype" w:eastAsia="Calibri" w:hAnsi="Palatino Linotype" w:cs="Arial"/>
          <w:lang w:val="es-AR" w:eastAsia="es-ES"/>
        </w:rPr>
        <w:t xml:space="preserve">El doce (12) de </w:t>
      </w:r>
      <w:r w:rsidR="00D02680" w:rsidRPr="00124FB2">
        <w:rPr>
          <w:rFonts w:ascii="Palatino Linotype" w:eastAsia="Calibri" w:hAnsi="Palatino Linotype" w:cs="Arial"/>
          <w:lang w:val="es-AR" w:eastAsia="es-ES"/>
        </w:rPr>
        <w:t>octubre</w:t>
      </w:r>
      <w:r w:rsidRPr="00124FB2">
        <w:rPr>
          <w:rFonts w:ascii="Palatino Linotype" w:eastAsia="Calibri" w:hAnsi="Palatino Linotype" w:cs="Arial"/>
          <w:lang w:val="es-AR" w:eastAsia="es-ES"/>
        </w:rPr>
        <w:t xml:space="preserve"> de dos mil veintidós</w:t>
      </w:r>
      <w:r w:rsidRPr="00124FB2">
        <w:rPr>
          <w:rFonts w:ascii="Palatino Linotype" w:hAnsi="Palatino Linotype" w:cs="Arial"/>
          <w:lang w:val="es-ES" w:eastAsia="es-ES"/>
        </w:rPr>
        <w:t xml:space="preserve">, </w:t>
      </w:r>
      <w:r w:rsidRPr="00124FB2">
        <w:rPr>
          <w:rFonts w:ascii="Palatino Linotype" w:eastAsiaTheme="minorEastAsia" w:hAnsi="Palatino Linotype"/>
          <w:b/>
          <w:lang w:val="es-ES_tradnl" w:eastAsia="es-ES"/>
        </w:rPr>
        <w:t>EL RECURRENTE</w:t>
      </w:r>
      <w:r w:rsidRPr="00124FB2">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rsidR="00470AD2" w:rsidRPr="00124FB2" w:rsidRDefault="00470AD2" w:rsidP="00470AD2">
      <w:pPr>
        <w:spacing w:line="360" w:lineRule="auto"/>
        <w:ind w:left="567" w:right="567"/>
        <w:contextualSpacing/>
        <w:rPr>
          <w:rFonts w:ascii="Palatino Linotype" w:eastAsiaTheme="minorEastAsia" w:hAnsi="Palatino Linotype" w:cs="Arial"/>
          <w:i/>
          <w:lang w:val="es-ES_tradnl" w:eastAsia="es-ES"/>
        </w:rPr>
      </w:pPr>
    </w:p>
    <w:p w:rsidR="00470AD2" w:rsidRPr="00124FB2" w:rsidRDefault="00470AD2" w:rsidP="00470AD2">
      <w:pPr>
        <w:spacing w:line="360" w:lineRule="auto"/>
        <w:ind w:left="567" w:right="567"/>
        <w:contextualSpacing/>
        <w:jc w:val="both"/>
        <w:rPr>
          <w:rFonts w:ascii="Palatino Linotype" w:eastAsia="Calibri" w:hAnsi="Palatino Linotype" w:cs="Arial"/>
          <w:i/>
          <w:lang w:val="es-ES" w:eastAsia="es-ES"/>
        </w:rPr>
      </w:pPr>
      <w:r w:rsidRPr="00124FB2">
        <w:rPr>
          <w:rFonts w:ascii="Palatino Linotype" w:eastAsiaTheme="minorEastAsia" w:hAnsi="Palatino Linotype"/>
          <w:b/>
          <w:lang w:val="es-ES_tradnl" w:eastAsia="es-ES"/>
        </w:rPr>
        <w:t>Acto impugnado</w:t>
      </w:r>
      <w:r w:rsidRPr="00124FB2">
        <w:rPr>
          <w:rFonts w:ascii="Palatino Linotype" w:eastAsiaTheme="minorEastAsia" w:hAnsi="Palatino Linotype"/>
          <w:b/>
          <w:i/>
          <w:lang w:val="es-ES_tradnl" w:eastAsia="es-ES"/>
        </w:rPr>
        <w:t>:</w:t>
      </w:r>
      <w:r w:rsidRPr="00124FB2">
        <w:rPr>
          <w:rFonts w:ascii="Palatino Linotype" w:hAnsi="Palatino Linotype"/>
          <w:i/>
          <w:color w:val="000000"/>
        </w:rPr>
        <w:t xml:space="preserve"> “</w:t>
      </w:r>
      <w:r w:rsidR="00D02680" w:rsidRPr="00124FB2">
        <w:rPr>
          <w:rFonts w:ascii="Palatino Linotype" w:hAnsi="Palatino Linotype"/>
          <w:i/>
          <w:color w:val="000000"/>
        </w:rPr>
        <w:t>Con fundamento en el artículos 176, 178 y 179 Fracciones I, II, III, IV y V de la Ley de Transparencia y Acceso a la Información Pública del Estado de México y Municipios. La información está incompleta.</w:t>
      </w:r>
      <w:r w:rsidRPr="00124FB2">
        <w:rPr>
          <w:rFonts w:ascii="Palatino Linotype" w:hAnsi="Palatino Linotype"/>
          <w:i/>
          <w:color w:val="000000"/>
        </w:rPr>
        <w:t>” (Sic)</w:t>
      </w:r>
    </w:p>
    <w:p w:rsidR="00470AD2" w:rsidRPr="00124FB2" w:rsidRDefault="00470AD2" w:rsidP="00470AD2">
      <w:pPr>
        <w:spacing w:line="360" w:lineRule="auto"/>
        <w:ind w:left="567" w:right="567"/>
        <w:contextualSpacing/>
        <w:jc w:val="both"/>
        <w:rPr>
          <w:rFonts w:ascii="Palatino Linotype" w:eastAsia="Calibri" w:hAnsi="Palatino Linotype" w:cs="Arial"/>
          <w:lang w:val="es-ES" w:eastAsia="es-ES"/>
        </w:rPr>
      </w:pPr>
    </w:p>
    <w:p w:rsidR="00470AD2" w:rsidRPr="00124FB2" w:rsidRDefault="00470AD2" w:rsidP="00470AD2">
      <w:pPr>
        <w:spacing w:line="360" w:lineRule="auto"/>
        <w:ind w:left="567" w:right="567"/>
        <w:contextualSpacing/>
        <w:jc w:val="both"/>
        <w:rPr>
          <w:rFonts w:ascii="Palatino Linotype" w:hAnsi="Palatino Linotype"/>
          <w:i/>
          <w:color w:val="000000"/>
        </w:rPr>
      </w:pPr>
      <w:r w:rsidRPr="00124FB2">
        <w:rPr>
          <w:rFonts w:ascii="Palatino Linotype" w:eastAsiaTheme="minorEastAsia" w:hAnsi="Palatino Linotype"/>
          <w:b/>
          <w:lang w:val="es-ES_tradnl" w:eastAsia="es-ES"/>
        </w:rPr>
        <w:t>Razones o Motivos de inconformidad:</w:t>
      </w:r>
      <w:r w:rsidRPr="00124FB2">
        <w:rPr>
          <w:rFonts w:ascii="Palatino Linotype" w:eastAsiaTheme="majorEastAsia" w:hAnsi="Palatino Linotype" w:cstheme="majorBidi"/>
          <w:b/>
          <w:color w:val="2E74B5" w:themeColor="accent1" w:themeShade="BF"/>
          <w:sz w:val="26"/>
          <w:szCs w:val="26"/>
          <w:lang w:val="es-ES" w:eastAsia="es-ES"/>
        </w:rPr>
        <w:t xml:space="preserve"> </w:t>
      </w:r>
      <w:r w:rsidRPr="00124FB2">
        <w:rPr>
          <w:rFonts w:ascii="Palatino Linotype" w:eastAsiaTheme="majorEastAsia" w:hAnsi="Palatino Linotype" w:cstheme="majorBidi"/>
          <w:i/>
          <w:lang w:val="es-ES" w:eastAsia="es-ES"/>
        </w:rPr>
        <w:t>“</w:t>
      </w:r>
      <w:r w:rsidR="00D02680" w:rsidRPr="00124FB2">
        <w:rPr>
          <w:rFonts w:ascii="Palatino Linotype" w:hAnsi="Palatino Linotype"/>
          <w:i/>
          <w:color w:val="000000"/>
        </w:rPr>
        <w:t>Con fundamento en el artículos 176, 178 y 179 Fracciones I, II, III, IV y V de la Ley de Transparencia y Acceso a la Información Pública del Estado de México y Municipios. La información está incompleta.</w:t>
      </w:r>
      <w:r w:rsidRPr="00124FB2">
        <w:rPr>
          <w:rFonts w:ascii="Palatino Linotype" w:hAnsi="Palatino Linotype"/>
          <w:i/>
          <w:color w:val="000000"/>
        </w:rPr>
        <w:t>” (Sic).</w:t>
      </w:r>
    </w:p>
    <w:p w:rsidR="00D02680" w:rsidRPr="00124FB2" w:rsidRDefault="00D02680" w:rsidP="00D02680">
      <w:pPr>
        <w:spacing w:line="360" w:lineRule="auto"/>
        <w:ind w:right="567"/>
        <w:contextualSpacing/>
        <w:jc w:val="both"/>
        <w:rPr>
          <w:rFonts w:ascii="Palatino Linotype" w:hAnsi="Palatino Linotype"/>
          <w:color w:val="000000"/>
        </w:rPr>
      </w:pPr>
    </w:p>
    <w:p w:rsidR="00730B3A" w:rsidRPr="00124FB2" w:rsidRDefault="00D02680" w:rsidP="00730B3A">
      <w:pPr>
        <w:pStyle w:val="Prrafodelista"/>
        <w:numPr>
          <w:ilvl w:val="0"/>
          <w:numId w:val="7"/>
        </w:numPr>
        <w:spacing w:line="360" w:lineRule="auto"/>
        <w:jc w:val="both"/>
        <w:rPr>
          <w:rFonts w:ascii="Palatino Linotype" w:hAnsi="Palatino Linotype"/>
          <w:i/>
          <w:szCs w:val="22"/>
        </w:rPr>
      </w:pPr>
      <w:r w:rsidRPr="00124FB2">
        <w:rPr>
          <w:rFonts w:ascii="Palatino Linotype" w:hAnsi="Palatino Linotype"/>
          <w:szCs w:val="22"/>
        </w:rPr>
        <w:t xml:space="preserve">Al recurso de revisión, el Recurrente adjuntó el archivo </w:t>
      </w:r>
      <w:hyperlink r:id="rId9" w:tgtFrame="_blank" w:history="1">
        <w:r w:rsidRPr="00124FB2">
          <w:rPr>
            <w:rStyle w:val="Hipervnculo"/>
            <w:rFonts w:ascii="Palatino Linotype" w:eastAsiaTheme="majorEastAsia" w:hAnsi="Palatino Linotype" w:cs="Arial"/>
            <w:b/>
            <w:bCs/>
            <w:color w:val="auto"/>
            <w:szCs w:val="22"/>
          </w:rPr>
          <w:t>ODAPAS RECURSO Con fundamento en el artículos 176.docx</w:t>
        </w:r>
      </w:hyperlink>
      <w:r w:rsidRPr="00124FB2">
        <w:rPr>
          <w:rFonts w:ascii="Palatino Linotype" w:hAnsi="Palatino Linotype" w:cs="Arial"/>
          <w:szCs w:val="22"/>
        </w:rPr>
        <w:t xml:space="preserve">: </w:t>
      </w:r>
      <w:r w:rsidR="00730B3A" w:rsidRPr="00124FB2">
        <w:rPr>
          <w:rFonts w:ascii="Palatino Linotype" w:hAnsi="Palatino Linotype" w:cs="Arial"/>
          <w:i/>
          <w:szCs w:val="22"/>
        </w:rPr>
        <w:t>“</w:t>
      </w:r>
      <w:r w:rsidR="00730B3A" w:rsidRPr="00124FB2">
        <w:rPr>
          <w:rFonts w:ascii="Palatino Linotype" w:hAnsi="Palatino Linotype"/>
          <w:i/>
          <w:szCs w:val="22"/>
        </w:rPr>
        <w:t>Con fundamento en el artículos 176, 178 y  179 Fracciones I, II, III, IV y V de la Ley de Transparencia y Acceso a la Información Pública del Estado de México y Municipios.</w:t>
      </w:r>
    </w:p>
    <w:p w:rsidR="00730B3A" w:rsidRPr="00124FB2" w:rsidRDefault="00730B3A" w:rsidP="00730B3A">
      <w:pPr>
        <w:spacing w:line="360" w:lineRule="auto"/>
        <w:ind w:left="709"/>
        <w:jc w:val="both"/>
        <w:rPr>
          <w:rFonts w:ascii="Palatino Linotype" w:hAnsi="Palatino Linotype"/>
          <w:i/>
          <w:sz w:val="22"/>
          <w:szCs w:val="22"/>
        </w:rPr>
      </w:pPr>
      <w:r w:rsidRPr="00124FB2">
        <w:rPr>
          <w:rFonts w:ascii="Palatino Linotype" w:hAnsi="Palatino Linotype"/>
          <w:i/>
          <w:sz w:val="22"/>
          <w:szCs w:val="22"/>
        </w:rPr>
        <w:lastRenderedPageBreak/>
        <w:t xml:space="preserve">La publicación a  la que refiere el sujeto obligado  de acuerdo al artículo 92, fracción XXI de la Ley  citada, la información la podrá encontrar dentro del apartado de Información Pública de Oficio (IPOMEX) @n: https://smdifixtapaluca.com.mx/ transparencia/,  cuenta únicamente con 54  registros  y en la  FRACCIÓNVIII A   Remuneraciones tiene 983 registros  y solicite  el Curriculum Vitae de todas y todos los Servidores Públicos por lo que la información está incompleta. “. </w:t>
      </w:r>
      <w:r w:rsidRPr="00124FB2">
        <w:rPr>
          <w:rFonts w:ascii="Palatino Linotype" w:hAnsi="Palatino Linotype"/>
          <w:sz w:val="22"/>
          <w:szCs w:val="22"/>
        </w:rPr>
        <w:t xml:space="preserve">Asimismo, el Recurrente adjunto dos capturas de pantalla del IPOMEX del Sujeto Obligado. </w:t>
      </w:r>
      <w:r w:rsidRPr="00124FB2">
        <w:rPr>
          <w:rFonts w:ascii="Palatino Linotype" w:hAnsi="Palatino Linotype"/>
          <w:i/>
          <w:sz w:val="22"/>
          <w:szCs w:val="22"/>
        </w:rPr>
        <w:t xml:space="preserve"> </w:t>
      </w:r>
      <w:bookmarkEnd w:id="1"/>
      <w:bookmarkEnd w:id="2"/>
      <w:bookmarkEnd w:id="3"/>
    </w:p>
    <w:p w:rsidR="00470AD2" w:rsidRPr="00124FB2" w:rsidRDefault="00470AD2" w:rsidP="00730B3A">
      <w:pPr>
        <w:spacing w:line="360" w:lineRule="auto"/>
        <w:ind w:left="709"/>
        <w:jc w:val="both"/>
        <w:rPr>
          <w:rFonts w:ascii="Palatino Linotype" w:hAnsi="Palatino Linotype"/>
          <w:i/>
          <w:sz w:val="22"/>
          <w:szCs w:val="22"/>
        </w:rPr>
      </w:pPr>
      <w:r w:rsidRPr="00124FB2">
        <w:rPr>
          <w:rFonts w:ascii="Palatino Linotype" w:eastAsia="Calibri" w:hAnsi="Palatino Linotype" w:cs="Arial"/>
          <w:lang w:val="es-AR" w:eastAsia="es-ES"/>
        </w:rPr>
        <w:tab/>
      </w:r>
    </w:p>
    <w:p w:rsidR="00470AD2" w:rsidRPr="00124FB2" w:rsidRDefault="00470AD2" w:rsidP="00470AD2">
      <w:pPr>
        <w:numPr>
          <w:ilvl w:val="0"/>
          <w:numId w:val="1"/>
        </w:numPr>
        <w:spacing w:line="360" w:lineRule="auto"/>
        <w:ind w:left="0" w:firstLine="0"/>
        <w:contextualSpacing/>
        <w:jc w:val="both"/>
        <w:rPr>
          <w:rFonts w:ascii="Palatino Linotype" w:eastAsia="Calibri" w:hAnsi="Palatino Linotype" w:cs="Arial"/>
          <w:lang w:val="es-AR" w:eastAsia="es-ES"/>
        </w:rPr>
      </w:pPr>
      <w:r w:rsidRPr="00124FB2">
        <w:rPr>
          <w:rFonts w:ascii="Palatino Linotype" w:hAnsi="Palatino Linotype" w:cs="Arial"/>
          <w:lang w:val="es-ES" w:eastAsia="es-ES"/>
        </w:rPr>
        <w:t xml:space="preserve">Se registró el recurso de revisión bajo el número de expediente </w:t>
      </w:r>
      <w:r w:rsidRPr="00124FB2">
        <w:rPr>
          <w:rFonts w:ascii="Palatino Linotype" w:eastAsiaTheme="minorEastAsia" w:hAnsi="Palatino Linotype" w:cs="Arial"/>
          <w:bCs/>
          <w:lang w:val="es-ES_tradnl" w:eastAsia="es-ES"/>
        </w:rPr>
        <w:t xml:space="preserve">al rubro indicado, asimismo con fundamento en lo dispuesto por el </w:t>
      </w:r>
      <w:r w:rsidRPr="00124FB2">
        <w:rPr>
          <w:rFonts w:ascii="Palatino Linotype" w:eastAsia="Calibri" w:hAnsi="Palatino Linotype" w:cs="Arial"/>
          <w:lang w:val="es-ES" w:eastAsia="es-ES"/>
        </w:rPr>
        <w:t xml:space="preserve">artículo 185 fracción I de la </w:t>
      </w:r>
      <w:r w:rsidRPr="00124FB2">
        <w:rPr>
          <w:rFonts w:ascii="Palatino Linotype" w:eastAsia="Calibri" w:hAnsi="Palatino Linotype" w:cs="Arial"/>
          <w:b/>
          <w:lang w:val="es-ES" w:eastAsia="es-ES"/>
        </w:rPr>
        <w:t xml:space="preserve">Ley de Transparencia y Acceso a la Información Pública del Estado de México y Municipios </w:t>
      </w:r>
      <w:r w:rsidRPr="00124FB2">
        <w:rPr>
          <w:rFonts w:ascii="Palatino Linotype" w:hAnsi="Palatino Linotype" w:cs="Arial"/>
          <w:lang w:val="es-ES" w:eastAsia="es-ES"/>
        </w:rPr>
        <w:t xml:space="preserve">se turnó a la </w:t>
      </w:r>
      <w:r w:rsidRPr="00124FB2">
        <w:rPr>
          <w:rFonts w:ascii="Palatino Linotype" w:hAnsi="Palatino Linotype" w:cs="Arial"/>
          <w:b/>
          <w:lang w:val="es-ES" w:eastAsia="es-ES"/>
        </w:rPr>
        <w:t xml:space="preserve">Comisionada María del Rosario Mejía Ayala, </w:t>
      </w:r>
      <w:r w:rsidRPr="00124FB2">
        <w:rPr>
          <w:rFonts w:ascii="Palatino Linotype" w:hAnsi="Palatino Linotype" w:cs="Arial"/>
          <w:lang w:val="es-ES" w:eastAsia="es-ES"/>
        </w:rPr>
        <w:t xml:space="preserve">con el objeto de </w:t>
      </w:r>
      <w:r w:rsidRPr="00124FB2">
        <w:rPr>
          <w:rFonts w:ascii="Palatino Linotype" w:hAnsi="Palatino Linotype" w:cs="Arial"/>
          <w:lang w:eastAsia="es-ES"/>
        </w:rPr>
        <w:t xml:space="preserve">su análisis. </w:t>
      </w:r>
    </w:p>
    <w:p w:rsidR="00470AD2" w:rsidRPr="00124FB2" w:rsidRDefault="00470AD2" w:rsidP="00470AD2">
      <w:pPr>
        <w:spacing w:line="360" w:lineRule="auto"/>
        <w:contextualSpacing/>
        <w:jc w:val="both"/>
        <w:rPr>
          <w:rFonts w:ascii="Palatino Linotype" w:eastAsia="Calibri" w:hAnsi="Palatino Linotype" w:cs="Arial"/>
          <w:lang w:val="es-AR" w:eastAsia="es-ES"/>
        </w:rPr>
      </w:pPr>
    </w:p>
    <w:p w:rsidR="00470AD2" w:rsidRPr="00124FB2" w:rsidRDefault="00470AD2" w:rsidP="00470AD2">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124FB2">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fecha </w:t>
      </w:r>
      <w:r w:rsidR="00730B3A" w:rsidRPr="00124FB2">
        <w:rPr>
          <w:rFonts w:ascii="Palatino Linotype" w:eastAsia="Calibri" w:hAnsi="Palatino Linotype" w:cs="Arial"/>
          <w:lang w:val="es-ES" w:eastAsia="es-ES"/>
        </w:rPr>
        <w:t>dieciocho (18) de octubre</w:t>
      </w:r>
      <w:r w:rsidRPr="00124FB2">
        <w:rPr>
          <w:rFonts w:ascii="Palatino Linotype" w:eastAsia="Calibri" w:hAnsi="Palatino Linotype" w:cs="Arial"/>
          <w:lang w:val="es-ES" w:eastAsia="es-ES"/>
        </w:rPr>
        <w:t xml:space="preserve">  de dos mil veintidós, puso a disposición de las partes el expediente electrónico </w:t>
      </w:r>
      <w:r w:rsidRPr="00124FB2">
        <w:rPr>
          <w:rFonts w:ascii="Palatino Linotype" w:eastAsia="Calibri" w:hAnsi="Palatino Linotype" w:cs="Arial"/>
          <w:lang w:val="es-ES_tradnl" w:eastAsia="es-ES"/>
        </w:rPr>
        <w:t xml:space="preserve">vía </w:t>
      </w:r>
      <w:r w:rsidRPr="00124FB2">
        <w:rPr>
          <w:rFonts w:ascii="Palatino Linotype" w:eastAsia="Calibri" w:hAnsi="Palatino Linotype" w:cs="Arial"/>
          <w:b/>
          <w:lang w:val="es-ES" w:eastAsia="es-ES"/>
        </w:rPr>
        <w:t xml:space="preserve">SAIMEX </w:t>
      </w:r>
      <w:r w:rsidRPr="00124FB2">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124FB2">
        <w:rPr>
          <w:rFonts w:ascii="Palatino Linotype" w:eastAsia="Calibri" w:hAnsi="Palatino Linotype" w:cs="Arial"/>
          <w:b/>
          <w:lang w:val="es-ES" w:eastAsia="es-ES"/>
        </w:rPr>
        <w:t>SUJETO OBLIGADO</w:t>
      </w:r>
      <w:r w:rsidRPr="00124FB2">
        <w:rPr>
          <w:rFonts w:ascii="Palatino Linotype" w:eastAsia="Calibri" w:hAnsi="Palatino Linotype" w:cs="Arial"/>
          <w:lang w:val="es-ES" w:eastAsia="es-ES"/>
        </w:rPr>
        <w:t xml:space="preserve"> presentara el informe justificado procedente. </w:t>
      </w:r>
    </w:p>
    <w:p w:rsidR="00470AD2" w:rsidRPr="00124FB2" w:rsidRDefault="00470AD2" w:rsidP="00470AD2">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470AD2" w:rsidRPr="00124FB2" w:rsidRDefault="00470AD2" w:rsidP="00470AD2">
      <w:pPr>
        <w:numPr>
          <w:ilvl w:val="0"/>
          <w:numId w:val="1"/>
        </w:numPr>
        <w:spacing w:line="360" w:lineRule="auto"/>
        <w:ind w:left="0" w:firstLine="0"/>
        <w:contextualSpacing/>
        <w:jc w:val="both"/>
        <w:rPr>
          <w:rFonts w:ascii="Arial" w:hAnsi="Arial" w:cs="Arial"/>
          <w:lang w:eastAsia="es-ES"/>
        </w:rPr>
      </w:pPr>
      <w:r w:rsidRPr="00124FB2">
        <w:rPr>
          <w:rFonts w:ascii="Palatino Linotype" w:eastAsia="Calibri" w:hAnsi="Palatino Linotype" w:cs="Arial"/>
          <w:lang w:val="es-ES" w:eastAsia="es-ES"/>
        </w:rPr>
        <w:t xml:space="preserve">De las constancias en el expediente electrónico SAIMEX, se advierte que el particular no realizó manifestaciones, no ofreció pruebas o alegatos que convinieran a </w:t>
      </w:r>
      <w:r w:rsidRPr="00124FB2">
        <w:rPr>
          <w:rFonts w:ascii="Palatino Linotype" w:eastAsia="Calibri" w:hAnsi="Palatino Linotype" w:cs="Arial"/>
          <w:lang w:val="es-ES" w:eastAsia="es-ES"/>
        </w:rPr>
        <w:lastRenderedPageBreak/>
        <w:t>su derecho convinieran; por su parte, el Sujeto Obligado no remitió informe justificado.</w:t>
      </w:r>
    </w:p>
    <w:p w:rsidR="00470AD2" w:rsidRPr="00124FB2" w:rsidRDefault="00470AD2" w:rsidP="00470AD2">
      <w:pPr>
        <w:spacing w:line="360" w:lineRule="auto"/>
        <w:contextualSpacing/>
        <w:jc w:val="both"/>
        <w:rPr>
          <w:rFonts w:ascii="Arial" w:hAnsi="Arial" w:cs="Arial"/>
          <w:lang w:eastAsia="es-ES"/>
        </w:rPr>
      </w:pPr>
    </w:p>
    <w:p w:rsidR="00470AD2" w:rsidRPr="00124FB2" w:rsidRDefault="00470AD2" w:rsidP="00470AD2">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124FB2">
        <w:rPr>
          <w:rFonts w:ascii="Palatino Linotype" w:eastAsiaTheme="minorEastAsia" w:hAnsi="Palatino Linotype"/>
          <w:lang w:val="es-ES_tradnl" w:eastAsia="es-ES"/>
        </w:rPr>
        <w:t>El Comisionado Ponente decretó el cierre de instrucción</w:t>
      </w:r>
      <w:r w:rsidRPr="00124FB2">
        <w:rPr>
          <w:rFonts w:ascii="Palatino Linotype" w:eastAsiaTheme="minorEastAsia" w:hAnsi="Palatino Linotype" w:cs="Arial"/>
          <w:lang w:val="es-ES_tradnl" w:eastAsia="es-ES"/>
        </w:rPr>
        <w:t xml:space="preserve"> </w:t>
      </w:r>
      <w:r w:rsidRPr="00124FB2">
        <w:rPr>
          <w:rFonts w:ascii="Palatino Linotype" w:eastAsiaTheme="minorEastAsia" w:hAnsi="Palatino Linotype"/>
          <w:lang w:val="es-ES_tradnl" w:eastAsia="es-ES"/>
        </w:rPr>
        <w:t xml:space="preserve">mediante el acuerdo de fecha </w:t>
      </w:r>
      <w:r w:rsidR="00730B3A" w:rsidRPr="00124FB2">
        <w:rPr>
          <w:rFonts w:ascii="Palatino Linotype" w:eastAsiaTheme="minorEastAsia" w:hAnsi="Palatino Linotype"/>
          <w:lang w:val="es-ES_tradnl" w:eastAsia="es-ES"/>
        </w:rPr>
        <w:t>ocho (08) de noviembre</w:t>
      </w:r>
      <w:r w:rsidRPr="00124FB2">
        <w:rPr>
          <w:rFonts w:ascii="Palatino Linotype" w:eastAsiaTheme="minorEastAsia" w:hAnsi="Palatino Linotype"/>
          <w:lang w:val="es-ES_tradnl" w:eastAsia="es-ES"/>
        </w:rPr>
        <w:t xml:space="preserve">  de dos mil veintidós.</w:t>
      </w:r>
    </w:p>
    <w:p w:rsidR="00470AD2" w:rsidRPr="00124FB2" w:rsidRDefault="00470AD2" w:rsidP="00470AD2">
      <w:pPr>
        <w:pStyle w:val="Prrafodelista"/>
        <w:spacing w:line="360" w:lineRule="auto"/>
        <w:ind w:left="0" w:right="113"/>
        <w:jc w:val="both"/>
        <w:rPr>
          <w:rFonts w:ascii="Palatino Linotype" w:hAnsi="Palatino Linotype"/>
          <w:sz w:val="24"/>
        </w:rPr>
      </w:pPr>
    </w:p>
    <w:p w:rsidR="00470AD2" w:rsidRPr="00124FB2" w:rsidRDefault="00470AD2" w:rsidP="00470AD2">
      <w:pPr>
        <w:keepNext/>
        <w:keepLines/>
        <w:spacing w:line="360" w:lineRule="auto"/>
        <w:jc w:val="center"/>
        <w:outlineLvl w:val="0"/>
        <w:rPr>
          <w:rFonts w:ascii="Palatino Linotype" w:eastAsiaTheme="majorEastAsia" w:hAnsi="Palatino Linotype" w:cstheme="majorBidi"/>
        </w:rPr>
      </w:pPr>
      <w:bookmarkStart w:id="4" w:name="_Toc83301634"/>
      <w:r w:rsidRPr="00124FB2">
        <w:rPr>
          <w:rFonts w:ascii="Palatino Linotype" w:eastAsiaTheme="majorEastAsia" w:hAnsi="Palatino Linotype" w:cstheme="majorBidi"/>
          <w:b/>
        </w:rPr>
        <w:t>CONSIDERANDO</w:t>
      </w:r>
      <w:bookmarkEnd w:id="4"/>
      <w:r w:rsidRPr="00124FB2">
        <w:rPr>
          <w:rFonts w:ascii="Palatino Linotype" w:eastAsiaTheme="majorEastAsia" w:hAnsi="Palatino Linotype" w:cstheme="majorBidi"/>
          <w:b/>
        </w:rPr>
        <w:t xml:space="preserve"> </w:t>
      </w:r>
    </w:p>
    <w:p w:rsidR="00470AD2" w:rsidRPr="00124FB2" w:rsidRDefault="00470AD2" w:rsidP="00470AD2">
      <w:pPr>
        <w:spacing w:line="360" w:lineRule="auto"/>
        <w:rPr>
          <w:rFonts w:ascii="Palatino Linotype" w:eastAsiaTheme="minorEastAsia" w:hAnsi="Palatino Linotype"/>
        </w:rPr>
      </w:pPr>
    </w:p>
    <w:p w:rsidR="00470AD2" w:rsidRPr="00124FB2" w:rsidRDefault="00470AD2" w:rsidP="00470AD2">
      <w:pPr>
        <w:keepNext/>
        <w:keepLines/>
        <w:spacing w:line="360" w:lineRule="auto"/>
        <w:outlineLvl w:val="1"/>
        <w:rPr>
          <w:rFonts w:ascii="Palatino Linotype" w:eastAsiaTheme="majorEastAsia" w:hAnsi="Palatino Linotype" w:cstheme="majorBidi"/>
          <w:b/>
          <w:szCs w:val="26"/>
        </w:rPr>
      </w:pPr>
      <w:bookmarkStart w:id="5" w:name="_Toc83301635"/>
      <w:r w:rsidRPr="00124FB2">
        <w:rPr>
          <w:rFonts w:ascii="Palatino Linotype" w:eastAsiaTheme="majorEastAsia" w:hAnsi="Palatino Linotype" w:cstheme="majorBidi"/>
          <w:b/>
          <w:szCs w:val="26"/>
        </w:rPr>
        <w:t>PRIMERO. De la competencia</w:t>
      </w:r>
      <w:bookmarkEnd w:id="5"/>
    </w:p>
    <w:p w:rsidR="00470AD2" w:rsidRPr="00124FB2" w:rsidRDefault="00470AD2" w:rsidP="00470AD2">
      <w:pPr>
        <w:keepNext/>
        <w:keepLines/>
        <w:spacing w:line="360" w:lineRule="auto"/>
        <w:outlineLvl w:val="1"/>
        <w:rPr>
          <w:rFonts w:ascii="Palatino Linotype" w:eastAsiaTheme="majorEastAsia" w:hAnsi="Palatino Linotype" w:cstheme="majorBidi"/>
          <w:b/>
          <w:bCs/>
          <w:spacing w:val="60"/>
          <w:szCs w:val="26"/>
        </w:rPr>
      </w:pPr>
    </w:p>
    <w:p w:rsidR="00470AD2" w:rsidRPr="00124FB2" w:rsidRDefault="00470AD2" w:rsidP="00470AD2">
      <w:pPr>
        <w:numPr>
          <w:ilvl w:val="0"/>
          <w:numId w:val="1"/>
        </w:numPr>
        <w:spacing w:line="360" w:lineRule="auto"/>
        <w:ind w:left="0" w:firstLine="0"/>
        <w:contextualSpacing/>
        <w:jc w:val="both"/>
        <w:rPr>
          <w:rFonts w:ascii="Palatino Linotype" w:eastAsia="Calibri" w:hAnsi="Palatino Linotype"/>
          <w:lang w:eastAsia="es-ES"/>
        </w:rPr>
      </w:pPr>
      <w:r w:rsidRPr="00124FB2">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124FB2">
        <w:rPr>
          <w:rFonts w:ascii="Palatino Linotype" w:eastAsia="Calibri" w:hAnsi="Palatino Linotype"/>
          <w:b/>
          <w:lang w:val="es-ES" w:eastAsia="es-ES"/>
        </w:rPr>
        <w:t>Constitución Política de los Estados Unidos Mexicanos</w:t>
      </w:r>
      <w:r w:rsidRPr="00124FB2">
        <w:rPr>
          <w:rFonts w:ascii="Palatino Linotype" w:eastAsia="Calibri" w:hAnsi="Palatino Linotype"/>
          <w:lang w:val="es-ES" w:eastAsia="es-ES"/>
        </w:rPr>
        <w:t xml:space="preserve">; 5, </w:t>
      </w:r>
      <w:r w:rsidRPr="00124FB2">
        <w:rPr>
          <w:rFonts w:ascii="Palatino Linotype" w:eastAsia="Calibri" w:hAnsi="Palatino Linotype"/>
          <w:lang w:eastAsia="es-ES"/>
        </w:rPr>
        <w:t xml:space="preserve">párrafos trigésimo, trigésimo primero y trigésimo segundo, fracciones I, II, III, IV y V de la </w:t>
      </w:r>
      <w:r w:rsidRPr="00124FB2">
        <w:rPr>
          <w:rFonts w:ascii="Palatino Linotype" w:eastAsia="Calibri" w:hAnsi="Palatino Linotype"/>
          <w:b/>
          <w:lang w:eastAsia="es-ES"/>
        </w:rPr>
        <w:t>Constitución Política del Estado Libre y Soberano de México</w:t>
      </w:r>
      <w:r w:rsidRPr="00124FB2">
        <w:rPr>
          <w:rFonts w:ascii="Palatino Linotype" w:eastAsia="Calibri" w:hAnsi="Palatino Linotype"/>
          <w:b/>
          <w:lang w:val="es-ES" w:eastAsia="es-ES"/>
        </w:rPr>
        <w:t>;</w:t>
      </w:r>
      <w:r w:rsidRPr="00124FB2">
        <w:rPr>
          <w:rFonts w:ascii="Palatino Linotype" w:eastAsia="Calibri" w:hAnsi="Palatino Linotype"/>
          <w:lang w:val="es-ES" w:eastAsia="es-ES"/>
        </w:rPr>
        <w:t xml:space="preserve"> 1, 3 fracción I, 82, 97, 98, 119, 123, 124, 127, 128 y 133 </w:t>
      </w:r>
      <w:r w:rsidRPr="00124FB2">
        <w:rPr>
          <w:rFonts w:ascii="Palatino Linotype" w:eastAsia="Calibri" w:hAnsi="Palatino Linotype"/>
          <w:b/>
          <w:lang w:eastAsia="es-ES"/>
        </w:rPr>
        <w:t>Ley de Protección de Datos Personales en Posesión de Sujetos Obligados del Estado de México y Municipios</w:t>
      </w:r>
      <w:r w:rsidRPr="00124FB2">
        <w:rPr>
          <w:rFonts w:ascii="Palatino Linotype" w:eastAsia="Calibri" w:hAnsi="Palatino Linotype"/>
          <w:lang w:val="es-ES" w:eastAsia="es-ES"/>
        </w:rPr>
        <w:t xml:space="preserve">; y 10, 7, 9 fracciones I y XXIV, y 11 del </w:t>
      </w:r>
      <w:r w:rsidRPr="00124FB2">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470AD2" w:rsidRPr="00124FB2" w:rsidRDefault="00470AD2" w:rsidP="00470AD2">
      <w:pPr>
        <w:spacing w:line="360" w:lineRule="auto"/>
        <w:contextualSpacing/>
        <w:jc w:val="both"/>
        <w:rPr>
          <w:rFonts w:ascii="Palatino Linotype" w:eastAsiaTheme="minorEastAsia" w:hAnsi="Palatino Linotype"/>
          <w:lang w:val="es-ES_tradnl" w:eastAsia="es-ES"/>
        </w:rPr>
      </w:pPr>
    </w:p>
    <w:p w:rsidR="00470AD2" w:rsidRPr="00124FB2" w:rsidRDefault="00470AD2" w:rsidP="00470AD2">
      <w:pPr>
        <w:keepNext/>
        <w:keepLines/>
        <w:spacing w:line="360" w:lineRule="auto"/>
        <w:outlineLvl w:val="1"/>
        <w:rPr>
          <w:rFonts w:ascii="Palatino Linotype" w:eastAsiaTheme="majorEastAsia" w:hAnsi="Palatino Linotype" w:cstheme="majorBidi"/>
          <w:b/>
          <w:szCs w:val="26"/>
        </w:rPr>
      </w:pPr>
      <w:bookmarkStart w:id="6" w:name="_Toc83301636"/>
      <w:r w:rsidRPr="00124FB2">
        <w:rPr>
          <w:rFonts w:ascii="Palatino Linotype" w:eastAsiaTheme="majorEastAsia" w:hAnsi="Palatino Linotype" w:cstheme="majorBidi"/>
          <w:b/>
          <w:szCs w:val="26"/>
        </w:rPr>
        <w:t>SEGUNDO. De la oportunidad y procedencia.</w:t>
      </w:r>
      <w:bookmarkEnd w:id="6"/>
    </w:p>
    <w:p w:rsidR="00470AD2" w:rsidRPr="00124FB2" w:rsidRDefault="00470AD2" w:rsidP="00470AD2">
      <w:pPr>
        <w:spacing w:line="360" w:lineRule="auto"/>
        <w:rPr>
          <w:rFonts w:ascii="Palatino Linotype" w:eastAsiaTheme="minorEastAsia" w:hAnsi="Palatino Linotype"/>
        </w:rPr>
      </w:pPr>
    </w:p>
    <w:p w:rsidR="00470AD2" w:rsidRPr="00124FB2" w:rsidRDefault="00470AD2" w:rsidP="00470AD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24FB2">
        <w:rPr>
          <w:rFonts w:ascii="Palatino Linotype" w:eastAsia="Calibri" w:hAnsi="Palatino Linotype" w:cs="Arial"/>
          <w:lang w:val="es-ES_tradnl" w:eastAsia="es-ES"/>
        </w:rPr>
        <w:lastRenderedPageBreak/>
        <w:t xml:space="preserve">El medio de impugnación fue presentado a través del </w:t>
      </w:r>
      <w:r w:rsidRPr="00124FB2">
        <w:rPr>
          <w:rFonts w:ascii="Palatino Linotype" w:eastAsia="Calibri" w:hAnsi="Palatino Linotype" w:cs="Arial"/>
          <w:b/>
          <w:lang w:val="es-ES_tradnl" w:eastAsia="es-ES"/>
        </w:rPr>
        <w:t>SAIMEX,</w:t>
      </w:r>
      <w:r w:rsidRPr="00124FB2">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124FB2">
        <w:rPr>
          <w:rFonts w:ascii="Palatino Linotype" w:eastAsia="Calibri" w:hAnsi="Palatino Linotype" w:cs="Arial"/>
          <w:b/>
          <w:lang w:val="es-ES_tradnl" w:eastAsia="es-ES"/>
        </w:rPr>
        <w:t>SUJETO OBLIGADO</w:t>
      </w:r>
      <w:r w:rsidRPr="00124FB2">
        <w:rPr>
          <w:rFonts w:ascii="Palatino Linotype" w:eastAsia="Calibri" w:hAnsi="Palatino Linotype" w:cs="Arial"/>
          <w:lang w:val="es-ES_tradnl" w:eastAsia="es-ES"/>
        </w:rPr>
        <w:t xml:space="preserve"> entregó respuesta a la solicitud el día </w:t>
      </w:r>
      <w:r w:rsidR="00730B3A" w:rsidRPr="00124FB2">
        <w:rPr>
          <w:rFonts w:ascii="Palatino Linotype" w:eastAsia="Calibri" w:hAnsi="Palatino Linotype" w:cs="Arial"/>
          <w:lang w:val="es-ES_tradnl" w:eastAsia="es-ES"/>
        </w:rPr>
        <w:t>veintiséis (26) de septiembre</w:t>
      </w:r>
      <w:r w:rsidRPr="00124FB2">
        <w:rPr>
          <w:rFonts w:ascii="Palatino Linotype" w:eastAsia="Calibri" w:hAnsi="Palatino Linotype" w:cs="Arial"/>
          <w:lang w:val="es-ES_tradnl" w:eastAsia="es-ES"/>
        </w:rPr>
        <w:t xml:space="preserve">  de dos mil veintidós, </w:t>
      </w:r>
      <w:r w:rsidRPr="00124FB2">
        <w:rPr>
          <w:rFonts w:ascii="Palatino Linotype" w:eastAsiaTheme="minorEastAsia" w:hAnsi="Palatino Linotype" w:cs="Arial"/>
          <w:lang w:val="es-ES_tradnl" w:eastAsia="es-ES"/>
        </w:rPr>
        <w:t xml:space="preserve">de tal forma que el plazo para interponer el recurso de revisión transcurrió del </w:t>
      </w:r>
      <w:r w:rsidR="00730B3A" w:rsidRPr="00124FB2">
        <w:rPr>
          <w:rFonts w:ascii="Palatino Linotype" w:eastAsiaTheme="minorEastAsia" w:hAnsi="Palatino Linotype" w:cs="Arial"/>
          <w:lang w:val="es-ES_tradnl" w:eastAsia="es-ES"/>
        </w:rPr>
        <w:t xml:space="preserve">veintisiete (27) de septiembre </w:t>
      </w:r>
      <w:r w:rsidRPr="00124FB2">
        <w:rPr>
          <w:rFonts w:ascii="Palatino Linotype" w:eastAsiaTheme="minorEastAsia" w:hAnsi="Palatino Linotype" w:cs="Arial"/>
          <w:lang w:val="es-ES_tradnl" w:eastAsia="es-ES"/>
        </w:rPr>
        <w:t xml:space="preserve"> al </w:t>
      </w:r>
      <w:r w:rsidR="00730B3A" w:rsidRPr="00124FB2">
        <w:rPr>
          <w:rFonts w:ascii="Palatino Linotype" w:eastAsiaTheme="minorEastAsia" w:hAnsi="Palatino Linotype" w:cs="Arial"/>
          <w:lang w:val="es-ES_tradnl" w:eastAsia="es-ES"/>
        </w:rPr>
        <w:t>diecisiete (17) de octubre</w:t>
      </w:r>
      <w:r w:rsidRPr="00124FB2">
        <w:rPr>
          <w:rFonts w:ascii="Palatino Linotype" w:eastAsiaTheme="minorEastAsia" w:hAnsi="Palatino Linotype" w:cs="Arial"/>
          <w:lang w:val="es-ES_tradnl" w:eastAsia="es-ES"/>
        </w:rPr>
        <w:t xml:space="preserve">  de dos mil veintidós; en consecuencia, presentó su inconformidad el día </w:t>
      </w:r>
      <w:r w:rsidR="00730B3A" w:rsidRPr="00124FB2">
        <w:rPr>
          <w:rFonts w:ascii="Palatino Linotype" w:eastAsiaTheme="minorEastAsia" w:hAnsi="Palatino Linotype" w:cs="Arial"/>
          <w:lang w:val="es-ES_tradnl" w:eastAsia="es-ES"/>
        </w:rPr>
        <w:t>doce (12) de octubre</w:t>
      </w:r>
      <w:r w:rsidRPr="00124FB2">
        <w:rPr>
          <w:rFonts w:ascii="Palatino Linotype" w:eastAsiaTheme="minorEastAsia" w:hAnsi="Palatino Linotype" w:cs="Arial"/>
          <w:lang w:val="es-ES_tradnl" w:eastAsia="es-ES"/>
        </w:rPr>
        <w:t xml:space="preserve"> del presente año, por lo que se encuentra dentro de los márgenes temporales previstos en el artículo 178 de la </w:t>
      </w:r>
      <w:r w:rsidRPr="00124FB2">
        <w:rPr>
          <w:rFonts w:ascii="Palatino Linotype" w:eastAsiaTheme="minorEastAsia" w:hAnsi="Palatino Linotype" w:cs="Arial"/>
          <w:b/>
          <w:lang w:val="es-ES_tradnl" w:eastAsia="es-ES"/>
        </w:rPr>
        <w:t xml:space="preserve">Ley de Transparencia y Acceso a la Información Pública del Estado de México y Municipios </w:t>
      </w:r>
      <w:r w:rsidRPr="00124FB2">
        <w:rPr>
          <w:rFonts w:ascii="Palatino Linotype" w:eastAsiaTheme="minorEastAsia" w:hAnsi="Palatino Linotype" w:cs="Arial"/>
          <w:lang w:val="es-ES_tradnl" w:eastAsia="es-ES"/>
        </w:rPr>
        <w:t>vigente.</w:t>
      </w:r>
    </w:p>
    <w:p w:rsidR="00470AD2" w:rsidRPr="00124FB2" w:rsidRDefault="00470AD2" w:rsidP="00470AD2">
      <w:pPr>
        <w:pStyle w:val="Prrafodelista"/>
        <w:rPr>
          <w:rFonts w:ascii="Palatino Linotype" w:hAnsi="Palatino Linotype" w:cs="Arial"/>
          <w:i/>
          <w:sz w:val="24"/>
          <w:szCs w:val="20"/>
        </w:rPr>
      </w:pPr>
    </w:p>
    <w:p w:rsidR="00470AD2" w:rsidRPr="00124FB2" w:rsidRDefault="00470AD2" w:rsidP="00470AD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24FB2">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65713731"/>
      <w:bookmarkStart w:id="8" w:name="_Toc94119614"/>
      <w:bookmarkStart w:id="9" w:name="_Toc452722829"/>
      <w:bookmarkStart w:id="10" w:name="_Toc454373811"/>
      <w:bookmarkStart w:id="11" w:name="_Toc476675991"/>
    </w:p>
    <w:p w:rsidR="00730B3A" w:rsidRPr="00124FB2" w:rsidRDefault="00730B3A" w:rsidP="00730B3A">
      <w:pPr>
        <w:spacing w:line="360" w:lineRule="auto"/>
        <w:ind w:right="49"/>
        <w:contextualSpacing/>
        <w:jc w:val="both"/>
        <w:rPr>
          <w:rFonts w:ascii="Palatino Linotype" w:eastAsiaTheme="minorEastAsia" w:hAnsi="Palatino Linotype"/>
          <w:lang w:val="es-ES_tradnl" w:eastAsia="es-ES"/>
        </w:rPr>
      </w:pPr>
    </w:p>
    <w:p w:rsidR="00470AD2" w:rsidRPr="00124FB2" w:rsidRDefault="00470AD2" w:rsidP="00470AD2">
      <w:pPr>
        <w:spacing w:line="360" w:lineRule="auto"/>
        <w:ind w:right="49"/>
        <w:contextualSpacing/>
        <w:jc w:val="both"/>
        <w:rPr>
          <w:rFonts w:ascii="Palatino Linotype" w:eastAsia="MS Gothic" w:hAnsi="Palatino Linotype" w:cstheme="majorBidi"/>
          <w:b/>
          <w:lang w:eastAsia="es-ES"/>
        </w:rPr>
      </w:pPr>
      <w:r w:rsidRPr="00124FB2">
        <w:rPr>
          <w:rFonts w:ascii="Palatino Linotype" w:eastAsia="MS Gothic" w:hAnsi="Palatino Linotype" w:cstheme="majorBidi"/>
          <w:b/>
          <w:lang w:val="es-ES_tradnl" w:eastAsia="es-ES"/>
        </w:rPr>
        <w:t>TERCERO. Planteamiento de la Litis</w:t>
      </w:r>
      <w:r w:rsidRPr="00124FB2">
        <w:rPr>
          <w:rFonts w:ascii="Palatino Linotype" w:eastAsia="MS Gothic" w:hAnsi="Palatino Linotype" w:cstheme="majorBidi"/>
          <w:b/>
          <w:lang w:eastAsia="es-ES"/>
        </w:rPr>
        <w:t>.</w:t>
      </w:r>
      <w:bookmarkEnd w:id="7"/>
      <w:bookmarkEnd w:id="8"/>
    </w:p>
    <w:p w:rsidR="00470AD2" w:rsidRPr="00124FB2" w:rsidRDefault="00470AD2" w:rsidP="00470AD2">
      <w:pPr>
        <w:spacing w:line="360" w:lineRule="auto"/>
        <w:ind w:right="49"/>
        <w:contextualSpacing/>
        <w:jc w:val="both"/>
        <w:rPr>
          <w:rFonts w:ascii="Palatino Linotype" w:eastAsia="MS Gothic" w:hAnsi="Palatino Linotype" w:cstheme="majorBidi"/>
          <w:b/>
          <w:lang w:eastAsia="es-ES"/>
        </w:rPr>
      </w:pPr>
    </w:p>
    <w:p w:rsidR="00470AD2" w:rsidRPr="00124FB2" w:rsidRDefault="00470AD2" w:rsidP="00DF7CD5">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124FB2">
        <w:rPr>
          <w:rFonts w:ascii="Palatino Linotype" w:eastAsia="MS Gothic" w:hAnsi="Palatino Linotype" w:cstheme="majorBidi"/>
          <w:lang w:eastAsia="es-ES"/>
        </w:rPr>
        <w:t xml:space="preserve">El particular solicitó </w:t>
      </w:r>
      <w:r w:rsidR="00730B3A" w:rsidRPr="00124FB2">
        <w:rPr>
          <w:rFonts w:ascii="Palatino Linotype" w:eastAsia="MS Gothic" w:hAnsi="Palatino Linotype" w:cstheme="majorBidi"/>
          <w:lang w:eastAsia="es-ES"/>
        </w:rPr>
        <w:t xml:space="preserve">el currículum vitae de todos los servidores públicos </w:t>
      </w:r>
      <w:r w:rsidR="00090A2F" w:rsidRPr="00124FB2">
        <w:rPr>
          <w:rFonts w:ascii="Palatino Linotype" w:eastAsia="MS Gothic" w:hAnsi="Palatino Linotype" w:cstheme="majorBidi"/>
          <w:lang w:eastAsia="es-ES"/>
        </w:rPr>
        <w:t xml:space="preserve">de la administración 2022-2024. </w:t>
      </w:r>
    </w:p>
    <w:p w:rsidR="00090A2F" w:rsidRPr="00124FB2" w:rsidRDefault="00090A2F" w:rsidP="00090A2F">
      <w:pPr>
        <w:spacing w:line="360" w:lineRule="auto"/>
        <w:ind w:right="49"/>
        <w:contextualSpacing/>
        <w:jc w:val="both"/>
        <w:rPr>
          <w:rFonts w:ascii="Palatino Linotype" w:eastAsia="MS Gothic" w:hAnsi="Palatino Linotype" w:cstheme="majorBidi"/>
          <w:i/>
          <w:lang w:val="es-ES_tradnl" w:eastAsia="es-ES"/>
        </w:rPr>
      </w:pPr>
    </w:p>
    <w:p w:rsidR="00470AD2" w:rsidRPr="00124FB2" w:rsidRDefault="00470AD2" w:rsidP="00470AD2">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124FB2">
        <w:rPr>
          <w:rFonts w:ascii="Palatino Linotype" w:eastAsia="MS Gothic" w:hAnsi="Palatino Linotype" w:cstheme="majorBidi"/>
          <w:iCs/>
          <w:lang w:eastAsia="es-ES"/>
        </w:rPr>
        <w:t xml:space="preserve">En respuesta, el SUJETO OBLIGADO  adjuntó </w:t>
      </w:r>
      <w:r w:rsidR="00090A2F" w:rsidRPr="00124FB2">
        <w:rPr>
          <w:rFonts w:ascii="Palatino Linotype" w:eastAsia="MS Gothic" w:hAnsi="Palatino Linotype" w:cstheme="majorBidi"/>
          <w:iCs/>
          <w:lang w:eastAsia="es-ES"/>
        </w:rPr>
        <w:t xml:space="preserve">una liga electrónica para acceder a la información solicitada. En consecuencia, el particular interpuso recurso de </w:t>
      </w:r>
      <w:r w:rsidR="00090A2F" w:rsidRPr="00124FB2">
        <w:rPr>
          <w:rFonts w:ascii="Palatino Linotype" w:eastAsia="MS Gothic" w:hAnsi="Palatino Linotype" w:cstheme="majorBidi"/>
          <w:iCs/>
          <w:lang w:eastAsia="es-ES"/>
        </w:rPr>
        <w:lastRenderedPageBreak/>
        <w:t xml:space="preserve">revisión a través del cual señaló como motivos de inconformidad la entrega de información incompleta. </w:t>
      </w:r>
    </w:p>
    <w:p w:rsidR="00470AD2" w:rsidRPr="00124FB2" w:rsidRDefault="00470AD2" w:rsidP="00470AD2">
      <w:pPr>
        <w:spacing w:line="360" w:lineRule="auto"/>
        <w:ind w:right="49"/>
        <w:contextualSpacing/>
        <w:jc w:val="both"/>
        <w:rPr>
          <w:rFonts w:ascii="Palatino Linotype" w:eastAsia="MS Gothic" w:hAnsi="Palatino Linotype" w:cstheme="majorBidi"/>
          <w:lang w:eastAsia="es-ES"/>
        </w:rPr>
      </w:pPr>
    </w:p>
    <w:p w:rsidR="00470AD2" w:rsidRPr="00124FB2" w:rsidRDefault="00470AD2" w:rsidP="00470AD2">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124FB2">
        <w:rPr>
          <w:rFonts w:ascii="Palatino Linotype" w:eastAsia="MS Gothic" w:hAnsi="Palatino Linotype" w:cstheme="majorBidi"/>
          <w:lang w:eastAsia="es-ES"/>
        </w:rPr>
        <w:t xml:space="preserve">En consecuencia, la Litis a resolver en este recurso, se circunscribe a determinar si la respuesta colma con lo solicitado o si se actualiza las causales de procedencia previstas en el artículo 179, fracción I y V de la Ley de Transparencia y Acceso a la Información Pública del Estado de México y Municipios; que establece la negativa de la información y la entrega de información incompleta. </w:t>
      </w:r>
    </w:p>
    <w:p w:rsidR="00470AD2" w:rsidRPr="00124FB2" w:rsidRDefault="00470AD2" w:rsidP="00470AD2">
      <w:pPr>
        <w:spacing w:line="360" w:lineRule="auto"/>
        <w:ind w:right="49"/>
        <w:contextualSpacing/>
        <w:jc w:val="both"/>
        <w:rPr>
          <w:rFonts w:ascii="Palatino Linotype" w:eastAsia="MS Gothic" w:hAnsi="Palatino Linotype"/>
        </w:rPr>
      </w:pPr>
    </w:p>
    <w:p w:rsidR="00470AD2" w:rsidRPr="00124FB2" w:rsidRDefault="00470AD2" w:rsidP="00470AD2">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124FB2">
        <w:rPr>
          <w:rFonts w:ascii="Palatino Linotype" w:eastAsia="MS Gothic" w:hAnsi="Palatino Linotype" w:cstheme="majorBidi"/>
          <w:b/>
          <w:lang w:val="es-ES_tradnl" w:eastAsia="es-ES"/>
        </w:rPr>
        <w:t>CUARTO. Del estudio y resolución del recurso de revisión.</w:t>
      </w:r>
      <w:bookmarkEnd w:id="12"/>
      <w:bookmarkEnd w:id="13"/>
      <w:bookmarkEnd w:id="14"/>
    </w:p>
    <w:p w:rsidR="00470AD2" w:rsidRPr="00124FB2" w:rsidRDefault="00470AD2" w:rsidP="00470AD2">
      <w:pPr>
        <w:keepNext/>
        <w:keepLines/>
        <w:spacing w:line="360" w:lineRule="auto"/>
        <w:ind w:right="48"/>
        <w:outlineLvl w:val="0"/>
        <w:rPr>
          <w:rFonts w:ascii="Palatino Linotype" w:eastAsia="MS Gothic" w:hAnsi="Palatino Linotype" w:cstheme="majorBidi"/>
          <w:b/>
          <w:lang w:val="es-ES_tradnl" w:eastAsia="es-ES"/>
        </w:rPr>
      </w:pPr>
    </w:p>
    <w:p w:rsidR="00470AD2" w:rsidRPr="00124FB2" w:rsidRDefault="00470AD2" w:rsidP="00470AD2">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124FB2">
        <w:rPr>
          <w:rFonts w:ascii="Palatino Linotype" w:eastAsia="MS Gothic" w:hAnsi="Palatino Linotype"/>
          <w:b/>
          <w:sz w:val="24"/>
          <w:lang w:val="es-ES_tradnl" w:eastAsia="es-ES"/>
        </w:rPr>
        <w:t>De</w:t>
      </w:r>
      <w:bookmarkEnd w:id="15"/>
      <w:r w:rsidRPr="00124FB2">
        <w:rPr>
          <w:rFonts w:ascii="Palatino Linotype" w:eastAsia="MS Gothic" w:hAnsi="Palatino Linotype"/>
          <w:b/>
          <w:sz w:val="24"/>
          <w:lang w:val="es-ES_tradnl" w:eastAsia="es-ES"/>
        </w:rPr>
        <w:t>l derecho de acceso a la información.</w:t>
      </w:r>
      <w:bookmarkEnd w:id="16"/>
      <w:bookmarkEnd w:id="17"/>
      <w:bookmarkEnd w:id="18"/>
      <w:bookmarkEnd w:id="19"/>
    </w:p>
    <w:p w:rsidR="00470AD2" w:rsidRPr="00124FB2" w:rsidRDefault="00470AD2" w:rsidP="00470AD2">
      <w:pPr>
        <w:spacing w:line="360" w:lineRule="auto"/>
        <w:ind w:right="49"/>
        <w:contextualSpacing/>
        <w:jc w:val="both"/>
        <w:rPr>
          <w:rFonts w:ascii="Palatino Linotype" w:eastAsiaTheme="minorEastAsia" w:hAnsi="Palatino Linotype"/>
          <w:lang w:val="es-ES_tradnl" w:eastAsia="es-ES"/>
        </w:rPr>
      </w:pPr>
    </w:p>
    <w:p w:rsidR="00470AD2" w:rsidRPr="00124FB2" w:rsidRDefault="00470AD2" w:rsidP="00470AD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24FB2">
        <w:rPr>
          <w:rFonts w:ascii="Palatino Linotype" w:eastAsiaTheme="minorEastAsia" w:hAnsi="Palatino Linotype"/>
          <w:lang w:val="es-ES_tradnl" w:eastAsia="es-ES"/>
        </w:rPr>
        <w:t>E</w:t>
      </w:r>
      <w:r w:rsidRPr="00124FB2">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124FB2">
        <w:rPr>
          <w:rFonts w:ascii="Palatino Linotype" w:hAnsi="Palatino Linotype" w:cs="Arial"/>
          <w:color w:val="000000"/>
          <w:lang w:val="es-ES_tradnl" w:eastAsia="es-ES"/>
        </w:rPr>
        <w:t xml:space="preserve">. </w:t>
      </w:r>
    </w:p>
    <w:p w:rsidR="00470AD2" w:rsidRPr="00124FB2" w:rsidRDefault="00470AD2" w:rsidP="00470AD2">
      <w:pPr>
        <w:spacing w:line="360" w:lineRule="auto"/>
        <w:ind w:right="49"/>
        <w:contextualSpacing/>
        <w:jc w:val="both"/>
        <w:rPr>
          <w:rFonts w:ascii="Palatino Linotype" w:eastAsiaTheme="minorEastAsia" w:hAnsi="Palatino Linotype"/>
          <w:lang w:val="es-ES_tradnl" w:eastAsia="es-ES"/>
        </w:rPr>
      </w:pPr>
    </w:p>
    <w:p w:rsidR="00470AD2" w:rsidRPr="00124FB2" w:rsidRDefault="00470AD2" w:rsidP="00470AD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24FB2">
        <w:rPr>
          <w:rFonts w:ascii="Palatino Linotype" w:hAnsi="Palatino Linotype"/>
          <w:lang w:val="es-ES_tradnl" w:eastAsia="es-ES"/>
        </w:rPr>
        <w:t xml:space="preserve">Definiendo el Derecho de Acceso a la Información Pública como: </w:t>
      </w:r>
      <w:r w:rsidRPr="00124FB2">
        <w:rPr>
          <w:rFonts w:ascii="Palatino Linotype" w:eastAsiaTheme="minorEastAsia" w:hAnsi="Palatino Linotype"/>
          <w:i/>
          <w:color w:val="000000"/>
          <w:lang w:val="es-ES_tradnl" w:eastAsia="es-ES"/>
        </w:rPr>
        <w:t>La igualdad de oportunidades para recibir, buscar e impartir información</w:t>
      </w:r>
      <w:r w:rsidRPr="00124FB2">
        <w:rPr>
          <w:rFonts w:ascii="Palatino Linotype" w:eastAsiaTheme="minorEastAsia" w:hAnsi="Palatino Linotype"/>
          <w:i/>
          <w:vertAlign w:val="superscript"/>
          <w:lang w:val="es-ES_tradnl" w:eastAsia="es-ES"/>
        </w:rPr>
        <w:footnoteReference w:id="1"/>
      </w:r>
      <w:r w:rsidRPr="00124FB2">
        <w:rPr>
          <w:rFonts w:ascii="Palatino Linotype" w:eastAsiaTheme="minorEastAsia" w:hAnsi="Palatino Linotype"/>
          <w:i/>
          <w:color w:val="000000"/>
          <w:lang w:val="es-ES_tradnl" w:eastAsia="es-ES"/>
        </w:rPr>
        <w:t xml:space="preserve">en posesión de cualquier autoridad, </w:t>
      </w:r>
      <w:r w:rsidRPr="00124FB2">
        <w:rPr>
          <w:rFonts w:ascii="Palatino Linotype" w:eastAsiaTheme="minorEastAsia" w:hAnsi="Palatino Linotype"/>
          <w:i/>
          <w:color w:val="000000"/>
          <w:lang w:val="es-ES_tradnl" w:eastAsia="es-ES"/>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24FB2">
        <w:rPr>
          <w:rFonts w:ascii="Palatino Linotype" w:eastAsiaTheme="minorEastAsia" w:hAnsi="Palatino Linotype"/>
          <w:i/>
          <w:vertAlign w:val="superscript"/>
          <w:lang w:val="es-ES_tradnl" w:eastAsia="es-ES"/>
        </w:rPr>
        <w:footnoteReference w:id="2"/>
      </w:r>
      <w:r w:rsidRPr="00124FB2">
        <w:rPr>
          <w:rFonts w:ascii="Palatino Linotype" w:eastAsiaTheme="minorEastAsia" w:hAnsi="Palatino Linotype"/>
          <w:color w:val="000000"/>
          <w:lang w:val="es-ES_tradnl" w:eastAsia="es-ES"/>
        </w:rPr>
        <w:t>que se constituye como una herramienta fundamental para ejercer</w:t>
      </w:r>
      <w:r w:rsidRPr="00124FB2">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124FB2">
        <w:rPr>
          <w:rFonts w:ascii="Palatino Linotype" w:eastAsiaTheme="minorEastAsia" w:hAnsi="Palatino Linotype"/>
          <w:i/>
          <w:vertAlign w:val="superscript"/>
          <w:lang w:val="es-ES_tradnl" w:eastAsia="es-ES"/>
        </w:rPr>
        <w:footnoteReference w:id="3"/>
      </w:r>
      <w:r w:rsidRPr="00124FB2">
        <w:rPr>
          <w:rFonts w:ascii="Palatino Linotype" w:eastAsiaTheme="minorEastAsia" w:hAnsi="Palatino Linotype"/>
          <w:color w:val="000000"/>
          <w:lang w:val="es-ES_tradnl" w:eastAsia="es-ES"/>
        </w:rPr>
        <w:t>fomentando</w:t>
      </w:r>
      <w:r w:rsidRPr="00124FB2">
        <w:rPr>
          <w:rFonts w:ascii="Palatino Linotype" w:eastAsiaTheme="minorEastAsia" w:hAnsi="Palatino Linotype"/>
          <w:i/>
          <w:color w:val="000000"/>
          <w:lang w:val="es-ES_tradnl" w:eastAsia="es-ES"/>
        </w:rPr>
        <w:t xml:space="preserve"> la transparencia de las actividades estatales y </w:t>
      </w:r>
      <w:r w:rsidRPr="00124FB2">
        <w:rPr>
          <w:rFonts w:ascii="Palatino Linotype" w:eastAsiaTheme="minorEastAsia" w:hAnsi="Palatino Linotype"/>
          <w:color w:val="000000"/>
          <w:lang w:val="es-ES_tradnl" w:eastAsia="es-ES"/>
        </w:rPr>
        <w:t>promoviendo</w:t>
      </w:r>
      <w:r w:rsidRPr="00124FB2">
        <w:rPr>
          <w:rFonts w:ascii="Palatino Linotype" w:eastAsiaTheme="minorEastAsia" w:hAnsi="Palatino Linotype"/>
          <w:i/>
          <w:color w:val="000000"/>
          <w:lang w:val="es-ES_tradnl" w:eastAsia="es-ES"/>
        </w:rPr>
        <w:t xml:space="preserve"> la responsabilidad de los funcionarios sobre su gestión pública,</w:t>
      </w:r>
      <w:r w:rsidRPr="00124FB2">
        <w:rPr>
          <w:rFonts w:ascii="Palatino Linotype" w:eastAsiaTheme="minorEastAsia" w:hAnsi="Palatino Linotype"/>
          <w:i/>
          <w:vertAlign w:val="superscript"/>
          <w:lang w:val="es-ES_tradnl" w:eastAsia="es-ES"/>
        </w:rPr>
        <w:footnoteReference w:id="4"/>
      </w:r>
      <w:r w:rsidRPr="00124FB2">
        <w:rPr>
          <w:rFonts w:ascii="Palatino Linotype" w:eastAsiaTheme="minorEastAsia" w:hAnsi="Palatino Linotype"/>
          <w:color w:val="000000"/>
          <w:lang w:val="es-ES_tradnl" w:eastAsia="es-ES"/>
        </w:rPr>
        <w:t>que permite</w:t>
      </w:r>
      <w:r w:rsidRPr="00124FB2">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470AD2" w:rsidRPr="00124FB2" w:rsidRDefault="00470AD2" w:rsidP="00470AD2">
      <w:pPr>
        <w:spacing w:line="360" w:lineRule="auto"/>
        <w:ind w:right="49"/>
        <w:contextualSpacing/>
        <w:jc w:val="both"/>
        <w:rPr>
          <w:rFonts w:ascii="Palatino Linotype" w:eastAsiaTheme="minorEastAsia" w:hAnsi="Palatino Linotype"/>
          <w:lang w:val="es-ES_tradnl" w:eastAsia="es-ES"/>
        </w:rPr>
      </w:pPr>
    </w:p>
    <w:p w:rsidR="00470AD2" w:rsidRPr="00124FB2" w:rsidRDefault="00470AD2" w:rsidP="00470AD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24FB2">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470AD2" w:rsidRPr="00124FB2" w:rsidRDefault="00470AD2" w:rsidP="00470AD2">
      <w:pPr>
        <w:spacing w:line="360" w:lineRule="auto"/>
        <w:ind w:right="49"/>
        <w:contextualSpacing/>
        <w:jc w:val="both"/>
        <w:rPr>
          <w:rFonts w:ascii="Palatino Linotype" w:hAnsi="Palatino Linotype"/>
          <w:lang w:val="es-ES_tradnl" w:eastAsia="es-ES"/>
        </w:rPr>
      </w:pPr>
    </w:p>
    <w:p w:rsidR="00470AD2" w:rsidRPr="00124FB2" w:rsidRDefault="00470AD2" w:rsidP="00470AD2">
      <w:pPr>
        <w:spacing w:line="360" w:lineRule="auto"/>
        <w:ind w:left="567" w:right="567"/>
        <w:contextualSpacing/>
        <w:jc w:val="both"/>
        <w:rPr>
          <w:rFonts w:ascii="Palatino Linotype" w:hAnsi="Palatino Linotype"/>
          <w:i/>
          <w:sz w:val="22"/>
          <w:lang w:val="es-ES_tradnl" w:eastAsia="es-ES"/>
        </w:rPr>
      </w:pPr>
      <w:r w:rsidRPr="00124FB2">
        <w:rPr>
          <w:rFonts w:ascii="Palatino Linotype" w:hAnsi="Palatino Linotype"/>
          <w:i/>
          <w:sz w:val="22"/>
          <w:lang w:val="es-ES_tradnl" w:eastAsia="es-ES"/>
        </w:rPr>
        <w:t>“</w:t>
      </w:r>
      <w:r w:rsidRPr="00124FB2">
        <w:rPr>
          <w:rFonts w:ascii="Palatino Linotype" w:hAnsi="Palatino Linotype"/>
          <w:b/>
          <w:i/>
          <w:sz w:val="22"/>
          <w:lang w:val="es-ES_tradnl" w:eastAsia="es-ES"/>
        </w:rPr>
        <w:t>Artículo 1.-</w:t>
      </w:r>
      <w:r w:rsidRPr="00124FB2">
        <w:rPr>
          <w:rFonts w:ascii="Palatino Linotype" w:hAnsi="Palatino Linotype"/>
          <w:i/>
          <w:sz w:val="22"/>
          <w:lang w:val="es-ES_tradnl" w:eastAsia="es-ES"/>
        </w:rPr>
        <w:t xml:space="preserve"> </w:t>
      </w:r>
    </w:p>
    <w:p w:rsidR="00470AD2" w:rsidRPr="00124FB2" w:rsidRDefault="00470AD2" w:rsidP="00470AD2">
      <w:pPr>
        <w:spacing w:line="360" w:lineRule="auto"/>
        <w:ind w:left="567" w:right="567"/>
        <w:contextualSpacing/>
        <w:jc w:val="both"/>
        <w:rPr>
          <w:rFonts w:ascii="Palatino Linotype" w:hAnsi="Palatino Linotype"/>
          <w:i/>
          <w:sz w:val="22"/>
          <w:lang w:val="es-ES_tradnl" w:eastAsia="es-ES"/>
        </w:rPr>
      </w:pPr>
      <w:r w:rsidRPr="00124FB2">
        <w:rPr>
          <w:rFonts w:ascii="Palatino Linotype" w:hAnsi="Palatino Linotype"/>
          <w:i/>
          <w:sz w:val="22"/>
          <w:lang w:val="es-ES_tradnl" w:eastAsia="es-ES"/>
        </w:rPr>
        <w:t>(…)</w:t>
      </w:r>
    </w:p>
    <w:p w:rsidR="00470AD2" w:rsidRPr="00124FB2" w:rsidRDefault="00470AD2" w:rsidP="00470AD2">
      <w:pPr>
        <w:spacing w:line="360" w:lineRule="auto"/>
        <w:ind w:left="567" w:right="567"/>
        <w:contextualSpacing/>
        <w:jc w:val="both"/>
        <w:rPr>
          <w:rFonts w:ascii="Palatino Linotype" w:hAnsi="Palatino Linotype"/>
          <w:i/>
          <w:sz w:val="22"/>
        </w:rPr>
      </w:pPr>
      <w:r w:rsidRPr="00124FB2">
        <w:rPr>
          <w:rFonts w:ascii="Palatino Linotype" w:hAnsi="Palatino Linotype"/>
          <w:i/>
          <w:sz w:val="22"/>
          <w:lang w:val="es-ES_tradnl" w:eastAsia="es-ES"/>
        </w:rPr>
        <w:t>Todas las</w:t>
      </w:r>
      <w:r w:rsidRPr="00124FB2">
        <w:rPr>
          <w:rFonts w:ascii="Palatino Linotype" w:hAnsi="Palatino Linotype"/>
          <w:sz w:val="22"/>
          <w:lang w:val="es-ES_tradnl" w:eastAsia="es-ES"/>
        </w:rPr>
        <w:t xml:space="preserve"> </w:t>
      </w:r>
      <w:r w:rsidRPr="00124FB2">
        <w:rPr>
          <w:rFonts w:ascii="Palatino Linotype" w:hAnsi="Palatino Linotype"/>
          <w:i/>
          <w:sz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w:t>
      </w:r>
      <w:r w:rsidRPr="00124FB2">
        <w:rPr>
          <w:rFonts w:ascii="Palatino Linotype" w:hAnsi="Palatino Linotype"/>
          <w:i/>
          <w:sz w:val="22"/>
        </w:rPr>
        <w:lastRenderedPageBreak/>
        <w:t>Estado deberá prevenir, investigar, sancionar y reparar las violaciones a los derechos humanos, en los términos que establezca la ley.</w:t>
      </w:r>
    </w:p>
    <w:p w:rsidR="00470AD2" w:rsidRPr="00124FB2" w:rsidRDefault="00470AD2" w:rsidP="00470AD2">
      <w:pPr>
        <w:spacing w:line="360" w:lineRule="auto"/>
        <w:ind w:left="567" w:right="567"/>
        <w:contextualSpacing/>
        <w:jc w:val="both"/>
        <w:rPr>
          <w:rFonts w:ascii="Palatino Linotype" w:hAnsi="Palatino Linotype"/>
          <w:sz w:val="22"/>
          <w:lang w:val="es-ES_tradnl" w:eastAsia="es-ES"/>
        </w:rPr>
      </w:pPr>
      <w:r w:rsidRPr="00124FB2">
        <w:rPr>
          <w:rFonts w:ascii="Palatino Linotype" w:hAnsi="Palatino Linotype"/>
          <w:i/>
          <w:sz w:val="22"/>
        </w:rPr>
        <w:t>(…)</w:t>
      </w:r>
      <w:r w:rsidRPr="00124FB2">
        <w:rPr>
          <w:rFonts w:ascii="Palatino Linotype" w:hAnsi="Palatino Linotype"/>
          <w:sz w:val="22"/>
          <w:lang w:val="es-ES_tradnl" w:eastAsia="es-ES"/>
        </w:rPr>
        <w:t>”.</w:t>
      </w:r>
    </w:p>
    <w:p w:rsidR="00470AD2" w:rsidRPr="00124FB2" w:rsidRDefault="00470AD2" w:rsidP="00470AD2">
      <w:pPr>
        <w:spacing w:line="360" w:lineRule="auto"/>
        <w:ind w:left="567" w:right="567"/>
        <w:contextualSpacing/>
        <w:jc w:val="both"/>
        <w:rPr>
          <w:rFonts w:ascii="Palatino Linotype" w:hAnsi="Palatino Linotype"/>
          <w:b/>
          <w:sz w:val="22"/>
          <w:lang w:val="es-ES_tradnl" w:eastAsia="es-ES"/>
        </w:rPr>
      </w:pPr>
      <w:r w:rsidRPr="00124FB2">
        <w:rPr>
          <w:rFonts w:ascii="Palatino Linotype" w:hAnsi="Palatino Linotype"/>
          <w:b/>
          <w:i/>
          <w:sz w:val="22"/>
        </w:rPr>
        <w:t>(Énfasis Añadido)</w:t>
      </w:r>
    </w:p>
    <w:p w:rsidR="00470AD2" w:rsidRPr="00124FB2" w:rsidRDefault="00470AD2" w:rsidP="00470AD2">
      <w:pPr>
        <w:spacing w:line="360" w:lineRule="auto"/>
        <w:ind w:right="49"/>
        <w:contextualSpacing/>
        <w:jc w:val="both"/>
        <w:rPr>
          <w:rFonts w:ascii="Palatino Linotype" w:eastAsiaTheme="minorEastAsia" w:hAnsi="Palatino Linotype"/>
          <w:lang w:val="es-ES_tradnl" w:eastAsia="es-ES"/>
        </w:rPr>
      </w:pPr>
    </w:p>
    <w:p w:rsidR="00470AD2" w:rsidRPr="00124FB2" w:rsidRDefault="00470AD2" w:rsidP="00470AD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24FB2">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470AD2" w:rsidRPr="00124FB2" w:rsidRDefault="00470AD2" w:rsidP="00470AD2">
      <w:pPr>
        <w:spacing w:line="360" w:lineRule="auto"/>
        <w:ind w:right="49"/>
        <w:contextualSpacing/>
        <w:jc w:val="both"/>
        <w:rPr>
          <w:rFonts w:ascii="Palatino Linotype" w:eastAsiaTheme="minorEastAsia" w:hAnsi="Palatino Linotype"/>
          <w:lang w:val="es-ES_tradnl" w:eastAsia="es-ES"/>
        </w:rPr>
      </w:pPr>
    </w:p>
    <w:p w:rsidR="00470AD2" w:rsidRPr="00124FB2" w:rsidRDefault="00470AD2" w:rsidP="00470AD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24FB2">
        <w:rPr>
          <w:rFonts w:ascii="Palatino Linotype" w:eastAsiaTheme="minorEastAsia" w:hAnsi="Palatino Linotype"/>
          <w:lang w:val="es-ES_tradnl" w:eastAsia="es-ES"/>
        </w:rPr>
        <w:t xml:space="preserve">Así, conforme a la Constitución Política de las Estado Unidos Mexicanos </w:t>
      </w:r>
      <w:r w:rsidRPr="00124FB2">
        <w:rPr>
          <w:rFonts w:ascii="Palatino Linotype" w:eastAsia="Calibri" w:hAnsi="Palatino Linotype"/>
          <w:lang w:val="es-ES_tradnl" w:eastAsia="es-ES"/>
        </w:rPr>
        <w:t>y la Constitución Política del Estado Libre y Soberano de México respectivamente</w:t>
      </w:r>
      <w:r w:rsidRPr="00124FB2">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470AD2" w:rsidRPr="00124FB2" w:rsidRDefault="00470AD2" w:rsidP="00470AD2">
      <w:pPr>
        <w:spacing w:line="360" w:lineRule="auto"/>
        <w:ind w:right="49"/>
        <w:contextualSpacing/>
        <w:jc w:val="both"/>
        <w:rPr>
          <w:rFonts w:ascii="Palatino Linotype" w:eastAsiaTheme="minorEastAsia" w:hAnsi="Palatino Linotype"/>
          <w:lang w:val="es-ES_tradnl" w:eastAsia="es-ES"/>
        </w:rPr>
      </w:pPr>
    </w:p>
    <w:p w:rsidR="00470AD2" w:rsidRPr="00124FB2" w:rsidRDefault="00470AD2" w:rsidP="00470AD2">
      <w:pPr>
        <w:spacing w:line="360" w:lineRule="auto"/>
        <w:ind w:left="567" w:right="567"/>
        <w:jc w:val="center"/>
        <w:rPr>
          <w:rFonts w:ascii="Palatino Linotype" w:eastAsiaTheme="minorEastAsia" w:hAnsi="Palatino Linotype" w:cs="Arial"/>
          <w:b/>
          <w:bCs/>
          <w:i/>
          <w:sz w:val="22"/>
          <w:lang w:val="es-ES_tradnl" w:eastAsia="es-ES"/>
        </w:rPr>
      </w:pPr>
      <w:r w:rsidRPr="00124FB2">
        <w:rPr>
          <w:rFonts w:ascii="Palatino Linotype" w:eastAsiaTheme="minorEastAsia" w:hAnsi="Palatino Linotype" w:cs="Arial"/>
          <w:b/>
          <w:bCs/>
          <w:i/>
          <w:sz w:val="22"/>
          <w:lang w:val="es-ES_tradnl" w:eastAsia="es-ES"/>
        </w:rPr>
        <w:t>Constitución Política de los Estados Unidos Mexicanos</w:t>
      </w:r>
    </w:p>
    <w:p w:rsidR="00470AD2" w:rsidRPr="00124FB2" w:rsidRDefault="00470AD2" w:rsidP="00470AD2">
      <w:pPr>
        <w:spacing w:line="360" w:lineRule="auto"/>
        <w:ind w:left="567" w:right="567"/>
        <w:jc w:val="both"/>
        <w:rPr>
          <w:rFonts w:ascii="Palatino Linotype" w:eastAsiaTheme="minorEastAsia" w:hAnsi="Palatino Linotype" w:cs="Arial"/>
          <w:b/>
          <w:bCs/>
          <w:i/>
          <w:sz w:val="22"/>
          <w:lang w:val="es-ES_tradnl" w:eastAsia="es-ES"/>
        </w:rPr>
      </w:pPr>
      <w:r w:rsidRPr="00124FB2">
        <w:rPr>
          <w:rFonts w:ascii="Palatino Linotype" w:eastAsiaTheme="minorEastAsia" w:hAnsi="Palatino Linotype" w:cs="Arial"/>
          <w:b/>
          <w:bCs/>
          <w:i/>
          <w:sz w:val="22"/>
          <w:lang w:val="es-ES_tradnl" w:eastAsia="es-ES"/>
        </w:rPr>
        <w:t>“Artículo 6.</w:t>
      </w:r>
      <w:r w:rsidRPr="00124FB2">
        <w:rPr>
          <w:rFonts w:ascii="Palatino Linotype" w:eastAsiaTheme="minorEastAsia" w:hAnsi="Palatino Linotype" w:cs="Arial"/>
          <w:bCs/>
          <w:i/>
          <w:sz w:val="22"/>
          <w:lang w:val="es-ES_tradnl" w:eastAsia="es-ES"/>
        </w:rPr>
        <w:t xml:space="preserve"> …</w:t>
      </w:r>
    </w:p>
    <w:p w:rsidR="00470AD2" w:rsidRPr="00124FB2" w:rsidRDefault="00470AD2" w:rsidP="00470AD2">
      <w:pPr>
        <w:spacing w:line="360" w:lineRule="auto"/>
        <w:ind w:left="567" w:right="567"/>
        <w:jc w:val="both"/>
        <w:rPr>
          <w:rFonts w:ascii="Palatino Linotype" w:eastAsiaTheme="minorEastAsia" w:hAnsi="Palatino Linotype" w:cs="Arial"/>
          <w:bCs/>
          <w:i/>
          <w:sz w:val="22"/>
          <w:lang w:val="es-ES_tradnl" w:eastAsia="es-ES"/>
        </w:rPr>
      </w:pPr>
      <w:r w:rsidRPr="00124FB2">
        <w:rPr>
          <w:rFonts w:ascii="Palatino Linotype" w:eastAsiaTheme="minorEastAsia" w:hAnsi="Palatino Linotype" w:cs="Arial"/>
          <w:bCs/>
          <w:i/>
          <w:sz w:val="22"/>
          <w:lang w:val="es-ES_tradnl" w:eastAsia="es-ES"/>
        </w:rPr>
        <w:t>…</w:t>
      </w:r>
    </w:p>
    <w:p w:rsidR="00470AD2" w:rsidRPr="00124FB2" w:rsidRDefault="00470AD2" w:rsidP="00470AD2">
      <w:pPr>
        <w:spacing w:line="360" w:lineRule="auto"/>
        <w:ind w:left="567" w:right="567"/>
        <w:jc w:val="both"/>
        <w:rPr>
          <w:rFonts w:ascii="Palatino Linotype" w:eastAsiaTheme="minorEastAsia" w:hAnsi="Palatino Linotype" w:cs="Arial"/>
          <w:bCs/>
          <w:i/>
          <w:sz w:val="22"/>
          <w:lang w:val="es-ES_tradnl" w:eastAsia="es-ES"/>
        </w:rPr>
      </w:pPr>
      <w:r w:rsidRPr="00124FB2">
        <w:rPr>
          <w:rFonts w:ascii="Palatino Linotype" w:eastAsiaTheme="minorEastAsia" w:hAnsi="Palatino Linotype" w:cs="Arial"/>
          <w:bCs/>
          <w:i/>
          <w:sz w:val="22"/>
          <w:lang w:val="es-ES_tradnl" w:eastAsia="es-ES"/>
        </w:rPr>
        <w:t>Para efectos de lo dispuesto en el presente artículo se observará lo siguiente:</w:t>
      </w:r>
    </w:p>
    <w:p w:rsidR="00470AD2" w:rsidRPr="00124FB2" w:rsidRDefault="00470AD2" w:rsidP="00470AD2">
      <w:pPr>
        <w:spacing w:line="360" w:lineRule="auto"/>
        <w:ind w:left="567" w:right="567"/>
        <w:jc w:val="both"/>
        <w:rPr>
          <w:rFonts w:ascii="Palatino Linotype" w:eastAsiaTheme="minorEastAsia" w:hAnsi="Palatino Linotype" w:cs="Arial"/>
          <w:b/>
          <w:bCs/>
          <w:i/>
          <w:sz w:val="22"/>
          <w:lang w:val="es-ES_tradnl" w:eastAsia="es-ES"/>
        </w:rPr>
      </w:pPr>
      <w:r w:rsidRPr="00124FB2">
        <w:rPr>
          <w:rFonts w:ascii="Palatino Linotype" w:eastAsiaTheme="minorEastAsia" w:hAnsi="Palatino Linotype" w:cs="Arial"/>
          <w:b/>
          <w:bCs/>
          <w:i/>
          <w:sz w:val="22"/>
          <w:lang w:val="es-ES_tradnl" w:eastAsia="es-ES"/>
        </w:rPr>
        <w:t>A</w:t>
      </w:r>
      <w:r w:rsidRPr="00124FB2">
        <w:rPr>
          <w:rFonts w:ascii="Palatino Linotype" w:eastAsiaTheme="minorEastAsia" w:hAnsi="Palatino Linotype" w:cs="Arial"/>
          <w:bCs/>
          <w:i/>
          <w:sz w:val="22"/>
          <w:lang w:val="es-ES_tradnl" w:eastAsia="es-ES"/>
        </w:rPr>
        <w:t xml:space="preserve">. </w:t>
      </w:r>
      <w:r w:rsidRPr="00124FB2">
        <w:rPr>
          <w:rFonts w:ascii="Palatino Linotype" w:eastAsiaTheme="minorEastAsia" w:hAnsi="Palatino Linotype" w:cs="Arial"/>
          <w:b/>
          <w:bCs/>
          <w:i/>
          <w:sz w:val="22"/>
          <w:lang w:val="es-ES_tradnl" w:eastAsia="es-ES"/>
        </w:rPr>
        <w:t>Para el ejercicio del derecho de acceso a la información</w:t>
      </w:r>
      <w:r w:rsidRPr="00124FB2">
        <w:rPr>
          <w:rFonts w:ascii="Palatino Linotype" w:eastAsiaTheme="minorEastAsia" w:hAnsi="Palatino Linotype" w:cs="Arial"/>
          <w:bCs/>
          <w:i/>
          <w:sz w:val="22"/>
          <w:lang w:val="es-ES_tradnl" w:eastAsia="es-ES"/>
        </w:rPr>
        <w:t xml:space="preserve">, la Federación y </w:t>
      </w:r>
      <w:r w:rsidRPr="00124FB2">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470AD2" w:rsidRPr="00124FB2" w:rsidRDefault="00470AD2" w:rsidP="00470AD2">
      <w:pPr>
        <w:spacing w:line="360" w:lineRule="auto"/>
        <w:ind w:left="567" w:right="567"/>
        <w:jc w:val="both"/>
        <w:rPr>
          <w:rFonts w:ascii="Palatino Linotype" w:eastAsiaTheme="minorEastAsia" w:hAnsi="Palatino Linotype" w:cs="Arial"/>
          <w:bCs/>
          <w:i/>
          <w:sz w:val="22"/>
          <w:lang w:val="es-ES_tradnl" w:eastAsia="es-ES"/>
        </w:rPr>
      </w:pPr>
      <w:r w:rsidRPr="00124FB2">
        <w:rPr>
          <w:rFonts w:ascii="Palatino Linotype" w:eastAsiaTheme="minorEastAsia" w:hAnsi="Palatino Linotype" w:cs="Arial"/>
          <w:b/>
          <w:bCs/>
          <w:i/>
          <w:sz w:val="22"/>
          <w:lang w:val="es-ES_tradnl" w:eastAsia="es-ES"/>
        </w:rPr>
        <w:lastRenderedPageBreak/>
        <w:t xml:space="preserve">I. </w:t>
      </w:r>
      <w:r w:rsidRPr="00124FB2">
        <w:rPr>
          <w:rFonts w:ascii="Palatino Linotype" w:eastAsiaTheme="minorEastAsia" w:hAnsi="Palatino Linotype" w:cs="Arial"/>
          <w:b/>
          <w:bCs/>
          <w:i/>
          <w:sz w:val="22"/>
          <w:lang w:val="es-ES_tradnl" w:eastAsia="es-ES"/>
        </w:rPr>
        <w:tab/>
        <w:t>Toda la información en posesión de cualquier</w:t>
      </w:r>
      <w:r w:rsidRPr="00124FB2">
        <w:rPr>
          <w:rFonts w:ascii="Palatino Linotype" w:eastAsiaTheme="minorEastAsia" w:hAnsi="Palatino Linotype" w:cs="Arial"/>
          <w:bCs/>
          <w:i/>
          <w:sz w:val="22"/>
          <w:lang w:val="es-ES_tradnl" w:eastAsia="es-ES"/>
        </w:rPr>
        <w:t xml:space="preserve"> </w:t>
      </w:r>
      <w:r w:rsidRPr="00124FB2">
        <w:rPr>
          <w:rFonts w:ascii="Palatino Linotype" w:eastAsiaTheme="minorEastAsia" w:hAnsi="Palatino Linotype" w:cs="Arial"/>
          <w:b/>
          <w:bCs/>
          <w:i/>
          <w:sz w:val="22"/>
          <w:lang w:val="es-ES_tradnl" w:eastAsia="es-ES"/>
        </w:rPr>
        <w:t>autoridad</w:t>
      </w:r>
      <w:r w:rsidRPr="00124FB2">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24FB2">
        <w:rPr>
          <w:rFonts w:ascii="Palatino Linotype" w:eastAsiaTheme="minorEastAsia" w:hAnsi="Palatino Linotype" w:cs="Arial"/>
          <w:b/>
          <w:bCs/>
          <w:i/>
          <w:sz w:val="22"/>
          <w:lang w:val="es-ES_tradnl" w:eastAsia="es-ES"/>
        </w:rPr>
        <w:t>municipal</w:t>
      </w:r>
      <w:r w:rsidRPr="00124FB2">
        <w:rPr>
          <w:rFonts w:ascii="Palatino Linotype" w:eastAsiaTheme="minorEastAsia" w:hAnsi="Palatino Linotype" w:cs="Arial"/>
          <w:bCs/>
          <w:i/>
          <w:sz w:val="22"/>
          <w:lang w:val="es-ES_tradnl" w:eastAsia="es-ES"/>
        </w:rPr>
        <w:t xml:space="preserve">, </w:t>
      </w:r>
      <w:r w:rsidRPr="00124FB2">
        <w:rPr>
          <w:rFonts w:ascii="Palatino Linotype" w:eastAsiaTheme="minorEastAsia" w:hAnsi="Palatino Linotype" w:cs="Arial"/>
          <w:b/>
          <w:bCs/>
          <w:i/>
          <w:sz w:val="22"/>
          <w:lang w:val="es-ES_tradnl" w:eastAsia="es-ES"/>
        </w:rPr>
        <w:t>es pública</w:t>
      </w:r>
      <w:r w:rsidRPr="00124FB2">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124FB2">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124FB2">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470AD2" w:rsidRPr="00124FB2" w:rsidRDefault="00470AD2" w:rsidP="00470AD2">
      <w:pPr>
        <w:pStyle w:val="Prrafodelista"/>
        <w:tabs>
          <w:tab w:val="left" w:pos="567"/>
        </w:tabs>
        <w:spacing w:line="360" w:lineRule="auto"/>
        <w:ind w:left="567" w:right="567"/>
        <w:jc w:val="both"/>
        <w:rPr>
          <w:rFonts w:ascii="Palatino Linotype" w:hAnsi="Palatino Linotype" w:cs="Arial"/>
          <w:b/>
          <w:bCs/>
          <w:i/>
        </w:rPr>
      </w:pPr>
      <w:r w:rsidRPr="00124FB2">
        <w:rPr>
          <w:rFonts w:ascii="Palatino Linotype" w:hAnsi="Palatino Linotype" w:cs="Arial"/>
          <w:b/>
          <w:bCs/>
          <w:i/>
        </w:rPr>
        <w:t>(Énfasis añadido)</w:t>
      </w:r>
    </w:p>
    <w:p w:rsidR="00470AD2" w:rsidRPr="00124FB2" w:rsidRDefault="00470AD2" w:rsidP="00470AD2">
      <w:pPr>
        <w:pStyle w:val="Prrafodelista"/>
        <w:tabs>
          <w:tab w:val="left" w:pos="567"/>
        </w:tabs>
        <w:spacing w:line="360" w:lineRule="auto"/>
        <w:ind w:left="567" w:right="567"/>
        <w:jc w:val="both"/>
        <w:rPr>
          <w:rFonts w:ascii="Palatino Linotype" w:hAnsi="Palatino Linotype" w:cs="Arial"/>
          <w:b/>
          <w:bCs/>
          <w:i/>
        </w:rPr>
      </w:pPr>
    </w:p>
    <w:p w:rsidR="00470AD2" w:rsidRPr="00124FB2" w:rsidRDefault="00470AD2" w:rsidP="00470AD2">
      <w:pPr>
        <w:spacing w:line="360" w:lineRule="auto"/>
        <w:ind w:left="567" w:right="567"/>
        <w:jc w:val="center"/>
        <w:rPr>
          <w:rFonts w:ascii="Palatino Linotype" w:eastAsiaTheme="minorEastAsia" w:hAnsi="Palatino Linotype" w:cs="Arial"/>
          <w:b/>
          <w:bCs/>
          <w:i/>
          <w:sz w:val="22"/>
          <w:lang w:val="es-ES_tradnl" w:eastAsia="es-ES"/>
        </w:rPr>
      </w:pPr>
      <w:r w:rsidRPr="00124FB2">
        <w:rPr>
          <w:rFonts w:ascii="Palatino Linotype" w:eastAsiaTheme="minorEastAsia" w:hAnsi="Palatino Linotype" w:cs="Arial"/>
          <w:b/>
          <w:bCs/>
          <w:i/>
          <w:sz w:val="22"/>
          <w:lang w:val="es-ES_tradnl" w:eastAsia="es-ES"/>
        </w:rPr>
        <w:t>Constitución Política del Estado Libre y Soberano de México</w:t>
      </w:r>
    </w:p>
    <w:p w:rsidR="00470AD2" w:rsidRPr="00124FB2" w:rsidRDefault="00470AD2" w:rsidP="00470AD2">
      <w:pPr>
        <w:spacing w:line="360" w:lineRule="auto"/>
        <w:ind w:left="567" w:right="567"/>
        <w:jc w:val="both"/>
        <w:rPr>
          <w:rFonts w:ascii="Palatino Linotype" w:eastAsiaTheme="minorEastAsia" w:hAnsi="Palatino Linotype" w:cs="Arial"/>
          <w:bCs/>
          <w:i/>
          <w:sz w:val="22"/>
          <w:lang w:val="es-ES_tradnl" w:eastAsia="es-ES"/>
        </w:rPr>
      </w:pPr>
      <w:r w:rsidRPr="00124FB2">
        <w:rPr>
          <w:rFonts w:ascii="Palatino Linotype" w:eastAsiaTheme="minorEastAsia" w:hAnsi="Palatino Linotype" w:cs="Arial"/>
          <w:b/>
          <w:bCs/>
          <w:i/>
          <w:sz w:val="22"/>
          <w:lang w:val="es-ES_tradnl" w:eastAsia="es-ES"/>
        </w:rPr>
        <w:t>“Artículo 5</w:t>
      </w:r>
      <w:r w:rsidRPr="00124FB2">
        <w:rPr>
          <w:rFonts w:ascii="Palatino Linotype" w:eastAsiaTheme="minorEastAsia" w:hAnsi="Palatino Linotype" w:cs="Arial"/>
          <w:bCs/>
          <w:i/>
          <w:sz w:val="22"/>
          <w:lang w:val="es-ES_tradnl" w:eastAsia="es-ES"/>
        </w:rPr>
        <w:t>.- …</w:t>
      </w:r>
    </w:p>
    <w:p w:rsidR="00470AD2" w:rsidRPr="00124FB2" w:rsidRDefault="00470AD2" w:rsidP="00470AD2">
      <w:pPr>
        <w:spacing w:line="360" w:lineRule="auto"/>
        <w:ind w:left="567" w:right="567"/>
        <w:jc w:val="both"/>
        <w:rPr>
          <w:rFonts w:ascii="Palatino Linotype" w:eastAsiaTheme="minorEastAsia" w:hAnsi="Palatino Linotype" w:cs="Arial"/>
          <w:bCs/>
          <w:i/>
          <w:sz w:val="22"/>
          <w:lang w:val="es-ES_tradnl" w:eastAsia="es-ES"/>
        </w:rPr>
      </w:pPr>
      <w:r w:rsidRPr="00124FB2">
        <w:rPr>
          <w:rFonts w:ascii="Palatino Linotype" w:eastAsiaTheme="minorEastAsia" w:hAnsi="Palatino Linotype" w:cs="Arial"/>
          <w:bCs/>
          <w:i/>
          <w:sz w:val="22"/>
          <w:lang w:val="es-ES_tradnl" w:eastAsia="es-ES"/>
        </w:rPr>
        <w:t>…</w:t>
      </w:r>
    </w:p>
    <w:p w:rsidR="00470AD2" w:rsidRPr="00124FB2" w:rsidRDefault="00470AD2" w:rsidP="00470AD2">
      <w:pPr>
        <w:spacing w:line="360" w:lineRule="auto"/>
        <w:ind w:left="567" w:right="567"/>
        <w:jc w:val="both"/>
        <w:rPr>
          <w:rFonts w:ascii="Palatino Linotype" w:eastAsiaTheme="minorEastAsia" w:hAnsi="Palatino Linotype" w:cs="Arial"/>
          <w:bCs/>
          <w:i/>
          <w:sz w:val="22"/>
          <w:lang w:val="es-ES_tradnl" w:eastAsia="es-ES"/>
        </w:rPr>
      </w:pPr>
      <w:r w:rsidRPr="00124FB2">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124FB2">
        <w:rPr>
          <w:rFonts w:ascii="Palatino Linotype" w:eastAsiaTheme="minorEastAsia" w:hAnsi="Palatino Linotype" w:cs="Arial"/>
          <w:bCs/>
          <w:i/>
          <w:sz w:val="22"/>
          <w:lang w:val="es-ES_tradnl" w:eastAsia="es-ES"/>
        </w:rPr>
        <w:t>.</w:t>
      </w:r>
    </w:p>
    <w:p w:rsidR="00470AD2" w:rsidRPr="00124FB2" w:rsidRDefault="00470AD2" w:rsidP="00470AD2">
      <w:pPr>
        <w:spacing w:line="360" w:lineRule="auto"/>
        <w:ind w:left="567" w:right="567"/>
        <w:jc w:val="both"/>
        <w:rPr>
          <w:rFonts w:ascii="Palatino Linotype" w:eastAsiaTheme="minorEastAsia" w:hAnsi="Palatino Linotype" w:cs="Arial"/>
          <w:bCs/>
          <w:i/>
          <w:sz w:val="22"/>
          <w:lang w:val="es-ES_tradnl" w:eastAsia="es-ES"/>
        </w:rPr>
      </w:pPr>
      <w:r w:rsidRPr="00124FB2">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70AD2" w:rsidRPr="00124FB2" w:rsidRDefault="00470AD2" w:rsidP="00470AD2">
      <w:pPr>
        <w:spacing w:line="360" w:lineRule="auto"/>
        <w:ind w:left="567" w:right="567"/>
        <w:jc w:val="both"/>
        <w:rPr>
          <w:rFonts w:ascii="Palatino Linotype" w:eastAsiaTheme="minorEastAsia" w:hAnsi="Palatino Linotype" w:cs="Arial"/>
          <w:bCs/>
          <w:i/>
          <w:sz w:val="22"/>
          <w:lang w:val="es-ES_tradnl" w:eastAsia="es-ES"/>
        </w:rPr>
      </w:pPr>
      <w:r w:rsidRPr="00124FB2">
        <w:rPr>
          <w:rFonts w:ascii="Palatino Linotype" w:eastAsiaTheme="minorEastAsia" w:hAnsi="Palatino Linotype" w:cs="Arial"/>
          <w:b/>
          <w:bCs/>
          <w:i/>
          <w:sz w:val="22"/>
          <w:lang w:val="es-ES_tradnl" w:eastAsia="es-ES"/>
        </w:rPr>
        <w:t>Este derecho se regirá por los principios y bases siguientes</w:t>
      </w:r>
      <w:r w:rsidRPr="00124FB2">
        <w:rPr>
          <w:rFonts w:ascii="Palatino Linotype" w:eastAsiaTheme="minorEastAsia" w:hAnsi="Palatino Linotype" w:cs="Arial"/>
          <w:bCs/>
          <w:i/>
          <w:sz w:val="22"/>
          <w:lang w:val="es-ES_tradnl" w:eastAsia="es-ES"/>
        </w:rPr>
        <w:t>:</w:t>
      </w:r>
    </w:p>
    <w:p w:rsidR="00470AD2" w:rsidRPr="00124FB2" w:rsidRDefault="00470AD2" w:rsidP="00470AD2">
      <w:pPr>
        <w:spacing w:line="360" w:lineRule="auto"/>
        <w:ind w:left="567" w:right="567"/>
        <w:jc w:val="both"/>
        <w:rPr>
          <w:rFonts w:ascii="Palatino Linotype" w:eastAsiaTheme="minorEastAsia" w:hAnsi="Palatino Linotype" w:cs="Arial"/>
          <w:bCs/>
          <w:i/>
          <w:sz w:val="22"/>
          <w:lang w:val="es-ES_tradnl" w:eastAsia="es-ES"/>
        </w:rPr>
      </w:pPr>
      <w:r w:rsidRPr="00124FB2">
        <w:rPr>
          <w:rFonts w:ascii="Palatino Linotype" w:eastAsiaTheme="minorEastAsia" w:hAnsi="Palatino Linotype" w:cs="Arial"/>
          <w:b/>
          <w:bCs/>
          <w:i/>
          <w:sz w:val="22"/>
          <w:lang w:val="es-ES_tradnl" w:eastAsia="es-ES"/>
        </w:rPr>
        <w:t>I. Toda la información en posesión de cualquier autoridad, entidad, órgano y organismos de los</w:t>
      </w:r>
      <w:r w:rsidRPr="00124FB2">
        <w:rPr>
          <w:rFonts w:ascii="Palatino Linotype" w:eastAsiaTheme="minorEastAsia" w:hAnsi="Palatino Linotype" w:cs="Arial"/>
          <w:bCs/>
          <w:i/>
          <w:sz w:val="22"/>
          <w:lang w:val="es-ES_tradnl" w:eastAsia="es-ES"/>
        </w:rPr>
        <w:t xml:space="preserve"> Poderes Ejecutivo, Legislativo y Judicial, órganos autónomos, partidos </w:t>
      </w:r>
      <w:r w:rsidRPr="00124FB2">
        <w:rPr>
          <w:rFonts w:ascii="Palatino Linotype" w:eastAsiaTheme="minorEastAsia" w:hAnsi="Palatino Linotype" w:cs="Arial"/>
          <w:bCs/>
          <w:i/>
          <w:sz w:val="22"/>
          <w:lang w:val="es-ES_tradnl" w:eastAsia="es-ES"/>
        </w:rPr>
        <w:lastRenderedPageBreak/>
        <w:t xml:space="preserve">políticos, fideicomisos y fondos públicos estatales y </w:t>
      </w:r>
      <w:r w:rsidRPr="00124FB2">
        <w:rPr>
          <w:rFonts w:ascii="Palatino Linotype" w:eastAsiaTheme="minorEastAsia" w:hAnsi="Palatino Linotype" w:cs="Arial"/>
          <w:b/>
          <w:bCs/>
          <w:i/>
          <w:sz w:val="22"/>
          <w:lang w:val="es-ES_tradnl" w:eastAsia="es-ES"/>
        </w:rPr>
        <w:t>municipales</w:t>
      </w:r>
      <w:r w:rsidRPr="00124FB2">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24FB2">
        <w:rPr>
          <w:rFonts w:ascii="Palatino Linotype" w:eastAsiaTheme="minorEastAsia" w:hAnsi="Palatino Linotype" w:cs="Arial"/>
          <w:b/>
          <w:bCs/>
          <w:i/>
          <w:sz w:val="22"/>
          <w:lang w:val="es-ES_tradnl" w:eastAsia="es-ES"/>
        </w:rPr>
        <w:t>es pública</w:t>
      </w:r>
      <w:r w:rsidRPr="00124FB2">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124FB2">
        <w:rPr>
          <w:rFonts w:ascii="Palatino Linotype" w:eastAsiaTheme="minorEastAsia" w:hAnsi="Palatino Linotype" w:cs="Arial"/>
          <w:b/>
          <w:bCs/>
          <w:i/>
          <w:sz w:val="22"/>
          <w:lang w:val="es-ES_tradnl" w:eastAsia="es-ES"/>
        </w:rPr>
        <w:t>En la interpretación de este derecho deberá prevalecer el principio de máxima publicidad</w:t>
      </w:r>
      <w:r w:rsidRPr="00124FB2">
        <w:rPr>
          <w:rFonts w:ascii="Palatino Linotype" w:eastAsiaTheme="minorEastAsia" w:hAnsi="Palatino Linotype" w:cs="Arial"/>
          <w:bCs/>
          <w:i/>
          <w:sz w:val="22"/>
          <w:lang w:val="es-ES_tradnl" w:eastAsia="es-ES"/>
        </w:rPr>
        <w:t xml:space="preserve">. </w:t>
      </w:r>
      <w:r w:rsidRPr="00124FB2">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124FB2">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470AD2" w:rsidRPr="00124FB2" w:rsidRDefault="00470AD2" w:rsidP="00470AD2">
      <w:pPr>
        <w:pStyle w:val="Prrafodelista"/>
        <w:tabs>
          <w:tab w:val="left" w:pos="567"/>
        </w:tabs>
        <w:spacing w:line="360" w:lineRule="auto"/>
        <w:ind w:left="567" w:right="567"/>
        <w:jc w:val="both"/>
        <w:rPr>
          <w:rFonts w:ascii="Palatino Linotype" w:hAnsi="Palatino Linotype" w:cs="Arial"/>
          <w:b/>
          <w:bCs/>
          <w:i/>
        </w:rPr>
      </w:pPr>
      <w:r w:rsidRPr="00124FB2">
        <w:rPr>
          <w:rFonts w:ascii="Palatino Linotype" w:hAnsi="Palatino Linotype" w:cs="Arial"/>
          <w:b/>
          <w:bCs/>
          <w:i/>
        </w:rPr>
        <w:t>(Énfasis añadido)</w:t>
      </w:r>
    </w:p>
    <w:p w:rsidR="00470AD2" w:rsidRPr="00124FB2" w:rsidRDefault="00470AD2" w:rsidP="00470AD2">
      <w:pPr>
        <w:spacing w:line="360" w:lineRule="auto"/>
        <w:ind w:right="49"/>
        <w:contextualSpacing/>
        <w:jc w:val="both"/>
        <w:rPr>
          <w:rFonts w:ascii="Palatino Linotype" w:eastAsiaTheme="minorEastAsia" w:hAnsi="Palatino Linotype"/>
          <w:lang w:val="es-ES_tradnl" w:eastAsia="es-ES"/>
        </w:rPr>
      </w:pPr>
    </w:p>
    <w:p w:rsidR="00470AD2" w:rsidRPr="00124FB2" w:rsidRDefault="00470AD2" w:rsidP="00470AD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24FB2">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124FB2">
        <w:rPr>
          <w:rFonts w:ascii="Palatino Linotype" w:eastAsiaTheme="minorEastAsia" w:hAnsi="Palatino Linotype" w:cs="Arial"/>
          <w:i/>
          <w:lang w:val="es-ES_tradnl" w:eastAsia="es-ES"/>
        </w:rPr>
        <w:t>por los principios de simplicidad, rapidez gratuidad del procedimiento, auxilio y orientación a los particulares</w:t>
      </w:r>
      <w:r w:rsidRPr="00124FB2">
        <w:rPr>
          <w:rFonts w:ascii="Palatino Linotype" w:eastAsiaTheme="minorEastAsia" w:hAnsi="Palatino Linotype" w:cs="Arial"/>
          <w:lang w:val="es-ES_tradnl" w:eastAsia="es-ES"/>
        </w:rPr>
        <w:t>, contemplando el derecho de las personas con discapacidad y hablantes de lengua indígena.</w:t>
      </w:r>
    </w:p>
    <w:p w:rsidR="00470AD2" w:rsidRPr="00124FB2" w:rsidRDefault="00470AD2" w:rsidP="00470AD2">
      <w:pPr>
        <w:spacing w:line="360" w:lineRule="auto"/>
        <w:ind w:right="49"/>
        <w:contextualSpacing/>
        <w:jc w:val="both"/>
        <w:rPr>
          <w:rFonts w:ascii="Palatino Linotype" w:eastAsiaTheme="minorEastAsia" w:hAnsi="Palatino Linotype"/>
          <w:lang w:val="es-ES_tradnl" w:eastAsia="es-ES"/>
        </w:rPr>
      </w:pPr>
    </w:p>
    <w:p w:rsidR="00470AD2" w:rsidRPr="00124FB2" w:rsidRDefault="00470AD2" w:rsidP="00470AD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24FB2">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124FB2">
        <w:rPr>
          <w:rFonts w:ascii="Palatino Linotype" w:eastAsiaTheme="minorEastAsia" w:hAnsi="Palatino Linotype" w:cs="Arial"/>
          <w:i/>
          <w:lang w:val="es-ES_tradnl" w:eastAsia="es-ES"/>
        </w:rPr>
        <w:t>solicitudes de acceso a la información</w:t>
      </w:r>
      <w:r w:rsidRPr="00124FB2">
        <w:rPr>
          <w:rFonts w:ascii="Palatino Linotype" w:eastAsiaTheme="minorEastAsia" w:hAnsi="Palatino Linotype" w:cs="Arial"/>
          <w:lang w:val="es-ES_tradnl" w:eastAsia="es-ES"/>
        </w:rPr>
        <w:t>.</w:t>
      </w:r>
    </w:p>
    <w:p w:rsidR="00470AD2" w:rsidRPr="00124FB2" w:rsidRDefault="00470AD2" w:rsidP="00470AD2">
      <w:pPr>
        <w:spacing w:line="360" w:lineRule="auto"/>
        <w:ind w:right="49"/>
        <w:contextualSpacing/>
        <w:jc w:val="both"/>
        <w:rPr>
          <w:rFonts w:ascii="Palatino Linotype" w:eastAsiaTheme="minorEastAsia" w:hAnsi="Palatino Linotype"/>
          <w:lang w:val="es-ES_tradnl" w:eastAsia="es-ES"/>
        </w:rPr>
      </w:pPr>
    </w:p>
    <w:p w:rsidR="00470AD2" w:rsidRPr="00124FB2" w:rsidRDefault="00470AD2" w:rsidP="00470AD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24FB2">
        <w:rPr>
          <w:rFonts w:ascii="Palatino Linotype" w:eastAsiaTheme="minorEastAsia" w:hAnsi="Palatino Linotype" w:cs="Arial"/>
          <w:lang w:val="es-ES_tradnl" w:eastAsia="es-ES"/>
        </w:rPr>
        <w:t xml:space="preserve">Así entonces, se procede analizar, en primer lugar, si el SUJETO OBLIGADO al atender la solicitud de acceso a la información, satisfizo la garantía primaria del derecho según lo dispuesto por el artículo 150 de la Ley de Transparencia y Acceso a </w:t>
      </w:r>
      <w:r w:rsidRPr="00124FB2">
        <w:rPr>
          <w:rFonts w:ascii="Palatino Linotype" w:eastAsiaTheme="minorEastAsia" w:hAnsi="Palatino Linotype" w:cs="Arial"/>
          <w:lang w:val="es-ES_tradnl" w:eastAsia="es-ES"/>
        </w:rPr>
        <w:lastRenderedPageBreak/>
        <w:t>la Información Pública del Estado de México y Municipios y en segundo término si cumplió con su deber de respetar y garantizar el derecho, entregando toda la información solicitada.</w:t>
      </w:r>
    </w:p>
    <w:p w:rsidR="00470AD2" w:rsidRPr="00124FB2" w:rsidRDefault="00470AD2" w:rsidP="00470AD2">
      <w:pPr>
        <w:spacing w:line="360" w:lineRule="auto"/>
        <w:ind w:right="49"/>
        <w:contextualSpacing/>
        <w:jc w:val="both"/>
        <w:rPr>
          <w:rFonts w:ascii="Palatino Linotype" w:eastAsiaTheme="minorEastAsia" w:hAnsi="Palatino Linotype" w:cs="Arial"/>
          <w:lang w:val="es-ES_tradnl" w:eastAsia="es-ES"/>
        </w:rPr>
      </w:pPr>
    </w:p>
    <w:p w:rsidR="00470AD2" w:rsidRPr="00124FB2" w:rsidRDefault="00470AD2" w:rsidP="00470AD2">
      <w:pPr>
        <w:pStyle w:val="Ttulo1"/>
        <w:spacing w:before="0" w:line="360" w:lineRule="auto"/>
        <w:rPr>
          <w:rFonts w:ascii="Palatino Linotype" w:hAnsi="Palatino Linotype"/>
          <w:b/>
          <w:color w:val="auto"/>
          <w:sz w:val="24"/>
          <w:szCs w:val="24"/>
        </w:rPr>
      </w:pPr>
      <w:bookmarkStart w:id="20" w:name="_Toc80812777"/>
      <w:bookmarkStart w:id="21" w:name="_Toc83301641"/>
      <w:r w:rsidRPr="00124FB2">
        <w:rPr>
          <w:rFonts w:ascii="Palatino Linotype" w:hAnsi="Palatino Linotype"/>
          <w:b/>
          <w:color w:val="auto"/>
          <w:sz w:val="24"/>
          <w:szCs w:val="24"/>
        </w:rPr>
        <w:t>II. De la información solicitada y la respuesta del Sujeto Obligado.</w:t>
      </w:r>
      <w:bookmarkEnd w:id="20"/>
      <w:bookmarkEnd w:id="21"/>
    </w:p>
    <w:p w:rsidR="00470AD2" w:rsidRPr="00124FB2" w:rsidRDefault="00470AD2" w:rsidP="00470AD2">
      <w:pPr>
        <w:spacing w:line="360" w:lineRule="auto"/>
        <w:ind w:right="49"/>
        <w:contextualSpacing/>
        <w:jc w:val="both"/>
        <w:rPr>
          <w:rFonts w:ascii="Palatino Linotype" w:eastAsiaTheme="minorEastAsia" w:hAnsi="Palatino Linotype"/>
          <w:lang w:val="es-ES_tradnl" w:eastAsia="es-ES"/>
        </w:rPr>
      </w:pPr>
    </w:p>
    <w:p w:rsidR="00470AD2" w:rsidRPr="00124FB2" w:rsidRDefault="00470AD2" w:rsidP="00470AD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24FB2">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124FB2">
        <w:rPr>
          <w:rFonts w:ascii="Palatino Linotype" w:eastAsia="Calibri" w:hAnsi="Palatino Linotype" w:cs="Arial"/>
          <w:lang w:val="es-ES"/>
        </w:rPr>
        <w:t>Ley de Transparencia y Acceso a la Información Pública del Estado de México y Municipios</w:t>
      </w:r>
      <w:r w:rsidRPr="00124FB2">
        <w:rPr>
          <w:rFonts w:ascii="Palatino Linotype" w:hAnsi="Palatino Linotype" w:cs="Arial"/>
          <w:lang w:val="es-ES"/>
        </w:rPr>
        <w:t>.</w:t>
      </w:r>
    </w:p>
    <w:p w:rsidR="00470AD2" w:rsidRPr="00124FB2" w:rsidRDefault="00470AD2" w:rsidP="00470AD2">
      <w:pPr>
        <w:spacing w:line="360" w:lineRule="auto"/>
        <w:ind w:right="49"/>
        <w:contextualSpacing/>
        <w:jc w:val="both"/>
        <w:rPr>
          <w:rFonts w:ascii="Palatino Linotype" w:eastAsiaTheme="minorEastAsia" w:hAnsi="Palatino Linotype"/>
          <w:lang w:val="es-ES_tradnl" w:eastAsia="es-ES"/>
        </w:rPr>
      </w:pPr>
    </w:p>
    <w:p w:rsidR="00AB5CC4" w:rsidRPr="00124FB2" w:rsidRDefault="00470AD2" w:rsidP="00AB5CC4">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124FB2">
        <w:rPr>
          <w:rFonts w:ascii="Palatino Linotype" w:hAnsi="Palatino Linotype" w:cs="Arial"/>
          <w:lang w:val="es-ES"/>
        </w:rPr>
        <w:t xml:space="preserve">En este caso, el particular </w:t>
      </w:r>
      <w:r w:rsidR="00AB5CC4" w:rsidRPr="00124FB2">
        <w:rPr>
          <w:rFonts w:ascii="Palatino Linotype" w:hAnsi="Palatino Linotype" w:cs="Arial"/>
          <w:lang w:val="es-ES"/>
        </w:rPr>
        <w:t>solicitó el</w:t>
      </w:r>
      <w:r w:rsidR="00090A2F" w:rsidRPr="00124FB2">
        <w:rPr>
          <w:rFonts w:ascii="Palatino Linotype" w:eastAsia="MS Gothic" w:hAnsi="Palatino Linotype" w:cstheme="majorBidi"/>
          <w:lang w:eastAsia="es-ES"/>
        </w:rPr>
        <w:t xml:space="preserve"> currículum vitae de todos los servidores públicos de la administración 2022-2024. </w:t>
      </w:r>
      <w:r w:rsidR="00090A2F" w:rsidRPr="00124FB2">
        <w:rPr>
          <w:rFonts w:ascii="Palatino Linotype" w:eastAsia="MS Gothic" w:hAnsi="Palatino Linotype" w:cstheme="majorBidi"/>
          <w:iCs/>
          <w:lang w:eastAsia="es-ES"/>
        </w:rPr>
        <w:t xml:space="preserve">En respuesta, el SUJETO </w:t>
      </w:r>
      <w:r w:rsidR="00AB5CC4" w:rsidRPr="00124FB2">
        <w:rPr>
          <w:rFonts w:ascii="Palatino Linotype" w:eastAsia="MS Gothic" w:hAnsi="Palatino Linotype" w:cstheme="majorBidi"/>
          <w:iCs/>
          <w:lang w:eastAsia="es-ES"/>
        </w:rPr>
        <w:t>OBLIGADO adjuntó</w:t>
      </w:r>
      <w:r w:rsidR="00090A2F" w:rsidRPr="00124FB2">
        <w:rPr>
          <w:rFonts w:ascii="Palatino Linotype" w:eastAsia="MS Gothic" w:hAnsi="Palatino Linotype" w:cstheme="majorBidi"/>
          <w:iCs/>
          <w:lang w:eastAsia="es-ES"/>
        </w:rPr>
        <w:t xml:space="preserve"> una liga electrónica para acceder a la información solicitada</w:t>
      </w:r>
      <w:r w:rsidR="00AB5CC4" w:rsidRPr="00124FB2">
        <w:rPr>
          <w:rFonts w:ascii="Palatino Linotype" w:eastAsia="MS Gothic" w:hAnsi="Palatino Linotype" w:cstheme="majorBidi"/>
          <w:iCs/>
          <w:lang w:eastAsia="es-ES"/>
        </w:rPr>
        <w:t xml:space="preserve">, misma que remite a la fracción XXI </w:t>
      </w:r>
      <w:r w:rsidR="000926DA" w:rsidRPr="00124FB2">
        <w:rPr>
          <w:rFonts w:ascii="Palatino Linotype" w:eastAsia="MS Gothic" w:hAnsi="Palatino Linotype" w:cstheme="majorBidi"/>
          <w:iCs/>
          <w:lang w:eastAsia="es-ES"/>
        </w:rPr>
        <w:t>Información Curricu</w:t>
      </w:r>
      <w:r w:rsidR="00FA7497" w:rsidRPr="00124FB2">
        <w:rPr>
          <w:rFonts w:ascii="Palatino Linotype" w:eastAsia="MS Gothic" w:hAnsi="Palatino Linotype" w:cstheme="majorBidi"/>
          <w:iCs/>
          <w:lang w:eastAsia="es-ES"/>
        </w:rPr>
        <w:t>lar y Sanciones Administrativas.</w:t>
      </w:r>
    </w:p>
    <w:p w:rsidR="00AB5CC4" w:rsidRPr="00124FB2" w:rsidRDefault="00AB5CC4" w:rsidP="00AB5CC4">
      <w:pPr>
        <w:spacing w:line="360" w:lineRule="auto"/>
        <w:ind w:right="49"/>
        <w:contextualSpacing/>
        <w:jc w:val="both"/>
        <w:rPr>
          <w:rFonts w:ascii="Palatino Linotype" w:eastAsia="MS Gothic" w:hAnsi="Palatino Linotype" w:cstheme="majorBidi"/>
          <w:i/>
          <w:lang w:val="es-ES_tradnl" w:eastAsia="es-ES"/>
        </w:rPr>
      </w:pPr>
    </w:p>
    <w:p w:rsidR="008A107F" w:rsidRPr="00124FB2" w:rsidRDefault="00090A2F" w:rsidP="00AB5CC4">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124FB2">
        <w:rPr>
          <w:rFonts w:ascii="Palatino Linotype" w:eastAsia="MS Gothic" w:hAnsi="Palatino Linotype" w:cstheme="majorBidi"/>
          <w:iCs/>
          <w:lang w:eastAsia="es-ES"/>
        </w:rPr>
        <w:t xml:space="preserve">En consecuencia, el particular interpuso recurso de revisión a través del cual </w:t>
      </w:r>
      <w:r w:rsidR="002E6C24" w:rsidRPr="00124FB2">
        <w:rPr>
          <w:rFonts w:ascii="Palatino Linotype" w:eastAsia="MS Gothic" w:hAnsi="Palatino Linotype" w:cstheme="majorBidi"/>
          <w:iCs/>
          <w:lang w:eastAsia="es-ES"/>
        </w:rPr>
        <w:t>manifestó</w:t>
      </w:r>
      <w:r w:rsidRPr="00124FB2">
        <w:rPr>
          <w:rFonts w:ascii="Palatino Linotype" w:eastAsia="MS Gothic" w:hAnsi="Palatino Linotype" w:cstheme="majorBidi"/>
          <w:iCs/>
          <w:lang w:eastAsia="es-ES"/>
        </w:rPr>
        <w:t xml:space="preserve"> como motivos de inconformidad la entrega de información incomp</w:t>
      </w:r>
      <w:r w:rsidR="00FA7497" w:rsidRPr="00124FB2">
        <w:rPr>
          <w:rFonts w:ascii="Palatino Linotype" w:eastAsia="MS Gothic" w:hAnsi="Palatino Linotype" w:cstheme="majorBidi"/>
          <w:iCs/>
          <w:lang w:eastAsia="es-ES"/>
        </w:rPr>
        <w:t>leta</w:t>
      </w:r>
      <w:r w:rsidR="008A107F" w:rsidRPr="00124FB2">
        <w:rPr>
          <w:rFonts w:ascii="Palatino Linotype" w:eastAsia="MS Gothic" w:hAnsi="Palatino Linotype" w:cstheme="majorBidi"/>
          <w:iCs/>
          <w:lang w:eastAsia="es-ES"/>
        </w:rPr>
        <w:t>, aunado a ello manifestó</w:t>
      </w:r>
      <w:r w:rsidR="00FA7497" w:rsidRPr="00124FB2">
        <w:rPr>
          <w:rFonts w:ascii="Palatino Linotype" w:eastAsia="MS Gothic" w:hAnsi="Palatino Linotype" w:cstheme="majorBidi"/>
          <w:iCs/>
          <w:lang w:eastAsia="es-ES"/>
        </w:rPr>
        <w:t xml:space="preserve"> que de acuerdo a lo publicado en la página de información pública de oficio mexiquense</w:t>
      </w:r>
      <w:r w:rsidR="008A107F" w:rsidRPr="00124FB2">
        <w:rPr>
          <w:rFonts w:ascii="Palatino Linotype" w:eastAsia="MS Gothic" w:hAnsi="Palatino Linotype" w:cstheme="majorBidi"/>
          <w:iCs/>
          <w:lang w:eastAsia="es-ES"/>
        </w:rPr>
        <w:t xml:space="preserve"> del Sujeto Obligado</w:t>
      </w:r>
      <w:r w:rsidR="00FA7497" w:rsidRPr="00124FB2">
        <w:rPr>
          <w:rFonts w:ascii="Palatino Linotype" w:eastAsia="MS Gothic" w:hAnsi="Palatino Linotype" w:cstheme="majorBidi"/>
          <w:iCs/>
          <w:lang w:eastAsia="es-ES"/>
        </w:rPr>
        <w:t xml:space="preserve">, </w:t>
      </w:r>
      <w:r w:rsidR="008A107F" w:rsidRPr="00124FB2">
        <w:rPr>
          <w:rFonts w:ascii="Palatino Linotype" w:eastAsia="MS Gothic" w:hAnsi="Palatino Linotype" w:cstheme="majorBidi"/>
          <w:iCs/>
          <w:lang w:eastAsia="es-ES"/>
        </w:rPr>
        <w:t xml:space="preserve">no coincide la información remitida en respuesta con la publicada en la fracción VIIIA. </w:t>
      </w:r>
    </w:p>
    <w:p w:rsidR="00470AD2" w:rsidRPr="00124FB2" w:rsidRDefault="00470AD2" w:rsidP="00470AD2">
      <w:pPr>
        <w:spacing w:line="360" w:lineRule="auto"/>
        <w:ind w:right="49"/>
        <w:contextualSpacing/>
        <w:jc w:val="both"/>
        <w:rPr>
          <w:rFonts w:ascii="Palatino Linotype" w:eastAsia="MS Gothic" w:hAnsi="Palatino Linotype" w:cstheme="majorBidi"/>
          <w:lang w:val="es-ES_tradnl" w:eastAsia="es-ES"/>
        </w:rPr>
      </w:pPr>
    </w:p>
    <w:p w:rsidR="00A720B2" w:rsidRPr="00124FB2" w:rsidRDefault="00470AD2" w:rsidP="00A720B2">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sz w:val="24"/>
        </w:rPr>
      </w:pPr>
      <w:r w:rsidRPr="00124FB2">
        <w:rPr>
          <w:rFonts w:ascii="Palatino Linotype" w:eastAsia="MS Gothic" w:hAnsi="Palatino Linotype" w:cstheme="majorBidi"/>
          <w:lang w:val="es-ES_tradnl" w:eastAsia="es-ES"/>
        </w:rPr>
        <w:lastRenderedPageBreak/>
        <w:t xml:space="preserve">Puntualizado lo anterior, </w:t>
      </w:r>
      <w:r w:rsidR="00A720B2" w:rsidRPr="00124FB2">
        <w:rPr>
          <w:rFonts w:ascii="Palatino Linotype" w:hAnsi="Palatino Linotype"/>
          <w:color w:val="000000" w:themeColor="text1"/>
          <w:sz w:val="24"/>
        </w:rPr>
        <w:t xml:space="preserve">resulta necesario referir que, el </w:t>
      </w:r>
      <w:r w:rsidR="00A720B2" w:rsidRPr="00124FB2">
        <w:rPr>
          <w:rFonts w:ascii="Palatino Linotype" w:eastAsia="Calibri" w:hAnsi="Palatino Linotype" w:cs="Arial"/>
          <w:sz w:val="24"/>
        </w:rPr>
        <w:t>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w:t>
      </w:r>
      <w:r w:rsidR="00A720B2" w:rsidRPr="00124FB2">
        <w:rPr>
          <w:rFonts w:ascii="Palatino Linotype" w:eastAsia="Calibri" w:hAnsi="Palatino Linotype" w:cs="Arial"/>
          <w:b/>
          <w:sz w:val="24"/>
        </w:rPr>
        <w:t>,</w:t>
      </w:r>
      <w:r w:rsidR="00A720B2" w:rsidRPr="00124FB2">
        <w:rPr>
          <w:rFonts w:ascii="Palatino Linotype" w:eastAsia="Calibri" w:hAnsi="Palatino Linotype" w:cs="Arial"/>
          <w:sz w:val="24"/>
        </w:rPr>
        <w:t xml:space="preserve"> considerando desde su origen la eventual publicidad y reutilización de la información que generen, posean o administren.</w:t>
      </w:r>
    </w:p>
    <w:p w:rsidR="00A720B2" w:rsidRPr="00124FB2" w:rsidRDefault="00A720B2" w:rsidP="00A720B2">
      <w:pPr>
        <w:pStyle w:val="Prrafodelista"/>
        <w:spacing w:line="360" w:lineRule="auto"/>
        <w:rPr>
          <w:rFonts w:ascii="Palatino Linotype" w:hAnsi="Palatino Linotype" w:cs="Arial"/>
          <w:i/>
          <w:color w:val="000000" w:themeColor="text1"/>
        </w:rPr>
      </w:pPr>
    </w:p>
    <w:p w:rsidR="00A720B2" w:rsidRPr="00124FB2" w:rsidRDefault="00A720B2" w:rsidP="00A720B2">
      <w:pPr>
        <w:pStyle w:val="Prrafodelista"/>
        <w:numPr>
          <w:ilvl w:val="0"/>
          <w:numId w:val="1"/>
        </w:numPr>
        <w:spacing w:line="360" w:lineRule="auto"/>
        <w:ind w:left="0" w:right="49" w:firstLine="0"/>
        <w:jc w:val="both"/>
        <w:rPr>
          <w:rFonts w:ascii="Palatino Linotype" w:hAnsi="Palatino Linotype" w:cs="Arial"/>
          <w:color w:val="000000"/>
          <w:sz w:val="24"/>
        </w:rPr>
      </w:pPr>
      <w:r w:rsidRPr="00124FB2">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rsidR="00A720B2" w:rsidRPr="00124FB2" w:rsidRDefault="00A720B2" w:rsidP="00A720B2">
      <w:pPr>
        <w:pStyle w:val="Prrafodelista"/>
        <w:spacing w:line="360" w:lineRule="auto"/>
        <w:rPr>
          <w:rFonts w:ascii="Palatino Linotype" w:hAnsi="Palatino Linotype" w:cs="Arial"/>
          <w:color w:val="000000"/>
        </w:rPr>
      </w:pPr>
    </w:p>
    <w:p w:rsidR="00A720B2" w:rsidRPr="00124FB2" w:rsidRDefault="00A720B2" w:rsidP="00A720B2">
      <w:pPr>
        <w:autoSpaceDE w:val="0"/>
        <w:autoSpaceDN w:val="0"/>
        <w:adjustRightInd w:val="0"/>
        <w:spacing w:line="360" w:lineRule="auto"/>
        <w:ind w:left="567" w:right="567"/>
        <w:jc w:val="both"/>
        <w:rPr>
          <w:rFonts w:ascii="Palatino Linotype" w:hAnsi="Palatino Linotype" w:cs="Bookman Old Style"/>
          <w:i/>
          <w:sz w:val="22"/>
        </w:rPr>
      </w:pPr>
      <w:r w:rsidRPr="00124FB2">
        <w:rPr>
          <w:rFonts w:ascii="Palatino Linotype" w:hAnsi="Palatino Linotype" w:cs="Bookman Old Style,Bold"/>
          <w:b/>
          <w:bCs/>
          <w:i/>
          <w:sz w:val="22"/>
        </w:rPr>
        <w:t xml:space="preserve">Artículo 4. </w:t>
      </w:r>
      <w:r w:rsidRPr="00124FB2">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A720B2" w:rsidRPr="00124FB2" w:rsidRDefault="00A720B2" w:rsidP="00A720B2">
      <w:pPr>
        <w:autoSpaceDE w:val="0"/>
        <w:autoSpaceDN w:val="0"/>
        <w:adjustRightInd w:val="0"/>
        <w:spacing w:line="360" w:lineRule="auto"/>
        <w:ind w:left="567" w:right="567"/>
        <w:jc w:val="both"/>
        <w:rPr>
          <w:rFonts w:ascii="Palatino Linotype" w:hAnsi="Palatino Linotype" w:cs="Bookman Old Style"/>
          <w:i/>
          <w:sz w:val="22"/>
        </w:rPr>
      </w:pPr>
    </w:p>
    <w:p w:rsidR="00A720B2" w:rsidRPr="00124FB2" w:rsidRDefault="00A720B2" w:rsidP="00A720B2">
      <w:pPr>
        <w:autoSpaceDE w:val="0"/>
        <w:autoSpaceDN w:val="0"/>
        <w:adjustRightInd w:val="0"/>
        <w:spacing w:line="360" w:lineRule="auto"/>
        <w:ind w:left="567" w:right="567"/>
        <w:jc w:val="both"/>
        <w:rPr>
          <w:rFonts w:ascii="Palatino Linotype" w:hAnsi="Palatino Linotype" w:cs="Bookman Old Style"/>
          <w:i/>
          <w:sz w:val="22"/>
        </w:rPr>
      </w:pPr>
      <w:r w:rsidRPr="00124FB2">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124FB2">
        <w:rPr>
          <w:rFonts w:ascii="Palatino Linotype" w:hAnsi="Palatino Linotype" w:cs="Bookman Old Style"/>
          <w:i/>
          <w:sz w:val="22"/>
        </w:rPr>
        <w:lastRenderedPageBreak/>
        <w:t>por razones de interés público, en los términos de las causas legítimas y estrictamente necesarias previstas por esta Ley.</w:t>
      </w:r>
    </w:p>
    <w:p w:rsidR="00A720B2" w:rsidRPr="00124FB2" w:rsidRDefault="00A720B2" w:rsidP="00A720B2">
      <w:pPr>
        <w:autoSpaceDE w:val="0"/>
        <w:autoSpaceDN w:val="0"/>
        <w:adjustRightInd w:val="0"/>
        <w:spacing w:line="360" w:lineRule="auto"/>
        <w:ind w:left="567" w:right="567"/>
        <w:jc w:val="both"/>
        <w:rPr>
          <w:rFonts w:ascii="Palatino Linotype" w:hAnsi="Palatino Linotype" w:cs="Bookman Old Style"/>
          <w:i/>
          <w:sz w:val="22"/>
        </w:rPr>
      </w:pPr>
    </w:p>
    <w:p w:rsidR="00A720B2" w:rsidRPr="00124FB2" w:rsidRDefault="00A720B2" w:rsidP="00A720B2">
      <w:pPr>
        <w:autoSpaceDE w:val="0"/>
        <w:autoSpaceDN w:val="0"/>
        <w:adjustRightInd w:val="0"/>
        <w:spacing w:line="360" w:lineRule="auto"/>
        <w:ind w:left="567" w:right="567"/>
        <w:jc w:val="both"/>
        <w:rPr>
          <w:rFonts w:ascii="Palatino Linotype" w:hAnsi="Palatino Linotype" w:cs="Bookman Old Style"/>
          <w:i/>
          <w:sz w:val="22"/>
        </w:rPr>
      </w:pPr>
      <w:r w:rsidRPr="00124FB2">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A720B2" w:rsidRPr="00124FB2" w:rsidRDefault="00A720B2" w:rsidP="00A720B2">
      <w:pPr>
        <w:autoSpaceDE w:val="0"/>
        <w:autoSpaceDN w:val="0"/>
        <w:adjustRightInd w:val="0"/>
        <w:spacing w:line="360" w:lineRule="auto"/>
        <w:ind w:right="567"/>
        <w:jc w:val="both"/>
        <w:rPr>
          <w:rFonts w:ascii="Palatino Linotype" w:hAnsi="Palatino Linotype" w:cs="Arial"/>
          <w:i/>
          <w:color w:val="000000"/>
          <w:sz w:val="28"/>
        </w:rPr>
      </w:pPr>
    </w:p>
    <w:p w:rsidR="00A720B2" w:rsidRPr="00124FB2" w:rsidRDefault="00A720B2" w:rsidP="00A720B2">
      <w:pPr>
        <w:autoSpaceDE w:val="0"/>
        <w:autoSpaceDN w:val="0"/>
        <w:adjustRightInd w:val="0"/>
        <w:spacing w:line="360" w:lineRule="auto"/>
        <w:ind w:left="567" w:right="567"/>
        <w:jc w:val="both"/>
        <w:rPr>
          <w:rFonts w:ascii="Palatino Linotype" w:hAnsi="Palatino Linotype" w:cs="Bookman Old Style"/>
          <w:i/>
          <w:sz w:val="22"/>
        </w:rPr>
      </w:pPr>
      <w:r w:rsidRPr="00124FB2">
        <w:rPr>
          <w:rFonts w:ascii="Palatino Linotype" w:hAnsi="Palatino Linotype" w:cs="Bookman Old Style,Bold"/>
          <w:b/>
          <w:bCs/>
          <w:i/>
          <w:sz w:val="22"/>
        </w:rPr>
        <w:t xml:space="preserve">Artículo 12. </w:t>
      </w:r>
      <w:r w:rsidRPr="00124FB2">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A720B2" w:rsidRPr="00124FB2" w:rsidRDefault="00A720B2" w:rsidP="00A720B2">
      <w:pPr>
        <w:autoSpaceDE w:val="0"/>
        <w:autoSpaceDN w:val="0"/>
        <w:adjustRightInd w:val="0"/>
        <w:spacing w:line="360" w:lineRule="auto"/>
        <w:ind w:left="567" w:right="567"/>
        <w:jc w:val="both"/>
        <w:rPr>
          <w:rFonts w:ascii="Palatino Linotype" w:hAnsi="Palatino Linotype" w:cs="Bookman Old Style"/>
          <w:i/>
          <w:sz w:val="22"/>
        </w:rPr>
      </w:pPr>
    </w:p>
    <w:p w:rsidR="00A720B2" w:rsidRPr="00124FB2" w:rsidRDefault="00A720B2" w:rsidP="00A720B2">
      <w:pPr>
        <w:autoSpaceDE w:val="0"/>
        <w:autoSpaceDN w:val="0"/>
        <w:adjustRightInd w:val="0"/>
        <w:spacing w:line="360" w:lineRule="auto"/>
        <w:ind w:left="567" w:right="567"/>
        <w:jc w:val="both"/>
        <w:rPr>
          <w:rFonts w:ascii="Palatino Linotype" w:hAnsi="Palatino Linotype" w:cs="Bookman Old Style"/>
          <w:i/>
          <w:sz w:val="22"/>
        </w:rPr>
      </w:pPr>
      <w:r w:rsidRPr="00124FB2">
        <w:rPr>
          <w:rFonts w:ascii="Palatino Linotype" w:hAnsi="Palatino Linotype" w:cs="Bookman Old Styl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E6C24" w:rsidRPr="00124FB2" w:rsidRDefault="002E6C24" w:rsidP="00A720B2">
      <w:pPr>
        <w:spacing w:line="360" w:lineRule="auto"/>
        <w:ind w:right="49"/>
        <w:contextualSpacing/>
        <w:jc w:val="both"/>
        <w:rPr>
          <w:rFonts w:ascii="Palatino Linotype" w:eastAsia="Palatino Linotype" w:hAnsi="Palatino Linotype" w:cs="Palatino Linotype"/>
          <w:b/>
        </w:rPr>
      </w:pPr>
    </w:p>
    <w:p w:rsidR="002E6C24" w:rsidRPr="00124FB2" w:rsidRDefault="00A720B2" w:rsidP="00936DF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124FB2">
        <w:rPr>
          <w:rFonts w:ascii="Palatino Linotype" w:eastAsia="MS Gothic" w:hAnsi="Palatino Linotype" w:cstheme="majorBidi"/>
          <w:lang w:val="es-ES_tradnl" w:eastAsia="es-ES"/>
        </w:rPr>
        <w:t xml:space="preserve">Asimismo, el artículo 11 de la Ley de Transparencia en cita, establece que la entrega de la información </w:t>
      </w:r>
      <w:r w:rsidR="005807E9" w:rsidRPr="00124FB2">
        <w:rPr>
          <w:rFonts w:ascii="Palatino Linotype" w:eastAsia="MS Gothic" w:hAnsi="Palatino Linotype" w:cstheme="majorBidi"/>
          <w:lang w:val="es-ES_tradnl" w:eastAsia="es-ES"/>
        </w:rPr>
        <w:t xml:space="preserve">solicitada, </w:t>
      </w:r>
      <w:r w:rsidRPr="00124FB2">
        <w:rPr>
          <w:rFonts w:ascii="Palatino Linotype" w:eastAsia="MS Gothic" w:hAnsi="Palatino Linotype" w:cstheme="majorBidi"/>
          <w:lang w:val="es-ES_tradnl" w:eastAsia="es-ES"/>
        </w:rPr>
        <w:t>debe ser completa:</w:t>
      </w:r>
    </w:p>
    <w:p w:rsidR="00A720B2" w:rsidRPr="00124FB2" w:rsidRDefault="00A720B2" w:rsidP="00A720B2">
      <w:pPr>
        <w:spacing w:line="360" w:lineRule="auto"/>
        <w:ind w:right="49"/>
        <w:contextualSpacing/>
        <w:jc w:val="both"/>
        <w:rPr>
          <w:rFonts w:ascii="Palatino Linotype" w:eastAsia="MS Gothic" w:hAnsi="Palatino Linotype" w:cstheme="majorBidi"/>
          <w:lang w:val="es-ES_tradnl" w:eastAsia="es-ES"/>
        </w:rPr>
      </w:pPr>
    </w:p>
    <w:p w:rsidR="00A720B2" w:rsidRPr="00124FB2" w:rsidRDefault="00A720B2" w:rsidP="00A720B2">
      <w:pPr>
        <w:spacing w:line="360" w:lineRule="auto"/>
        <w:ind w:left="851" w:right="822"/>
        <w:contextualSpacing/>
        <w:jc w:val="both"/>
        <w:rPr>
          <w:rFonts w:ascii="Palatino Linotype" w:hAnsi="Palatino Linotype"/>
          <w:i/>
          <w:sz w:val="22"/>
        </w:rPr>
      </w:pPr>
      <w:r w:rsidRPr="00124FB2">
        <w:rPr>
          <w:rFonts w:ascii="Palatino Linotype" w:hAnsi="Palatino Linotype"/>
          <w:i/>
          <w:sz w:val="22"/>
        </w:rPr>
        <w:t>“Artículo 11. En la generación, publicación y entrega de información se deberá garantizar que ésta sea accesible, actualizada,</w:t>
      </w:r>
      <w:r w:rsidRPr="00124FB2">
        <w:rPr>
          <w:rFonts w:ascii="Palatino Linotype" w:hAnsi="Palatino Linotype"/>
          <w:b/>
          <w:i/>
          <w:sz w:val="22"/>
        </w:rPr>
        <w:t xml:space="preserve"> completa</w:t>
      </w:r>
      <w:r w:rsidRPr="00124FB2">
        <w:rPr>
          <w:rFonts w:ascii="Palatino Linotype" w:hAnsi="Palatino Linotype"/>
          <w:i/>
          <w:sz w:val="22"/>
        </w:rPr>
        <w:t xml:space="preserve">, congruente, confiable, verificable, veraz, integral, oportuna y expedita, sujeta a un claro régimen de excepciones que deberá estar definido y ser además legítima y estrictamente necesaria </w:t>
      </w:r>
      <w:r w:rsidRPr="00124FB2">
        <w:rPr>
          <w:rFonts w:ascii="Palatino Linotype" w:hAnsi="Palatino Linotype"/>
          <w:i/>
          <w:sz w:val="22"/>
        </w:rPr>
        <w:lastRenderedPageBreak/>
        <w:t>en una sociedad democrática, por lo que atenderá las necesidades del derecho de acceso a la información de toda persona.</w:t>
      </w:r>
    </w:p>
    <w:p w:rsidR="00A720B2" w:rsidRPr="00124FB2" w:rsidRDefault="00A720B2" w:rsidP="00A720B2">
      <w:pPr>
        <w:spacing w:line="360" w:lineRule="auto"/>
        <w:ind w:left="851" w:right="822"/>
        <w:contextualSpacing/>
        <w:jc w:val="both"/>
        <w:rPr>
          <w:rFonts w:ascii="Palatino Linotype" w:hAnsi="Palatino Linotype"/>
          <w:i/>
          <w:sz w:val="22"/>
        </w:rPr>
      </w:pPr>
      <w:r w:rsidRPr="00124FB2">
        <w:rPr>
          <w:rFonts w:ascii="Palatino Linotype" w:hAnsi="Palatino Linotype"/>
          <w:i/>
          <w:sz w:val="22"/>
        </w:rPr>
        <w:t>…”</w:t>
      </w:r>
    </w:p>
    <w:p w:rsidR="005807E9" w:rsidRPr="00124FB2" w:rsidRDefault="005807E9" w:rsidP="00A720B2">
      <w:pPr>
        <w:spacing w:line="360" w:lineRule="auto"/>
        <w:ind w:left="851" w:right="822"/>
        <w:contextualSpacing/>
        <w:jc w:val="both"/>
        <w:rPr>
          <w:rFonts w:ascii="Palatino Linotype" w:eastAsia="MS Gothic" w:hAnsi="Palatino Linotype" w:cstheme="majorBidi"/>
          <w:i/>
          <w:sz w:val="22"/>
          <w:lang w:val="es-ES_tradnl" w:eastAsia="es-ES"/>
        </w:rPr>
      </w:pPr>
    </w:p>
    <w:p w:rsidR="002E6C24" w:rsidRPr="00124FB2" w:rsidRDefault="005807E9" w:rsidP="002E6C24">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124FB2">
        <w:rPr>
          <w:rFonts w:ascii="Palatino Linotype" w:eastAsia="MS Gothic" w:hAnsi="Palatino Linotype" w:cstheme="majorBidi"/>
          <w:lang w:val="es-ES_tradnl" w:eastAsia="es-ES"/>
        </w:rPr>
        <w:t xml:space="preserve">En ese contexto, </w:t>
      </w:r>
      <w:r w:rsidR="005B2D0C" w:rsidRPr="00124FB2">
        <w:rPr>
          <w:rFonts w:ascii="Palatino Linotype" w:eastAsia="MS Gothic" w:hAnsi="Palatino Linotype" w:cstheme="majorBidi"/>
          <w:lang w:val="es-ES_tradnl" w:eastAsia="es-ES"/>
        </w:rPr>
        <w:t>de la revisión a la liga electrónica entregada en respuesta, se advierte que remite a la página de información pública de oficio mexiquense</w:t>
      </w:r>
      <w:r w:rsidR="007A4252" w:rsidRPr="00124FB2">
        <w:rPr>
          <w:rFonts w:ascii="Palatino Linotype" w:eastAsia="MS Gothic" w:hAnsi="Palatino Linotype" w:cstheme="majorBidi"/>
          <w:lang w:val="es-ES_tradnl" w:eastAsia="es-ES"/>
        </w:rPr>
        <w:t xml:space="preserve"> del</w:t>
      </w:r>
      <w:r w:rsidR="008A107F" w:rsidRPr="00124FB2">
        <w:rPr>
          <w:rFonts w:ascii="Palatino Linotype" w:eastAsia="MS Gothic" w:hAnsi="Palatino Linotype" w:cstheme="majorBidi"/>
          <w:lang w:val="es-ES_tradnl" w:eastAsia="es-ES"/>
        </w:rPr>
        <w:t xml:space="preserve"> Sujeto Obligado</w:t>
      </w:r>
      <w:r w:rsidR="005B2D0C" w:rsidRPr="00124FB2">
        <w:rPr>
          <w:rFonts w:ascii="Palatino Linotype" w:eastAsia="MS Gothic" w:hAnsi="Palatino Linotype" w:cstheme="majorBidi"/>
          <w:lang w:val="es-ES_tradnl" w:eastAsia="es-ES"/>
        </w:rPr>
        <w:t>, en la que se advierten un total de 54 registros:</w:t>
      </w:r>
    </w:p>
    <w:p w:rsidR="005B2D0C" w:rsidRPr="00124FB2" w:rsidRDefault="005B2D0C" w:rsidP="005B2D0C">
      <w:pPr>
        <w:spacing w:line="360" w:lineRule="auto"/>
        <w:ind w:right="49"/>
        <w:contextualSpacing/>
        <w:jc w:val="both"/>
        <w:rPr>
          <w:rFonts w:ascii="Palatino Linotype" w:eastAsia="MS Gothic" w:hAnsi="Palatino Linotype" w:cstheme="majorBidi"/>
          <w:lang w:val="es-ES_tradnl" w:eastAsia="es-ES"/>
        </w:rPr>
      </w:pPr>
    </w:p>
    <w:p w:rsidR="005B2D0C" w:rsidRPr="00124FB2" w:rsidRDefault="005B2D0C" w:rsidP="005B2D0C">
      <w:pPr>
        <w:spacing w:line="360" w:lineRule="auto"/>
        <w:ind w:right="49"/>
        <w:contextualSpacing/>
        <w:jc w:val="center"/>
        <w:rPr>
          <w:rFonts w:ascii="Palatino Linotype" w:eastAsia="MS Gothic" w:hAnsi="Palatino Linotype" w:cstheme="majorBidi"/>
          <w:lang w:val="es-ES_tradnl" w:eastAsia="es-ES"/>
        </w:rPr>
      </w:pPr>
      <w:r w:rsidRPr="00124FB2">
        <w:rPr>
          <w:noProof/>
        </w:rPr>
        <w:drawing>
          <wp:inline distT="0" distB="0" distL="0" distR="0" wp14:anchorId="0B879E0E" wp14:editId="52A9AD18">
            <wp:extent cx="4722725" cy="3289040"/>
            <wp:effectExtent l="0" t="0" r="190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619" t="8399" r="30181" b="43066"/>
                    <a:stretch/>
                  </pic:blipFill>
                  <pic:spPr bwMode="auto">
                    <a:xfrm>
                      <a:off x="0" y="0"/>
                      <a:ext cx="4735301" cy="3297798"/>
                    </a:xfrm>
                    <a:prstGeom prst="rect">
                      <a:avLst/>
                    </a:prstGeom>
                    <a:ln>
                      <a:noFill/>
                    </a:ln>
                    <a:extLst>
                      <a:ext uri="{53640926-AAD7-44D8-BBD7-CCE9431645EC}">
                        <a14:shadowObscured xmlns:a14="http://schemas.microsoft.com/office/drawing/2010/main"/>
                      </a:ext>
                    </a:extLst>
                  </pic:spPr>
                </pic:pic>
              </a:graphicData>
            </a:graphic>
          </wp:inline>
        </w:drawing>
      </w:r>
    </w:p>
    <w:p w:rsidR="005B2D0C" w:rsidRPr="00124FB2" w:rsidRDefault="005B2D0C" w:rsidP="005B2D0C">
      <w:pPr>
        <w:spacing w:line="360" w:lineRule="auto"/>
        <w:ind w:right="49"/>
        <w:contextualSpacing/>
        <w:jc w:val="center"/>
        <w:rPr>
          <w:rFonts w:ascii="Palatino Linotype" w:eastAsia="MS Gothic" w:hAnsi="Palatino Linotype" w:cstheme="majorBidi"/>
          <w:lang w:val="es-ES_tradnl" w:eastAsia="es-ES"/>
        </w:rPr>
      </w:pPr>
    </w:p>
    <w:p w:rsidR="00A720B2" w:rsidRPr="00124FB2" w:rsidRDefault="008A107F" w:rsidP="00470AD2">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124FB2">
        <w:rPr>
          <w:rFonts w:ascii="Palatino Linotype" w:eastAsia="MS Gothic" w:hAnsi="Palatino Linotype" w:cstheme="majorBidi"/>
          <w:lang w:val="es-ES_tradnl" w:eastAsia="es-ES"/>
        </w:rPr>
        <w:t>Sin embargo,</w:t>
      </w:r>
      <w:r w:rsidR="005B2D0C" w:rsidRPr="00124FB2">
        <w:rPr>
          <w:rFonts w:ascii="Palatino Linotype" w:eastAsia="MS Gothic" w:hAnsi="Palatino Linotype" w:cstheme="majorBidi"/>
          <w:lang w:val="es-ES_tradnl" w:eastAsia="es-ES"/>
        </w:rPr>
        <w:t xml:space="preserve"> </w:t>
      </w:r>
      <w:r w:rsidR="00707F1F" w:rsidRPr="00124FB2">
        <w:rPr>
          <w:rFonts w:ascii="Palatino Linotype" w:eastAsia="MS Gothic" w:hAnsi="Palatino Linotype" w:cstheme="majorBidi"/>
          <w:lang w:val="es-ES_tradnl" w:eastAsia="es-ES"/>
        </w:rPr>
        <w:t>cómo</w:t>
      </w:r>
      <w:r w:rsidR="005B2D0C" w:rsidRPr="00124FB2">
        <w:rPr>
          <w:rFonts w:ascii="Palatino Linotype" w:eastAsia="MS Gothic" w:hAnsi="Palatino Linotype" w:cstheme="majorBidi"/>
          <w:lang w:val="es-ES_tradnl" w:eastAsia="es-ES"/>
        </w:rPr>
        <w:t xml:space="preserve"> lo manifestó el particular en sus motivos de inconformidad, en la fracción VIII A, apartado de remuneraciones</w:t>
      </w:r>
      <w:r w:rsidR="00707F1F" w:rsidRPr="00124FB2">
        <w:rPr>
          <w:rFonts w:ascii="Palatino Linotype" w:eastAsia="MS Gothic" w:hAnsi="Palatino Linotype" w:cstheme="majorBidi"/>
          <w:lang w:val="es-ES_tradnl" w:eastAsia="es-ES"/>
        </w:rPr>
        <w:t xml:space="preserve"> del IPOMEX del Sujeto Obligado</w:t>
      </w:r>
      <w:r w:rsidR="005B2D0C" w:rsidRPr="00124FB2">
        <w:rPr>
          <w:rFonts w:ascii="Palatino Linotype" w:eastAsia="MS Gothic" w:hAnsi="Palatino Linotype" w:cstheme="majorBidi"/>
          <w:lang w:val="es-ES_tradnl" w:eastAsia="es-ES"/>
        </w:rPr>
        <w:t xml:space="preserve">, </w:t>
      </w:r>
      <w:r w:rsidR="005B2D0C" w:rsidRPr="00124FB2">
        <w:rPr>
          <w:rFonts w:ascii="Palatino Linotype" w:eastAsia="MS Gothic" w:hAnsi="Palatino Linotype" w:cstheme="majorBidi"/>
          <w:lang w:val="es-ES_tradnl" w:eastAsia="es-ES"/>
        </w:rPr>
        <w:lastRenderedPageBreak/>
        <w:t>se advierte un total de 983 registros, por lo que no coincide con el número de registros de la fracci</w:t>
      </w:r>
      <w:r w:rsidR="00707F1F" w:rsidRPr="00124FB2">
        <w:rPr>
          <w:rFonts w:ascii="Palatino Linotype" w:eastAsia="MS Gothic" w:hAnsi="Palatino Linotype" w:cstheme="majorBidi"/>
          <w:lang w:val="es-ES_tradnl" w:eastAsia="es-ES"/>
        </w:rPr>
        <w:t>ón XXI:</w:t>
      </w:r>
    </w:p>
    <w:p w:rsidR="00707F1F" w:rsidRPr="00124FB2" w:rsidRDefault="00707F1F" w:rsidP="00707F1F">
      <w:pPr>
        <w:spacing w:line="360" w:lineRule="auto"/>
        <w:ind w:right="49"/>
        <w:contextualSpacing/>
        <w:jc w:val="both"/>
        <w:rPr>
          <w:rFonts w:ascii="Palatino Linotype" w:eastAsia="MS Gothic" w:hAnsi="Palatino Linotype" w:cstheme="majorBidi"/>
          <w:lang w:val="es-ES_tradnl" w:eastAsia="es-ES"/>
        </w:rPr>
      </w:pPr>
    </w:p>
    <w:p w:rsidR="00707F1F" w:rsidRPr="00124FB2" w:rsidRDefault="00707F1F" w:rsidP="00707F1F">
      <w:pPr>
        <w:spacing w:line="360" w:lineRule="auto"/>
        <w:ind w:right="49"/>
        <w:contextualSpacing/>
        <w:jc w:val="center"/>
        <w:rPr>
          <w:rFonts w:ascii="Palatino Linotype" w:eastAsia="MS Gothic" w:hAnsi="Palatino Linotype" w:cstheme="majorBidi"/>
          <w:lang w:val="es-ES_tradnl" w:eastAsia="es-ES"/>
        </w:rPr>
      </w:pPr>
      <w:r w:rsidRPr="00124FB2">
        <w:rPr>
          <w:noProof/>
        </w:rPr>
        <w:drawing>
          <wp:inline distT="0" distB="0" distL="0" distR="0" wp14:anchorId="048B226C" wp14:editId="1109B035">
            <wp:extent cx="4903595" cy="22565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70" t="18976" r="29481" b="48668"/>
                    <a:stretch/>
                  </pic:blipFill>
                  <pic:spPr bwMode="auto">
                    <a:xfrm>
                      <a:off x="0" y="0"/>
                      <a:ext cx="4916297" cy="2262367"/>
                    </a:xfrm>
                    <a:prstGeom prst="rect">
                      <a:avLst/>
                    </a:prstGeom>
                    <a:ln>
                      <a:noFill/>
                    </a:ln>
                    <a:extLst>
                      <a:ext uri="{53640926-AAD7-44D8-BBD7-CCE9431645EC}">
                        <a14:shadowObscured xmlns:a14="http://schemas.microsoft.com/office/drawing/2010/main"/>
                      </a:ext>
                    </a:extLst>
                  </pic:spPr>
                </pic:pic>
              </a:graphicData>
            </a:graphic>
          </wp:inline>
        </w:drawing>
      </w:r>
    </w:p>
    <w:p w:rsidR="00707F1F" w:rsidRPr="00124FB2" w:rsidRDefault="00707F1F" w:rsidP="00707F1F">
      <w:pPr>
        <w:spacing w:line="360" w:lineRule="auto"/>
        <w:ind w:right="49"/>
        <w:contextualSpacing/>
        <w:jc w:val="center"/>
        <w:rPr>
          <w:rFonts w:ascii="Palatino Linotype" w:eastAsia="MS Gothic" w:hAnsi="Palatino Linotype" w:cstheme="majorBidi"/>
          <w:lang w:val="es-ES_tradnl" w:eastAsia="es-ES"/>
        </w:rPr>
      </w:pPr>
    </w:p>
    <w:p w:rsidR="007A4252" w:rsidRPr="00124FB2" w:rsidRDefault="0097217F" w:rsidP="007A4252">
      <w:pPr>
        <w:numPr>
          <w:ilvl w:val="0"/>
          <w:numId w:val="1"/>
        </w:numPr>
        <w:spacing w:line="360" w:lineRule="auto"/>
        <w:ind w:left="0" w:right="49" w:firstLine="0"/>
        <w:contextualSpacing/>
        <w:jc w:val="both"/>
        <w:rPr>
          <w:rFonts w:ascii="Palatino Linotype" w:eastAsia="MS Gothic" w:hAnsi="Palatino Linotype"/>
          <w:bCs/>
          <w:lang w:eastAsia="es-ES"/>
        </w:rPr>
      </w:pPr>
      <w:r w:rsidRPr="00124FB2">
        <w:rPr>
          <w:rFonts w:ascii="Palatino Linotype" w:eastAsia="MS Gothic" w:hAnsi="Palatino Linotype" w:cstheme="majorBidi"/>
          <w:lang w:val="es-ES_tradnl" w:eastAsia="es-ES"/>
        </w:rPr>
        <w:t>En ese contexto</w:t>
      </w:r>
      <w:r w:rsidR="007A4252" w:rsidRPr="00124FB2">
        <w:rPr>
          <w:rFonts w:ascii="Palatino Linotype" w:eastAsia="MS Gothic" w:hAnsi="Palatino Linotype" w:cstheme="majorBidi"/>
          <w:lang w:val="es-ES_tradnl" w:eastAsia="es-ES"/>
        </w:rPr>
        <w:t xml:space="preserve">, es necesario especificar que si bien, no coincide el número de registros entre el apartado de remuneraciones y la información curricular, esto se debe a que dentro de la información curricular solo se pública la información de mandos medios y superiores de acuerdo a los Lineamientos </w:t>
      </w:r>
      <w:r w:rsidR="007A4252" w:rsidRPr="00124FB2">
        <w:rPr>
          <w:rFonts w:ascii="Palatino Linotype" w:eastAsia="MS Gothic" w:hAnsi="Palatino Linotype"/>
          <w:bCs/>
          <w:lang w:eastAsia="es-ES"/>
        </w:rPr>
        <w:t xml:space="preserve">técnicos generales para la publicación, homologación y estandarización de la información de las obligaciones establecidas en el título quinto y en la fracción IV del artículo 31 de la Ley General de Transparencia y Acceso a la Información Pública. </w:t>
      </w:r>
    </w:p>
    <w:p w:rsidR="007A4252" w:rsidRPr="00124FB2" w:rsidRDefault="007A4252" w:rsidP="007A4252">
      <w:pPr>
        <w:spacing w:line="360" w:lineRule="auto"/>
        <w:ind w:right="49"/>
        <w:contextualSpacing/>
        <w:jc w:val="both"/>
        <w:rPr>
          <w:rFonts w:ascii="Palatino Linotype" w:eastAsia="MS Gothic" w:hAnsi="Palatino Linotype"/>
          <w:bCs/>
          <w:lang w:eastAsia="es-ES"/>
        </w:rPr>
      </w:pPr>
    </w:p>
    <w:p w:rsidR="00A720B2" w:rsidRPr="00124FB2" w:rsidRDefault="0097217F" w:rsidP="0097217F">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124FB2">
        <w:rPr>
          <w:rFonts w:ascii="Palatino Linotype" w:eastAsia="MS Gothic" w:hAnsi="Palatino Linotype"/>
          <w:bCs/>
          <w:lang w:eastAsia="es-ES"/>
        </w:rPr>
        <w:t xml:space="preserve">Ahora bien, tomando en cuenta el número de registros en el apartado de remuneraciones de la página de Información Pública de Oficio Mexiquense, podemos advertir que la información remitida en respuesta es incompleta, </w:t>
      </w:r>
      <w:r w:rsidR="00707F1F" w:rsidRPr="00124FB2">
        <w:rPr>
          <w:rFonts w:ascii="Palatino Linotype" w:eastAsia="MS Gothic" w:hAnsi="Palatino Linotype" w:cstheme="majorBidi"/>
          <w:lang w:val="es-ES_tradnl" w:eastAsia="es-ES"/>
        </w:rPr>
        <w:t xml:space="preserve">por lo que, las </w:t>
      </w:r>
      <w:r w:rsidR="00707F1F" w:rsidRPr="00124FB2">
        <w:rPr>
          <w:rFonts w:ascii="Palatino Linotype" w:eastAsia="MS Gothic" w:hAnsi="Palatino Linotype" w:cstheme="majorBidi"/>
          <w:lang w:val="es-ES_tradnl" w:eastAsia="es-ES"/>
        </w:rPr>
        <w:lastRenderedPageBreak/>
        <w:t xml:space="preserve">razones y motivos de inconformidad del Recurrente resultan fundadas, por ello, este Órgano Garante determina procedente modificar la respuesta del Sujeto Obligado y ORDEN de ser procedente en versión pública, la entrega de los currículum vitae de los servidores públicos faltantes. </w:t>
      </w:r>
    </w:p>
    <w:p w:rsidR="00470AD2" w:rsidRPr="00124FB2" w:rsidRDefault="00470AD2" w:rsidP="00707F1F">
      <w:pPr>
        <w:spacing w:line="360" w:lineRule="auto"/>
        <w:ind w:right="49"/>
        <w:contextualSpacing/>
        <w:jc w:val="both"/>
        <w:rPr>
          <w:rFonts w:ascii="Palatino Linotype" w:eastAsia="MS Gothic" w:hAnsi="Palatino Linotype" w:cstheme="majorBidi"/>
          <w:lang w:val="es-ES_tradnl" w:eastAsia="es-ES"/>
        </w:rPr>
      </w:pPr>
    </w:p>
    <w:p w:rsidR="00470AD2" w:rsidRPr="00124FB2" w:rsidRDefault="00470AD2" w:rsidP="00470AD2">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2" w:name="_Toc89350464"/>
      <w:bookmarkStart w:id="23" w:name="_Toc94119619"/>
      <w:r w:rsidRPr="00124FB2">
        <w:rPr>
          <w:rFonts w:ascii="Palatino Linotype" w:hAnsi="Palatino Linotype"/>
          <w:b/>
          <w:bCs/>
          <w:color w:val="000000" w:themeColor="text1"/>
          <w:sz w:val="24"/>
        </w:rPr>
        <w:t>QUINTO. De la versión pública.</w:t>
      </w:r>
      <w:bookmarkEnd w:id="22"/>
      <w:bookmarkEnd w:id="23"/>
    </w:p>
    <w:p w:rsidR="00470AD2" w:rsidRPr="00124FB2" w:rsidRDefault="00470AD2" w:rsidP="00470AD2">
      <w:pPr>
        <w:pStyle w:val="Prrafodelista"/>
        <w:tabs>
          <w:tab w:val="left" w:pos="426"/>
        </w:tabs>
        <w:spacing w:line="360" w:lineRule="auto"/>
        <w:ind w:left="0" w:right="51"/>
        <w:jc w:val="both"/>
        <w:rPr>
          <w:rFonts w:ascii="Palatino Linotype" w:hAnsi="Palatino Linotype"/>
          <w:color w:val="000000" w:themeColor="text1"/>
        </w:rPr>
      </w:pPr>
    </w:p>
    <w:p w:rsidR="00470AD2" w:rsidRPr="00124FB2" w:rsidRDefault="00470AD2" w:rsidP="00470AD2">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124FB2">
        <w:rPr>
          <w:rFonts w:ascii="Palatino Linotype" w:hAnsi="Palatino Linotype"/>
          <w:color w:val="000000" w:themeColor="text1"/>
          <w:sz w:val="24"/>
        </w:rPr>
        <w:t>Debe destacarse que, debido a la naturaleza de la información solicitada</w:t>
      </w:r>
      <w:r w:rsidRPr="00124FB2">
        <w:rPr>
          <w:rFonts w:ascii="Palatino Linotype" w:hAnsi="Palatino Linotype"/>
          <w:b/>
          <w:color w:val="000000" w:themeColor="text1"/>
          <w:sz w:val="24"/>
        </w:rPr>
        <w:t xml:space="preserve"> </w:t>
      </w:r>
      <w:r w:rsidRPr="00124FB2">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470AD2" w:rsidRPr="00124FB2" w:rsidRDefault="00470AD2" w:rsidP="00470AD2">
      <w:pPr>
        <w:pStyle w:val="Prrafodelista"/>
        <w:tabs>
          <w:tab w:val="left" w:pos="426"/>
        </w:tabs>
        <w:spacing w:line="360" w:lineRule="auto"/>
        <w:ind w:left="0" w:right="51"/>
        <w:jc w:val="both"/>
        <w:rPr>
          <w:rFonts w:ascii="Palatino Linotype" w:hAnsi="Palatino Linotype"/>
          <w:color w:val="000000" w:themeColor="text1"/>
          <w:sz w:val="24"/>
        </w:rPr>
      </w:pPr>
    </w:p>
    <w:p w:rsidR="00470AD2" w:rsidRPr="00124FB2" w:rsidRDefault="00470AD2" w:rsidP="00470AD2">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124FB2">
        <w:rPr>
          <w:rFonts w:ascii="Palatino Linotype" w:hAnsi="Palatino Linotype"/>
          <w:color w:val="000000" w:themeColor="text1"/>
          <w:sz w:val="24"/>
        </w:rPr>
        <w:t xml:space="preserve">La </w:t>
      </w:r>
      <w:r w:rsidRPr="00124FB2">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124FB2">
        <w:rPr>
          <w:rFonts w:ascii="Palatino Linotype" w:hAnsi="Palatino Linotype" w:cs="Arial"/>
          <w:color w:val="000000"/>
          <w:sz w:val="24"/>
        </w:rPr>
        <w:t xml:space="preserve">Actualmente, el grave problema que enfrentamos son los Acuerdos de Clasificación de la Información que emiten los </w:t>
      </w:r>
      <w:r w:rsidRPr="00124FB2">
        <w:rPr>
          <w:rFonts w:ascii="Palatino Linotype" w:hAnsi="Palatino Linotype" w:cs="Arial"/>
          <w:b/>
          <w:color w:val="000000"/>
          <w:sz w:val="24"/>
        </w:rPr>
        <w:t>SUJETOS OBLIGADOS</w:t>
      </w:r>
      <w:r w:rsidRPr="00124FB2">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470AD2" w:rsidRPr="00124FB2" w:rsidRDefault="00470AD2" w:rsidP="00470AD2">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470AD2" w:rsidRPr="00124FB2" w:rsidTr="00241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470AD2" w:rsidRPr="00124FB2" w:rsidRDefault="00470AD2" w:rsidP="00241ABD">
            <w:pPr>
              <w:spacing w:line="360" w:lineRule="auto"/>
              <w:rPr>
                <w:rFonts w:ascii="Palatino Linotype" w:hAnsi="Palatino Linotype"/>
                <w:sz w:val="22"/>
                <w:szCs w:val="20"/>
              </w:rPr>
            </w:pPr>
            <w:r w:rsidRPr="00124FB2">
              <w:rPr>
                <w:rFonts w:ascii="Palatino Linotype" w:hAnsi="Palatino Linotype" w:cstheme="majorBidi"/>
                <w:b w:val="0"/>
                <w:sz w:val="22"/>
                <w:szCs w:val="20"/>
              </w:rPr>
              <w:lastRenderedPageBreak/>
              <w:t>a) Requisitos previos.</w:t>
            </w:r>
          </w:p>
        </w:tc>
        <w:tc>
          <w:tcPr>
            <w:tcW w:w="6990" w:type="dxa"/>
          </w:tcPr>
          <w:p w:rsidR="00470AD2" w:rsidRPr="00124FB2" w:rsidRDefault="00470AD2" w:rsidP="00241AB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 xml:space="preserve">Los artículos 100 y 122 de la Ley Estatal y de la Ley General, respectivamente, señalan que si los </w:t>
            </w:r>
            <w:r w:rsidRPr="00124FB2">
              <w:rPr>
                <w:rFonts w:ascii="Palatino Linotype" w:hAnsi="Palatino Linotype" w:cs="Arial"/>
                <w:b w:val="0"/>
                <w:color w:val="000000"/>
                <w:sz w:val="22"/>
                <w:szCs w:val="20"/>
              </w:rPr>
              <w:t>Sujetos Obligados</w:t>
            </w:r>
            <w:r w:rsidRPr="00124FB2">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rsidR="00470AD2" w:rsidRPr="00124FB2" w:rsidRDefault="00470AD2" w:rsidP="00241AB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Al hacerlo tienen que precisar de qué información se trata, señalando el supuesto de clasificación (confidencialidad o reserva).</w:t>
            </w:r>
          </w:p>
          <w:p w:rsidR="00470AD2" w:rsidRPr="00124FB2" w:rsidRDefault="00470AD2" w:rsidP="00241AB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Además, se debe señalar el procedimiento, de los tres que establecen los artículos 132 y 106 de la Ley Estatal y General, respectivamente.</w:t>
            </w:r>
          </w:p>
          <w:p w:rsidR="00470AD2" w:rsidRPr="00124FB2" w:rsidRDefault="00470AD2" w:rsidP="00241AB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124FB2">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124FB2">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124FB2">
              <w:rPr>
                <w:rFonts w:ascii="Palatino Linotype" w:hAnsi="Palatino Linotype" w:cs="Arial"/>
                <w:color w:val="000000"/>
                <w:sz w:val="22"/>
                <w:szCs w:val="20"/>
              </w:rPr>
              <w:t>sin individualizar su análisis y tampoco se puede hacer un acuerdo por cada dato que se vaya a clasificar dentro de un documento con diez datos, por ejemplo, susceptibles de ser clasificados.</w:t>
            </w:r>
          </w:p>
        </w:tc>
      </w:tr>
      <w:tr w:rsidR="00470AD2" w:rsidRPr="00124FB2" w:rsidTr="00241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470AD2" w:rsidRPr="00124FB2" w:rsidRDefault="00470AD2" w:rsidP="00241ABD">
            <w:pPr>
              <w:spacing w:line="360" w:lineRule="auto"/>
              <w:rPr>
                <w:rFonts w:ascii="Palatino Linotype" w:hAnsi="Palatino Linotype"/>
                <w:sz w:val="22"/>
                <w:szCs w:val="20"/>
              </w:rPr>
            </w:pPr>
            <w:r w:rsidRPr="00124FB2">
              <w:rPr>
                <w:rFonts w:ascii="Palatino Linotype" w:hAnsi="Palatino Linotype" w:cstheme="majorBidi"/>
                <w:b w:val="0"/>
                <w:sz w:val="22"/>
                <w:szCs w:val="20"/>
              </w:rPr>
              <w:t>b) Supuestos de clasificación.</w:t>
            </w:r>
          </w:p>
        </w:tc>
        <w:tc>
          <w:tcPr>
            <w:tcW w:w="6990" w:type="dxa"/>
          </w:tcPr>
          <w:p w:rsidR="00470AD2" w:rsidRPr="00124FB2" w:rsidRDefault="00470AD2" w:rsidP="00241A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rsidR="00470AD2" w:rsidRPr="00124FB2" w:rsidRDefault="00470AD2" w:rsidP="00241A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w:t>
            </w:r>
            <w:r w:rsidRPr="00124FB2">
              <w:rPr>
                <w:rFonts w:ascii="Palatino Linotype" w:hAnsi="Palatino Linotype" w:cs="Arial"/>
                <w:color w:val="000000"/>
                <w:sz w:val="22"/>
                <w:szCs w:val="20"/>
              </w:rPr>
              <w:lastRenderedPageBreak/>
              <w:t>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470AD2" w:rsidRPr="00124FB2" w:rsidRDefault="00470AD2" w:rsidP="00241AB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124FB2">
              <w:rPr>
                <w:rFonts w:ascii="Palatino Linotype" w:hAnsi="Palatino Linotype" w:cs="Arial"/>
                <w:color w:val="000000"/>
                <w:sz w:val="22"/>
                <w:szCs w:val="20"/>
              </w:rPr>
              <w:t xml:space="preserve">El </w:t>
            </w:r>
            <w:r w:rsidRPr="00124FB2">
              <w:rPr>
                <w:rFonts w:ascii="Palatino Linotype" w:hAnsi="Palatino Linotype" w:cs="Arial"/>
                <w:b/>
                <w:color w:val="000000"/>
                <w:sz w:val="22"/>
                <w:szCs w:val="20"/>
              </w:rPr>
              <w:t>SUJETO OBLIGADO</w:t>
            </w:r>
            <w:r w:rsidRPr="00124FB2">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70AD2" w:rsidRPr="00124FB2" w:rsidTr="00241ABD">
        <w:tc>
          <w:tcPr>
            <w:cnfStyle w:val="001000000000" w:firstRow="0" w:lastRow="0" w:firstColumn="1" w:lastColumn="0" w:oddVBand="0" w:evenVBand="0" w:oddHBand="0" w:evenHBand="0" w:firstRowFirstColumn="0" w:firstRowLastColumn="0" w:lastRowFirstColumn="0" w:lastRowLastColumn="0"/>
            <w:tcW w:w="1838" w:type="dxa"/>
          </w:tcPr>
          <w:p w:rsidR="00470AD2" w:rsidRPr="00124FB2" w:rsidRDefault="00470AD2" w:rsidP="00241ABD">
            <w:pPr>
              <w:spacing w:line="360" w:lineRule="auto"/>
              <w:rPr>
                <w:rFonts w:ascii="Palatino Linotype" w:hAnsi="Palatino Linotype"/>
                <w:sz w:val="22"/>
                <w:szCs w:val="20"/>
              </w:rPr>
            </w:pPr>
            <w:r w:rsidRPr="00124FB2">
              <w:rPr>
                <w:rFonts w:ascii="Palatino Linotype" w:hAnsi="Palatino Linotype" w:cstheme="majorBidi"/>
                <w:b w:val="0"/>
                <w:sz w:val="22"/>
                <w:szCs w:val="20"/>
              </w:rPr>
              <w:lastRenderedPageBreak/>
              <w:t>c) Formalidades para emitir el acuerdo de clasificación.</w:t>
            </w:r>
          </w:p>
        </w:tc>
        <w:tc>
          <w:tcPr>
            <w:tcW w:w="6990" w:type="dxa"/>
          </w:tcPr>
          <w:p w:rsidR="00470AD2" w:rsidRPr="00124FB2" w:rsidRDefault="00470AD2" w:rsidP="00241AB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rsidR="00470AD2" w:rsidRPr="00124FB2" w:rsidRDefault="00470AD2" w:rsidP="00241AB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 xml:space="preserve">Es necesario que </w:t>
            </w:r>
            <w:r w:rsidRPr="00124FB2">
              <w:rPr>
                <w:rFonts w:ascii="Palatino Linotype" w:hAnsi="Palatino Linotype" w:cs="Arial"/>
                <w:b/>
                <w:color w:val="000000"/>
                <w:sz w:val="22"/>
                <w:szCs w:val="20"/>
                <w:u w:val="single"/>
              </w:rPr>
              <w:t>el acto reúna con los requisitos elementales</w:t>
            </w:r>
            <w:r w:rsidRPr="00124FB2">
              <w:rPr>
                <w:rFonts w:ascii="Palatino Linotype" w:hAnsi="Palatino Linotype" w:cs="Arial"/>
                <w:color w:val="000000"/>
                <w:sz w:val="22"/>
                <w:szCs w:val="20"/>
              </w:rPr>
              <w:t>, entre ellos, que la autoridad que va a emitir el acto de autoridad sea la legalmente facultada para ello.</w:t>
            </w:r>
          </w:p>
          <w:p w:rsidR="00470AD2" w:rsidRPr="00124FB2" w:rsidRDefault="00470AD2" w:rsidP="00241AB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124FB2">
              <w:rPr>
                <w:rFonts w:ascii="Palatino Linotype" w:hAnsi="Palatino Linotype" w:cs="Arial"/>
                <w:color w:val="000000"/>
                <w:sz w:val="22"/>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70AD2" w:rsidRPr="00124FB2" w:rsidTr="00241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470AD2" w:rsidRPr="00124FB2" w:rsidRDefault="00470AD2" w:rsidP="00241ABD">
            <w:pPr>
              <w:spacing w:line="360" w:lineRule="auto"/>
              <w:rPr>
                <w:rFonts w:ascii="Palatino Linotype" w:hAnsi="Palatino Linotype"/>
                <w:b w:val="0"/>
                <w:sz w:val="22"/>
                <w:szCs w:val="20"/>
              </w:rPr>
            </w:pPr>
          </w:p>
          <w:p w:rsidR="00470AD2" w:rsidRPr="00124FB2" w:rsidRDefault="00470AD2" w:rsidP="00241ABD">
            <w:pPr>
              <w:spacing w:line="360" w:lineRule="auto"/>
              <w:jc w:val="both"/>
              <w:rPr>
                <w:rFonts w:ascii="Palatino Linotype" w:hAnsi="Palatino Linotype"/>
                <w:b w:val="0"/>
                <w:sz w:val="22"/>
                <w:szCs w:val="20"/>
              </w:rPr>
            </w:pPr>
            <w:r w:rsidRPr="00124FB2">
              <w:rPr>
                <w:rFonts w:ascii="Palatino Linotype" w:hAnsi="Palatino Linotype" w:cs="Arial"/>
                <w:b w:val="0"/>
                <w:color w:val="000000"/>
                <w:sz w:val="22"/>
                <w:szCs w:val="20"/>
              </w:rPr>
              <w:t xml:space="preserve">d) Requisitos de fondo del acuerdo de clasificación. </w:t>
            </w:r>
          </w:p>
        </w:tc>
        <w:tc>
          <w:tcPr>
            <w:tcW w:w="6990" w:type="dxa"/>
          </w:tcPr>
          <w:p w:rsidR="00470AD2" w:rsidRPr="00124FB2" w:rsidRDefault="00470AD2" w:rsidP="00241A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24FB2">
              <w:rPr>
                <w:rFonts w:ascii="Palatino Linotype" w:hAnsi="Palatino Linotype" w:cs="Arial"/>
                <w:b/>
                <w:color w:val="000000"/>
                <w:sz w:val="22"/>
                <w:szCs w:val="20"/>
              </w:rPr>
              <w:t>Sujetos Obligados</w:t>
            </w:r>
            <w:r w:rsidRPr="00124FB2">
              <w:rPr>
                <w:rFonts w:ascii="Palatino Linotype" w:hAnsi="Palatino Linotype" w:cs="Arial"/>
                <w:color w:val="000000"/>
                <w:sz w:val="22"/>
                <w:szCs w:val="20"/>
              </w:rPr>
              <w:t xml:space="preserve">, por lo que deberán fundar y motivar debidamente la clasificación. </w:t>
            </w:r>
          </w:p>
          <w:p w:rsidR="00470AD2" w:rsidRPr="00124FB2" w:rsidRDefault="00470AD2" w:rsidP="00241A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 xml:space="preserve">De lo anterior, se desprende que para una correcta </w:t>
            </w:r>
            <w:r w:rsidRPr="00124FB2">
              <w:rPr>
                <w:rFonts w:ascii="Palatino Linotype" w:hAnsi="Palatino Linotype" w:cs="Arial"/>
                <w:b/>
                <w:color w:val="000000"/>
                <w:sz w:val="22"/>
                <w:szCs w:val="20"/>
              </w:rPr>
              <w:t>clasificación total o parcial</w:t>
            </w:r>
            <w:r w:rsidRPr="00124FB2">
              <w:rPr>
                <w:rFonts w:ascii="Palatino Linotype" w:hAnsi="Palatino Linotype" w:cs="Arial"/>
                <w:color w:val="000000"/>
                <w:sz w:val="22"/>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70AD2" w:rsidRPr="00124FB2" w:rsidRDefault="00470AD2" w:rsidP="00241A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470AD2" w:rsidRPr="00124FB2" w:rsidRDefault="00470AD2" w:rsidP="00241A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rsidR="00470AD2" w:rsidRPr="00124FB2" w:rsidRDefault="00470AD2" w:rsidP="00241AB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lastRenderedPageBreak/>
              <w:t xml:space="preserve">Ahora bien, </w:t>
            </w:r>
            <w:r w:rsidRPr="00124FB2">
              <w:rPr>
                <w:rFonts w:ascii="Palatino Linotype" w:hAnsi="Palatino Linotype" w:cs="Arial"/>
                <w:b/>
                <w:color w:val="000000"/>
                <w:sz w:val="22"/>
                <w:szCs w:val="20"/>
                <w:u w:val="single"/>
              </w:rPr>
              <w:t>para cada caso además de fundar y motivar</w:t>
            </w:r>
            <w:r w:rsidRPr="00124FB2">
              <w:rPr>
                <w:rFonts w:ascii="Palatino Linotype" w:hAnsi="Palatino Linotype" w:cs="Arial"/>
                <w:color w:val="000000"/>
                <w:sz w:val="22"/>
                <w:szCs w:val="20"/>
              </w:rPr>
              <w:t xml:space="preserve">, se debe identificar con claridad que datos contenidos en las documentales que son susceptibles de suprimirse, por ejemplo; </w:t>
            </w:r>
            <w:r w:rsidRPr="00124FB2">
              <w:rPr>
                <w:rFonts w:ascii="Palatino Linotype" w:hAnsi="Palatino Linotype" w:cs="Arial"/>
                <w:color w:val="000000"/>
                <w:sz w:val="22"/>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70AD2" w:rsidRPr="00124FB2" w:rsidTr="00241ABD">
        <w:tc>
          <w:tcPr>
            <w:cnfStyle w:val="001000000000" w:firstRow="0" w:lastRow="0" w:firstColumn="1" w:lastColumn="0" w:oddVBand="0" w:evenVBand="0" w:oddHBand="0" w:evenHBand="0" w:firstRowFirstColumn="0" w:firstRowLastColumn="0" w:lastRowFirstColumn="0" w:lastRowLastColumn="0"/>
            <w:tcW w:w="1838" w:type="dxa"/>
          </w:tcPr>
          <w:p w:rsidR="00470AD2" w:rsidRPr="00124FB2" w:rsidRDefault="00470AD2" w:rsidP="00241ABD">
            <w:pPr>
              <w:spacing w:line="360" w:lineRule="auto"/>
              <w:ind w:right="49"/>
              <w:jc w:val="both"/>
              <w:rPr>
                <w:rFonts w:ascii="Palatino Linotype" w:hAnsi="Palatino Linotype" w:cs="Arial"/>
                <w:color w:val="000000"/>
                <w:sz w:val="22"/>
                <w:szCs w:val="20"/>
              </w:rPr>
            </w:pPr>
            <w:r w:rsidRPr="00124FB2">
              <w:rPr>
                <w:rFonts w:ascii="Palatino Linotype" w:eastAsia="MS Gothic" w:hAnsi="Palatino Linotype"/>
                <w:b w:val="0"/>
                <w:sz w:val="22"/>
                <w:szCs w:val="20"/>
              </w:rPr>
              <w:lastRenderedPageBreak/>
              <w:t xml:space="preserve">e) Condiciones especiales de la clasificación de la información como confidencial. </w:t>
            </w:r>
          </w:p>
          <w:p w:rsidR="00470AD2" w:rsidRPr="00124FB2" w:rsidRDefault="00470AD2" w:rsidP="00241ABD">
            <w:pPr>
              <w:spacing w:line="360" w:lineRule="auto"/>
              <w:rPr>
                <w:rFonts w:ascii="Palatino Linotype" w:hAnsi="Palatino Linotype"/>
                <w:sz w:val="22"/>
                <w:szCs w:val="20"/>
              </w:rPr>
            </w:pPr>
          </w:p>
        </w:tc>
        <w:tc>
          <w:tcPr>
            <w:tcW w:w="6990" w:type="dxa"/>
          </w:tcPr>
          <w:p w:rsidR="00470AD2" w:rsidRPr="00124FB2" w:rsidRDefault="00470AD2" w:rsidP="00241AB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rsidR="00470AD2" w:rsidRPr="00124FB2" w:rsidRDefault="00470AD2" w:rsidP="00241AB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124FB2">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70AD2" w:rsidRPr="00124FB2" w:rsidRDefault="00470AD2" w:rsidP="00241AB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124FB2">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70AD2" w:rsidRPr="00124FB2" w:rsidRDefault="00470AD2" w:rsidP="00470AD2">
      <w:pPr>
        <w:pStyle w:val="Prrafodelista"/>
        <w:tabs>
          <w:tab w:val="left" w:pos="426"/>
        </w:tabs>
        <w:spacing w:line="360" w:lineRule="auto"/>
        <w:ind w:left="0" w:right="51"/>
        <w:jc w:val="both"/>
        <w:rPr>
          <w:rFonts w:ascii="Palatino Linotype" w:hAnsi="Palatino Linotype"/>
          <w:color w:val="000000" w:themeColor="text1"/>
          <w:sz w:val="24"/>
        </w:rPr>
      </w:pPr>
    </w:p>
    <w:p w:rsidR="00470AD2" w:rsidRPr="00124FB2" w:rsidRDefault="00470AD2" w:rsidP="00470AD2">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4" w:name="_Toc89350469"/>
      <w:bookmarkStart w:id="25" w:name="_Toc94119620"/>
      <w:r w:rsidRPr="00124FB2">
        <w:rPr>
          <w:rFonts w:ascii="Palatino Linotype" w:hAnsi="Palatino Linotype"/>
          <w:b/>
          <w:bCs/>
          <w:color w:val="000000" w:themeColor="text1"/>
          <w:sz w:val="24"/>
        </w:rPr>
        <w:t>SEXTO. Decisión</w:t>
      </w:r>
      <w:bookmarkEnd w:id="24"/>
      <w:bookmarkEnd w:id="25"/>
    </w:p>
    <w:p w:rsidR="00470AD2" w:rsidRPr="00124FB2" w:rsidRDefault="00470AD2" w:rsidP="00470AD2">
      <w:pPr>
        <w:pStyle w:val="Prrafodelista"/>
        <w:tabs>
          <w:tab w:val="left" w:pos="426"/>
        </w:tabs>
        <w:spacing w:line="360" w:lineRule="auto"/>
        <w:ind w:left="0" w:right="51"/>
        <w:jc w:val="both"/>
        <w:rPr>
          <w:rFonts w:ascii="Palatino Linotype" w:hAnsi="Palatino Linotype"/>
          <w:color w:val="000000" w:themeColor="text1"/>
        </w:rPr>
      </w:pPr>
    </w:p>
    <w:p w:rsidR="00470AD2" w:rsidRPr="00124FB2" w:rsidRDefault="00470AD2" w:rsidP="00470AD2">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124FB2">
        <w:rPr>
          <w:rFonts w:ascii="Palatino Linotype" w:hAnsi="Palatino Linotype"/>
          <w:color w:val="000000" w:themeColor="text1"/>
        </w:rPr>
        <w:lastRenderedPageBreak/>
        <w:t xml:space="preserve">Una vez analizadas las constancias que forman el expediente electrónico, </w:t>
      </w:r>
      <w:r w:rsidRPr="00124FB2">
        <w:rPr>
          <w:rFonts w:ascii="Palatino Linotype" w:eastAsia="MS Mincho" w:hAnsi="Palatino Linotype" w:cstheme="majorBidi"/>
          <w:lang w:val="es-ES"/>
        </w:rPr>
        <w:t xml:space="preserve">resultan fundadas las razones o motivos de inconformidad hechos valer por el </w:t>
      </w:r>
      <w:r w:rsidRPr="00124FB2">
        <w:rPr>
          <w:rFonts w:ascii="Palatino Linotype" w:eastAsia="MS Mincho" w:hAnsi="Palatino Linotype" w:cstheme="majorBidi"/>
          <w:b/>
          <w:lang w:val="es-ES"/>
        </w:rPr>
        <w:t>RECURRENTE</w:t>
      </w:r>
      <w:r w:rsidRPr="00124FB2">
        <w:rPr>
          <w:rFonts w:ascii="Palatino Linotype" w:eastAsia="MS Mincho" w:hAnsi="Palatino Linotype" w:cstheme="majorBidi"/>
          <w:lang w:val="es-ES"/>
        </w:rPr>
        <w:t xml:space="preserve"> dentro del recurso de revisión </w:t>
      </w:r>
      <w:r w:rsidR="00707F1F" w:rsidRPr="00124FB2">
        <w:rPr>
          <w:rFonts w:ascii="Palatino Linotype" w:eastAsia="MS Mincho" w:hAnsi="Palatino Linotype" w:cstheme="majorBidi"/>
          <w:b/>
          <w:bCs/>
          <w:lang w:val="es-ES"/>
        </w:rPr>
        <w:t>15533</w:t>
      </w:r>
      <w:r w:rsidRPr="00124FB2">
        <w:rPr>
          <w:rFonts w:ascii="Palatino Linotype" w:eastAsia="MS Mincho" w:hAnsi="Palatino Linotype" w:cstheme="majorBidi"/>
          <w:b/>
          <w:bCs/>
          <w:lang w:val="es-ES"/>
        </w:rPr>
        <w:t>/INFOEM/IP/RR/2022,</w:t>
      </w:r>
      <w:r w:rsidRPr="00124FB2">
        <w:rPr>
          <w:rFonts w:ascii="Palatino Linotype" w:eastAsia="MS Mincho" w:hAnsi="Palatino Linotype" w:cstheme="majorBidi"/>
          <w:bCs/>
          <w:lang w:val="es-ES"/>
        </w:rPr>
        <w:t xml:space="preserve"> al determinarse que la información remitida en respuesta es incompleta</w:t>
      </w:r>
      <w:r w:rsidRPr="00124FB2">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124FB2">
        <w:rPr>
          <w:rFonts w:ascii="Palatino Linotype" w:eastAsia="MS Mincho" w:hAnsi="Palatino Linotype" w:cstheme="majorBidi"/>
          <w:b/>
          <w:lang w:val="es-ES"/>
        </w:rPr>
        <w:t>MODIFICA</w:t>
      </w:r>
      <w:r w:rsidRPr="00124FB2">
        <w:rPr>
          <w:rFonts w:ascii="Palatino Linotype" w:eastAsia="MS Mincho" w:hAnsi="Palatino Linotype" w:cstheme="majorBidi"/>
          <w:lang w:val="es-ES"/>
        </w:rPr>
        <w:t xml:space="preserve"> la respuesta del Sujeto Obligado y se ordena la entrega de ser procedente en versión pública, </w:t>
      </w:r>
      <w:r w:rsidR="00707F1F" w:rsidRPr="00124FB2">
        <w:rPr>
          <w:rFonts w:ascii="Palatino Linotype" w:eastAsia="MS Gothic" w:hAnsi="Palatino Linotype" w:cstheme="majorBidi"/>
          <w:lang w:val="es-ES_tradnl" w:eastAsia="es-ES"/>
        </w:rPr>
        <w:t xml:space="preserve">el currículum vitae de los servidores públicos faltantes. </w:t>
      </w:r>
      <w:r w:rsidRPr="00124FB2">
        <w:rPr>
          <w:rFonts w:ascii="Palatino Linotype" w:eastAsia="MS Mincho" w:hAnsi="Palatino Linotype" w:cstheme="majorBidi"/>
          <w:lang w:val="es-ES"/>
        </w:rPr>
        <w:t xml:space="preserve"> </w:t>
      </w:r>
    </w:p>
    <w:p w:rsidR="00470AD2" w:rsidRPr="00124FB2" w:rsidRDefault="00470AD2" w:rsidP="00470AD2">
      <w:pPr>
        <w:spacing w:line="360" w:lineRule="auto"/>
        <w:rPr>
          <w:rFonts w:ascii="Palatino Linotype" w:eastAsia="Calibri" w:hAnsi="Palatino Linotype"/>
        </w:rPr>
      </w:pPr>
    </w:p>
    <w:p w:rsidR="00470AD2" w:rsidRPr="00124FB2" w:rsidRDefault="00470AD2" w:rsidP="00470AD2">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124FB2">
        <w:rPr>
          <w:rFonts w:ascii="Palatino Linotype" w:eastAsia="Calibri" w:hAnsi="Palatino Linotype"/>
        </w:rPr>
        <w:t xml:space="preserve">Por lo anteriormente expuesto y fundado, este </w:t>
      </w:r>
      <w:r w:rsidRPr="00124FB2">
        <w:rPr>
          <w:rFonts w:ascii="Palatino Linotype" w:eastAsia="Calibri" w:hAnsi="Palatino Linotype"/>
          <w:b/>
          <w:bCs/>
        </w:rPr>
        <w:t>ÓRGANO GARANTE</w:t>
      </w:r>
      <w:r w:rsidRPr="00124FB2">
        <w:rPr>
          <w:rFonts w:ascii="Palatino Linotype" w:eastAsia="Calibri" w:hAnsi="Palatino Linotype"/>
        </w:rPr>
        <w:t xml:space="preserve"> emite los siguientes:</w:t>
      </w:r>
    </w:p>
    <w:p w:rsidR="00470AD2" w:rsidRPr="00124FB2" w:rsidRDefault="00470AD2" w:rsidP="00470AD2">
      <w:pPr>
        <w:spacing w:line="360" w:lineRule="auto"/>
        <w:contextualSpacing/>
        <w:jc w:val="both"/>
        <w:rPr>
          <w:rFonts w:ascii="Palatino Linotype" w:eastAsia="Calibri" w:hAnsi="Palatino Linotype"/>
        </w:rPr>
      </w:pPr>
    </w:p>
    <w:p w:rsidR="00470AD2" w:rsidRPr="00124FB2" w:rsidRDefault="00470AD2" w:rsidP="00470AD2">
      <w:pPr>
        <w:spacing w:line="360" w:lineRule="auto"/>
        <w:contextualSpacing/>
        <w:jc w:val="both"/>
        <w:rPr>
          <w:rFonts w:ascii="Palatino Linotype" w:eastAsia="Calibri" w:hAnsi="Palatino Linotype"/>
        </w:rPr>
      </w:pPr>
    </w:p>
    <w:p w:rsidR="00470AD2" w:rsidRPr="00124FB2" w:rsidRDefault="00470AD2" w:rsidP="00470AD2">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6" w:name="_Toc528153792"/>
      <w:bookmarkStart w:id="27" w:name="_Toc71158406"/>
      <w:bookmarkStart w:id="28" w:name="_Toc83301643"/>
      <w:r w:rsidRPr="00124FB2">
        <w:rPr>
          <w:rFonts w:ascii="Palatino Linotype" w:eastAsiaTheme="majorEastAsia" w:hAnsi="Palatino Linotype" w:cstheme="majorBidi"/>
          <w:b/>
          <w:color w:val="000000" w:themeColor="text1"/>
          <w:lang w:eastAsia="en-US"/>
        </w:rPr>
        <w:t>R E S O L U T I V O S</w:t>
      </w:r>
      <w:bookmarkEnd w:id="26"/>
      <w:bookmarkEnd w:id="27"/>
      <w:bookmarkEnd w:id="28"/>
    </w:p>
    <w:p w:rsidR="00470AD2" w:rsidRPr="00124FB2" w:rsidRDefault="00470AD2" w:rsidP="00470AD2">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9"/>
    <w:bookmarkEnd w:id="10"/>
    <w:bookmarkEnd w:id="11"/>
    <w:p w:rsidR="00470AD2" w:rsidRPr="00124FB2" w:rsidRDefault="00470AD2" w:rsidP="00470AD2">
      <w:pPr>
        <w:spacing w:line="360" w:lineRule="auto"/>
        <w:ind w:right="48"/>
        <w:jc w:val="both"/>
        <w:rPr>
          <w:rFonts w:ascii="Palatino Linotype" w:hAnsi="Palatino Linotype" w:cs="Arial"/>
          <w:bCs/>
        </w:rPr>
      </w:pPr>
      <w:r w:rsidRPr="00124FB2">
        <w:rPr>
          <w:rFonts w:ascii="Palatino Linotype" w:hAnsi="Palatino Linotype" w:cs="Arial"/>
          <w:b/>
        </w:rPr>
        <w:t xml:space="preserve">PRIMERO. </w:t>
      </w:r>
      <w:r w:rsidRPr="00124FB2">
        <w:rPr>
          <w:rFonts w:ascii="Palatino Linotype" w:hAnsi="Palatino Linotype" w:cs="Arial"/>
        </w:rPr>
        <w:t>Resultan fundadas las</w:t>
      </w:r>
      <w:r w:rsidRPr="00124FB2">
        <w:rPr>
          <w:rFonts w:ascii="Palatino Linotype" w:hAnsi="Palatino Linotype" w:cs="Arial"/>
          <w:b/>
        </w:rPr>
        <w:t xml:space="preserve"> </w:t>
      </w:r>
      <w:r w:rsidRPr="00124FB2">
        <w:rPr>
          <w:rFonts w:ascii="Palatino Linotype" w:hAnsi="Palatino Linotype" w:cs="Arial"/>
          <w:lang w:val="es-ES"/>
        </w:rPr>
        <w:t xml:space="preserve">razones o motivos de inconformidad hechos valer </w:t>
      </w:r>
      <w:r w:rsidRPr="00124FB2">
        <w:rPr>
          <w:rFonts w:ascii="Palatino Linotype" w:eastAsia="Calibri" w:hAnsi="Palatino Linotype" w:cs="Arial"/>
          <w:lang w:val="es-ES"/>
        </w:rPr>
        <w:t xml:space="preserve">en el recurso de revisión </w:t>
      </w:r>
      <w:r w:rsidR="00707F1F" w:rsidRPr="00124FB2">
        <w:rPr>
          <w:rFonts w:ascii="Palatino Linotype" w:hAnsi="Palatino Linotype" w:cs="Arial"/>
          <w:b/>
          <w:bCs/>
        </w:rPr>
        <w:t>15533</w:t>
      </w:r>
      <w:r w:rsidRPr="00124FB2">
        <w:rPr>
          <w:rFonts w:ascii="Palatino Linotype" w:hAnsi="Palatino Linotype" w:cs="Arial"/>
          <w:b/>
          <w:bCs/>
        </w:rPr>
        <w:t xml:space="preserve">/INFOEM/IP/RR/2022, </w:t>
      </w:r>
      <w:r w:rsidRPr="00124FB2">
        <w:rPr>
          <w:rFonts w:ascii="Palatino Linotype" w:hAnsi="Palatino Linotype" w:cs="Arial"/>
          <w:bCs/>
        </w:rPr>
        <w:t xml:space="preserve">en términos de los </w:t>
      </w:r>
      <w:r w:rsidRPr="00124FB2">
        <w:rPr>
          <w:rFonts w:ascii="Palatino Linotype" w:hAnsi="Palatino Linotype" w:cs="Arial"/>
          <w:b/>
          <w:bCs/>
        </w:rPr>
        <w:t>Considerandos</w:t>
      </w:r>
      <w:r w:rsidRPr="00124FB2">
        <w:rPr>
          <w:rFonts w:ascii="Palatino Linotype" w:hAnsi="Palatino Linotype" w:cs="Arial"/>
          <w:bCs/>
        </w:rPr>
        <w:t xml:space="preserve"> </w:t>
      </w:r>
      <w:r w:rsidRPr="00124FB2">
        <w:rPr>
          <w:rFonts w:ascii="Palatino Linotype" w:hAnsi="Palatino Linotype" w:cs="Arial"/>
          <w:b/>
          <w:bCs/>
        </w:rPr>
        <w:t xml:space="preserve">CUARTO y QUINTO </w:t>
      </w:r>
      <w:r w:rsidRPr="00124FB2">
        <w:rPr>
          <w:rFonts w:ascii="Palatino Linotype" w:hAnsi="Palatino Linotype" w:cs="Arial"/>
          <w:bCs/>
        </w:rPr>
        <w:t>de la presente resolución.</w:t>
      </w:r>
    </w:p>
    <w:p w:rsidR="00470AD2" w:rsidRPr="00124FB2" w:rsidRDefault="00470AD2" w:rsidP="00470AD2">
      <w:pPr>
        <w:spacing w:line="360" w:lineRule="auto"/>
        <w:ind w:right="48"/>
        <w:jc w:val="both"/>
        <w:rPr>
          <w:rFonts w:ascii="Palatino Linotype" w:hAnsi="Palatino Linotype" w:cs="Arial"/>
          <w:bCs/>
        </w:rPr>
      </w:pPr>
    </w:p>
    <w:p w:rsidR="00470AD2" w:rsidRPr="00124FB2" w:rsidRDefault="00470AD2" w:rsidP="00470AD2">
      <w:pPr>
        <w:spacing w:line="360" w:lineRule="auto"/>
        <w:ind w:right="48"/>
        <w:jc w:val="both"/>
        <w:rPr>
          <w:rFonts w:ascii="Palatino Linotype" w:hAnsi="Palatino Linotype" w:cs="Arial"/>
          <w:bCs/>
        </w:rPr>
      </w:pPr>
      <w:bookmarkStart w:id="29" w:name="_Toc477891768"/>
      <w:bookmarkStart w:id="30" w:name="_Toc477891858"/>
      <w:bookmarkStart w:id="31" w:name="_Toc481576259"/>
      <w:bookmarkStart w:id="32" w:name="_Toc492590391"/>
      <w:bookmarkStart w:id="33" w:name="_Toc462653937"/>
      <w:bookmarkStart w:id="34" w:name="_Toc453696502"/>
      <w:bookmarkStart w:id="35" w:name="_Toc454301155"/>
      <w:r w:rsidRPr="00124FB2">
        <w:rPr>
          <w:rFonts w:ascii="Palatino Linotype" w:hAnsi="Palatino Linotype"/>
          <w:b/>
        </w:rPr>
        <w:t>SEGUNDO.</w:t>
      </w:r>
      <w:r w:rsidRPr="00124FB2">
        <w:rPr>
          <w:rStyle w:val="Ttulo2Car"/>
          <w:rFonts w:ascii="Palatino Linotype" w:hAnsi="Palatino Linotype"/>
          <w:sz w:val="28"/>
        </w:rPr>
        <w:t xml:space="preserve"> </w:t>
      </w:r>
      <w:bookmarkEnd w:id="29"/>
      <w:bookmarkEnd w:id="30"/>
      <w:bookmarkEnd w:id="31"/>
      <w:bookmarkEnd w:id="32"/>
      <w:bookmarkEnd w:id="33"/>
      <w:bookmarkEnd w:id="34"/>
      <w:bookmarkEnd w:id="35"/>
      <w:r w:rsidRPr="00124FB2">
        <w:rPr>
          <w:rFonts w:ascii="Palatino Linotype" w:eastAsia="Calibri" w:hAnsi="Palatino Linotype" w:cs="Arial"/>
          <w:lang w:val="es-ES"/>
        </w:rPr>
        <w:t>Se</w:t>
      </w:r>
      <w:r w:rsidRPr="00124FB2">
        <w:rPr>
          <w:rFonts w:ascii="Palatino Linotype" w:eastAsia="Calibri" w:hAnsi="Palatino Linotype" w:cs="Arial"/>
          <w:b/>
          <w:lang w:val="es-ES"/>
        </w:rPr>
        <w:t xml:space="preserve"> MODIFICA </w:t>
      </w:r>
      <w:r w:rsidRPr="00124FB2">
        <w:rPr>
          <w:rFonts w:ascii="Palatino Linotype" w:eastAsia="Calibri" w:hAnsi="Palatino Linotype" w:cs="Arial"/>
          <w:lang w:val="es-ES"/>
        </w:rPr>
        <w:t xml:space="preserve">la respuesta emitida por el </w:t>
      </w:r>
      <w:r w:rsidR="00707F1F" w:rsidRPr="00124FB2">
        <w:rPr>
          <w:rFonts w:ascii="Palatino Linotype" w:hAnsi="Palatino Linotype" w:cs="Arial"/>
          <w:b/>
          <w:bCs/>
        </w:rPr>
        <w:t>El Organismo Descentralizado de Agua Potable Alcantarillado y Saneamiento del Municipio de Ixtapaluca denominado por sus siglas, O.D.A.P.A.S</w:t>
      </w:r>
      <w:r w:rsidR="00707F1F" w:rsidRPr="00124FB2">
        <w:rPr>
          <w:rFonts w:ascii="Palatino Linotype" w:hAnsi="Palatino Linotype" w:cs="Arial"/>
          <w:b/>
          <w:lang w:val="es-ES"/>
        </w:rPr>
        <w:t xml:space="preserve"> </w:t>
      </w:r>
      <w:r w:rsidRPr="00124FB2">
        <w:rPr>
          <w:rFonts w:ascii="Palatino Linotype" w:eastAsia="Calibri" w:hAnsi="Palatino Linotype" w:cs="Arial"/>
          <w:lang w:val="es-ES"/>
        </w:rPr>
        <w:t>y se</w:t>
      </w:r>
      <w:r w:rsidRPr="00124FB2">
        <w:rPr>
          <w:rFonts w:ascii="Palatino Linotype" w:eastAsia="Calibri" w:hAnsi="Palatino Linotype" w:cs="Arial"/>
          <w:b/>
          <w:lang w:val="es-ES"/>
        </w:rPr>
        <w:t xml:space="preserve"> ORDENA </w:t>
      </w:r>
      <w:r w:rsidRPr="00124FB2">
        <w:rPr>
          <w:rFonts w:ascii="Palatino Linotype" w:hAnsi="Palatino Linotype" w:cs="Arial"/>
          <w:lang w:val="es-ES"/>
        </w:rPr>
        <w:t xml:space="preserve">entregar vía </w:t>
      </w:r>
      <w:r w:rsidRPr="00124FB2">
        <w:rPr>
          <w:rFonts w:ascii="Palatino Linotype" w:hAnsi="Palatino Linotype" w:cs="Arial"/>
          <w:lang w:val="es-ES"/>
        </w:rPr>
        <w:lastRenderedPageBreak/>
        <w:t xml:space="preserve">Sistema de Accesos a la Información Mexiquense (SAIMEX), </w:t>
      </w:r>
      <w:r w:rsidRPr="00124FB2">
        <w:rPr>
          <w:rFonts w:ascii="Palatino Linotype" w:hAnsi="Palatino Linotype" w:cs="Arial"/>
          <w:b/>
          <w:lang w:val="es-ES"/>
        </w:rPr>
        <w:t>de ser procedente en versión pública</w:t>
      </w:r>
      <w:r w:rsidRPr="00124FB2">
        <w:rPr>
          <w:rFonts w:ascii="Palatino Linotype" w:hAnsi="Palatino Linotype" w:cs="Arial"/>
          <w:lang w:val="es-ES"/>
        </w:rPr>
        <w:t>,</w:t>
      </w:r>
      <w:r w:rsidR="00707F1F" w:rsidRPr="00124FB2">
        <w:rPr>
          <w:rFonts w:ascii="Palatino Linotype" w:hAnsi="Palatino Linotype" w:cs="Arial"/>
          <w:lang w:val="es-ES"/>
        </w:rPr>
        <w:t xml:space="preserve"> a la fecha de la solicitud</w:t>
      </w:r>
      <w:r w:rsidR="006827A7" w:rsidRPr="00124FB2">
        <w:rPr>
          <w:rFonts w:ascii="Palatino Linotype" w:hAnsi="Palatino Linotype" w:cs="Arial"/>
          <w:lang w:val="es-ES"/>
        </w:rPr>
        <w:t>, la</w:t>
      </w:r>
      <w:r w:rsidRPr="00124FB2">
        <w:rPr>
          <w:rFonts w:ascii="Palatino Linotype" w:hAnsi="Palatino Linotype" w:cs="Arial"/>
          <w:lang w:val="es-ES"/>
        </w:rPr>
        <w:t xml:space="preserve"> siguiente </w:t>
      </w:r>
      <w:r w:rsidRPr="00124FB2">
        <w:rPr>
          <w:rFonts w:ascii="Palatino Linotype" w:hAnsi="Palatino Linotype" w:cs="Arial"/>
          <w:bCs/>
        </w:rPr>
        <w:t>información:</w:t>
      </w:r>
    </w:p>
    <w:p w:rsidR="00470AD2" w:rsidRPr="00124FB2" w:rsidRDefault="00470AD2" w:rsidP="00470AD2">
      <w:pPr>
        <w:spacing w:line="360" w:lineRule="auto"/>
        <w:ind w:right="48"/>
        <w:jc w:val="both"/>
        <w:rPr>
          <w:rFonts w:ascii="Palatino Linotype" w:hAnsi="Palatino Linotype" w:cs="Arial"/>
          <w:b/>
          <w:bCs/>
        </w:rPr>
      </w:pPr>
    </w:p>
    <w:p w:rsidR="00470AD2" w:rsidRPr="00124FB2" w:rsidRDefault="00707F1F" w:rsidP="00470AD2">
      <w:pPr>
        <w:pStyle w:val="Prrafodelista"/>
        <w:numPr>
          <w:ilvl w:val="0"/>
          <w:numId w:val="3"/>
        </w:numPr>
        <w:spacing w:line="360" w:lineRule="auto"/>
        <w:ind w:left="851" w:right="48" w:firstLine="0"/>
        <w:rPr>
          <w:rFonts w:ascii="Palatino Linotype" w:eastAsia="Palatino Linotype" w:hAnsi="Palatino Linotype" w:cs="Palatino Linotype"/>
          <w:b/>
          <w:lang w:val="es-ES_tradnl"/>
        </w:rPr>
      </w:pPr>
      <w:bookmarkStart w:id="36" w:name="_Toc460947013"/>
      <w:r w:rsidRPr="00124FB2">
        <w:rPr>
          <w:rFonts w:ascii="Palatino Linotype" w:eastAsia="Palatino Linotype" w:hAnsi="Palatino Linotype" w:cs="Palatino Linotype"/>
          <w:b/>
          <w:lang w:val="es-ES_tradnl"/>
        </w:rPr>
        <w:t xml:space="preserve">Currículum vitae de los servidores públicos faltantes. </w:t>
      </w:r>
    </w:p>
    <w:p w:rsidR="00470AD2" w:rsidRPr="00124FB2" w:rsidRDefault="00470AD2" w:rsidP="00470AD2">
      <w:pPr>
        <w:spacing w:line="360" w:lineRule="auto"/>
        <w:ind w:left="851" w:right="48"/>
        <w:jc w:val="both"/>
        <w:rPr>
          <w:rFonts w:ascii="Palatino Linotype" w:eastAsia="Palatino Linotype" w:hAnsi="Palatino Linotype" w:cs="Palatino Linotype"/>
          <w:b/>
          <w:lang w:val="es-ES"/>
        </w:rPr>
      </w:pPr>
    </w:p>
    <w:p w:rsidR="00470AD2" w:rsidRPr="00124FB2" w:rsidRDefault="00470AD2" w:rsidP="00470AD2">
      <w:pPr>
        <w:spacing w:line="360" w:lineRule="auto"/>
        <w:ind w:right="48"/>
        <w:jc w:val="both"/>
        <w:rPr>
          <w:rFonts w:ascii="Palatino Linotype" w:eastAsia="Palatino Linotype" w:hAnsi="Palatino Linotype" w:cs="Palatino Linotype"/>
          <w:b/>
        </w:rPr>
      </w:pPr>
    </w:p>
    <w:p w:rsidR="00470AD2" w:rsidRPr="00124FB2" w:rsidRDefault="00470AD2" w:rsidP="00470AD2">
      <w:pPr>
        <w:spacing w:line="360" w:lineRule="auto"/>
        <w:jc w:val="both"/>
        <w:rPr>
          <w:rFonts w:ascii="Palatino Linotype" w:eastAsia="Calibri" w:hAnsi="Palatino Linotype" w:cs="Arial"/>
        </w:rPr>
      </w:pPr>
      <w:r w:rsidRPr="00124FB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470AD2" w:rsidRPr="00124FB2" w:rsidRDefault="00470AD2" w:rsidP="00470AD2">
      <w:pPr>
        <w:spacing w:line="360" w:lineRule="auto"/>
        <w:ind w:right="48"/>
        <w:jc w:val="both"/>
        <w:rPr>
          <w:rFonts w:ascii="Palatino Linotype" w:eastAsia="Palatino Linotype" w:hAnsi="Palatino Linotype" w:cs="Palatino Linotype"/>
          <w:b/>
        </w:rPr>
      </w:pPr>
    </w:p>
    <w:p w:rsidR="00470AD2" w:rsidRPr="00124FB2" w:rsidRDefault="00470AD2" w:rsidP="00470AD2">
      <w:pPr>
        <w:tabs>
          <w:tab w:val="left" w:pos="8080"/>
        </w:tabs>
        <w:spacing w:line="360" w:lineRule="auto"/>
        <w:ind w:right="48"/>
        <w:contextualSpacing/>
        <w:jc w:val="both"/>
        <w:rPr>
          <w:rFonts w:ascii="Palatino Linotype" w:hAnsi="Palatino Linotype"/>
          <w:color w:val="222222"/>
          <w:shd w:val="clear" w:color="auto" w:fill="FFFFFF"/>
        </w:rPr>
      </w:pPr>
      <w:r w:rsidRPr="00124FB2">
        <w:rPr>
          <w:rFonts w:ascii="Palatino Linotype" w:eastAsia="Palatino Linotype" w:hAnsi="Palatino Linotype" w:cs="Palatino Linotype"/>
          <w:b/>
        </w:rPr>
        <w:t xml:space="preserve">TERCERO. Notifíquese </w:t>
      </w:r>
      <w:r w:rsidRPr="00124FB2">
        <w:rPr>
          <w:rFonts w:ascii="Palatino Linotype" w:eastAsia="Palatino Linotype" w:hAnsi="Palatino Linotype" w:cs="Palatino Linotype"/>
        </w:rPr>
        <w:t xml:space="preserve">al Titular de la Unidad de Transparencia del </w:t>
      </w:r>
      <w:r w:rsidRPr="00124FB2">
        <w:rPr>
          <w:rFonts w:ascii="Palatino Linotype" w:eastAsia="Palatino Linotype" w:hAnsi="Palatino Linotype" w:cs="Palatino Linotype"/>
          <w:b/>
        </w:rPr>
        <w:t>SUJETO OBLIGADO</w:t>
      </w:r>
      <w:r w:rsidRPr="00124FB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24FB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470AD2" w:rsidRPr="00124FB2" w:rsidRDefault="00470AD2" w:rsidP="00470AD2">
      <w:pPr>
        <w:tabs>
          <w:tab w:val="left" w:pos="8080"/>
        </w:tabs>
        <w:spacing w:line="360" w:lineRule="auto"/>
        <w:ind w:right="48"/>
        <w:contextualSpacing/>
        <w:jc w:val="both"/>
        <w:rPr>
          <w:rFonts w:ascii="Palatino Linotype" w:hAnsi="Palatino Linotype"/>
          <w:color w:val="222222"/>
          <w:shd w:val="clear" w:color="auto" w:fill="FFFFFF"/>
        </w:rPr>
      </w:pPr>
    </w:p>
    <w:p w:rsidR="00470AD2" w:rsidRPr="00124FB2" w:rsidRDefault="00470AD2" w:rsidP="00470AD2">
      <w:pPr>
        <w:shd w:val="clear" w:color="auto" w:fill="FFFFFF"/>
        <w:spacing w:line="360" w:lineRule="auto"/>
        <w:ind w:right="48"/>
        <w:jc w:val="both"/>
        <w:rPr>
          <w:rFonts w:ascii="Palatino Linotype" w:hAnsi="Palatino Linotype"/>
        </w:rPr>
      </w:pPr>
      <w:r w:rsidRPr="00124FB2">
        <w:rPr>
          <w:rFonts w:ascii="Palatino Linotype" w:hAnsi="Palatino Linotype" w:cs="Arial"/>
          <w:b/>
        </w:rPr>
        <w:t xml:space="preserve">CUARTO. </w:t>
      </w:r>
      <w:r w:rsidRPr="00124FB2">
        <w:rPr>
          <w:rFonts w:ascii="Palatino Linotype" w:hAnsi="Palatino Linotype"/>
          <w:b/>
          <w:bCs/>
          <w:lang w:val="es-ES"/>
        </w:rPr>
        <w:t>Notifíquese al RECURRENTE</w:t>
      </w:r>
      <w:r w:rsidRPr="00124FB2">
        <w:rPr>
          <w:rFonts w:ascii="Palatino Linotype" w:hAnsi="Palatino Linotype"/>
        </w:rPr>
        <w:t xml:space="preserve"> la presente resolución.</w:t>
      </w:r>
    </w:p>
    <w:p w:rsidR="00470AD2" w:rsidRPr="00124FB2" w:rsidRDefault="00470AD2" w:rsidP="00470AD2">
      <w:pPr>
        <w:shd w:val="clear" w:color="auto" w:fill="FFFFFF"/>
        <w:spacing w:line="360" w:lineRule="auto"/>
        <w:ind w:right="48"/>
        <w:jc w:val="both"/>
        <w:rPr>
          <w:rFonts w:ascii="Palatino Linotype" w:hAnsi="Palatino Linotype"/>
          <w:b/>
          <w:color w:val="FF0000"/>
        </w:rPr>
      </w:pPr>
    </w:p>
    <w:bookmarkEnd w:id="36"/>
    <w:p w:rsidR="00470AD2" w:rsidRPr="00124FB2" w:rsidRDefault="00470AD2" w:rsidP="00470AD2">
      <w:pPr>
        <w:spacing w:line="360" w:lineRule="auto"/>
        <w:ind w:right="48"/>
        <w:jc w:val="both"/>
        <w:rPr>
          <w:rFonts w:ascii="Palatino Linotype" w:eastAsia="MS Mincho" w:hAnsi="Palatino Linotype"/>
          <w:lang w:val="es-ES"/>
        </w:rPr>
      </w:pPr>
      <w:r w:rsidRPr="00124FB2">
        <w:rPr>
          <w:rFonts w:ascii="Palatino Linotype" w:eastAsia="MS Mincho" w:hAnsi="Palatino Linotype"/>
          <w:b/>
        </w:rPr>
        <w:lastRenderedPageBreak/>
        <w:t>QUINTO.</w:t>
      </w:r>
      <w:r w:rsidRPr="00124FB2">
        <w:rPr>
          <w:rFonts w:ascii="Palatino Linotype" w:eastAsia="MS Mincho" w:hAnsi="Palatino Linotype"/>
        </w:rPr>
        <w:t xml:space="preserve"> </w:t>
      </w:r>
      <w:r w:rsidRPr="00124FB2">
        <w:rPr>
          <w:rFonts w:ascii="Palatino Linotype" w:eastAsia="MS Mincho" w:hAnsi="Palatino Linotype"/>
          <w:lang w:val="es-ES"/>
        </w:rPr>
        <w:t xml:space="preserve">Se hace del conocimiento del </w:t>
      </w:r>
      <w:r w:rsidRPr="00124FB2">
        <w:rPr>
          <w:rFonts w:ascii="Palatino Linotype" w:hAnsi="Palatino Linotype"/>
          <w:b/>
        </w:rPr>
        <w:t>RECURRENTE</w:t>
      </w:r>
      <w:r w:rsidRPr="00124FB2">
        <w:rPr>
          <w:rFonts w:ascii="Palatino Linotype" w:hAnsi="Palatino Linotype"/>
        </w:rPr>
        <w:t xml:space="preserve"> </w:t>
      </w:r>
      <w:r w:rsidRPr="00124FB2">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24FB2">
        <w:rPr>
          <w:rFonts w:ascii="Palatino Linotype" w:eastAsia="MS Mincho" w:hAnsi="Palatino Linotype"/>
          <w:bCs/>
          <w:lang w:val="es-ES"/>
        </w:rPr>
        <w:t>vía juicio de amparo</w:t>
      </w:r>
      <w:r w:rsidRPr="00124FB2">
        <w:rPr>
          <w:rFonts w:ascii="Palatino Linotype" w:eastAsia="MS Mincho" w:hAnsi="Palatino Linotype"/>
          <w:lang w:val="es-ES"/>
        </w:rPr>
        <w:t> en los términos de las leyes aplicables.</w:t>
      </w:r>
    </w:p>
    <w:p w:rsidR="00470AD2" w:rsidRPr="00124FB2" w:rsidRDefault="00470AD2" w:rsidP="00470AD2">
      <w:pPr>
        <w:spacing w:line="360" w:lineRule="auto"/>
        <w:ind w:right="48"/>
        <w:jc w:val="both"/>
        <w:rPr>
          <w:rFonts w:ascii="Palatino Linotype" w:hAnsi="Palatino Linotype"/>
          <w:color w:val="000000"/>
          <w:shd w:val="clear" w:color="auto" w:fill="FFFFFF"/>
        </w:rPr>
      </w:pPr>
    </w:p>
    <w:p w:rsidR="00470AD2" w:rsidRPr="00124FB2" w:rsidRDefault="00470AD2" w:rsidP="00470AD2">
      <w:pPr>
        <w:spacing w:line="360" w:lineRule="auto"/>
        <w:ind w:right="48"/>
        <w:jc w:val="both"/>
        <w:rPr>
          <w:rFonts w:ascii="Palatino Linotype" w:eastAsia="Calibri" w:hAnsi="Palatino Linotype" w:cs="Arial"/>
          <w:bCs/>
        </w:rPr>
      </w:pPr>
      <w:r w:rsidRPr="00124FB2">
        <w:rPr>
          <w:rFonts w:ascii="Palatino Linotype" w:hAnsi="Palatino Linotype"/>
          <w:b/>
          <w:color w:val="000000"/>
          <w:shd w:val="clear" w:color="auto" w:fill="FFFFFF"/>
        </w:rPr>
        <w:t xml:space="preserve">SEXTO. </w:t>
      </w:r>
      <w:r w:rsidRPr="00124FB2">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470AD2" w:rsidRPr="00124FB2" w:rsidRDefault="00470AD2" w:rsidP="00470AD2">
      <w:pPr>
        <w:spacing w:line="360" w:lineRule="auto"/>
        <w:ind w:right="48"/>
        <w:jc w:val="both"/>
        <w:rPr>
          <w:rFonts w:ascii="Palatino Linotype" w:hAnsi="Palatino Linotype"/>
        </w:rPr>
      </w:pPr>
    </w:p>
    <w:p w:rsidR="002A09A2" w:rsidRDefault="002A09A2" w:rsidP="002A09A2">
      <w:pPr>
        <w:spacing w:before="240" w:after="240" w:line="360" w:lineRule="auto"/>
        <w:jc w:val="both"/>
        <w:rPr>
          <w:rFonts w:ascii="Palatino Linotype" w:hAnsi="Palatino Linotype"/>
        </w:rPr>
      </w:pPr>
      <w:r w:rsidRPr="00124FB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DIECIOCHO (18) DE NOVIEMBRE DE DOS MIL VEINTIDÓS, ANTE EL SECRETARIO TÉCNICO DEL PLENO ALEXIS TAPIA RAMÍREZ.</w:t>
      </w:r>
      <w:bookmarkStart w:id="37" w:name="_GoBack"/>
      <w:bookmarkEnd w:id="37"/>
      <w:r w:rsidRPr="00624AAD">
        <w:rPr>
          <w:rFonts w:ascii="Palatino Linotype" w:hAnsi="Palatino Linotype"/>
        </w:rPr>
        <w:t xml:space="preserve"> </w:t>
      </w:r>
    </w:p>
    <w:p w:rsidR="00470AD2" w:rsidRPr="00991BA9" w:rsidRDefault="00470AD2" w:rsidP="00470AD2">
      <w:pPr>
        <w:spacing w:line="360" w:lineRule="auto"/>
        <w:ind w:right="48"/>
        <w:rPr>
          <w:rFonts w:ascii="Palatino Linotype" w:hAnsi="Palatino Linotype"/>
        </w:rPr>
      </w:pPr>
    </w:p>
    <w:p w:rsidR="00470AD2" w:rsidRPr="00991BA9" w:rsidRDefault="00470AD2" w:rsidP="00470AD2">
      <w:pPr>
        <w:spacing w:line="360" w:lineRule="auto"/>
        <w:ind w:right="49"/>
        <w:jc w:val="both"/>
        <w:rPr>
          <w:rFonts w:ascii="Palatino Linotype" w:eastAsiaTheme="minorEastAsia" w:hAnsi="Palatino Linotype" w:cs="Arial"/>
          <w:lang w:val="es-ES_tradnl" w:eastAsia="es-ES"/>
        </w:rPr>
      </w:pPr>
    </w:p>
    <w:p w:rsidR="00470AD2" w:rsidRPr="00991BA9" w:rsidRDefault="00470AD2" w:rsidP="00470AD2">
      <w:pPr>
        <w:spacing w:line="360" w:lineRule="auto"/>
        <w:ind w:right="49"/>
        <w:jc w:val="both"/>
        <w:rPr>
          <w:rFonts w:ascii="Palatino Linotype" w:eastAsiaTheme="minorEastAsia" w:hAnsi="Palatino Linotype" w:cs="Arial"/>
          <w:lang w:val="es-ES_tradnl" w:eastAsia="es-ES"/>
        </w:rPr>
      </w:pPr>
    </w:p>
    <w:p w:rsidR="00470AD2" w:rsidRPr="00991BA9" w:rsidRDefault="00470AD2" w:rsidP="00470AD2">
      <w:pPr>
        <w:spacing w:line="360" w:lineRule="auto"/>
        <w:ind w:right="49"/>
        <w:jc w:val="both"/>
        <w:rPr>
          <w:rFonts w:ascii="Palatino Linotype" w:eastAsiaTheme="minorEastAsia" w:hAnsi="Palatino Linotype" w:cs="Arial"/>
          <w:lang w:val="es-ES_tradnl" w:eastAsia="es-ES"/>
        </w:rPr>
      </w:pPr>
    </w:p>
    <w:p w:rsidR="00470AD2" w:rsidRPr="00991BA9" w:rsidRDefault="00470AD2" w:rsidP="00470AD2">
      <w:pPr>
        <w:spacing w:line="360" w:lineRule="auto"/>
        <w:ind w:right="49"/>
        <w:jc w:val="both"/>
        <w:rPr>
          <w:rFonts w:ascii="Palatino Linotype" w:eastAsiaTheme="minorEastAsia" w:hAnsi="Palatino Linotype" w:cs="Arial"/>
          <w:lang w:val="es-ES_tradnl" w:eastAsia="es-ES"/>
        </w:rPr>
      </w:pPr>
    </w:p>
    <w:p w:rsidR="00470AD2" w:rsidRPr="00991BA9" w:rsidRDefault="00470AD2" w:rsidP="00470AD2">
      <w:pPr>
        <w:spacing w:line="360" w:lineRule="auto"/>
        <w:ind w:right="49"/>
        <w:jc w:val="both"/>
        <w:rPr>
          <w:rFonts w:ascii="Palatino Linotype" w:eastAsiaTheme="minorEastAsia" w:hAnsi="Palatino Linotype" w:cs="Arial"/>
          <w:lang w:val="es-ES_tradnl" w:eastAsia="es-ES"/>
        </w:rPr>
      </w:pPr>
    </w:p>
    <w:p w:rsidR="00470AD2" w:rsidRPr="00991BA9" w:rsidRDefault="00470AD2" w:rsidP="00470AD2">
      <w:pPr>
        <w:spacing w:line="360" w:lineRule="auto"/>
        <w:ind w:right="49"/>
        <w:jc w:val="both"/>
        <w:rPr>
          <w:rFonts w:ascii="Palatino Linotype" w:eastAsiaTheme="minorEastAsia" w:hAnsi="Palatino Linotype" w:cs="Arial"/>
          <w:lang w:val="es-ES_tradnl" w:eastAsia="es-ES"/>
        </w:rPr>
      </w:pPr>
    </w:p>
    <w:p w:rsidR="00470AD2" w:rsidRPr="00991BA9" w:rsidRDefault="00470AD2" w:rsidP="00470AD2">
      <w:pPr>
        <w:spacing w:line="360" w:lineRule="auto"/>
        <w:ind w:right="49"/>
        <w:jc w:val="both"/>
        <w:rPr>
          <w:rFonts w:ascii="Palatino Linotype" w:eastAsiaTheme="minorEastAsia" w:hAnsi="Palatino Linotype" w:cs="Arial"/>
          <w:lang w:val="es-ES_tradnl" w:eastAsia="es-ES"/>
        </w:rPr>
      </w:pPr>
    </w:p>
    <w:p w:rsidR="00470AD2" w:rsidRPr="00991BA9" w:rsidRDefault="00470AD2" w:rsidP="00470AD2">
      <w:pPr>
        <w:spacing w:line="360" w:lineRule="auto"/>
        <w:ind w:right="49"/>
        <w:jc w:val="both"/>
        <w:rPr>
          <w:rFonts w:ascii="Palatino Linotype" w:eastAsiaTheme="minorEastAsia" w:hAnsi="Palatino Linotype" w:cs="Arial"/>
          <w:lang w:val="es-ES_tradnl" w:eastAsia="es-ES"/>
        </w:rPr>
      </w:pPr>
    </w:p>
    <w:p w:rsidR="00470AD2" w:rsidRPr="00991BA9" w:rsidRDefault="00470AD2" w:rsidP="00470AD2">
      <w:pPr>
        <w:spacing w:line="360" w:lineRule="auto"/>
        <w:ind w:right="49"/>
        <w:jc w:val="both"/>
        <w:rPr>
          <w:rFonts w:ascii="Palatino Linotype" w:eastAsiaTheme="minorEastAsia" w:hAnsi="Palatino Linotype" w:cs="Arial"/>
          <w:lang w:val="es-ES_tradnl" w:eastAsia="es-ES"/>
        </w:rPr>
      </w:pPr>
    </w:p>
    <w:p w:rsidR="00470AD2" w:rsidRPr="00991BA9" w:rsidRDefault="00470AD2" w:rsidP="00470AD2">
      <w:pPr>
        <w:spacing w:line="360" w:lineRule="auto"/>
        <w:ind w:right="49"/>
        <w:jc w:val="both"/>
        <w:rPr>
          <w:rFonts w:ascii="Palatino Linotype" w:eastAsiaTheme="minorEastAsia" w:hAnsi="Palatino Linotype" w:cs="Arial"/>
          <w:lang w:val="es-ES_tradnl" w:eastAsia="es-ES"/>
        </w:rPr>
      </w:pPr>
    </w:p>
    <w:p w:rsidR="00470AD2" w:rsidRPr="00991BA9" w:rsidRDefault="00470AD2" w:rsidP="00470AD2">
      <w:pPr>
        <w:spacing w:line="360" w:lineRule="auto"/>
        <w:rPr>
          <w:rFonts w:ascii="Palatino Linotype" w:hAnsi="Palatino Linotype"/>
        </w:rPr>
      </w:pPr>
    </w:p>
    <w:p w:rsidR="004E1710" w:rsidRDefault="00524012"/>
    <w:sectPr w:rsidR="004E1710" w:rsidSect="002C163A">
      <w:headerReference w:type="even" r:id="rId12"/>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012" w:rsidRDefault="00524012" w:rsidP="00470AD2">
      <w:r>
        <w:separator/>
      </w:r>
    </w:p>
  </w:endnote>
  <w:endnote w:type="continuationSeparator" w:id="0">
    <w:p w:rsidR="00524012" w:rsidRDefault="00524012" w:rsidP="00470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9E" w:rsidRDefault="007E1771">
    <w:pPr>
      <w:pStyle w:val="Piedepgina"/>
      <w:jc w:val="right"/>
    </w:pPr>
    <w:r>
      <w:rPr>
        <w:lang w:val="es-ES"/>
      </w:rPr>
      <w:t xml:space="preserve">Página </w:t>
    </w:r>
    <w:r>
      <w:rPr>
        <w:b/>
        <w:bCs/>
      </w:rPr>
      <w:fldChar w:fldCharType="begin"/>
    </w:r>
    <w:r>
      <w:rPr>
        <w:b/>
        <w:bCs/>
      </w:rPr>
      <w:instrText>PAGE</w:instrText>
    </w:r>
    <w:r>
      <w:rPr>
        <w:b/>
        <w:bCs/>
      </w:rPr>
      <w:fldChar w:fldCharType="separate"/>
    </w:r>
    <w:r w:rsidR="00124FB2">
      <w:rPr>
        <w:b/>
        <w:bCs/>
        <w:noProof/>
      </w:rPr>
      <w:t>20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24FB2">
      <w:rPr>
        <w:b/>
        <w:bCs/>
        <w:noProof/>
      </w:rPr>
      <w:t>26</w:t>
    </w:r>
    <w:r>
      <w:rPr>
        <w:b/>
        <w:bCs/>
      </w:rPr>
      <w:fldChar w:fldCharType="end"/>
    </w:r>
  </w:p>
  <w:p w:rsidR="00A42A9E" w:rsidRDefault="005240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9E" w:rsidRDefault="007E1771">
    <w:pPr>
      <w:pStyle w:val="Piedepgina"/>
      <w:jc w:val="right"/>
    </w:pPr>
    <w:r>
      <w:rPr>
        <w:lang w:val="es-ES"/>
      </w:rPr>
      <w:t xml:space="preserve">Página </w:t>
    </w:r>
    <w:r>
      <w:rPr>
        <w:b/>
        <w:bCs/>
      </w:rPr>
      <w:fldChar w:fldCharType="begin"/>
    </w:r>
    <w:r>
      <w:rPr>
        <w:b/>
        <w:bCs/>
      </w:rPr>
      <w:instrText>PAGE</w:instrText>
    </w:r>
    <w:r>
      <w:rPr>
        <w:b/>
        <w:bCs/>
      </w:rPr>
      <w:fldChar w:fldCharType="separate"/>
    </w:r>
    <w:r w:rsidR="00124FB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24FB2">
      <w:rPr>
        <w:b/>
        <w:bCs/>
        <w:noProof/>
      </w:rPr>
      <w:t>26</w:t>
    </w:r>
    <w:r>
      <w:rPr>
        <w:b/>
        <w:bCs/>
      </w:rPr>
      <w:fldChar w:fldCharType="end"/>
    </w:r>
  </w:p>
  <w:p w:rsidR="00A42A9E" w:rsidRDefault="005240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012" w:rsidRDefault="00524012" w:rsidP="00470AD2">
      <w:r>
        <w:separator/>
      </w:r>
    </w:p>
  </w:footnote>
  <w:footnote w:type="continuationSeparator" w:id="0">
    <w:p w:rsidR="00524012" w:rsidRDefault="00524012" w:rsidP="00470AD2">
      <w:r>
        <w:continuationSeparator/>
      </w:r>
    </w:p>
  </w:footnote>
  <w:footnote w:id="1">
    <w:p w:rsidR="00470AD2" w:rsidRDefault="00470AD2" w:rsidP="00470AD2">
      <w:pPr>
        <w:pStyle w:val="Textonotapie"/>
      </w:pPr>
      <w:r>
        <w:rPr>
          <w:rStyle w:val="Refdenotaalpie"/>
        </w:rPr>
        <w:footnoteRef/>
      </w:r>
      <w:r>
        <w:t xml:space="preserve"> Convención Americana sobre Derechos Humanos. Artículo 13.</w:t>
      </w:r>
    </w:p>
  </w:footnote>
  <w:footnote w:id="2">
    <w:p w:rsidR="00470AD2" w:rsidRDefault="00470AD2" w:rsidP="00470AD2">
      <w:pPr>
        <w:pStyle w:val="Textonotapie"/>
      </w:pPr>
      <w:r>
        <w:rPr>
          <w:rStyle w:val="Refdenotaalpie"/>
        </w:rPr>
        <w:footnoteRef/>
      </w:r>
      <w:r>
        <w:t xml:space="preserve"> Constitución Política de los Estados Unidos Mexicanos. Artículo sexto, sección A, fracción I.</w:t>
      </w:r>
    </w:p>
  </w:footnote>
  <w:footnote w:id="3">
    <w:p w:rsidR="00470AD2" w:rsidRDefault="00470AD2" w:rsidP="00470AD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70AD2" w:rsidRDefault="00470AD2" w:rsidP="00470AD2">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9E" w:rsidRDefault="0052401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A42A9E" w:rsidRPr="005C106F" w:rsidTr="002C163A">
      <w:trPr>
        <w:trHeight w:val="1435"/>
      </w:trPr>
      <w:tc>
        <w:tcPr>
          <w:tcW w:w="2268" w:type="dxa"/>
          <w:shd w:val="clear" w:color="auto" w:fill="auto"/>
        </w:tcPr>
        <w:p w:rsidR="00A42A9E" w:rsidRPr="005C106F" w:rsidRDefault="00524012" w:rsidP="002C163A">
          <w:pPr>
            <w:tabs>
              <w:tab w:val="right" w:pos="4273"/>
            </w:tabs>
            <w:rPr>
              <w:rFonts w:ascii="Garamond" w:eastAsia="Calibri" w:hAnsi="Garamond"/>
              <w:sz w:val="16"/>
              <w:szCs w:val="16"/>
              <w:lang w:eastAsia="en-US"/>
            </w:rPr>
          </w:pPr>
        </w:p>
      </w:tc>
      <w:tc>
        <w:tcPr>
          <w:tcW w:w="6946" w:type="dxa"/>
          <w:shd w:val="clear" w:color="auto" w:fill="auto"/>
        </w:tcPr>
        <w:p w:rsidR="00A42A9E" w:rsidRDefault="00524012" w:rsidP="002C163A"/>
        <w:tbl>
          <w:tblPr>
            <w:tblW w:w="6662" w:type="dxa"/>
            <w:tblInd w:w="40" w:type="dxa"/>
            <w:tblLayout w:type="fixed"/>
            <w:tblLook w:val="0420" w:firstRow="1" w:lastRow="0" w:firstColumn="0" w:lastColumn="0" w:noHBand="0" w:noVBand="1"/>
          </w:tblPr>
          <w:tblGrid>
            <w:gridCol w:w="2551"/>
            <w:gridCol w:w="4111"/>
          </w:tblGrid>
          <w:tr w:rsidR="00A42A9E" w:rsidTr="002C163A">
            <w:trPr>
              <w:trHeight w:val="150"/>
            </w:trPr>
            <w:tc>
              <w:tcPr>
                <w:tcW w:w="2551" w:type="dxa"/>
                <w:shd w:val="clear" w:color="auto" w:fill="auto"/>
              </w:tcPr>
              <w:p w:rsidR="00A42A9E" w:rsidRPr="00020E73" w:rsidRDefault="007E1771" w:rsidP="002C163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A42A9E" w:rsidRPr="00020E73" w:rsidRDefault="00EB0EC7" w:rsidP="002C163A">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15533</w:t>
                </w:r>
                <w:r w:rsidR="007E1771">
                  <w:rPr>
                    <w:rFonts w:ascii="Palatino Linotype" w:eastAsia="Calibri" w:hAnsi="Palatino Linotype" w:cs="Tahoma"/>
                    <w:bCs/>
                    <w:sz w:val="22"/>
                    <w:szCs w:val="22"/>
                    <w:lang w:eastAsia="en-US"/>
                  </w:rPr>
                  <w:t>/INFOEM/IP/RR/2022</w:t>
                </w:r>
              </w:p>
            </w:tc>
          </w:tr>
          <w:tr w:rsidR="00A42A9E" w:rsidTr="002C163A">
            <w:trPr>
              <w:trHeight w:val="295"/>
            </w:trPr>
            <w:tc>
              <w:tcPr>
                <w:tcW w:w="2551" w:type="dxa"/>
                <w:shd w:val="clear" w:color="auto" w:fill="auto"/>
              </w:tcPr>
              <w:p w:rsidR="00A42A9E" w:rsidRPr="00020E73" w:rsidRDefault="007E1771" w:rsidP="002C163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A42A9E" w:rsidRPr="00020E73" w:rsidRDefault="00470AD2" w:rsidP="002C163A">
                <w:pPr>
                  <w:tabs>
                    <w:tab w:val="left" w:pos="2834"/>
                    <w:tab w:val="right" w:pos="8838"/>
                  </w:tabs>
                  <w:ind w:left="-108" w:right="-102"/>
                  <w:jc w:val="both"/>
                  <w:rPr>
                    <w:rFonts w:ascii="Palatino Linotype" w:eastAsia="Calibri" w:hAnsi="Palatino Linotype" w:cs="Tahoma"/>
                    <w:b/>
                    <w:sz w:val="22"/>
                    <w:szCs w:val="22"/>
                    <w:lang w:val="es-ES" w:eastAsia="en-US"/>
                  </w:rPr>
                </w:pPr>
                <w:r w:rsidRPr="00470AD2">
                  <w:rPr>
                    <w:rFonts w:ascii="Palatino Linotype" w:eastAsia="Calibri" w:hAnsi="Palatino Linotype" w:cs="Tahoma"/>
                    <w:bCs/>
                    <w:sz w:val="22"/>
                    <w:szCs w:val="22"/>
                    <w:lang w:eastAsia="en-US"/>
                  </w:rPr>
                  <w:t>El Organismo Descentralizado de Agua Potable Alcantarillado y Saneamiento del Municipio de Ixtapaluca denominado por sus siglas, O.D.A.P.A.S.</w:t>
                </w:r>
              </w:p>
            </w:tc>
          </w:tr>
          <w:tr w:rsidR="00A42A9E" w:rsidTr="002C163A">
            <w:trPr>
              <w:trHeight w:val="295"/>
            </w:trPr>
            <w:tc>
              <w:tcPr>
                <w:tcW w:w="2551" w:type="dxa"/>
                <w:shd w:val="clear" w:color="auto" w:fill="auto"/>
              </w:tcPr>
              <w:p w:rsidR="00A42A9E" w:rsidRPr="00020E73" w:rsidRDefault="007E1771" w:rsidP="002C163A">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A42A9E" w:rsidRPr="00020E73" w:rsidRDefault="007E1771" w:rsidP="002C163A">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A42A9E" w:rsidRPr="00020E73" w:rsidRDefault="00524012" w:rsidP="002C163A">
                <w:pPr>
                  <w:tabs>
                    <w:tab w:val="right" w:pos="8838"/>
                  </w:tabs>
                  <w:ind w:left="-108" w:right="171"/>
                  <w:jc w:val="both"/>
                  <w:rPr>
                    <w:rFonts w:ascii="Palatino Linotype" w:eastAsia="Calibri" w:hAnsi="Palatino Linotype" w:cs="Tahoma"/>
                    <w:b/>
                    <w:sz w:val="22"/>
                    <w:szCs w:val="22"/>
                    <w:lang w:val="es-ES" w:eastAsia="en-US"/>
                  </w:rPr>
                </w:pPr>
              </w:p>
            </w:tc>
          </w:tr>
        </w:tbl>
        <w:p w:rsidR="00A42A9E" w:rsidRPr="005C106F" w:rsidRDefault="00524012" w:rsidP="002C163A">
          <w:pPr>
            <w:tabs>
              <w:tab w:val="right" w:pos="8838"/>
            </w:tabs>
            <w:ind w:left="-28"/>
            <w:jc w:val="both"/>
            <w:rPr>
              <w:rFonts w:ascii="Arial" w:eastAsia="Calibri" w:hAnsi="Arial" w:cs="Arial"/>
              <w:b/>
              <w:sz w:val="22"/>
              <w:szCs w:val="22"/>
              <w:lang w:eastAsia="en-US"/>
            </w:rPr>
          </w:pPr>
        </w:p>
      </w:tc>
    </w:tr>
  </w:tbl>
  <w:p w:rsidR="00A42A9E" w:rsidRPr="00443C6B" w:rsidRDefault="00524012" w:rsidP="002C163A">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A42A9E" w:rsidRPr="00330DA7" w:rsidTr="002C163A">
      <w:trPr>
        <w:trHeight w:val="1435"/>
      </w:trPr>
      <w:tc>
        <w:tcPr>
          <w:tcW w:w="2268" w:type="dxa"/>
          <w:shd w:val="clear" w:color="auto" w:fill="auto"/>
        </w:tcPr>
        <w:p w:rsidR="00A42A9E" w:rsidRPr="00330DA7" w:rsidRDefault="00524012" w:rsidP="002C163A">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A42A9E" w:rsidRPr="00330DA7" w:rsidTr="002C163A">
            <w:trPr>
              <w:trHeight w:val="144"/>
            </w:trPr>
            <w:tc>
              <w:tcPr>
                <w:tcW w:w="2444" w:type="dxa"/>
                <w:shd w:val="clear" w:color="auto" w:fill="auto"/>
              </w:tcPr>
              <w:p w:rsidR="00A42A9E" w:rsidRPr="00020E73" w:rsidRDefault="007E1771" w:rsidP="002C163A">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A42A9E" w:rsidRPr="00020E73" w:rsidRDefault="00470AD2" w:rsidP="002C163A">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15533</w:t>
                </w:r>
                <w:r w:rsidR="007E1771">
                  <w:rPr>
                    <w:rFonts w:ascii="Palatino Linotype" w:eastAsia="Calibri" w:hAnsi="Palatino Linotype" w:cs="Tahoma"/>
                    <w:sz w:val="22"/>
                    <w:szCs w:val="22"/>
                    <w:lang w:eastAsia="en-US"/>
                  </w:rPr>
                  <w:t>/INFOEM/IP/RR/2022</w:t>
                </w:r>
                <w:r w:rsidR="007E1771">
                  <w:rPr>
                    <w:rFonts w:ascii="Palatino Linotype" w:eastAsia="Calibri" w:hAnsi="Palatino Linotype" w:cs="Tahoma"/>
                    <w:b/>
                    <w:bCs/>
                    <w:sz w:val="22"/>
                    <w:szCs w:val="22"/>
                    <w:lang w:eastAsia="en-US"/>
                  </w:rPr>
                  <w:t xml:space="preserve"> </w:t>
                </w:r>
              </w:p>
            </w:tc>
          </w:tr>
          <w:tr w:rsidR="00A42A9E" w:rsidRPr="00330DA7" w:rsidTr="002C163A">
            <w:trPr>
              <w:trHeight w:val="144"/>
            </w:trPr>
            <w:tc>
              <w:tcPr>
                <w:tcW w:w="2444" w:type="dxa"/>
                <w:shd w:val="clear" w:color="auto" w:fill="auto"/>
              </w:tcPr>
              <w:p w:rsidR="00A42A9E" w:rsidRPr="00020E73" w:rsidRDefault="007E1771" w:rsidP="002C163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A42A9E" w:rsidRPr="00470AD2" w:rsidRDefault="00124FB2" w:rsidP="002C163A">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 XXXXX XXXX</w:t>
                </w:r>
              </w:p>
            </w:tc>
          </w:tr>
          <w:tr w:rsidR="00A42A9E" w:rsidRPr="00330DA7" w:rsidTr="002C163A">
            <w:trPr>
              <w:trHeight w:val="283"/>
            </w:trPr>
            <w:tc>
              <w:tcPr>
                <w:tcW w:w="2444" w:type="dxa"/>
                <w:shd w:val="clear" w:color="auto" w:fill="auto"/>
              </w:tcPr>
              <w:p w:rsidR="00A42A9E" w:rsidRPr="00020E73" w:rsidRDefault="007E1771" w:rsidP="002C163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A42A9E" w:rsidRPr="009E7B0A" w:rsidRDefault="00470AD2" w:rsidP="002C163A">
                <w:pPr>
                  <w:tabs>
                    <w:tab w:val="left" w:pos="2834"/>
                    <w:tab w:val="right" w:pos="8838"/>
                  </w:tabs>
                  <w:ind w:left="-74" w:right="-105"/>
                  <w:jc w:val="both"/>
                  <w:rPr>
                    <w:rFonts w:ascii="Palatino Linotype" w:eastAsia="Calibri" w:hAnsi="Palatino Linotype" w:cs="Tahoma"/>
                    <w:sz w:val="22"/>
                    <w:szCs w:val="22"/>
                    <w:lang w:val="es-ES" w:eastAsia="en-US"/>
                  </w:rPr>
                </w:pPr>
                <w:r w:rsidRPr="00470AD2">
                  <w:rPr>
                    <w:rFonts w:ascii="Palatino Linotype" w:eastAsia="Calibri" w:hAnsi="Palatino Linotype" w:cs="Tahoma"/>
                    <w:bCs/>
                    <w:sz w:val="22"/>
                    <w:szCs w:val="22"/>
                    <w:lang w:eastAsia="en-US"/>
                  </w:rPr>
                  <w:t>El Organismo Descentralizado de Agua Potable Alcantarillado y Saneamiento del Municipio de Ixtapaluca denominado por sus siglas, O.D.A.P.A.S.</w:t>
                </w:r>
              </w:p>
            </w:tc>
          </w:tr>
          <w:tr w:rsidR="00A42A9E" w:rsidRPr="00330DA7" w:rsidTr="002C163A">
            <w:trPr>
              <w:trHeight w:val="283"/>
            </w:trPr>
            <w:tc>
              <w:tcPr>
                <w:tcW w:w="2444" w:type="dxa"/>
                <w:shd w:val="clear" w:color="auto" w:fill="auto"/>
              </w:tcPr>
              <w:p w:rsidR="00A42A9E" w:rsidRPr="00020E73" w:rsidRDefault="007E1771" w:rsidP="002C163A">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A42A9E" w:rsidRPr="00020E73" w:rsidRDefault="007E1771" w:rsidP="002C163A">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A42A9E" w:rsidRPr="00020E73" w:rsidRDefault="00524012" w:rsidP="002C163A">
                <w:pPr>
                  <w:tabs>
                    <w:tab w:val="right" w:pos="8838"/>
                  </w:tabs>
                  <w:ind w:left="-74" w:right="-105"/>
                  <w:jc w:val="both"/>
                  <w:rPr>
                    <w:rFonts w:ascii="Palatino Linotype" w:eastAsia="Calibri" w:hAnsi="Palatino Linotype" w:cs="Tahoma"/>
                    <w:b/>
                    <w:sz w:val="22"/>
                    <w:szCs w:val="22"/>
                    <w:lang w:val="es-ES" w:eastAsia="en-US"/>
                  </w:rPr>
                </w:pPr>
              </w:p>
            </w:tc>
          </w:tr>
        </w:tbl>
        <w:p w:rsidR="00A42A9E" w:rsidRPr="00330DA7" w:rsidRDefault="00524012" w:rsidP="002C163A">
          <w:pPr>
            <w:tabs>
              <w:tab w:val="right" w:pos="8838"/>
            </w:tabs>
            <w:ind w:left="-28"/>
            <w:jc w:val="both"/>
            <w:rPr>
              <w:rFonts w:ascii="Arial" w:eastAsia="Calibri" w:hAnsi="Arial" w:cs="Arial"/>
              <w:b/>
              <w:sz w:val="22"/>
              <w:szCs w:val="22"/>
              <w:lang w:eastAsia="en-US"/>
            </w:rPr>
          </w:pPr>
        </w:p>
      </w:tc>
    </w:tr>
  </w:tbl>
  <w:p w:rsidR="00A42A9E" w:rsidRPr="00827FA0" w:rsidRDefault="00524012" w:rsidP="002C163A">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F7591C"/>
    <w:multiLevelType w:val="hybridMultilevel"/>
    <w:tmpl w:val="AB44F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317490"/>
    <w:multiLevelType w:val="hybridMultilevel"/>
    <w:tmpl w:val="56D24720"/>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07C7AF2"/>
    <w:multiLevelType w:val="hybridMultilevel"/>
    <w:tmpl w:val="BC909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53E012C"/>
    <w:multiLevelType w:val="multilevel"/>
    <w:tmpl w:val="5770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
  </w:num>
  <w:num w:numId="3">
    <w:abstractNumId w:val="3"/>
  </w:num>
  <w:num w:numId="4">
    <w:abstractNumId w:val="6"/>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AD2"/>
    <w:rsid w:val="00007A3C"/>
    <w:rsid w:val="00090A2F"/>
    <w:rsid w:val="000926DA"/>
    <w:rsid w:val="0009323B"/>
    <w:rsid w:val="00124FB2"/>
    <w:rsid w:val="001F79CB"/>
    <w:rsid w:val="00214EBE"/>
    <w:rsid w:val="002A09A2"/>
    <w:rsid w:val="002C1A13"/>
    <w:rsid w:val="002E6C24"/>
    <w:rsid w:val="00470AD2"/>
    <w:rsid w:val="004B4BB8"/>
    <w:rsid w:val="00524012"/>
    <w:rsid w:val="00556261"/>
    <w:rsid w:val="005807E9"/>
    <w:rsid w:val="005B2D0C"/>
    <w:rsid w:val="0061394F"/>
    <w:rsid w:val="006827A7"/>
    <w:rsid w:val="00707F1F"/>
    <w:rsid w:val="00730B3A"/>
    <w:rsid w:val="0076643E"/>
    <w:rsid w:val="007A4252"/>
    <w:rsid w:val="007D3059"/>
    <w:rsid w:val="007E1771"/>
    <w:rsid w:val="008A107F"/>
    <w:rsid w:val="008D0946"/>
    <w:rsid w:val="00901FB8"/>
    <w:rsid w:val="00943F21"/>
    <w:rsid w:val="0097217F"/>
    <w:rsid w:val="00A34A07"/>
    <w:rsid w:val="00A720B2"/>
    <w:rsid w:val="00A752FA"/>
    <w:rsid w:val="00AB2B14"/>
    <w:rsid w:val="00AB5CC4"/>
    <w:rsid w:val="00C4342B"/>
    <w:rsid w:val="00D02680"/>
    <w:rsid w:val="00DF6B1A"/>
    <w:rsid w:val="00EB0EC7"/>
    <w:rsid w:val="00F9053D"/>
    <w:rsid w:val="00FA74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205C321-978E-49D0-9B34-1B7ED45AE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AD2"/>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470AD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70AD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0AD2"/>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470AD2"/>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470AD2"/>
    <w:pPr>
      <w:tabs>
        <w:tab w:val="center" w:pos="4419"/>
        <w:tab w:val="right" w:pos="8838"/>
      </w:tabs>
    </w:pPr>
  </w:style>
  <w:style w:type="character" w:customStyle="1" w:styleId="EncabezadoCar">
    <w:name w:val="Encabezado Car"/>
    <w:basedOn w:val="Fuentedeprrafopredeter"/>
    <w:link w:val="Encabezado"/>
    <w:uiPriority w:val="99"/>
    <w:rsid w:val="00470AD2"/>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470AD2"/>
    <w:pPr>
      <w:tabs>
        <w:tab w:val="center" w:pos="4419"/>
        <w:tab w:val="right" w:pos="8838"/>
      </w:tabs>
    </w:pPr>
  </w:style>
  <w:style w:type="character" w:customStyle="1" w:styleId="PiedepginaCar">
    <w:name w:val="Pie de página Car"/>
    <w:basedOn w:val="Fuentedeprrafopredeter"/>
    <w:link w:val="Piedepgina"/>
    <w:uiPriority w:val="99"/>
    <w:rsid w:val="00470AD2"/>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0AD2"/>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470AD2"/>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470AD2"/>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70AD2"/>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470AD2"/>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70AD2"/>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470AD2"/>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470AD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470AD2"/>
    <w:pPr>
      <w:autoSpaceDE w:val="0"/>
      <w:autoSpaceDN w:val="0"/>
      <w:adjustRightInd w:val="0"/>
      <w:spacing w:after="0" w:line="240" w:lineRule="auto"/>
    </w:pPr>
    <w:rPr>
      <w:rFonts w:ascii="Arial" w:hAnsi="Arial" w:cs="Arial"/>
      <w:color w:val="000000"/>
      <w:sz w:val="24"/>
      <w:szCs w:val="24"/>
      <w:lang w:val="es-MX"/>
    </w:rPr>
  </w:style>
  <w:style w:type="character" w:styleId="Hipervnculovisitado">
    <w:name w:val="FollowedHyperlink"/>
    <w:basedOn w:val="Fuentedeprrafopredeter"/>
    <w:uiPriority w:val="99"/>
    <w:semiHidden/>
    <w:unhideWhenUsed/>
    <w:rsid w:val="00AB5C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46076">
      <w:bodyDiv w:val="1"/>
      <w:marLeft w:val="0"/>
      <w:marRight w:val="0"/>
      <w:marTop w:val="0"/>
      <w:marBottom w:val="0"/>
      <w:divBdr>
        <w:top w:val="none" w:sz="0" w:space="0" w:color="auto"/>
        <w:left w:val="none" w:sz="0" w:space="0" w:color="auto"/>
        <w:bottom w:val="none" w:sz="0" w:space="0" w:color="auto"/>
        <w:right w:val="none" w:sz="0" w:space="0" w:color="auto"/>
      </w:divBdr>
    </w:div>
    <w:div w:id="77674539">
      <w:bodyDiv w:val="1"/>
      <w:marLeft w:val="0"/>
      <w:marRight w:val="0"/>
      <w:marTop w:val="0"/>
      <w:marBottom w:val="0"/>
      <w:divBdr>
        <w:top w:val="none" w:sz="0" w:space="0" w:color="auto"/>
        <w:left w:val="none" w:sz="0" w:space="0" w:color="auto"/>
        <w:bottom w:val="none" w:sz="0" w:space="0" w:color="auto"/>
        <w:right w:val="none" w:sz="0" w:space="0" w:color="auto"/>
      </w:divBdr>
    </w:div>
    <w:div w:id="276063133">
      <w:bodyDiv w:val="1"/>
      <w:marLeft w:val="0"/>
      <w:marRight w:val="0"/>
      <w:marTop w:val="0"/>
      <w:marBottom w:val="0"/>
      <w:divBdr>
        <w:top w:val="none" w:sz="0" w:space="0" w:color="auto"/>
        <w:left w:val="none" w:sz="0" w:space="0" w:color="auto"/>
        <w:bottom w:val="none" w:sz="0" w:space="0" w:color="auto"/>
        <w:right w:val="none" w:sz="0" w:space="0" w:color="auto"/>
      </w:divBdr>
    </w:div>
    <w:div w:id="543760528">
      <w:bodyDiv w:val="1"/>
      <w:marLeft w:val="0"/>
      <w:marRight w:val="0"/>
      <w:marTop w:val="0"/>
      <w:marBottom w:val="0"/>
      <w:divBdr>
        <w:top w:val="none" w:sz="0" w:space="0" w:color="auto"/>
        <w:left w:val="none" w:sz="0" w:space="0" w:color="auto"/>
        <w:bottom w:val="none" w:sz="0" w:space="0" w:color="auto"/>
        <w:right w:val="none" w:sz="0" w:space="0" w:color="auto"/>
      </w:divBdr>
    </w:div>
    <w:div w:id="198314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83099.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pomex.org.mx/ipo3/lgt/indice/OASIXTAPALUCA/art_92_xxi.web?token=03AIIukziNG3fD8ofvabqTNu2zOiweW4C2KSPCiG53FIybC7tIwICw-hZxGpy0xnZiQbf1rbgbA8EJJgTwC13u0a6nkN84IZ2LEuDwopp6BvIS9IBem4Jt81b1neA5RJL5vIoNDwkZHiYNO2QlwduEZ-sIxExjQmknfWJhHnZ_0qe2UUa8WQTOydIOKvr69GHTZD0xaQTAaV1KnqcmjJMt_-3luncCGo-bBWczCVSKJCf4RxhdS87xQ9jgbmcule52XvnEhaEpHEs5vrDfyAN5bxWKDHeaV-miKx0Bcn6DL78fq1H0_m21Np4Kx_GjWusJYM4pXewJ7e3LfWMtiYrs949SBAoymLhfzAFBYvwwwFc4iln1rOuJpXhCwlZZGMQN9GM3SZ4uFecs3P9BCfbzb8mgKut5MSJH9PoGbF-Se2-pkn_TDDzJCVj-ipnQfngKcmPBgHQhyq8Sk1bVz4w7Gc3ezT-SC3LChBE4CZQAY_aEMgJ1MHWfMKmm_4ZRK3aDWkZqTnG_f2K2T7MFp97TBkyzAw9pPcZ_bJBtMYyw0vJp1Oc5GIx9k-FN6xNCv071fl0-W-_LPkCa"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saimex.org.mx/saimex/solicitud/downloadAttach/1601860.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5424</Words>
  <Characters>29836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DELL</cp:lastModifiedBy>
  <cp:revision>5</cp:revision>
  <dcterms:created xsi:type="dcterms:W3CDTF">2022-11-15T21:01:00Z</dcterms:created>
  <dcterms:modified xsi:type="dcterms:W3CDTF">2022-11-28T04:46:00Z</dcterms:modified>
</cp:coreProperties>
</file>