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B1E45" w14:textId="77777777" w:rsidR="00E318A2" w:rsidRDefault="00327AA0">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diez de febrero de dos mil veintidós. </w:t>
      </w:r>
    </w:p>
    <w:p w14:paraId="0AD4F7D0" w14:textId="6563835A" w:rsidR="00E318A2" w:rsidRDefault="00327AA0" w:rsidP="00EE41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05784/INFOEM/IP/RR/2021,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w:t>
      </w:r>
      <w:r w:rsidR="00EE418C">
        <w:rPr>
          <w:rFonts w:ascii="Palatino Linotype" w:eastAsia="Palatino Linotype" w:hAnsi="Palatino Linotype" w:cs="Palatino Linotype"/>
          <w:b/>
        </w:rPr>
        <w:t>XXXX XXXXXX XXXXX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Naucalpan de Juárez,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los siguientes: </w:t>
      </w:r>
    </w:p>
    <w:p w14:paraId="2733A9A0" w14:textId="77777777" w:rsidR="00E318A2" w:rsidRPr="00EE418C" w:rsidRDefault="00327AA0">
      <w:pPr>
        <w:spacing w:before="240" w:after="240" w:line="360" w:lineRule="auto"/>
        <w:jc w:val="center"/>
        <w:rPr>
          <w:rFonts w:ascii="Palatino Linotype" w:eastAsia="Palatino Linotype" w:hAnsi="Palatino Linotype" w:cs="Palatino Linotype"/>
          <w:b/>
          <w:sz w:val="28"/>
          <w:szCs w:val="28"/>
          <w:lang w:val="pt-BR"/>
        </w:rPr>
      </w:pPr>
      <w:r w:rsidRPr="00EE418C">
        <w:rPr>
          <w:rFonts w:ascii="Palatino Linotype" w:eastAsia="Palatino Linotype" w:hAnsi="Palatino Linotype" w:cs="Palatino Linotype"/>
          <w:b/>
          <w:lang w:val="pt-BR"/>
        </w:rPr>
        <w:t xml:space="preserve">I. </w:t>
      </w:r>
      <w:r w:rsidRPr="00EE418C">
        <w:rPr>
          <w:rFonts w:ascii="Palatino Linotype" w:eastAsia="Palatino Linotype" w:hAnsi="Palatino Linotype" w:cs="Palatino Linotype"/>
          <w:b/>
          <w:lang w:val="pt-BR"/>
        </w:rPr>
        <w:tab/>
        <w:t>A N T E C E D E N T E S</w:t>
      </w:r>
    </w:p>
    <w:p w14:paraId="03FF2869"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once de noviembre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w:t>
      </w:r>
      <w:r>
        <w:rPr>
          <w:rFonts w:ascii="Palatino Linotype" w:eastAsia="Palatino Linotype" w:hAnsi="Palatino Linotype" w:cs="Palatino Linotype"/>
          <w:b/>
        </w:rPr>
        <w:t xml:space="preserve">00858/NAUCALPA/IP/2021, </w:t>
      </w:r>
      <w:r>
        <w:rPr>
          <w:rFonts w:ascii="Palatino Linotype" w:eastAsia="Palatino Linotype" w:hAnsi="Palatino Linotype" w:cs="Palatino Linotype"/>
        </w:rPr>
        <w:t>mediante la cual requirió la información siguiente:</w:t>
      </w:r>
    </w:p>
    <w:p w14:paraId="6EBDE9FB" w14:textId="77777777" w:rsidR="00E318A2" w:rsidRDefault="00327AA0">
      <w:pPr>
        <w:jc w:val="both"/>
        <w:rPr>
          <w:rFonts w:ascii="Palatino Linotype" w:eastAsia="Palatino Linotype" w:hAnsi="Palatino Linotype" w:cs="Palatino Linotype"/>
        </w:rPr>
      </w:pPr>
      <w:bookmarkStart w:id="0" w:name="_heading=h.gjdgxs" w:colFirst="0" w:colLast="0"/>
      <w:bookmarkEnd w:id="0"/>
      <w:r>
        <w:t>“</w:t>
      </w:r>
      <w:r>
        <w:rPr>
          <w:rFonts w:ascii="Palatino Linotype" w:eastAsia="Palatino Linotype" w:hAnsi="Palatino Linotype" w:cs="Palatino Linotype"/>
          <w:i/>
        </w:rPr>
        <w:t xml:space="preserve">1. Se solicita Copia del convenio para el cobro del Derecho de Alumbrado Público “DAP” que celebraron el municipio y la Comisión Federal De Electricidad (CFE); el más reciente. 2. Se solicita Copia del convenio de colaboración por el que se establecen los términos y condiciones para la recaudación y aplicación del Derecho por concepto de Alumbrado Público (DAP) Firmado entre CFE y el municipio (el más reciente). 3. Cualquier otro documento relacionado con el Derecho de Alumbrado Público, firmado por CFE y el municipio 4. Se solicita el censo de alumbrado público con el que se factura en La Comisión Federal de Electricidad; el más reciente con la siguiente información: a. Cantidad de luminarias y </w:t>
      </w:r>
      <w:r>
        <w:rPr>
          <w:rFonts w:ascii="Palatino Linotype" w:eastAsia="Palatino Linotype" w:hAnsi="Palatino Linotype" w:cs="Palatino Linotype"/>
          <w:i/>
        </w:rPr>
        <w:lastRenderedPageBreak/>
        <w:t>balastros, el tipo de equipos, la capacidad (potencia), b. La cantidad de luminarias y balastros instalados, el tipo de equipos y su capacidad (potencia) instalados que poseen equipo de medición</w:t>
      </w:r>
      <w:r>
        <w:rPr>
          <w:rFonts w:ascii="Palatino Linotype" w:eastAsia="Palatino Linotype" w:hAnsi="Palatino Linotype" w:cs="Palatino Linotype"/>
        </w:rPr>
        <w:t>.” (sic)</w:t>
      </w:r>
    </w:p>
    <w:p w14:paraId="06C637FA" w14:textId="77777777" w:rsidR="00E318A2" w:rsidRDefault="00E318A2">
      <w:pPr>
        <w:jc w:val="both"/>
        <w:rPr>
          <w:rFonts w:ascii="Palatino Linotype" w:eastAsia="Palatino Linotype" w:hAnsi="Palatino Linotype" w:cs="Palatino Linotype"/>
          <w:i/>
        </w:rPr>
      </w:pPr>
    </w:p>
    <w:p w14:paraId="7D5E139C" w14:textId="77777777" w:rsidR="00E318A2" w:rsidRDefault="00327A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adjuntó un archivo a su solicitud, denominado </w:t>
      </w:r>
      <w:r>
        <w:rPr>
          <w:rFonts w:ascii="Palatino Linotype" w:eastAsia="Palatino Linotype" w:hAnsi="Palatino Linotype" w:cs="Palatino Linotype"/>
          <w:b/>
          <w:i/>
        </w:rPr>
        <w:t>SIAP.docx</w:t>
      </w:r>
      <w:r>
        <w:rPr>
          <w:rFonts w:ascii="Palatino Linotype" w:eastAsia="Palatino Linotype" w:hAnsi="Palatino Linotype" w:cs="Palatino Linotype"/>
        </w:rPr>
        <w:t>, en el que se observa, lo ya referido en el requerimiento de información, como se muestra a continuación:</w:t>
      </w:r>
    </w:p>
    <w:p w14:paraId="1D2344CE" w14:textId="77777777" w:rsidR="00E318A2" w:rsidRDefault="00327AA0">
      <w:p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6D13537F" w14:textId="77777777" w:rsidR="00E318A2" w:rsidRDefault="00327AA0">
      <w:pPr>
        <w:numPr>
          <w:ilvl w:val="0"/>
          <w:numId w:val="8"/>
        </w:numPr>
        <w:pBdr>
          <w:top w:val="nil"/>
          <w:left w:val="nil"/>
          <w:bottom w:val="nil"/>
          <w:right w:val="nil"/>
          <w:between w:val="nil"/>
        </w:pBdr>
        <w:spacing w:line="259"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Se solicita Copia del </w:t>
      </w:r>
      <w:r>
        <w:rPr>
          <w:rFonts w:ascii="Palatino Linotype" w:eastAsia="Palatino Linotype" w:hAnsi="Palatino Linotype" w:cs="Palatino Linotype"/>
          <w:b/>
          <w:i/>
          <w:color w:val="000000"/>
        </w:rPr>
        <w:t>convenio para el cobro del Derecho de Alumbrado Público “DAP” que celebraron el municipio y la Comisión Federal De Electricidad (</w:t>
      </w:r>
      <w:r>
        <w:rPr>
          <w:rFonts w:ascii="Palatino Linotype" w:eastAsia="Palatino Linotype" w:hAnsi="Palatino Linotype" w:cs="Palatino Linotype"/>
          <w:i/>
          <w:color w:val="000000"/>
        </w:rPr>
        <w:t>CFE); el más reciente.</w:t>
      </w:r>
    </w:p>
    <w:p w14:paraId="197725FA" w14:textId="77777777" w:rsidR="00E318A2" w:rsidRDefault="00327AA0">
      <w:pPr>
        <w:numPr>
          <w:ilvl w:val="0"/>
          <w:numId w:val="8"/>
        </w:numPr>
        <w:pBdr>
          <w:top w:val="nil"/>
          <w:left w:val="nil"/>
          <w:bottom w:val="nil"/>
          <w:right w:val="nil"/>
          <w:between w:val="nil"/>
        </w:pBdr>
        <w:spacing w:line="259"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solicita Copia del </w:t>
      </w:r>
      <w:r>
        <w:rPr>
          <w:rFonts w:ascii="Palatino Linotype" w:eastAsia="Palatino Linotype" w:hAnsi="Palatino Linotype" w:cs="Palatino Linotype"/>
          <w:b/>
          <w:i/>
          <w:color w:val="000000"/>
        </w:rPr>
        <w:t xml:space="preserve">convenio de colaboración por el que se establecen los términos y condiciones para la recaudación y aplicación del Derecho por concepto de Alumbrado Público (DAP) </w:t>
      </w:r>
      <w:r>
        <w:rPr>
          <w:rFonts w:ascii="Palatino Linotype" w:eastAsia="Palatino Linotype" w:hAnsi="Palatino Linotype" w:cs="Palatino Linotype"/>
          <w:i/>
          <w:color w:val="000000"/>
        </w:rPr>
        <w:t>Firmado entre CFE y el municipio (el más reciente).</w:t>
      </w:r>
    </w:p>
    <w:p w14:paraId="0AF89E99" w14:textId="77777777" w:rsidR="00E318A2" w:rsidRDefault="00327AA0">
      <w:pPr>
        <w:numPr>
          <w:ilvl w:val="0"/>
          <w:numId w:val="8"/>
        </w:numPr>
        <w:pBdr>
          <w:top w:val="nil"/>
          <w:left w:val="nil"/>
          <w:bottom w:val="nil"/>
          <w:right w:val="nil"/>
          <w:between w:val="nil"/>
        </w:pBdr>
        <w:spacing w:line="259"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Cualquier otro documento relacionado con el Derecho de Alumbrado Público, firmado por CFE y el municipio</w:t>
      </w:r>
    </w:p>
    <w:p w14:paraId="7EE8FE96" w14:textId="77777777" w:rsidR="00E318A2" w:rsidRDefault="00327AA0">
      <w:pPr>
        <w:widowControl w:val="0"/>
        <w:numPr>
          <w:ilvl w:val="0"/>
          <w:numId w:val="8"/>
        </w:numPr>
        <w:pBdr>
          <w:top w:val="nil"/>
          <w:left w:val="nil"/>
          <w:bottom w:val="nil"/>
          <w:right w:val="nil"/>
          <w:between w:val="nil"/>
        </w:pBdr>
        <w:tabs>
          <w:tab w:val="left" w:pos="810"/>
        </w:tabs>
        <w:ind w:right="115"/>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solicita el </w:t>
      </w:r>
      <w:r>
        <w:rPr>
          <w:rFonts w:ascii="Palatino Linotype" w:eastAsia="Palatino Linotype" w:hAnsi="Palatino Linotype" w:cs="Palatino Linotype"/>
          <w:b/>
          <w:i/>
          <w:color w:val="000000"/>
        </w:rPr>
        <w:t>censo de alumbrado público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con el que se factura en La Comisión Federal de Electricidad; </w:t>
      </w:r>
      <w:r>
        <w:rPr>
          <w:rFonts w:ascii="Palatino Linotype" w:eastAsia="Palatino Linotype" w:hAnsi="Palatino Linotype" w:cs="Palatino Linotype"/>
          <w:i/>
          <w:color w:val="000000"/>
        </w:rPr>
        <w:t>el más reciente con la siguiente información:</w:t>
      </w:r>
    </w:p>
    <w:p w14:paraId="4B7BCABC" w14:textId="77777777" w:rsidR="00E318A2" w:rsidRDefault="00E318A2">
      <w:pPr>
        <w:pBdr>
          <w:top w:val="nil"/>
          <w:left w:val="nil"/>
          <w:bottom w:val="nil"/>
          <w:right w:val="nil"/>
          <w:between w:val="nil"/>
        </w:pBdr>
        <w:spacing w:before="3" w:after="120"/>
        <w:jc w:val="both"/>
        <w:rPr>
          <w:rFonts w:ascii="Palatino Linotype" w:eastAsia="Palatino Linotype" w:hAnsi="Palatino Linotype" w:cs="Palatino Linotype"/>
          <w:i/>
          <w:color w:val="000000"/>
        </w:rPr>
      </w:pPr>
    </w:p>
    <w:p w14:paraId="671D6D14" w14:textId="77777777" w:rsidR="00E318A2" w:rsidRDefault="00327AA0">
      <w:pPr>
        <w:widowControl w:val="0"/>
        <w:numPr>
          <w:ilvl w:val="1"/>
          <w:numId w:val="8"/>
        </w:numPr>
        <w:pBdr>
          <w:top w:val="nil"/>
          <w:left w:val="nil"/>
          <w:bottom w:val="nil"/>
          <w:right w:val="nil"/>
          <w:between w:val="nil"/>
        </w:pBdr>
        <w:tabs>
          <w:tab w:val="left" w:pos="1518"/>
        </w:tabs>
        <w:ind w:right="115"/>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Cantidad de luminarias y balastros, el tipo de equipos, la capacidad (</w:t>
      </w:r>
      <w:r>
        <w:rPr>
          <w:rFonts w:ascii="Palatino Linotype" w:eastAsia="Palatino Linotype" w:hAnsi="Palatino Linotype" w:cs="Palatino Linotype"/>
          <w:b/>
          <w:i/>
          <w:color w:val="000000"/>
        </w:rPr>
        <w:t>potencia</w:t>
      </w:r>
      <w:r>
        <w:rPr>
          <w:rFonts w:ascii="Palatino Linotype" w:eastAsia="Palatino Linotype" w:hAnsi="Palatino Linotype" w:cs="Palatino Linotype"/>
          <w:i/>
          <w:color w:val="000000"/>
        </w:rPr>
        <w:t xml:space="preserve">), </w:t>
      </w:r>
    </w:p>
    <w:p w14:paraId="6EEE8FD9" w14:textId="77777777" w:rsidR="00E318A2" w:rsidRDefault="00327AA0">
      <w:pPr>
        <w:widowControl w:val="0"/>
        <w:numPr>
          <w:ilvl w:val="1"/>
          <w:numId w:val="8"/>
        </w:numPr>
        <w:pBdr>
          <w:top w:val="nil"/>
          <w:left w:val="nil"/>
          <w:bottom w:val="nil"/>
          <w:right w:val="nil"/>
          <w:between w:val="nil"/>
        </w:pBdr>
        <w:tabs>
          <w:tab w:val="left" w:pos="1518"/>
        </w:tabs>
        <w:ind w:right="1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cantidad de luminarias y balastros instalados, el tipo de equipos y su capacidad (</w:t>
      </w:r>
      <w:r>
        <w:rPr>
          <w:rFonts w:ascii="Palatino Linotype" w:eastAsia="Palatino Linotype" w:hAnsi="Palatino Linotype" w:cs="Palatino Linotype"/>
          <w:b/>
          <w:i/>
          <w:color w:val="000000"/>
        </w:rPr>
        <w:t>potencia</w:t>
      </w:r>
      <w:r>
        <w:rPr>
          <w:rFonts w:ascii="Palatino Linotype" w:eastAsia="Palatino Linotype" w:hAnsi="Palatino Linotype" w:cs="Palatino Linotype"/>
          <w:i/>
          <w:color w:val="000000"/>
        </w:rPr>
        <w:t>) instalados que poseen equipo de medición.” (sic)</w:t>
      </w:r>
    </w:p>
    <w:p w14:paraId="51117423" w14:textId="77777777" w:rsidR="00E318A2" w:rsidRDefault="00E318A2">
      <w:pPr>
        <w:spacing w:line="360" w:lineRule="auto"/>
        <w:ind w:right="900"/>
        <w:jc w:val="both"/>
        <w:rPr>
          <w:rFonts w:ascii="Palatino Linotype" w:eastAsia="Palatino Linotype" w:hAnsi="Palatino Linotype" w:cs="Palatino Linotype"/>
        </w:rPr>
      </w:pPr>
    </w:p>
    <w:p w14:paraId="25A149BE"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3796CE7F"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veintidós de noviembre de dos mil veintiuno, EL SUJETO OBLIGADO</w:t>
      </w:r>
      <w:r>
        <w:rPr>
          <w:rFonts w:ascii="Palatino Linotype" w:eastAsia="Palatino Linotype" w:hAnsi="Palatino Linotype" w:cs="Palatino Linotype"/>
        </w:rPr>
        <w:t xml:space="preserve"> envió respuesta a la solicitud de acceso a la información a través de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w:t>
      </w:r>
    </w:p>
    <w:p w14:paraId="2F7CBB20" w14:textId="77777777" w:rsidR="00E318A2" w:rsidRDefault="00327AA0">
      <w:pPr>
        <w:spacing w:before="240" w:after="240" w:line="360" w:lineRule="auto"/>
        <w:ind w:left="566" w:right="629"/>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237E0F" w14:textId="77777777" w:rsidR="00E318A2" w:rsidRDefault="00327AA0">
      <w:pPr>
        <w:spacing w:before="240" w:after="240" w:line="360" w:lineRule="auto"/>
        <w:ind w:left="566" w:right="629"/>
        <w:jc w:val="both"/>
        <w:rPr>
          <w:rFonts w:ascii="Palatino Linotype" w:eastAsia="Palatino Linotype" w:hAnsi="Palatino Linotype" w:cs="Palatino Linotype"/>
          <w:i/>
        </w:rPr>
      </w:pPr>
      <w:r>
        <w:rPr>
          <w:rFonts w:ascii="Palatino Linotype" w:eastAsia="Palatino Linotype" w:hAnsi="Palatino Linotype" w:cs="Palatino Linotype"/>
          <w:i/>
        </w:rPr>
        <w:t>Por lo que atañe a la Dirección General de Administración, área encargada de atender su solicitud, le informa lo siguiente: “…Sobre su Solicitud ingresada en el portal SAIMEX se adjunta el Contrato DAP entre el Municipio de Naucalpan de Juárez y Comisión Federal de Electricidad, en lo que respecta a la información de la Dirección General de Administración…”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6FA7F191" w14:textId="77777777" w:rsidR="00E318A2" w:rsidRDefault="00327AA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documento</w:t>
      </w:r>
      <w:r>
        <w:t xml:space="preserve"> </w:t>
      </w:r>
      <w:r>
        <w:rPr>
          <w:rFonts w:ascii="Palatino Linotype" w:eastAsia="Palatino Linotype" w:hAnsi="Palatino Linotype" w:cs="Palatino Linotype"/>
          <w:b/>
          <w:i/>
        </w:rPr>
        <w:t>contrato DAP luz y fuerza .pdf</w:t>
      </w:r>
      <w:r>
        <w:rPr>
          <w:rFonts w:ascii="Palatino Linotype" w:eastAsia="Palatino Linotype" w:hAnsi="Palatino Linotype" w:cs="Palatino Linotype"/>
        </w:rPr>
        <w:t>., el cual será analizado en líneas posteriores.</w:t>
      </w:r>
    </w:p>
    <w:p w14:paraId="18EB4C00" w14:textId="77777777" w:rsidR="00E318A2" w:rsidRDefault="00327AA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veintidós de </w:t>
      </w:r>
      <w:r>
        <w:rPr>
          <w:rFonts w:ascii="Palatino Linotype" w:eastAsia="Palatino Linotype" w:hAnsi="Palatino Linotype" w:cs="Palatino Linotype"/>
          <w:b/>
        </w:rPr>
        <w:lastRenderedPageBreak/>
        <w:t>noviembre de dos mil veintiuno,</w:t>
      </w:r>
      <w:r>
        <w:rPr>
          <w:rFonts w:ascii="Palatino Linotype" w:eastAsia="Palatino Linotype" w:hAnsi="Palatino Linotype" w:cs="Palatino Linotype"/>
        </w:rPr>
        <w:t xml:space="preserve"> E</w:t>
      </w:r>
      <w:r>
        <w:rPr>
          <w:rFonts w:ascii="Palatino Linotype" w:eastAsia="Palatino Linotype" w:hAnsi="Palatino Linotype" w:cs="Palatino Linotype"/>
          <w:b/>
        </w:rPr>
        <w:t>L RECURRENTE</w:t>
      </w:r>
      <w:r>
        <w:rPr>
          <w:rFonts w:ascii="Palatino Linotype" w:eastAsia="Palatino Linotype" w:hAnsi="Palatino Linotype" w:cs="Palatino Linotype"/>
        </w:rPr>
        <w:t xml:space="preserve"> interpuso el recurso de revisión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expuso lo siguiente:</w:t>
      </w:r>
    </w:p>
    <w:p w14:paraId="15CF6D73" w14:textId="77777777" w:rsidR="00E318A2" w:rsidRDefault="00327A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51A69943" w14:textId="77777777" w:rsidR="00E318A2" w:rsidRDefault="00E318A2">
      <w:pPr>
        <w:spacing w:line="360" w:lineRule="auto"/>
        <w:jc w:val="both"/>
        <w:rPr>
          <w:rFonts w:ascii="Palatino Linotype" w:eastAsia="Palatino Linotype" w:hAnsi="Palatino Linotype" w:cs="Palatino Linotype"/>
          <w:b/>
        </w:rPr>
      </w:pPr>
    </w:p>
    <w:p w14:paraId="7F5279ED" w14:textId="77777777" w:rsidR="00E318A2" w:rsidRDefault="00327AA0">
      <w:pPr>
        <w:spacing w:line="360" w:lineRule="auto"/>
        <w:ind w:left="709" w:right="629"/>
        <w:jc w:val="both"/>
        <w:rPr>
          <w:rFonts w:ascii="Palatino Linotype" w:eastAsia="Palatino Linotype" w:hAnsi="Palatino Linotype" w:cs="Palatino Linotype"/>
          <w:i/>
        </w:rPr>
      </w:pPr>
      <w:r>
        <w:rPr>
          <w:rFonts w:ascii="Palatino Linotype" w:eastAsia="Palatino Linotype" w:hAnsi="Palatino Linotype" w:cs="Palatino Linotype"/>
          <w:i/>
        </w:rPr>
        <w:t>“El Sujeto Obligado (municipio de Naucalpan de Juárez en el Estado de México) no me ha proporcionado la información solicitada (incompleta). Asimismo, el Sujeto Obligado, en su respuesta de fecha 22 de noviembre 2021, no respondió a todos los puntos solicitados y fue omiso al dar respuesta completa a la solicitud de información realizada por el hoy quejoso, misma que ha sido clara y precisa.” (sic)</w:t>
      </w:r>
    </w:p>
    <w:p w14:paraId="1A1C6A18" w14:textId="77777777" w:rsidR="00E318A2" w:rsidRDefault="00E318A2">
      <w:pPr>
        <w:spacing w:line="360" w:lineRule="auto"/>
        <w:ind w:right="629"/>
        <w:jc w:val="both"/>
        <w:rPr>
          <w:rFonts w:ascii="Palatino Linotype" w:eastAsia="Palatino Linotype" w:hAnsi="Palatino Linotype" w:cs="Palatino Linotype"/>
          <w:b/>
        </w:rPr>
      </w:pPr>
    </w:p>
    <w:p w14:paraId="4F1ECAE6" w14:textId="77777777" w:rsidR="00E318A2" w:rsidRDefault="00327A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6B5AAB86" w14:textId="77777777" w:rsidR="00E318A2" w:rsidRDefault="00327AA0">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“el sujeto obligado mando 1 de los 4 puntos solicitados.” (Sic)</w:t>
      </w:r>
    </w:p>
    <w:p w14:paraId="107328F2" w14:textId="77777777" w:rsidR="00E318A2" w:rsidRDefault="00E318A2">
      <w:pPr>
        <w:spacing w:line="360" w:lineRule="auto"/>
        <w:jc w:val="both"/>
        <w:rPr>
          <w:rFonts w:ascii="Palatino Linotype" w:eastAsia="Palatino Linotype" w:hAnsi="Palatino Linotype" w:cs="Palatino Linotype"/>
          <w:sz w:val="2"/>
          <w:szCs w:val="2"/>
        </w:rPr>
      </w:pPr>
    </w:p>
    <w:p w14:paraId="2CF689BB"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fecha </w:t>
      </w:r>
      <w:r>
        <w:rPr>
          <w:rFonts w:ascii="Palatino Linotype" w:eastAsia="Palatino Linotype" w:hAnsi="Palatino Linotype" w:cs="Palatino Linotype"/>
          <w:b/>
        </w:rPr>
        <w:t>veintidós de noviembre de dos mil veintiuno,</w:t>
      </w:r>
      <w:r>
        <w:rPr>
          <w:rFonts w:ascii="Palatino Linotype" w:eastAsia="Palatino Linotype" w:hAnsi="Palatino Linotype" w:cs="Palatino Linotype"/>
        </w:rPr>
        <w:t xml:space="preserve"> el presente recurso de revisión se turnó por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Comisionada</w:t>
      </w:r>
      <w:r>
        <w:rPr>
          <w:rFonts w:ascii="Palatino Linotype" w:eastAsia="Palatino Linotype" w:hAnsi="Palatino Linotype" w:cs="Palatino Linotype"/>
          <w:b/>
        </w:rPr>
        <w:t xml:space="preserve"> Guadalupe Ramírez Peña, </w:t>
      </w:r>
      <w:r>
        <w:rPr>
          <w:rFonts w:ascii="Palatino Linotype" w:eastAsia="Palatino Linotype" w:hAnsi="Palatino Linotype" w:cs="Palatino Linotype"/>
        </w:rPr>
        <w:t>a efecto de que analice sobre su admisión o su desechamiento.</w:t>
      </w:r>
    </w:p>
    <w:p w14:paraId="090E9F28" w14:textId="77777777" w:rsidR="00E318A2" w:rsidRDefault="00327A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veinticinco de noviembre de dos mil veintiuno,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presentara su informe justificado.</w:t>
      </w:r>
    </w:p>
    <w:p w14:paraId="10FC7B4E" w14:textId="77777777" w:rsidR="00E318A2" w:rsidRDefault="00327AA0">
      <w:pPr>
        <w:widowControl w:val="0"/>
        <w:spacing w:before="240" w:after="240" w:line="360" w:lineRule="auto"/>
        <w:jc w:val="both"/>
        <w:rPr>
          <w:rFonts w:ascii="Palatino Linotype" w:eastAsia="Palatino Linotype" w:hAnsi="Palatino Linotype" w:cs="Palatino Linotype"/>
          <w:b/>
          <w:highlight w:val="yellow"/>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expediente electrónico que nos ocupa, se advierte que el </w:t>
      </w:r>
      <w:r>
        <w:rPr>
          <w:rFonts w:ascii="Palatino Linotype" w:eastAsia="Palatino Linotype" w:hAnsi="Palatino Linotype" w:cs="Palatino Linotype"/>
          <w:b/>
        </w:rPr>
        <w:t>veinticinco de noviembre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informe justificado, como se muestra en la siguiente captura de pantalla, mismo que se puso a la vista del</w:t>
      </w:r>
      <w:r>
        <w:rPr>
          <w:rFonts w:ascii="Palatino Linotype" w:eastAsia="Palatino Linotype" w:hAnsi="Palatino Linotype" w:cs="Palatino Linotype"/>
          <w:b/>
        </w:rPr>
        <w:t xml:space="preserve"> RECURRENTE. </w:t>
      </w:r>
    </w:p>
    <w:p w14:paraId="41131489" w14:textId="77777777" w:rsidR="00E318A2" w:rsidRDefault="00327AA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zh-CN"/>
        </w:rPr>
        <w:drawing>
          <wp:inline distT="0" distB="0" distL="0" distR="0" wp14:anchorId="328F72D0" wp14:editId="44346ECD">
            <wp:extent cx="5612130" cy="2607945"/>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2607945"/>
                    </a:xfrm>
                    <a:prstGeom prst="rect">
                      <a:avLst/>
                    </a:prstGeom>
                    <a:ln/>
                  </pic:spPr>
                </pic:pic>
              </a:graphicData>
            </a:graphic>
          </wp:inline>
        </w:drawing>
      </w:r>
    </w:p>
    <w:p w14:paraId="1407A443" w14:textId="77777777" w:rsidR="00E318A2" w:rsidRDefault="00327AA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expresar alegato alguno y ofrecer pruebas en el plazo establecido para tal efecto.</w:t>
      </w:r>
    </w:p>
    <w:p w14:paraId="043565AD" w14:textId="77777777" w:rsidR="00E318A2" w:rsidRDefault="00327AA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veintiséis de enero de dos mil veintidós </w:t>
      </w:r>
      <w:r>
        <w:rPr>
          <w:rFonts w:ascii="Palatino Linotype" w:eastAsia="Palatino Linotype" w:hAnsi="Palatino Linotype" w:cs="Palatino Linotype"/>
        </w:rPr>
        <w:t xml:space="preserve">con fundamento en el artículo 181, párrafo tercero de la Ley de Transparencia y Acceso a la Información Pública del Estado de México y Municipios, se acordó la ampliación </w:t>
      </w:r>
      <w:r>
        <w:rPr>
          <w:rFonts w:ascii="Palatino Linotype" w:eastAsia="Palatino Linotype" w:hAnsi="Palatino Linotype" w:cs="Palatino Linotype"/>
        </w:rPr>
        <w:lastRenderedPageBreak/>
        <w:t xml:space="preserve">del plazo para la resolución del presente recurso de revisión. </w:t>
      </w:r>
    </w:p>
    <w:p w14:paraId="0F8A4E54" w14:textId="77777777" w:rsidR="00E318A2" w:rsidRDefault="00327AA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ocho de febrero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7EBB3FF" w14:textId="77777777" w:rsidR="00E318A2" w:rsidRDefault="00327AA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865226B" w14:textId="77777777" w:rsidR="00E318A2" w:rsidRPr="00EE418C" w:rsidRDefault="00327AA0">
      <w:pPr>
        <w:widowControl w:val="0"/>
        <w:spacing w:before="240" w:after="240" w:line="360" w:lineRule="auto"/>
        <w:jc w:val="center"/>
        <w:rPr>
          <w:rFonts w:ascii="Palatino Linotype" w:eastAsia="Palatino Linotype" w:hAnsi="Palatino Linotype" w:cs="Palatino Linotype"/>
          <w:b/>
          <w:lang w:val="pt-BR"/>
        </w:rPr>
      </w:pPr>
      <w:r w:rsidRPr="00EE418C">
        <w:rPr>
          <w:rFonts w:ascii="Palatino Linotype" w:eastAsia="Palatino Linotype" w:hAnsi="Palatino Linotype" w:cs="Palatino Linotype"/>
          <w:b/>
          <w:lang w:val="pt-BR"/>
        </w:rPr>
        <w:t xml:space="preserve">II. </w:t>
      </w:r>
      <w:r w:rsidRPr="00EE418C">
        <w:rPr>
          <w:rFonts w:ascii="Palatino Linotype" w:eastAsia="Palatino Linotype" w:hAnsi="Palatino Linotype" w:cs="Palatino Linotype"/>
          <w:b/>
          <w:lang w:val="pt-BR"/>
        </w:rPr>
        <w:tab/>
        <w:t>C O N S I D E R A N D O S</w:t>
      </w:r>
    </w:p>
    <w:p w14:paraId="1AE6221D"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9B771B4" w14:textId="77777777" w:rsidR="00E318A2" w:rsidRDefault="00327AA0">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D91BE96" w14:textId="77777777" w:rsidR="00E318A2" w:rsidRDefault="00327A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El recurso de revisión fue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dentro del plazo de quince días hábiles, previsto en el artículo 178 de la Ley de Transparencia y Acceso a la Información Pública del Estado de México y Municipios, toda vez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la respuesta a la solicitud de información en fecha </w:t>
      </w:r>
      <w:r>
        <w:rPr>
          <w:rFonts w:ascii="Palatino Linotype" w:eastAsia="Palatino Linotype" w:hAnsi="Palatino Linotype" w:cs="Palatino Linotype"/>
          <w:b/>
        </w:rPr>
        <w:t xml:space="preserve">veintidós de noviembre de dos mil veintiuno, </w:t>
      </w:r>
      <w:r>
        <w:rPr>
          <w:rFonts w:ascii="Palatino Linotype" w:eastAsia="Palatino Linotype" w:hAnsi="Palatino Linotype" w:cs="Palatino Linotype"/>
        </w:rPr>
        <w:t>mientras que el recurso de revisión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se tuvo por presentado el mismo día, en que tuvo conocimiento de la respuesta de la solicitud de información.</w:t>
      </w:r>
    </w:p>
    <w:p w14:paraId="3B49632C" w14:textId="77777777" w:rsidR="00E318A2" w:rsidRDefault="00327AA0">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 xml:space="preserve">En este sentido, al considerar la fecha en que se formuló la solicitud y la fecha en que respondió a ésta </w:t>
      </w:r>
      <w:r>
        <w:rPr>
          <w:rFonts w:ascii="Palatino Linotype" w:eastAsia="Palatino Linotype" w:hAnsi="Palatino Linotype" w:cs="Palatino Linotype"/>
          <w:b/>
        </w:rPr>
        <w:t>EL SUJETO OBLIGADO</w:t>
      </w:r>
      <w:r>
        <w:rPr>
          <w:rFonts w:ascii="Palatino Linotype" w:eastAsia="Palatino Linotype" w:hAnsi="Palatino Linotype" w:cs="Palatino Linotype"/>
        </w:rPr>
        <w:t>; así como la fecha en que se interpuso el recurso de revisión, se concluye que se encuentra dentro de los márgenes temporales previstos las disposiciones legales referidas.</w:t>
      </w:r>
    </w:p>
    <w:p w14:paraId="096E714B"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w:t>
      </w:r>
      <w:r>
        <w:rPr>
          <w:rFonts w:ascii="Palatino Linotype" w:eastAsia="Palatino Linotype" w:hAnsi="Palatino Linotype" w:cs="Palatino Linotype"/>
        </w:rPr>
        <w:lastRenderedPageBreak/>
        <w:t>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CFD09B5" w14:textId="77777777" w:rsidR="00E318A2" w:rsidRDefault="00327AA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14:paraId="426A5F30" w14:textId="77777777" w:rsidR="00E318A2" w:rsidRDefault="00327AA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5D286CA" w14:textId="77777777" w:rsidR="00E318A2" w:rsidRDefault="00E318A2">
      <w:pPr>
        <w:spacing w:before="120" w:after="120"/>
        <w:ind w:left="851" w:right="902"/>
        <w:jc w:val="both"/>
        <w:rPr>
          <w:rFonts w:ascii="Palatino Linotype" w:eastAsia="Palatino Linotype" w:hAnsi="Palatino Linotype" w:cs="Palatino Linotype"/>
          <w:i/>
          <w:sz w:val="22"/>
          <w:szCs w:val="22"/>
        </w:rPr>
      </w:pPr>
    </w:p>
    <w:p w14:paraId="78899865"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w:t>
      </w:r>
      <w:r>
        <w:rPr>
          <w:rFonts w:ascii="Palatino Linotype" w:eastAsia="Palatino Linotype" w:hAnsi="Palatino Linotype" w:cs="Palatino Linotype"/>
          <w:b/>
        </w:rPr>
        <w:t>SAIMEX.</w:t>
      </w:r>
    </w:p>
    <w:p w14:paraId="51A8508E"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presente recurso, según lo manifestado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14:paraId="412726C9" w14:textId="77777777" w:rsidR="00E318A2" w:rsidRDefault="00327AA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607C6A3" w14:textId="77777777" w:rsidR="00E318A2" w:rsidRDefault="00327AA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435C17FB" w14:textId="77777777" w:rsidR="00E318A2" w:rsidRDefault="00327AA0">
      <w:pPr>
        <w:ind w:left="273" w:firstLine="720"/>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14:paraId="3F10DDF0" w14:textId="77777777" w:rsidR="00E318A2" w:rsidRDefault="00327AA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o en su defecto, en caso de ser procedente, ordenar la entrega de información oportuna.</w:t>
      </w:r>
    </w:p>
    <w:p w14:paraId="051F0D4B" w14:textId="77777777" w:rsidR="00E318A2" w:rsidRDefault="00327A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Cuarto. Estudio del asunto.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34DA634" w14:textId="77777777" w:rsidR="00E318A2" w:rsidRDefault="00327AA0">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1"/>
          <w:szCs w:val="21"/>
        </w:rPr>
        <w:t>, así como de las garantías para su protección, cuyo ejercicio no podrá restringirse ni suspenderse, salvo en los casos y bajo las condiciones que esta Constitución establece.</w:t>
      </w:r>
    </w:p>
    <w:p w14:paraId="24EDD5F6" w14:textId="77777777" w:rsidR="00E318A2" w:rsidRDefault="00327AA0">
      <w:pPr>
        <w:tabs>
          <w:tab w:val="left" w:pos="709"/>
        </w:tabs>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lastRenderedPageBreak/>
        <w:t>Las normas relativas a los derechos humanos se interpretarán de conformidad con esta Constitución y con los tratados internacionales de la materia favoreciendo en todo tiempo a las personas la protección más amplia.</w:t>
      </w:r>
    </w:p>
    <w:p w14:paraId="5335F344" w14:textId="77777777" w:rsidR="00E318A2" w:rsidRDefault="00327AA0">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1"/>
          <w:szCs w:val="21"/>
        </w:rPr>
        <w:t xml:space="preserve"> En consecuencia, el Estado deberá prevenir, investigar, sancionar y reparar las violaciones a los derechos humanos, en los términos que establezca la ley</w:t>
      </w:r>
    </w:p>
    <w:p w14:paraId="57C25AAF" w14:textId="77777777" w:rsidR="00E318A2" w:rsidRDefault="00327AA0">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561DC364" w14:textId="77777777" w:rsidR="00E318A2" w:rsidRDefault="00327AA0">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14:paraId="4EDDA8AC" w14:textId="77777777" w:rsidR="00E318A2" w:rsidRDefault="00327AA0">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289CA40E"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A. Para el ejercicio del derecho de acceso a la información, la Federación y </w:t>
      </w:r>
      <w:r>
        <w:rPr>
          <w:rFonts w:ascii="Palatino Linotype" w:eastAsia="Palatino Linotype" w:hAnsi="Palatino Linotype" w:cs="Palatino Linotype"/>
          <w:b/>
          <w:i/>
          <w:sz w:val="21"/>
          <w:szCs w:val="21"/>
          <w:u w:val="single"/>
        </w:rPr>
        <w:t>las entidades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respectivas competencias, se regirán por los siguientes principios y bases:</w:t>
      </w:r>
    </w:p>
    <w:p w14:paraId="1C4E7133"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08596947"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 podrá ser reservada temporalmente por razones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2881A9"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52032B6D" w14:textId="77777777" w:rsidR="00E318A2" w:rsidRDefault="00327AA0">
      <w:pPr>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II. La información que se refiere a la vida privada y los datos personales será protegida en los términos y con las excepciones que fijen las leyes.</w:t>
      </w:r>
    </w:p>
    <w:p w14:paraId="5EA5D82D"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1B631F8D"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personales o a la rectificación de éstos.</w:t>
      </w:r>
    </w:p>
    <w:p w14:paraId="44BE1899"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4BC27E26"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Constitución.</w:t>
      </w:r>
    </w:p>
    <w:p w14:paraId="7F6E461A" w14:textId="77777777" w:rsidR="00E318A2" w:rsidRDefault="00E318A2">
      <w:pPr>
        <w:ind w:left="851" w:right="851"/>
        <w:jc w:val="both"/>
        <w:rPr>
          <w:rFonts w:ascii="Palatino Linotype" w:eastAsia="Palatino Linotype" w:hAnsi="Palatino Linotype" w:cs="Palatino Linotype"/>
          <w:i/>
          <w:sz w:val="21"/>
          <w:szCs w:val="21"/>
        </w:rPr>
      </w:pPr>
    </w:p>
    <w:p w14:paraId="44844C88"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lastRenderedPageBreak/>
        <w:t xml:space="preserve">V. </w:t>
      </w:r>
      <w:r>
        <w:rPr>
          <w:rFonts w:ascii="Palatino Linotype" w:eastAsia="Palatino Linotype" w:hAnsi="Palatino Linotype" w:cs="Palatino Linotype"/>
          <w:i/>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78C544"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0E347C9A"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entreguen a personas físicas o morales.</w:t>
      </w:r>
    </w:p>
    <w:p w14:paraId="0E9CCA95"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3014772B" w14:textId="77777777" w:rsidR="00E318A2" w:rsidRDefault="00327AA0">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La inobservancia a las disposiciones en materia de acceso a la información pública será sancionada en los términos que dispongan las leyes. [...]</w:t>
      </w:r>
    </w:p>
    <w:p w14:paraId="1C2C7993" w14:textId="77777777" w:rsidR="00E318A2" w:rsidRDefault="00E318A2">
      <w:pPr>
        <w:ind w:right="851"/>
        <w:jc w:val="both"/>
        <w:rPr>
          <w:rFonts w:ascii="Palatino Linotype" w:eastAsia="Palatino Linotype" w:hAnsi="Palatino Linotype" w:cs="Palatino Linotype"/>
          <w:i/>
          <w:sz w:val="21"/>
          <w:szCs w:val="21"/>
        </w:rPr>
      </w:pPr>
    </w:p>
    <w:p w14:paraId="7140C4C8"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CCA1854" w14:textId="77777777" w:rsidR="00E318A2" w:rsidRDefault="00327AA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014291A" w14:textId="77777777" w:rsidR="00E318A2" w:rsidRDefault="00E318A2">
      <w:pPr>
        <w:spacing w:before="240"/>
        <w:ind w:left="709" w:right="760"/>
        <w:jc w:val="both"/>
        <w:rPr>
          <w:rFonts w:ascii="Palatino Linotype" w:eastAsia="Palatino Linotype" w:hAnsi="Palatino Linotype" w:cs="Palatino Linotype"/>
          <w:i/>
          <w:sz w:val="22"/>
          <w:szCs w:val="22"/>
        </w:rPr>
      </w:pPr>
    </w:p>
    <w:p w14:paraId="3079BB70" w14:textId="77777777" w:rsidR="00E318A2" w:rsidRDefault="00327AA0">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Pr>
          <w:rFonts w:ascii="Palatino Linotype" w:eastAsia="Palatino Linotype" w:hAnsi="Palatino Linotype" w:cs="Palatino Linotype"/>
          <w:b/>
          <w:i/>
          <w:sz w:val="22"/>
          <w:szCs w:val="22"/>
        </w:rPr>
        <w:lastRenderedPageBreak/>
        <w:t>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188E3B" w14:textId="77777777" w:rsidR="00E318A2" w:rsidRDefault="00E318A2">
      <w:pPr>
        <w:ind w:left="709" w:right="760"/>
        <w:jc w:val="both"/>
        <w:rPr>
          <w:rFonts w:ascii="Palatino Linotype" w:eastAsia="Palatino Linotype" w:hAnsi="Palatino Linotype" w:cs="Palatino Linotype"/>
          <w:b/>
          <w:i/>
          <w:sz w:val="22"/>
          <w:szCs w:val="22"/>
        </w:rPr>
      </w:pPr>
    </w:p>
    <w:p w14:paraId="4E153F68" w14:textId="77777777" w:rsidR="00E318A2" w:rsidRDefault="00327AA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202E47AF" w14:textId="77777777" w:rsidR="00E318A2" w:rsidRDefault="00E318A2">
      <w:pPr>
        <w:jc w:val="both"/>
        <w:rPr>
          <w:rFonts w:ascii="Palatino Linotype" w:eastAsia="Palatino Linotype" w:hAnsi="Palatino Linotype" w:cs="Palatino Linotype"/>
        </w:rPr>
      </w:pPr>
    </w:p>
    <w:p w14:paraId="2A80C251"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8AB6AAE" w14:textId="77777777" w:rsidR="00E318A2" w:rsidRDefault="00E318A2">
      <w:pPr>
        <w:jc w:val="both"/>
        <w:rPr>
          <w:rFonts w:ascii="Palatino Linotype" w:eastAsia="Palatino Linotype" w:hAnsi="Palatino Linotype" w:cs="Palatino Linotype"/>
        </w:rPr>
      </w:pPr>
    </w:p>
    <w:p w14:paraId="5328531A" w14:textId="77777777" w:rsidR="00E318A2" w:rsidRDefault="00327AA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D08E7A2" w14:textId="77777777" w:rsidR="00E318A2" w:rsidRDefault="00E318A2">
      <w:pPr>
        <w:ind w:left="567" w:right="758"/>
        <w:jc w:val="both"/>
        <w:rPr>
          <w:rFonts w:ascii="Palatino Linotype" w:eastAsia="Palatino Linotype" w:hAnsi="Palatino Linotype" w:cs="Palatino Linotype"/>
          <w:i/>
          <w:sz w:val="22"/>
          <w:szCs w:val="22"/>
        </w:rPr>
      </w:pPr>
    </w:p>
    <w:p w14:paraId="69AB0DDC" w14:textId="77777777" w:rsidR="00E318A2" w:rsidRDefault="00327AA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23FB338" w14:textId="77777777" w:rsidR="00E318A2" w:rsidRDefault="00E318A2">
      <w:pPr>
        <w:spacing w:line="360" w:lineRule="auto"/>
        <w:jc w:val="both"/>
        <w:rPr>
          <w:rFonts w:ascii="Palatino Linotype" w:eastAsia="Palatino Linotype" w:hAnsi="Palatino Linotype" w:cs="Palatino Linotype"/>
        </w:rPr>
      </w:pPr>
    </w:p>
    <w:p w14:paraId="40CB66AD" w14:textId="77777777" w:rsidR="00E318A2" w:rsidRDefault="00327A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w:t>
      </w:r>
      <w:r>
        <w:rPr>
          <w:rFonts w:ascii="Palatino Linotype" w:eastAsia="Palatino Linotype" w:hAnsi="Palatino Linotype" w:cs="Palatino Linotype"/>
          <w:color w:val="000000"/>
        </w:rPr>
        <w:lastRenderedPageBreak/>
        <w:t xml:space="preserve">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los criterios 09/10 y 03/17 emitidos por el Instituto Nacional de Transparencia, Acceso a la Información Pública y Protección de Datos Personales, los cuales señalan lo siguiente:</w:t>
      </w:r>
    </w:p>
    <w:p w14:paraId="562ED3F0" w14:textId="77777777" w:rsidR="00E318A2" w:rsidRDefault="00327AA0">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09/10</w:t>
      </w:r>
    </w:p>
    <w:p w14:paraId="5D8576E7" w14:textId="77777777" w:rsidR="00E318A2" w:rsidRDefault="00327AA0">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"LAS DEPENDENCIAS Y ENTIDADES NO ESTÁN OBLIGADAS A GENERAR DOCUMENTOS AD HOC PARA RESPONDER UNA SOLICITUD DE ACC ESO A LA INFORMACIÓN.</w:t>
      </w:r>
    </w:p>
    <w:p w14:paraId="642F5827" w14:textId="77777777" w:rsidR="00E318A2" w:rsidRDefault="00327AA0">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755C104" w14:textId="77777777" w:rsidR="00E318A2" w:rsidRDefault="00327AA0">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03/17</w:t>
      </w:r>
    </w:p>
    <w:p w14:paraId="7FDA58B1" w14:textId="77777777" w:rsidR="00E318A2" w:rsidRDefault="00327AA0">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EXISTE OBLIGACIÓN DE ELABORAR DOCUMENTOS AD HOC PARA ATENDER LAS SOLICITUDES DE ACCESO A LA INFORMACIÓN.</w:t>
      </w:r>
    </w:p>
    <w:p w14:paraId="76897EE0" w14:textId="77777777" w:rsidR="00E318A2" w:rsidRDefault="00327AA0">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3D54BE4" w14:textId="77777777" w:rsidR="00E318A2" w:rsidRDefault="00E318A2">
      <w:pPr>
        <w:spacing w:before="120" w:after="240"/>
        <w:ind w:left="1134" w:right="902"/>
        <w:jc w:val="both"/>
        <w:rPr>
          <w:rFonts w:ascii="Palatino Linotype" w:eastAsia="Palatino Linotype" w:hAnsi="Palatino Linotype" w:cs="Palatino Linotype"/>
          <w:i/>
          <w:sz w:val="20"/>
          <w:szCs w:val="20"/>
        </w:rPr>
      </w:pPr>
    </w:p>
    <w:p w14:paraId="78CD2EAF" w14:textId="77777777" w:rsidR="00E318A2" w:rsidRDefault="00327A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w:t>
      </w:r>
      <w:r>
        <w:rPr>
          <w:rFonts w:ascii="Palatino Linotype" w:eastAsia="Palatino Linotype" w:hAnsi="Palatino Linotype" w:cs="Palatino Linotype"/>
          <w:color w:val="000000"/>
        </w:rPr>
        <w:lastRenderedPageBreak/>
        <w:t xml:space="preserve">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84ED00" w14:textId="77777777" w:rsidR="00E318A2" w:rsidRDefault="00E318A2">
      <w:pPr>
        <w:spacing w:line="360" w:lineRule="auto"/>
        <w:jc w:val="both"/>
        <w:rPr>
          <w:rFonts w:ascii="Palatino Linotype" w:eastAsia="Palatino Linotype" w:hAnsi="Palatino Linotype" w:cs="Palatino Linotype"/>
          <w:color w:val="000000"/>
        </w:rPr>
      </w:pPr>
    </w:p>
    <w:p w14:paraId="70851BE6" w14:textId="77777777" w:rsidR="00E318A2" w:rsidRDefault="00327A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D8C2CFB" w14:textId="77777777" w:rsidR="00E318A2" w:rsidRDefault="00E318A2">
      <w:pPr>
        <w:jc w:val="both"/>
        <w:rPr>
          <w:rFonts w:ascii="Palatino Linotype" w:eastAsia="Palatino Linotype" w:hAnsi="Palatino Linotype" w:cs="Palatino Linotype"/>
          <w:color w:val="000000"/>
        </w:rPr>
      </w:pPr>
    </w:p>
    <w:p w14:paraId="45A67EB6"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57EAAE" w14:textId="77777777" w:rsidR="00E318A2" w:rsidRDefault="00E318A2">
      <w:pPr>
        <w:ind w:left="1134" w:right="899"/>
        <w:jc w:val="both"/>
        <w:rPr>
          <w:rFonts w:ascii="Palatino Linotype" w:eastAsia="Palatino Linotype" w:hAnsi="Palatino Linotype" w:cs="Palatino Linotype"/>
          <w:i/>
          <w:sz w:val="22"/>
          <w:szCs w:val="22"/>
        </w:rPr>
      </w:pPr>
    </w:p>
    <w:p w14:paraId="0AD2D188" w14:textId="77777777" w:rsidR="00E318A2" w:rsidRDefault="00327AA0">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4BD0A59" w14:textId="77777777" w:rsidR="00E318A2" w:rsidRDefault="00327AA0">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7342DE28" w14:textId="77777777" w:rsidR="00E318A2" w:rsidRDefault="00327AA0">
      <w:pPr>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67519EF6" w14:textId="77777777" w:rsidR="00E318A2" w:rsidRDefault="00E318A2">
      <w:pPr>
        <w:ind w:left="851" w:right="899"/>
        <w:jc w:val="both"/>
        <w:rPr>
          <w:rFonts w:ascii="Palatino Linotype" w:eastAsia="Palatino Linotype" w:hAnsi="Palatino Linotype" w:cs="Palatino Linotype"/>
          <w:i/>
          <w:color w:val="000000"/>
          <w:sz w:val="22"/>
          <w:szCs w:val="22"/>
        </w:rPr>
      </w:pPr>
    </w:p>
    <w:p w14:paraId="414C3C14"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A996A5" w14:textId="77777777" w:rsidR="00E318A2" w:rsidRDefault="00E318A2">
      <w:pPr>
        <w:ind w:left="851" w:right="899"/>
        <w:jc w:val="both"/>
        <w:rPr>
          <w:rFonts w:ascii="Palatino Linotype" w:eastAsia="Palatino Linotype" w:hAnsi="Palatino Linotype" w:cs="Palatino Linotype"/>
        </w:rPr>
      </w:pPr>
    </w:p>
    <w:p w14:paraId="19050771" w14:textId="77777777" w:rsidR="00E318A2" w:rsidRDefault="00327AA0">
      <w:pPr>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0FB492C" w14:textId="77777777" w:rsidR="00E318A2" w:rsidRDefault="00327AA0">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33315FE" w14:textId="77777777" w:rsidR="00E318A2" w:rsidRDefault="00E318A2">
      <w:pPr>
        <w:ind w:left="1134" w:right="899"/>
        <w:jc w:val="both"/>
        <w:rPr>
          <w:rFonts w:ascii="Palatino Linotype" w:eastAsia="Palatino Linotype" w:hAnsi="Palatino Linotype" w:cs="Palatino Linotype"/>
          <w:i/>
          <w:sz w:val="22"/>
          <w:szCs w:val="22"/>
        </w:rPr>
      </w:pPr>
    </w:p>
    <w:p w14:paraId="09DF989A" w14:textId="77777777" w:rsidR="00E318A2" w:rsidRDefault="00327AA0">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1EE1200" w14:textId="77777777" w:rsidR="00E318A2" w:rsidRDefault="00E318A2">
      <w:pPr>
        <w:ind w:left="1134" w:right="899"/>
        <w:jc w:val="both"/>
        <w:rPr>
          <w:rFonts w:ascii="Palatino Linotype" w:eastAsia="Palatino Linotype" w:hAnsi="Palatino Linotype" w:cs="Palatino Linotype"/>
          <w:i/>
          <w:sz w:val="22"/>
          <w:szCs w:val="22"/>
        </w:rPr>
      </w:pPr>
    </w:p>
    <w:p w14:paraId="053583D6" w14:textId="77777777" w:rsidR="00E318A2" w:rsidRDefault="00327AA0">
      <w:pPr>
        <w:numPr>
          <w:ilvl w:val="0"/>
          <w:numId w:val="9"/>
        </w:numPr>
        <w:pBdr>
          <w:top w:val="nil"/>
          <w:left w:val="nil"/>
          <w:bottom w:val="nil"/>
          <w:right w:val="nil"/>
          <w:between w:val="nil"/>
        </w:pBdr>
        <w:ind w:right="89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sea generada por los Sujetos Obligados;</w:t>
      </w:r>
    </w:p>
    <w:p w14:paraId="710F698D" w14:textId="77777777" w:rsidR="00E318A2" w:rsidRDefault="00E318A2">
      <w:pPr>
        <w:pBdr>
          <w:top w:val="nil"/>
          <w:left w:val="nil"/>
          <w:bottom w:val="nil"/>
          <w:right w:val="nil"/>
          <w:between w:val="nil"/>
        </w:pBdr>
        <w:ind w:left="1494" w:right="899"/>
        <w:jc w:val="both"/>
        <w:rPr>
          <w:rFonts w:ascii="Palatino Linotype" w:eastAsia="Palatino Linotype" w:hAnsi="Palatino Linotype" w:cs="Palatino Linotype"/>
          <w:b/>
          <w:i/>
          <w:color w:val="000000"/>
          <w:sz w:val="22"/>
          <w:szCs w:val="22"/>
        </w:rPr>
      </w:pPr>
    </w:p>
    <w:p w14:paraId="77514AFE" w14:textId="77777777" w:rsidR="00E318A2" w:rsidRDefault="00327AA0">
      <w:pPr>
        <w:numPr>
          <w:ilvl w:val="0"/>
          <w:numId w:val="9"/>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administrada por los Sujetos Obligados, y</w:t>
      </w:r>
    </w:p>
    <w:p w14:paraId="04B6ED62" w14:textId="77777777" w:rsidR="00E318A2" w:rsidRDefault="00E318A2">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78BD8CDC" w14:textId="77777777" w:rsidR="00E318A2" w:rsidRDefault="00E318A2">
      <w:pPr>
        <w:pBdr>
          <w:top w:val="nil"/>
          <w:left w:val="nil"/>
          <w:bottom w:val="nil"/>
          <w:right w:val="nil"/>
          <w:between w:val="nil"/>
        </w:pBdr>
        <w:ind w:left="1494" w:right="899"/>
        <w:jc w:val="both"/>
        <w:rPr>
          <w:rFonts w:ascii="Palatino Linotype" w:eastAsia="Palatino Linotype" w:hAnsi="Palatino Linotype" w:cs="Palatino Linotype"/>
          <w:i/>
          <w:color w:val="000000"/>
          <w:sz w:val="22"/>
          <w:szCs w:val="22"/>
        </w:rPr>
      </w:pPr>
    </w:p>
    <w:p w14:paraId="1AD1BFF9" w14:textId="77777777" w:rsidR="00E318A2" w:rsidRDefault="00327AA0">
      <w:pPr>
        <w:ind w:left="1418"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7BBE643B" w14:textId="77777777" w:rsidR="00E318A2" w:rsidRDefault="00E318A2">
      <w:pPr>
        <w:ind w:left="1134" w:right="1041"/>
        <w:jc w:val="both"/>
        <w:rPr>
          <w:rFonts w:ascii="Palatino Linotype" w:eastAsia="Palatino Linotype" w:hAnsi="Palatino Linotype" w:cs="Palatino Linotype"/>
          <w:sz w:val="22"/>
          <w:szCs w:val="22"/>
        </w:rPr>
      </w:pPr>
    </w:p>
    <w:p w14:paraId="52183527" w14:textId="77777777" w:rsidR="00E318A2" w:rsidRDefault="00327AA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05BBED9E" w14:textId="77777777" w:rsidR="00E318A2" w:rsidRDefault="00327AA0">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con la finalidad de ilustrar el asunto que se resuelve en la presente resolución, resulta conveniente precisar la solicitud de información y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verificar la procedencia o improcedencia de las razones o motivos de inconformidad expuestos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w:t>
      </w:r>
    </w:p>
    <w:tbl>
      <w:tblPr>
        <w:tblStyle w:val="af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2160"/>
        <w:gridCol w:w="2160"/>
        <w:gridCol w:w="1980"/>
        <w:gridCol w:w="1294"/>
      </w:tblGrid>
      <w:tr w:rsidR="00E318A2" w14:paraId="2AD35852" w14:textId="77777777">
        <w:tc>
          <w:tcPr>
            <w:tcW w:w="1615" w:type="dxa"/>
            <w:shd w:val="clear" w:color="auto" w:fill="BFBFBF"/>
          </w:tcPr>
          <w:p w14:paraId="15976EB6" w14:textId="77777777" w:rsidR="00E318A2" w:rsidRDefault="00327AA0">
            <w:pPr>
              <w:tabs>
                <w:tab w:val="left" w:pos="426"/>
              </w:tabs>
              <w:spacing w:before="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Solicitud</w:t>
            </w:r>
          </w:p>
        </w:tc>
        <w:tc>
          <w:tcPr>
            <w:tcW w:w="2160" w:type="dxa"/>
            <w:shd w:val="clear" w:color="auto" w:fill="BFBFBF"/>
          </w:tcPr>
          <w:p w14:paraId="6D7F0B50" w14:textId="77777777" w:rsidR="00E318A2" w:rsidRDefault="00327AA0">
            <w:pPr>
              <w:tabs>
                <w:tab w:val="left" w:pos="426"/>
              </w:tabs>
              <w:spacing w:before="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Respuesta</w:t>
            </w:r>
          </w:p>
        </w:tc>
        <w:tc>
          <w:tcPr>
            <w:tcW w:w="2160" w:type="dxa"/>
            <w:shd w:val="clear" w:color="auto" w:fill="BFBFBF"/>
          </w:tcPr>
          <w:p w14:paraId="3DE1FC0A" w14:textId="77777777" w:rsidR="00E318A2" w:rsidRDefault="00327AA0">
            <w:pPr>
              <w:tabs>
                <w:tab w:val="left" w:pos="426"/>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Acto Impugnado y Razones o motivos de Inconformidad</w:t>
            </w:r>
          </w:p>
        </w:tc>
        <w:tc>
          <w:tcPr>
            <w:tcW w:w="1980" w:type="dxa"/>
            <w:shd w:val="clear" w:color="auto" w:fill="BFBFBF"/>
          </w:tcPr>
          <w:p w14:paraId="218EEEC4" w14:textId="77777777" w:rsidR="00E318A2" w:rsidRDefault="00327AA0">
            <w:pPr>
              <w:tabs>
                <w:tab w:val="left" w:pos="426"/>
              </w:tabs>
              <w:spacing w:before="1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Informe Justificado</w:t>
            </w:r>
          </w:p>
        </w:tc>
        <w:tc>
          <w:tcPr>
            <w:tcW w:w="1294" w:type="dxa"/>
            <w:shd w:val="clear" w:color="auto" w:fill="BFBFBF"/>
          </w:tcPr>
          <w:p w14:paraId="036A9499" w14:textId="77777777" w:rsidR="00E318A2" w:rsidRDefault="00327AA0">
            <w:pPr>
              <w:tabs>
                <w:tab w:val="left" w:pos="426"/>
              </w:tabs>
              <w:spacing w:before="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Colma</w:t>
            </w:r>
          </w:p>
        </w:tc>
      </w:tr>
      <w:tr w:rsidR="00E318A2" w14:paraId="53A2756E" w14:textId="77777777">
        <w:tc>
          <w:tcPr>
            <w:tcW w:w="1615" w:type="dxa"/>
          </w:tcPr>
          <w:p w14:paraId="08F0181C" w14:textId="77777777" w:rsidR="00E318A2" w:rsidRDefault="00327AA0">
            <w:pPr>
              <w:numPr>
                <w:ilvl w:val="0"/>
                <w:numId w:val="5"/>
              </w:numPr>
              <w:pBdr>
                <w:top w:val="nil"/>
                <w:left w:val="nil"/>
                <w:bottom w:val="nil"/>
                <w:right w:val="nil"/>
                <w:between w:val="nil"/>
              </w:pBdr>
              <w:spacing w:after="160" w:line="259" w:lineRule="auto"/>
              <w:ind w:left="6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“Copia del </w:t>
            </w:r>
            <w:r>
              <w:rPr>
                <w:rFonts w:ascii="Palatino Linotype" w:eastAsia="Palatino Linotype" w:hAnsi="Palatino Linotype" w:cs="Palatino Linotype"/>
                <w:b/>
                <w:i/>
                <w:color w:val="000000"/>
                <w:sz w:val="22"/>
                <w:szCs w:val="22"/>
              </w:rPr>
              <w:t>convenio para el cobro del Derecho de Alumbrado Público “DAP” que celebraron el municipio y la Comisión Federal De Electricidad (</w:t>
            </w:r>
            <w:r>
              <w:rPr>
                <w:rFonts w:ascii="Palatino Linotype" w:eastAsia="Palatino Linotype" w:hAnsi="Palatino Linotype" w:cs="Palatino Linotype"/>
                <w:i/>
                <w:color w:val="000000"/>
                <w:sz w:val="22"/>
                <w:szCs w:val="22"/>
              </w:rPr>
              <w:t>CFE); el más reciente.</w:t>
            </w:r>
          </w:p>
        </w:tc>
        <w:tc>
          <w:tcPr>
            <w:tcW w:w="2160" w:type="dxa"/>
          </w:tcPr>
          <w:p w14:paraId="7DD9A73C" w14:textId="77777777" w:rsidR="00E318A2" w:rsidRDefault="00327AA0">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Sujeto Obligado  a través de la Dirección General de Administración, adjunta </w:t>
            </w:r>
            <w:r>
              <w:rPr>
                <w:rFonts w:ascii="Palatino Linotype" w:eastAsia="Palatino Linotype" w:hAnsi="Palatino Linotype" w:cs="Palatino Linotype"/>
                <w:b/>
                <w:i/>
                <w:color w:val="000000"/>
                <w:sz w:val="22"/>
                <w:szCs w:val="22"/>
              </w:rPr>
              <w:t>el Contrato de Colaboración entre el Municipio de Naucalpan de Juárez y Comisión Federal de Electricidad 2020 -2021,</w:t>
            </w:r>
            <w:r>
              <w:rPr>
                <w:rFonts w:ascii="Palatino Linotype" w:eastAsia="Palatino Linotype" w:hAnsi="Palatino Linotype" w:cs="Palatino Linotype"/>
                <w:color w:val="000000"/>
                <w:sz w:val="22"/>
                <w:szCs w:val="22"/>
              </w:rPr>
              <w:t xml:space="preserve"> el cual se establecen términos y condiciones a los que se sujetará la recaudación del derecho por concepto de alumbrado público “DAP”</w:t>
            </w:r>
          </w:p>
        </w:tc>
        <w:tc>
          <w:tcPr>
            <w:tcW w:w="2160" w:type="dxa"/>
            <w:vMerge w:val="restart"/>
          </w:tcPr>
          <w:p w14:paraId="21F1AA6D" w14:textId="77777777" w:rsidR="00E318A2" w:rsidRDefault="00E318A2">
            <w:pPr>
              <w:jc w:val="both"/>
              <w:rPr>
                <w:rFonts w:ascii="Palatino Linotype" w:eastAsia="Palatino Linotype" w:hAnsi="Palatino Linotype" w:cs="Palatino Linotype"/>
                <w:i/>
                <w:sz w:val="22"/>
                <w:szCs w:val="22"/>
              </w:rPr>
            </w:pPr>
          </w:p>
          <w:p w14:paraId="4F23D45D" w14:textId="77777777" w:rsidR="00E318A2" w:rsidRDefault="00E318A2">
            <w:pPr>
              <w:jc w:val="both"/>
              <w:rPr>
                <w:rFonts w:ascii="Palatino Linotype" w:eastAsia="Palatino Linotype" w:hAnsi="Palatino Linotype" w:cs="Palatino Linotype"/>
                <w:i/>
                <w:sz w:val="22"/>
                <w:szCs w:val="22"/>
              </w:rPr>
            </w:pPr>
          </w:p>
          <w:p w14:paraId="2C96D98A" w14:textId="77777777" w:rsidR="00E318A2" w:rsidRDefault="00327AA0">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Sujeto Obligado (municipio de Naucalpan de Juárez en el Estado de México) no me ha proporcionado la información solicitada (incompleta). Asimismo, el Sujeto Obligado, en su respuesta de fecha 22 de noviembre 2021, </w:t>
            </w:r>
            <w:r>
              <w:rPr>
                <w:rFonts w:ascii="Palatino Linotype" w:eastAsia="Palatino Linotype" w:hAnsi="Palatino Linotype" w:cs="Palatino Linotype"/>
                <w:b/>
                <w:i/>
                <w:sz w:val="22"/>
                <w:szCs w:val="22"/>
              </w:rPr>
              <w:t>no respondió a todos los puntos solicitados y fue omiso al dar respuesta completa a la solicitud de información realizada por el hoy quejoso</w:t>
            </w:r>
            <w:r>
              <w:rPr>
                <w:rFonts w:ascii="Palatino Linotype" w:eastAsia="Palatino Linotype" w:hAnsi="Palatino Linotype" w:cs="Palatino Linotype"/>
                <w:i/>
                <w:sz w:val="22"/>
                <w:szCs w:val="22"/>
              </w:rPr>
              <w:t>, misma que ha sido clara y precisa.” (sic)</w:t>
            </w:r>
          </w:p>
          <w:p w14:paraId="3224503C" w14:textId="77777777" w:rsidR="00E318A2" w:rsidRDefault="00E318A2">
            <w:pPr>
              <w:jc w:val="both"/>
              <w:rPr>
                <w:rFonts w:ascii="Palatino Linotype" w:eastAsia="Palatino Linotype" w:hAnsi="Palatino Linotype" w:cs="Palatino Linotype"/>
                <w:b/>
                <w:sz w:val="22"/>
                <w:szCs w:val="22"/>
              </w:rPr>
            </w:pPr>
          </w:p>
          <w:p w14:paraId="3626E41D" w14:textId="77777777" w:rsidR="00E318A2" w:rsidRDefault="00327AA0">
            <w:pPr>
              <w:ind w:right="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sujeto obligado mando 1 de los 4 puntos solicitados</w:t>
            </w:r>
            <w:r>
              <w:rPr>
                <w:rFonts w:ascii="Palatino Linotype" w:eastAsia="Palatino Linotype" w:hAnsi="Palatino Linotype" w:cs="Palatino Linotype"/>
                <w:i/>
                <w:sz w:val="22"/>
                <w:szCs w:val="22"/>
              </w:rPr>
              <w:t>.” (Sic)</w:t>
            </w:r>
          </w:p>
          <w:p w14:paraId="0D0A0FF8" w14:textId="77777777" w:rsidR="00E318A2" w:rsidRDefault="00E318A2">
            <w:pPr>
              <w:tabs>
                <w:tab w:val="left" w:pos="426"/>
              </w:tabs>
              <w:spacing w:before="240" w:line="360" w:lineRule="auto"/>
              <w:jc w:val="center"/>
              <w:rPr>
                <w:rFonts w:ascii="Palatino Linotype" w:eastAsia="Palatino Linotype" w:hAnsi="Palatino Linotype" w:cs="Palatino Linotype"/>
                <w:color w:val="000000"/>
                <w:sz w:val="22"/>
                <w:szCs w:val="22"/>
              </w:rPr>
            </w:pPr>
          </w:p>
        </w:tc>
        <w:tc>
          <w:tcPr>
            <w:tcW w:w="1980" w:type="dxa"/>
          </w:tcPr>
          <w:p w14:paraId="561351FE" w14:textId="77777777" w:rsidR="00E318A2" w:rsidRDefault="00327AA0">
            <w:pPr>
              <w:tabs>
                <w:tab w:val="left" w:pos="426"/>
              </w:tabs>
              <w:spacing w:before="240"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Confirma respuesta</w:t>
            </w:r>
          </w:p>
        </w:tc>
        <w:tc>
          <w:tcPr>
            <w:tcW w:w="1294" w:type="dxa"/>
          </w:tcPr>
          <w:p w14:paraId="3E3D6041" w14:textId="77777777" w:rsidR="00E318A2" w:rsidRDefault="00327AA0">
            <w:pPr>
              <w:tabs>
                <w:tab w:val="left" w:pos="426"/>
              </w:tabs>
              <w:spacing w:before="240"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Sí</w:t>
            </w:r>
          </w:p>
        </w:tc>
      </w:tr>
      <w:tr w:rsidR="00E318A2" w14:paraId="5BD2AE67" w14:textId="77777777">
        <w:tc>
          <w:tcPr>
            <w:tcW w:w="1615" w:type="dxa"/>
          </w:tcPr>
          <w:p w14:paraId="1A7FD24F" w14:textId="77777777" w:rsidR="00E318A2" w:rsidRDefault="00327AA0">
            <w:pPr>
              <w:numPr>
                <w:ilvl w:val="0"/>
                <w:numId w:val="5"/>
              </w:numPr>
              <w:pBdr>
                <w:top w:val="nil"/>
                <w:left w:val="nil"/>
                <w:bottom w:val="nil"/>
                <w:right w:val="nil"/>
                <w:between w:val="nil"/>
              </w:pBdr>
              <w:spacing w:after="160" w:line="259" w:lineRule="auto"/>
              <w:ind w:left="0" w:firstLine="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 solicita Copia del </w:t>
            </w:r>
            <w:r>
              <w:rPr>
                <w:rFonts w:ascii="Palatino Linotype" w:eastAsia="Palatino Linotype" w:hAnsi="Palatino Linotype" w:cs="Palatino Linotype"/>
                <w:b/>
                <w:i/>
                <w:color w:val="000000"/>
                <w:sz w:val="22"/>
                <w:szCs w:val="22"/>
              </w:rPr>
              <w:t xml:space="preserve">convenio de colaboración por el que se establecen los términos y condiciones para la recaudación y aplicación del Derecho por concepto de </w:t>
            </w:r>
            <w:r>
              <w:rPr>
                <w:rFonts w:ascii="Palatino Linotype" w:eastAsia="Palatino Linotype" w:hAnsi="Palatino Linotype" w:cs="Palatino Linotype"/>
                <w:b/>
                <w:i/>
                <w:color w:val="000000"/>
                <w:sz w:val="22"/>
                <w:szCs w:val="22"/>
              </w:rPr>
              <w:lastRenderedPageBreak/>
              <w:t xml:space="preserve">Alumbrado Público (DAP) </w:t>
            </w:r>
            <w:r>
              <w:rPr>
                <w:rFonts w:ascii="Palatino Linotype" w:eastAsia="Palatino Linotype" w:hAnsi="Palatino Linotype" w:cs="Palatino Linotype"/>
                <w:i/>
                <w:color w:val="000000"/>
                <w:sz w:val="22"/>
                <w:szCs w:val="22"/>
              </w:rPr>
              <w:t>Firmado entre CFE y el municipio (el más reciente).</w:t>
            </w:r>
          </w:p>
        </w:tc>
        <w:tc>
          <w:tcPr>
            <w:tcW w:w="2160" w:type="dxa"/>
          </w:tcPr>
          <w:p w14:paraId="34B3CFE8" w14:textId="77777777" w:rsidR="00E318A2" w:rsidRDefault="00327AA0">
            <w:pP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El Sujeto Obligado  a través de la Dirección General de Administración, Servicios Públicos y Tesorería Municipal señala que es la única información con que cuenta.</w:t>
            </w:r>
          </w:p>
        </w:tc>
        <w:tc>
          <w:tcPr>
            <w:tcW w:w="2160" w:type="dxa"/>
            <w:vMerge/>
          </w:tcPr>
          <w:p w14:paraId="713BBB63" w14:textId="77777777" w:rsidR="00E318A2" w:rsidRDefault="00E318A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Pr>
          <w:p w14:paraId="1B90C971" w14:textId="77777777" w:rsidR="00E318A2" w:rsidRDefault="00327AA0">
            <w:pPr>
              <w:tabs>
                <w:tab w:val="left" w:pos="426"/>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Confirma respuesta</w:t>
            </w:r>
          </w:p>
        </w:tc>
        <w:tc>
          <w:tcPr>
            <w:tcW w:w="1294" w:type="dxa"/>
          </w:tcPr>
          <w:p w14:paraId="1C8CACED" w14:textId="77777777" w:rsidR="00E318A2" w:rsidRDefault="00327AA0">
            <w:pPr>
              <w:tabs>
                <w:tab w:val="left" w:pos="426"/>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w:t>
            </w:r>
          </w:p>
        </w:tc>
      </w:tr>
      <w:tr w:rsidR="00E318A2" w14:paraId="181536F2" w14:textId="77777777">
        <w:tc>
          <w:tcPr>
            <w:tcW w:w="1615" w:type="dxa"/>
          </w:tcPr>
          <w:p w14:paraId="3C798900" w14:textId="77777777" w:rsidR="00E318A2" w:rsidRDefault="00327AA0">
            <w:pPr>
              <w:numPr>
                <w:ilvl w:val="0"/>
                <w:numId w:val="5"/>
              </w:numPr>
              <w:pBdr>
                <w:top w:val="nil"/>
                <w:left w:val="nil"/>
                <w:bottom w:val="nil"/>
                <w:right w:val="nil"/>
                <w:between w:val="nil"/>
              </w:pBdr>
              <w:spacing w:after="160" w:line="259" w:lineRule="auto"/>
              <w:ind w:left="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Cualquier otro documento relacionado con el Derecho de Alumbrado Público, firmado por CFE y el municipio.</w:t>
            </w:r>
          </w:p>
        </w:tc>
        <w:tc>
          <w:tcPr>
            <w:tcW w:w="2160" w:type="dxa"/>
          </w:tcPr>
          <w:p w14:paraId="1D8987D7" w14:textId="77777777" w:rsidR="00E318A2" w:rsidRDefault="00327AA0">
            <w:pPr>
              <w:tabs>
                <w:tab w:val="left" w:pos="426"/>
              </w:tabs>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Sujeto Obligado  a través de la Dirección General de Administración, Servicios Públicos y Tesorería Municipal señala que es la única información con que cuenta.</w:t>
            </w:r>
          </w:p>
        </w:tc>
        <w:tc>
          <w:tcPr>
            <w:tcW w:w="2160" w:type="dxa"/>
          </w:tcPr>
          <w:p w14:paraId="402CF77B" w14:textId="77777777" w:rsidR="00E318A2" w:rsidRDefault="00E318A2">
            <w:pPr>
              <w:tabs>
                <w:tab w:val="left" w:pos="426"/>
              </w:tabs>
              <w:spacing w:before="240" w:line="360" w:lineRule="auto"/>
              <w:jc w:val="center"/>
              <w:rPr>
                <w:rFonts w:ascii="Palatino Linotype" w:eastAsia="Palatino Linotype" w:hAnsi="Palatino Linotype" w:cs="Palatino Linotype"/>
                <w:color w:val="000000"/>
                <w:sz w:val="22"/>
                <w:szCs w:val="22"/>
              </w:rPr>
            </w:pPr>
          </w:p>
        </w:tc>
        <w:tc>
          <w:tcPr>
            <w:tcW w:w="1980" w:type="dxa"/>
          </w:tcPr>
          <w:p w14:paraId="181F0240" w14:textId="77777777" w:rsidR="00E318A2" w:rsidRDefault="00327AA0">
            <w:pPr>
              <w:tabs>
                <w:tab w:val="left" w:pos="426"/>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Confirma Respuesta</w:t>
            </w:r>
          </w:p>
        </w:tc>
        <w:tc>
          <w:tcPr>
            <w:tcW w:w="1294" w:type="dxa"/>
          </w:tcPr>
          <w:p w14:paraId="78A61F8C" w14:textId="77777777" w:rsidR="00E318A2" w:rsidRDefault="00327AA0">
            <w:pPr>
              <w:tabs>
                <w:tab w:val="left" w:pos="426"/>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No</w:t>
            </w:r>
          </w:p>
        </w:tc>
      </w:tr>
      <w:tr w:rsidR="00E318A2" w14:paraId="6EC8CF65" w14:textId="77777777">
        <w:tc>
          <w:tcPr>
            <w:tcW w:w="1615" w:type="dxa"/>
          </w:tcPr>
          <w:p w14:paraId="00E9A9C6" w14:textId="77777777" w:rsidR="00E318A2" w:rsidRDefault="00327AA0">
            <w:pPr>
              <w:widowControl w:val="0"/>
              <w:numPr>
                <w:ilvl w:val="0"/>
                <w:numId w:val="5"/>
              </w:numPr>
              <w:pBdr>
                <w:top w:val="nil"/>
                <w:left w:val="nil"/>
                <w:bottom w:val="nil"/>
                <w:right w:val="nil"/>
                <w:between w:val="nil"/>
              </w:pBdr>
              <w:tabs>
                <w:tab w:val="left" w:pos="810"/>
              </w:tabs>
              <w:ind w:left="60" w:right="115" w:hanging="3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 solicita el </w:t>
            </w:r>
            <w:r>
              <w:rPr>
                <w:rFonts w:ascii="Palatino Linotype" w:eastAsia="Palatino Linotype" w:hAnsi="Palatino Linotype" w:cs="Palatino Linotype"/>
                <w:b/>
                <w:i/>
                <w:color w:val="000000"/>
                <w:sz w:val="22"/>
                <w:szCs w:val="22"/>
              </w:rPr>
              <w:t>censo de alumbrado público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con el que se factura en La Comisión Federal de Electricida; </w:t>
            </w:r>
            <w:r>
              <w:rPr>
                <w:rFonts w:ascii="Palatino Linotype" w:eastAsia="Palatino Linotype" w:hAnsi="Palatino Linotype" w:cs="Palatino Linotype"/>
                <w:i/>
                <w:color w:val="000000"/>
                <w:sz w:val="22"/>
                <w:szCs w:val="22"/>
              </w:rPr>
              <w:t xml:space="preserve">el más reciente con la siguiente </w:t>
            </w:r>
            <w:r>
              <w:rPr>
                <w:rFonts w:ascii="Palatino Linotype" w:eastAsia="Palatino Linotype" w:hAnsi="Palatino Linotype" w:cs="Palatino Linotype"/>
                <w:i/>
                <w:color w:val="000000"/>
                <w:sz w:val="22"/>
                <w:szCs w:val="22"/>
              </w:rPr>
              <w:lastRenderedPageBreak/>
              <w:t>información:</w:t>
            </w:r>
          </w:p>
          <w:p w14:paraId="1F22CBD3" w14:textId="77777777" w:rsidR="00E318A2" w:rsidRDefault="00E318A2">
            <w:pPr>
              <w:widowControl w:val="0"/>
              <w:pBdr>
                <w:top w:val="nil"/>
                <w:left w:val="nil"/>
                <w:bottom w:val="nil"/>
                <w:right w:val="nil"/>
                <w:between w:val="nil"/>
              </w:pBdr>
              <w:tabs>
                <w:tab w:val="left" w:pos="810"/>
              </w:tabs>
              <w:ind w:left="60" w:right="115"/>
              <w:jc w:val="both"/>
              <w:rPr>
                <w:rFonts w:ascii="Palatino Linotype" w:eastAsia="Palatino Linotype" w:hAnsi="Palatino Linotype" w:cs="Palatino Linotype"/>
                <w:i/>
                <w:color w:val="000000"/>
                <w:sz w:val="22"/>
                <w:szCs w:val="22"/>
              </w:rPr>
            </w:pPr>
          </w:p>
          <w:p w14:paraId="14F22EA7" w14:textId="77777777" w:rsidR="00E318A2" w:rsidRDefault="00327AA0">
            <w:pPr>
              <w:widowControl w:val="0"/>
              <w:pBdr>
                <w:top w:val="nil"/>
                <w:left w:val="nil"/>
                <w:bottom w:val="nil"/>
                <w:right w:val="nil"/>
                <w:between w:val="nil"/>
              </w:pBdr>
              <w:tabs>
                <w:tab w:val="left" w:pos="1518"/>
              </w:tabs>
              <w:ind w:right="11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Cantidad de luminarias y balastros, el tipo de equipos, la capacidad (</w:t>
            </w:r>
            <w:r>
              <w:rPr>
                <w:rFonts w:ascii="Palatino Linotype" w:eastAsia="Palatino Linotype" w:hAnsi="Palatino Linotype" w:cs="Palatino Linotype"/>
                <w:b/>
                <w:i/>
                <w:color w:val="000000"/>
                <w:sz w:val="22"/>
                <w:szCs w:val="22"/>
              </w:rPr>
              <w:t>potencia</w:t>
            </w:r>
            <w:r>
              <w:rPr>
                <w:rFonts w:ascii="Palatino Linotype" w:eastAsia="Palatino Linotype" w:hAnsi="Palatino Linotype" w:cs="Palatino Linotype"/>
                <w:i/>
                <w:color w:val="000000"/>
                <w:sz w:val="22"/>
                <w:szCs w:val="22"/>
              </w:rPr>
              <w:t xml:space="preserve">), </w:t>
            </w:r>
          </w:p>
          <w:p w14:paraId="29F48935" w14:textId="77777777" w:rsidR="00E318A2" w:rsidRDefault="00327AA0">
            <w:pPr>
              <w:numPr>
                <w:ilvl w:val="1"/>
                <w:numId w:val="5"/>
              </w:numPr>
              <w:pBdr>
                <w:top w:val="nil"/>
                <w:left w:val="nil"/>
                <w:bottom w:val="nil"/>
                <w:right w:val="nil"/>
                <w:between w:val="nil"/>
              </w:pBdr>
              <w:spacing w:after="160" w:line="259" w:lineRule="auto"/>
              <w:ind w:left="60" w:hanging="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cantidad de luminarias y balastros instalados, el tipo de equipos y su capacidad (</w:t>
            </w:r>
            <w:r>
              <w:rPr>
                <w:rFonts w:ascii="Palatino Linotype" w:eastAsia="Palatino Linotype" w:hAnsi="Palatino Linotype" w:cs="Palatino Linotype"/>
                <w:b/>
                <w:i/>
                <w:color w:val="000000"/>
                <w:sz w:val="22"/>
                <w:szCs w:val="22"/>
              </w:rPr>
              <w:t>potencia</w:t>
            </w:r>
            <w:r>
              <w:rPr>
                <w:rFonts w:ascii="Palatino Linotype" w:eastAsia="Palatino Linotype" w:hAnsi="Palatino Linotype" w:cs="Palatino Linotype"/>
                <w:i/>
                <w:color w:val="000000"/>
                <w:sz w:val="22"/>
                <w:szCs w:val="22"/>
              </w:rPr>
              <w:t>) instalados que poseen equipo de medición.” (sic)</w:t>
            </w:r>
          </w:p>
        </w:tc>
        <w:tc>
          <w:tcPr>
            <w:tcW w:w="2160" w:type="dxa"/>
          </w:tcPr>
          <w:p w14:paraId="254091DB" w14:textId="77777777" w:rsidR="00E318A2" w:rsidRDefault="00327AA0">
            <w:pPr>
              <w:tabs>
                <w:tab w:val="left" w:pos="426"/>
              </w:tabs>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No da respuesta, solo señala que es la única información con que cuenta.</w:t>
            </w:r>
          </w:p>
        </w:tc>
        <w:tc>
          <w:tcPr>
            <w:tcW w:w="2160" w:type="dxa"/>
          </w:tcPr>
          <w:p w14:paraId="3928475A" w14:textId="77777777" w:rsidR="00E318A2" w:rsidRDefault="00E318A2">
            <w:pPr>
              <w:tabs>
                <w:tab w:val="left" w:pos="426"/>
              </w:tabs>
              <w:spacing w:before="240" w:line="360" w:lineRule="auto"/>
              <w:jc w:val="center"/>
              <w:rPr>
                <w:rFonts w:ascii="Palatino Linotype" w:eastAsia="Palatino Linotype" w:hAnsi="Palatino Linotype" w:cs="Palatino Linotype"/>
                <w:color w:val="000000"/>
                <w:sz w:val="22"/>
                <w:szCs w:val="22"/>
              </w:rPr>
            </w:pPr>
          </w:p>
        </w:tc>
        <w:tc>
          <w:tcPr>
            <w:tcW w:w="1980" w:type="dxa"/>
          </w:tcPr>
          <w:p w14:paraId="59462026" w14:textId="77777777" w:rsidR="00E318A2" w:rsidRDefault="00327AA0">
            <w:pPr>
              <w:tabs>
                <w:tab w:val="left" w:pos="426"/>
              </w:tabs>
              <w:spacing w:before="24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La Secretaría de Servicios Públicos informa que remite censo de alumbrado público, sin embargo no agrega la información referida.</w:t>
            </w:r>
          </w:p>
        </w:tc>
        <w:tc>
          <w:tcPr>
            <w:tcW w:w="1294" w:type="dxa"/>
          </w:tcPr>
          <w:p w14:paraId="724C28DE" w14:textId="77777777" w:rsidR="00E318A2" w:rsidRDefault="00327AA0">
            <w:pPr>
              <w:tabs>
                <w:tab w:val="left" w:pos="426"/>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No</w:t>
            </w:r>
          </w:p>
        </w:tc>
      </w:tr>
    </w:tbl>
    <w:p w14:paraId="28C9548C" w14:textId="77777777" w:rsidR="00E318A2" w:rsidRDefault="00E318A2">
      <w:pPr>
        <w:spacing w:line="360" w:lineRule="auto"/>
        <w:jc w:val="both"/>
        <w:rPr>
          <w:rFonts w:ascii="Palatino Linotype" w:eastAsia="Palatino Linotype" w:hAnsi="Palatino Linotype" w:cs="Palatino Linotype"/>
        </w:rPr>
      </w:pPr>
    </w:p>
    <w:p w14:paraId="4EBD4644"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este respecto, es importante hacer mención que en el informe justificado, se aprecian las respuestas de las Direcciones Generales de Administración y de Servicios Públicos, así como Tesorería Municipal, quienes manifiestan lo siguiente:</w:t>
      </w:r>
    </w:p>
    <w:p w14:paraId="4E3D7C83" w14:textId="77777777" w:rsidR="00E318A2" w:rsidRDefault="00327AA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2A8B9520" wp14:editId="47E4C09F">
            <wp:extent cx="5527716" cy="3520112"/>
            <wp:effectExtent l="0" t="0" r="0" b="0"/>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16742"/>
                    <a:stretch>
                      <a:fillRect/>
                    </a:stretch>
                  </pic:blipFill>
                  <pic:spPr>
                    <a:xfrm>
                      <a:off x="0" y="0"/>
                      <a:ext cx="5527716" cy="3520112"/>
                    </a:xfrm>
                    <a:prstGeom prst="rect">
                      <a:avLst/>
                    </a:prstGeom>
                    <a:ln/>
                  </pic:spPr>
                </pic:pic>
              </a:graphicData>
            </a:graphic>
          </wp:inline>
        </w:drawing>
      </w:r>
      <w:r>
        <w:rPr>
          <w:noProof/>
          <w:lang w:eastAsia="zh-CN"/>
        </w:rPr>
        <mc:AlternateContent>
          <mc:Choice Requires="wpg">
            <w:drawing>
              <wp:anchor distT="0" distB="0" distL="114300" distR="114300" simplePos="0" relativeHeight="251658240" behindDoc="0" locked="0" layoutInCell="1" hidden="0" allowOverlap="1" wp14:anchorId="2DBE5EFE" wp14:editId="7B4EF7D5">
                <wp:simplePos x="0" y="0"/>
                <wp:positionH relativeFrom="column">
                  <wp:posOffset>1</wp:posOffset>
                </wp:positionH>
                <wp:positionV relativeFrom="paragraph">
                  <wp:posOffset>2895600</wp:posOffset>
                </wp:positionV>
                <wp:extent cx="5514975" cy="602615"/>
                <wp:effectExtent l="0" t="0" r="0" b="0"/>
                <wp:wrapNone/>
                <wp:docPr id="104" name="Rectángulo 104"/>
                <wp:cNvGraphicFramePr/>
                <a:graphic xmlns:a="http://schemas.openxmlformats.org/drawingml/2006/main">
                  <a:graphicData uri="http://schemas.microsoft.com/office/word/2010/wordprocessingShape">
                    <wps:wsp>
                      <wps:cNvSpPr/>
                      <wps:spPr>
                        <a:xfrm>
                          <a:off x="2602800" y="3492980"/>
                          <a:ext cx="5486400" cy="574040"/>
                        </a:xfrm>
                        <a:prstGeom prst="rect">
                          <a:avLst/>
                        </a:prstGeom>
                        <a:noFill/>
                        <a:ln w="9525" cap="flat" cmpd="sng">
                          <a:solidFill>
                            <a:srgbClr val="4A7DBA"/>
                          </a:solidFill>
                          <a:prstDash val="solid"/>
                          <a:round/>
                          <a:headEnd type="none" w="sm" len="sm"/>
                          <a:tailEnd type="none" w="sm" len="sm"/>
                        </a:ln>
                      </wps:spPr>
                      <wps:txbx>
                        <w:txbxContent>
                          <w:p w14:paraId="30A0C44A" w14:textId="77777777" w:rsidR="00E318A2" w:rsidRDefault="00E318A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2895600</wp:posOffset>
                </wp:positionV>
                <wp:extent cx="5514975" cy="602615"/>
                <wp:effectExtent b="0" l="0" r="0" t="0"/>
                <wp:wrapNone/>
                <wp:docPr id="104"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514975" cy="602615"/>
                        </a:xfrm>
                        <a:prstGeom prst="rect"/>
                        <a:ln/>
                      </pic:spPr>
                    </pic:pic>
                  </a:graphicData>
                </a:graphic>
              </wp:anchor>
            </w:drawing>
          </mc:Fallback>
        </mc:AlternateContent>
      </w:r>
      <w:r>
        <w:rPr>
          <w:noProof/>
          <w:lang w:eastAsia="zh-CN"/>
        </w:rPr>
        <mc:AlternateContent>
          <mc:Choice Requires="wpg">
            <w:drawing>
              <wp:anchor distT="0" distB="0" distL="114300" distR="114300" simplePos="0" relativeHeight="251659264" behindDoc="0" locked="0" layoutInCell="1" hidden="0" allowOverlap="1" wp14:anchorId="1F86A41C" wp14:editId="0B529839">
                <wp:simplePos x="0" y="0"/>
                <wp:positionH relativeFrom="column">
                  <wp:posOffset>203200</wp:posOffset>
                </wp:positionH>
                <wp:positionV relativeFrom="paragraph">
                  <wp:posOffset>3835400</wp:posOffset>
                </wp:positionV>
                <wp:extent cx="5308600" cy="3022600"/>
                <wp:effectExtent l="0" t="0" r="0" b="0"/>
                <wp:wrapNone/>
                <wp:docPr id="103" name="Conector recto de flecha 103"/>
                <wp:cNvGraphicFramePr/>
                <a:graphic xmlns:a="http://schemas.openxmlformats.org/drawingml/2006/main">
                  <a:graphicData uri="http://schemas.microsoft.com/office/word/2010/wordprocessingShape">
                    <wps:wsp>
                      <wps:cNvCnPr/>
                      <wps:spPr>
                        <a:xfrm>
                          <a:off x="2717100" y="2294100"/>
                          <a:ext cx="5257800" cy="297180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203200</wp:posOffset>
                </wp:positionH>
                <wp:positionV relativeFrom="paragraph">
                  <wp:posOffset>3835400</wp:posOffset>
                </wp:positionV>
                <wp:extent cx="5308600" cy="3022600"/>
                <wp:effectExtent b="0" l="0" r="0" t="0"/>
                <wp:wrapNone/>
                <wp:docPr id="10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5308600" cy="3022600"/>
                        </a:xfrm>
                        <a:prstGeom prst="rect"/>
                        <a:ln/>
                      </pic:spPr>
                    </pic:pic>
                  </a:graphicData>
                </a:graphic>
              </wp:anchor>
            </w:drawing>
          </mc:Fallback>
        </mc:AlternateContent>
      </w:r>
    </w:p>
    <w:p w14:paraId="27DE9751"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7AA67235" wp14:editId="5E786199">
            <wp:extent cx="5721343" cy="5930439"/>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21343" cy="5930439"/>
                    </a:xfrm>
                    <a:prstGeom prst="rect">
                      <a:avLst/>
                    </a:prstGeom>
                    <a:ln/>
                  </pic:spPr>
                </pic:pic>
              </a:graphicData>
            </a:graphic>
          </wp:inline>
        </w:drawing>
      </w:r>
      <w:r>
        <w:rPr>
          <w:noProof/>
          <w:lang w:eastAsia="zh-CN"/>
        </w:rPr>
        <mc:AlternateContent>
          <mc:Choice Requires="wpg">
            <w:drawing>
              <wp:anchor distT="0" distB="0" distL="114300" distR="114300" simplePos="0" relativeHeight="251660288" behindDoc="0" locked="0" layoutInCell="1" hidden="0" allowOverlap="1" wp14:anchorId="4B451EA5" wp14:editId="35B587A5">
                <wp:simplePos x="0" y="0"/>
                <wp:positionH relativeFrom="column">
                  <wp:posOffset>-114299</wp:posOffset>
                </wp:positionH>
                <wp:positionV relativeFrom="paragraph">
                  <wp:posOffset>3708400</wp:posOffset>
                </wp:positionV>
                <wp:extent cx="5972810" cy="2202815"/>
                <wp:effectExtent l="0" t="0" r="0" b="0"/>
                <wp:wrapNone/>
                <wp:docPr id="106" name="Rectángulo 106"/>
                <wp:cNvGraphicFramePr/>
                <a:graphic xmlns:a="http://schemas.openxmlformats.org/drawingml/2006/main">
                  <a:graphicData uri="http://schemas.microsoft.com/office/word/2010/wordprocessingShape">
                    <wps:wsp>
                      <wps:cNvSpPr/>
                      <wps:spPr>
                        <a:xfrm>
                          <a:off x="2373883" y="2692880"/>
                          <a:ext cx="5944235" cy="2174240"/>
                        </a:xfrm>
                        <a:prstGeom prst="rect">
                          <a:avLst/>
                        </a:prstGeom>
                        <a:noFill/>
                        <a:ln w="9525" cap="flat" cmpd="sng">
                          <a:solidFill>
                            <a:srgbClr val="4A7DBA"/>
                          </a:solidFill>
                          <a:prstDash val="solid"/>
                          <a:round/>
                          <a:headEnd type="none" w="sm" len="sm"/>
                          <a:tailEnd type="none" w="sm" len="sm"/>
                        </a:ln>
                      </wps:spPr>
                      <wps:txbx>
                        <w:txbxContent>
                          <w:p w14:paraId="196BD5C6" w14:textId="77777777" w:rsidR="00E318A2" w:rsidRDefault="00E318A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-114299</wp:posOffset>
                </wp:positionH>
                <wp:positionV relativeFrom="paragraph">
                  <wp:posOffset>3708400</wp:posOffset>
                </wp:positionV>
                <wp:extent cx="5972810" cy="2202815"/>
                <wp:effectExtent b="0" l="0" r="0" t="0"/>
                <wp:wrapNone/>
                <wp:docPr id="106"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972810" cy="2202815"/>
                        </a:xfrm>
                        <a:prstGeom prst="rect"/>
                        <a:ln/>
                      </pic:spPr>
                    </pic:pic>
                  </a:graphicData>
                </a:graphic>
              </wp:anchor>
            </w:drawing>
          </mc:Fallback>
        </mc:AlternateContent>
      </w:r>
    </w:p>
    <w:p w14:paraId="215FBD38" w14:textId="77777777" w:rsidR="00E318A2" w:rsidRDefault="00327AA0">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La Secretaría de Servicios Públicos hace referencia a que en atención al numeral 4, </w:t>
      </w:r>
      <w:r>
        <w:rPr>
          <w:rFonts w:ascii="Palatino Linotype" w:eastAsia="Palatino Linotype" w:hAnsi="Palatino Linotype" w:cs="Palatino Linotype"/>
          <w:b/>
        </w:rPr>
        <w:t xml:space="preserve">hace entrega del censo localizado en los archivos físicos y electrónicos con los que se cuenta, </w:t>
      </w:r>
      <w:r>
        <w:rPr>
          <w:rFonts w:ascii="Palatino Linotype" w:eastAsia="Palatino Linotype" w:hAnsi="Palatino Linotype" w:cs="Palatino Linotype"/>
        </w:rPr>
        <w:t xml:space="preserve">sin embargo, dicha información no fue remitida. </w:t>
      </w:r>
    </w:p>
    <w:p w14:paraId="70EAC90F" w14:textId="77777777" w:rsidR="00E318A2" w:rsidRDefault="00E318A2">
      <w:pPr>
        <w:spacing w:line="360" w:lineRule="auto"/>
        <w:jc w:val="both"/>
        <w:rPr>
          <w:rFonts w:ascii="Palatino Linotype" w:eastAsia="Palatino Linotype" w:hAnsi="Palatino Linotype" w:cs="Palatino Linotype"/>
        </w:rPr>
      </w:pPr>
    </w:p>
    <w:p w14:paraId="7A303BBB"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la Tesorería Municipal, no encontró registro de la información solicitada: </w:t>
      </w:r>
    </w:p>
    <w:p w14:paraId="27707BBB"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zh-CN"/>
        </w:rPr>
        <w:drawing>
          <wp:inline distT="0" distB="0" distL="0" distR="0" wp14:anchorId="10218768" wp14:editId="715458AD">
            <wp:extent cx="5834259" cy="5574166"/>
            <wp:effectExtent l="0" t="0" r="0" b="0"/>
            <wp:docPr id="1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834259" cy="5574166"/>
                    </a:xfrm>
                    <a:prstGeom prst="rect">
                      <a:avLst/>
                    </a:prstGeom>
                    <a:ln/>
                  </pic:spPr>
                </pic:pic>
              </a:graphicData>
            </a:graphic>
          </wp:inline>
        </w:drawing>
      </w:r>
      <w:r>
        <w:rPr>
          <w:noProof/>
          <w:lang w:eastAsia="zh-CN"/>
        </w:rPr>
        <mc:AlternateContent>
          <mc:Choice Requires="wpg">
            <w:drawing>
              <wp:anchor distT="0" distB="0" distL="114300" distR="114300" simplePos="0" relativeHeight="251661312" behindDoc="0" locked="0" layoutInCell="1" hidden="0" allowOverlap="1" wp14:anchorId="4BDAD205" wp14:editId="24B7D652">
                <wp:simplePos x="0" y="0"/>
                <wp:positionH relativeFrom="column">
                  <wp:posOffset>114300</wp:posOffset>
                </wp:positionH>
                <wp:positionV relativeFrom="paragraph">
                  <wp:posOffset>3619500</wp:posOffset>
                </wp:positionV>
                <wp:extent cx="5629910" cy="1859915"/>
                <wp:effectExtent l="0" t="0" r="0" b="0"/>
                <wp:wrapNone/>
                <wp:docPr id="105" name="Rectángulo 105"/>
                <wp:cNvGraphicFramePr/>
                <a:graphic xmlns:a="http://schemas.openxmlformats.org/drawingml/2006/main">
                  <a:graphicData uri="http://schemas.microsoft.com/office/word/2010/wordprocessingShape">
                    <wps:wsp>
                      <wps:cNvSpPr/>
                      <wps:spPr>
                        <a:xfrm>
                          <a:off x="2545333" y="2864330"/>
                          <a:ext cx="5601335" cy="1831340"/>
                        </a:xfrm>
                        <a:prstGeom prst="rect">
                          <a:avLst/>
                        </a:prstGeom>
                        <a:noFill/>
                        <a:ln w="9525" cap="flat" cmpd="sng">
                          <a:solidFill>
                            <a:srgbClr val="4A7DBA"/>
                          </a:solidFill>
                          <a:prstDash val="solid"/>
                          <a:round/>
                          <a:headEnd type="none" w="sm" len="sm"/>
                          <a:tailEnd type="none" w="sm" len="sm"/>
                        </a:ln>
                      </wps:spPr>
                      <wps:txbx>
                        <w:txbxContent>
                          <w:p w14:paraId="40890753" w14:textId="77777777" w:rsidR="00E318A2" w:rsidRDefault="00E318A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3619500</wp:posOffset>
                </wp:positionV>
                <wp:extent cx="5629910" cy="1859915"/>
                <wp:effectExtent b="0" l="0" r="0" t="0"/>
                <wp:wrapNone/>
                <wp:docPr id="105"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629910" cy="1859915"/>
                        </a:xfrm>
                        <a:prstGeom prst="rect"/>
                        <a:ln/>
                      </pic:spPr>
                    </pic:pic>
                  </a:graphicData>
                </a:graphic>
              </wp:anchor>
            </w:drawing>
          </mc:Fallback>
        </mc:AlternateContent>
      </w:r>
    </w:p>
    <w:p w14:paraId="21478615" w14:textId="77777777" w:rsidR="00E318A2" w:rsidRDefault="00E318A2">
      <w:pPr>
        <w:spacing w:line="360" w:lineRule="auto"/>
        <w:jc w:val="both"/>
        <w:rPr>
          <w:rFonts w:ascii="Palatino Linotype" w:eastAsia="Palatino Linotype" w:hAnsi="Palatino Linotype" w:cs="Palatino Linotype"/>
        </w:rPr>
      </w:pPr>
    </w:p>
    <w:p w14:paraId="4FEFA29A" w14:textId="77777777" w:rsidR="00E318A2" w:rsidRDefault="00E318A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14:paraId="373DD905" w14:textId="77777777" w:rsidR="00E318A2" w:rsidRDefault="00327AA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FFFF"/>
          <w:sz w:val="18"/>
          <w:szCs w:val="18"/>
        </w:rPr>
      </w:pPr>
      <w:r>
        <w:rPr>
          <w:rFonts w:ascii="Palatino Linotype" w:eastAsia="Palatino Linotype" w:hAnsi="Palatino Linotype" w:cs="Palatino Linotype"/>
          <w:color w:val="000000"/>
        </w:rPr>
        <w:lastRenderedPageBreak/>
        <w:t xml:space="preserve">Como se advierte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entregó sólo una parte de la información solicitada, esto es el </w:t>
      </w:r>
      <w:r>
        <w:rPr>
          <w:rFonts w:ascii="Palatino Linotype" w:eastAsia="Palatino Linotype" w:hAnsi="Palatino Linotype" w:cs="Palatino Linotype"/>
          <w:b/>
          <w:i/>
          <w:color w:val="000000"/>
        </w:rPr>
        <w:t>Contrato de Colaboración por el que establecen los términos y condiciones a los que se sujetará la recaudación del derecho por concepto de alumbrado público, en lo sucesivo se denominará DAP y su aplicación que celebran por una parte el Municipio de Naucalpan de Juárez y por otra parte la CFE (Comisión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i/>
          <w:color w:val="000000"/>
        </w:rPr>
        <w:t>Federal de Electricidad) CONTRATO DAP_DL_70 2020 -2021,</w:t>
      </w:r>
      <w:r>
        <w:rPr>
          <w:rFonts w:ascii="Palatino Linotype" w:eastAsia="Palatino Linotype" w:hAnsi="Palatino Linotype" w:cs="Palatino Linotype"/>
          <w:color w:val="000000"/>
        </w:rPr>
        <w:t xml:space="preserve"> en este sentido, es de resaltar que si bien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lo cierto es que no expresó razón o motivo de inconformidad en contra de la respuesta emitida relacionada con el Contrato de colaboración antes referido;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por consiguiente, el requerimiento en comento que se relaciona con el cuestionamiento identificado con el numeral 1.</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rPr>
        <w:t xml:space="preserve">Copia del </w:t>
      </w:r>
      <w:r>
        <w:rPr>
          <w:rFonts w:ascii="Palatino Linotype" w:eastAsia="Palatino Linotype" w:hAnsi="Palatino Linotype" w:cs="Palatino Linotype"/>
          <w:b/>
          <w:i/>
          <w:color w:val="000000"/>
        </w:rPr>
        <w:t>convenio para el cobro del Derecho de Alumbrado Público “DAP” que celebraron el municipio y la Comisión Federal De Electricidad (</w:t>
      </w:r>
      <w:r>
        <w:rPr>
          <w:rFonts w:ascii="Palatino Linotype" w:eastAsia="Palatino Linotype" w:hAnsi="Palatino Linotype" w:cs="Palatino Linotype"/>
          <w:i/>
          <w:color w:val="000000"/>
        </w:rPr>
        <w:t>CFE); el más reciente</w:t>
      </w:r>
      <w:r>
        <w:rPr>
          <w:rFonts w:ascii="Palatino Linotype" w:eastAsia="Palatino Linotype" w:hAnsi="Palatino Linotype" w:cs="Palatino Linotype"/>
          <w:color w:val="000000"/>
        </w:rPr>
        <w:t>, debe declararse atendido, ya que se entiende que el particular está conforme con la información entregada al no contravenirla, manifestando que era el único respondido. </w:t>
      </w:r>
    </w:p>
    <w:p w14:paraId="5ABB5DF2" w14:textId="77777777" w:rsidR="00E318A2" w:rsidRDefault="00327AA0">
      <w:pPr>
        <w:pBdr>
          <w:top w:val="nil"/>
          <w:left w:val="nil"/>
          <w:bottom w:val="nil"/>
          <w:right w:val="nil"/>
          <w:between w:val="nil"/>
        </w:pBdr>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la respuesta relativa al rubros identificado con el numeral 1, queda intocada, ya que se advierte que se dan por satisfechos los requerimientos de información, quedando firme ante la falta de impugnación en específico, pues se entiende que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ésta conforme con la información al no contravenir la misma.</w:t>
      </w:r>
    </w:p>
    <w:p w14:paraId="610FF18B" w14:textId="77777777" w:rsidR="00E318A2" w:rsidRDefault="00327AA0">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Sirve de sustento por analogía la tesis jurisprudencial número VI.3o.C. J/60, publicada en el Semanario Judicial de la Federación y su Gaceta bajo el número de registro 176,608 que a la letra dice:</w:t>
      </w:r>
    </w:p>
    <w:p w14:paraId="3BB2392A" w14:textId="77777777" w:rsidR="00E318A2" w:rsidRDefault="00327AA0">
      <w:pPr>
        <w:pBdr>
          <w:top w:val="nil"/>
          <w:left w:val="nil"/>
          <w:bottom w:val="nil"/>
          <w:right w:val="nil"/>
          <w:between w:val="nil"/>
        </w:pBdr>
        <w:ind w:left="851" w:right="902"/>
        <w:jc w:val="both"/>
        <w:rPr>
          <w:rFonts w:ascii="Helvetica Neue" w:eastAsia="Helvetica Neue" w:hAnsi="Helvetica Neue" w:cs="Helvetica Neue"/>
          <w:color w:val="FFFFFF"/>
          <w:sz w:val="18"/>
          <w:szCs w:val="18"/>
        </w:rPr>
      </w:pPr>
      <w:r>
        <w:rPr>
          <w:rFonts w:ascii="Palatino Linotype" w:eastAsia="Palatino Linotype" w:hAnsi="Palatino Linotype" w:cs="Palatino Linotype"/>
          <w:b/>
          <w:i/>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w:t>
      </w:r>
      <w:r>
        <w:rPr>
          <w:rFonts w:ascii="Helvetica Neue" w:eastAsia="Helvetica Neue" w:hAnsi="Helvetica Neue" w:cs="Helvetica Neue"/>
          <w:color w:val="FFFFFF"/>
          <w:sz w:val="18"/>
          <w:szCs w:val="18"/>
        </w:rPr>
        <w:t xml:space="preserve"> </w:t>
      </w:r>
      <w:r>
        <w:rPr>
          <w:rFonts w:ascii="Palatino Linotype" w:eastAsia="Palatino Linotype" w:hAnsi="Palatino Linotype" w:cs="Palatino Linotype"/>
          <w:i/>
          <w:color w:val="000000"/>
          <w:sz w:val="22"/>
          <w:szCs w:val="22"/>
        </w:rPr>
        <w:t>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F47C7AA" w14:textId="77777777" w:rsidR="00E318A2" w:rsidRDefault="00327AA0">
      <w:pPr>
        <w:pBdr>
          <w:top w:val="nil"/>
          <w:left w:val="nil"/>
          <w:bottom w:val="nil"/>
          <w:right w:val="nil"/>
          <w:between w:val="nil"/>
        </w:pBdr>
        <w:spacing w:before="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expresó razón o motivo de inconformidad en contra de todos los rubros solicitados; por lo que, debe declararse atendido pues se entiende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está conforme con la información al no contravenir la misma.</w:t>
      </w:r>
    </w:p>
    <w:p w14:paraId="3FC3A292" w14:textId="77777777" w:rsidR="00E318A2" w:rsidRDefault="00327AA0">
      <w:pPr>
        <w:pBdr>
          <w:top w:val="nil"/>
          <w:left w:val="nil"/>
          <w:bottom w:val="nil"/>
          <w:right w:val="nil"/>
          <w:between w:val="nil"/>
        </w:pBdr>
        <w:spacing w:before="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Consecuentemente, la parte de la respuesta que no fue impugnada debe declararse consentida, toda vez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realizó manifestaciones de inconformidad; por lo que, no pueden producirse efectos jurídicos tendentes a revocar, confirmar o modificar el acto reclamado, ya que se infiere su consentimiento ante la falta de impugnación eficaz.</w:t>
      </w:r>
    </w:p>
    <w:p w14:paraId="4F407E66" w14:textId="77777777" w:rsidR="00E318A2" w:rsidRDefault="00E318A2">
      <w:pPr>
        <w:pBdr>
          <w:top w:val="nil"/>
          <w:left w:val="nil"/>
          <w:bottom w:val="nil"/>
          <w:right w:val="nil"/>
          <w:between w:val="nil"/>
        </w:pBdr>
        <w:spacing w:line="360" w:lineRule="auto"/>
        <w:ind w:right="49"/>
        <w:jc w:val="both"/>
        <w:rPr>
          <w:rFonts w:ascii="Helvetica Neue" w:eastAsia="Helvetica Neue" w:hAnsi="Helvetica Neue" w:cs="Helvetica Neue"/>
          <w:color w:val="FFFFFF"/>
          <w:sz w:val="18"/>
          <w:szCs w:val="18"/>
        </w:rPr>
      </w:pPr>
    </w:p>
    <w:p w14:paraId="783DF434" w14:textId="77777777" w:rsidR="00E318A2" w:rsidRDefault="00327AA0">
      <w:pPr>
        <w:pBdr>
          <w:top w:val="nil"/>
          <w:left w:val="nil"/>
          <w:bottom w:val="nil"/>
          <w:right w:val="nil"/>
          <w:between w:val="nil"/>
        </w:pBdr>
        <w:spacing w:after="280" w:line="360" w:lineRule="auto"/>
        <w:ind w:right="49"/>
        <w:jc w:val="both"/>
        <w:rPr>
          <w:rFonts w:ascii="Helvetica Neue" w:eastAsia="Helvetica Neue" w:hAnsi="Helvetica Neue" w:cs="Helvetica Neue"/>
          <w:color w:val="FFFFFF"/>
          <w:sz w:val="18"/>
          <w:szCs w:val="18"/>
        </w:rPr>
      </w:pPr>
      <w:r>
        <w:rPr>
          <w:rFonts w:ascii="Palatino Linotype" w:eastAsia="Palatino Linotype" w:hAnsi="Palatino Linotype" w:cs="Palatino Linotype"/>
          <w:color w:val="000000"/>
        </w:rPr>
        <w:t>Sirve como apoyo a lo anterior, por analogía, la Tesis Jurisprudencial Número 3ª./J.7/91, Publicada en el Semanario Judicial de la Federación y su Gaceta bajo el número de registro 174,177, que establece lo siguiente:</w:t>
      </w:r>
    </w:p>
    <w:p w14:paraId="7BCE7755" w14:textId="77777777" w:rsidR="00E318A2" w:rsidRDefault="00327AA0">
      <w:pPr>
        <w:ind w:left="1080" w:right="918"/>
        <w:jc w:val="both"/>
      </w:pPr>
      <w:r>
        <w:rPr>
          <w:rFonts w:ascii="Palatino Linotype" w:eastAsia="Palatino Linotype" w:hAnsi="Palatino Linotype" w:cs="Palatino Linotype"/>
          <w:b/>
          <w:i/>
          <w:color w:val="000000"/>
          <w:sz w:val="22"/>
          <w:szCs w:val="22"/>
        </w:rPr>
        <w:lastRenderedPageBreak/>
        <w:t xml:space="preserve">“REVISIÓN EN AMPARO. LOS RESOLUTIVOS NO COMBATIDOS DEBEN DECLARARSE FIRMES. </w:t>
      </w:r>
      <w:r>
        <w:rPr>
          <w:rFonts w:ascii="Palatino Linotype" w:eastAsia="Palatino Linotype" w:hAnsi="Palatino Linotype" w:cs="Palatino Linotype"/>
          <w:i/>
          <w:color w:val="000000"/>
          <w:sz w:val="22"/>
          <w:szCs w:val="22"/>
        </w:rPr>
        <w:t xml:space="preserve">Cuando algún resolutivo de la sentencia impugnada afecta a la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 deben declararse firmes aquéllos en contra de los cuales no se formuló agravio y dicha declaración de firmeza debe reflejarse en la parte considerativa y en los resolutivos debe confirmarse la sentencia recurrida en la parte correspondiente.”</w:t>
      </w:r>
    </w:p>
    <w:p w14:paraId="3AC4EF3E" w14:textId="77777777" w:rsidR="00E318A2" w:rsidRDefault="00E318A2">
      <w:pPr>
        <w:spacing w:line="360" w:lineRule="auto"/>
        <w:jc w:val="both"/>
        <w:rPr>
          <w:rFonts w:ascii="Palatino Linotype" w:eastAsia="Palatino Linotype" w:hAnsi="Palatino Linotype" w:cs="Palatino Linotype"/>
          <w:color w:val="000000"/>
          <w:highlight w:val="yellow"/>
        </w:rPr>
      </w:pPr>
    </w:p>
    <w:p w14:paraId="301ADEA3" w14:textId="77777777" w:rsidR="00E318A2" w:rsidRDefault="00327A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antes expuesto, este Instituto procede a analizar el ámbito competencial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generar, administrar y poseer la información, tal como fue solicitada por el particular.</w:t>
      </w:r>
    </w:p>
    <w:p w14:paraId="11DBE723" w14:textId="77777777" w:rsidR="00E318A2" w:rsidRDefault="00E318A2">
      <w:pPr>
        <w:spacing w:line="360" w:lineRule="auto"/>
        <w:jc w:val="both"/>
        <w:rPr>
          <w:rFonts w:ascii="Palatino Linotype" w:eastAsia="Palatino Linotype" w:hAnsi="Palatino Linotype" w:cs="Palatino Linotype"/>
          <w:color w:val="000000"/>
        </w:rPr>
      </w:pPr>
    </w:p>
    <w:p w14:paraId="3C3EEDFA" w14:textId="77777777" w:rsidR="00E318A2" w:rsidRDefault="00327AA0">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principio, cabe recordar que la solicitud materia de la presente Resolución, versa sobre el servicio de alumbrado público; por lo que, resulta necesario traer a colación, el artículo 115, fracción III, inciso b), de la Constitución Política de los Estados Unidos Mexicanos, establece que los Municipios tendrán a su cargo, diversas funciones y servicios públicos, entre los que se encuentra el de alumbrado público.</w:t>
      </w:r>
    </w:p>
    <w:p w14:paraId="553C5581" w14:textId="77777777" w:rsidR="00E318A2" w:rsidRDefault="00E318A2">
      <w:pPr>
        <w:tabs>
          <w:tab w:val="left" w:pos="4962"/>
        </w:tabs>
        <w:spacing w:line="360" w:lineRule="auto"/>
        <w:rPr>
          <w:rFonts w:ascii="Palatino Linotype" w:eastAsia="Palatino Linotype" w:hAnsi="Palatino Linotype" w:cs="Palatino Linotype"/>
          <w:color w:val="000000"/>
        </w:rPr>
      </w:pPr>
    </w:p>
    <w:p w14:paraId="06A90CDC" w14:textId="77777777" w:rsidR="00E318A2" w:rsidRDefault="00327AA0">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1E5F02FB" w14:textId="77777777" w:rsidR="00E318A2" w:rsidRDefault="00E318A2">
      <w:pPr>
        <w:tabs>
          <w:tab w:val="left" w:pos="4962"/>
        </w:tabs>
        <w:spacing w:line="360" w:lineRule="auto"/>
        <w:jc w:val="both"/>
        <w:rPr>
          <w:rFonts w:ascii="Palatino Linotype" w:eastAsia="Palatino Linotype" w:hAnsi="Palatino Linotype" w:cs="Palatino Linotype"/>
          <w:color w:val="000000"/>
        </w:rPr>
      </w:pPr>
    </w:p>
    <w:p w14:paraId="3E020D5B" w14:textId="77777777" w:rsidR="00E318A2" w:rsidRDefault="00327AA0">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Además, los artículos 125, fracción II y 126 de la Ley Orgánica Municipal del Estado de México,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6FC74268" w14:textId="77777777" w:rsidR="00E318A2" w:rsidRDefault="00E318A2">
      <w:pPr>
        <w:tabs>
          <w:tab w:val="left" w:pos="4962"/>
        </w:tabs>
        <w:spacing w:line="360" w:lineRule="auto"/>
        <w:jc w:val="both"/>
        <w:rPr>
          <w:rFonts w:ascii="Palatino Linotype" w:eastAsia="Palatino Linotype" w:hAnsi="Palatino Linotype" w:cs="Palatino Linotype"/>
          <w:color w:val="000000"/>
        </w:rPr>
      </w:pPr>
    </w:p>
    <w:p w14:paraId="4A4B94A1" w14:textId="77777777" w:rsidR="00E318A2" w:rsidRDefault="00327AA0">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orden de ideas, el Bando Municipal de 2019- 2021, de Naucalpan de Juárez, establece lo siguiente:</w:t>
      </w:r>
    </w:p>
    <w:p w14:paraId="5091C046" w14:textId="77777777" w:rsidR="00E318A2" w:rsidRDefault="00E318A2">
      <w:pPr>
        <w:tabs>
          <w:tab w:val="left" w:pos="4962"/>
        </w:tabs>
        <w:spacing w:line="360" w:lineRule="auto"/>
      </w:pPr>
    </w:p>
    <w:p w14:paraId="028A2AD4" w14:textId="77777777" w:rsidR="00E318A2" w:rsidRDefault="00327AA0">
      <w:pPr>
        <w:ind w:left="709" w:right="900"/>
        <w:jc w:val="both"/>
        <w:rPr>
          <w:rFonts w:ascii="Palatino Linotype" w:eastAsia="Palatino Linotype" w:hAnsi="Palatino Linotype" w:cs="Palatino Linotype"/>
          <w:i/>
          <w:sz w:val="22"/>
          <w:szCs w:val="22"/>
        </w:rPr>
      </w:pPr>
      <w:r>
        <w:rPr>
          <w:b/>
          <w:i/>
          <w:sz w:val="22"/>
          <w:szCs w:val="22"/>
        </w:rPr>
        <w:t>“</w:t>
      </w:r>
      <w:r>
        <w:rPr>
          <w:rFonts w:ascii="Palatino Linotype" w:eastAsia="Palatino Linotype" w:hAnsi="Palatino Linotype" w:cs="Palatino Linotype"/>
          <w:b/>
          <w:i/>
          <w:sz w:val="22"/>
          <w:szCs w:val="22"/>
        </w:rPr>
        <w:t>Artículo 43.</w:t>
      </w:r>
      <w:r>
        <w:rPr>
          <w:rFonts w:ascii="Palatino Linotype" w:eastAsia="Palatino Linotype" w:hAnsi="Palatino Linotype" w:cs="Palatino Linotype"/>
          <w:i/>
          <w:sz w:val="22"/>
          <w:szCs w:val="22"/>
        </w:rPr>
        <w:t xml:space="preserve"> El Ayuntamiento tiene a su cargo la prestación, explotación, administración, funcionamiento, conservación, mantenimiento y uso de los servicios públicos municipales, considerándose enunciativa y más no limitativamente, los siguientes: </w:t>
      </w:r>
    </w:p>
    <w:p w14:paraId="0999C1FD" w14:textId="77777777" w:rsidR="00E318A2" w:rsidRDefault="00327AA0">
      <w:pPr>
        <w:pBdr>
          <w:top w:val="nil"/>
          <w:left w:val="nil"/>
          <w:bottom w:val="nil"/>
          <w:right w:val="nil"/>
          <w:between w:val="nil"/>
        </w:pBdr>
        <w:ind w:left="709"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AB3B883" w14:textId="77777777" w:rsidR="00E318A2" w:rsidRDefault="00327AA0">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II. </w:t>
      </w:r>
      <w:r>
        <w:rPr>
          <w:rFonts w:ascii="Palatino Linotype" w:eastAsia="Palatino Linotype" w:hAnsi="Palatino Linotype" w:cs="Palatino Linotype"/>
          <w:b/>
          <w:i/>
          <w:sz w:val="22"/>
          <w:szCs w:val="22"/>
        </w:rPr>
        <w:t>Alumbrado público;</w:t>
      </w:r>
    </w:p>
    <w:p w14:paraId="0BBA73DE" w14:textId="77777777" w:rsidR="00E318A2" w:rsidRDefault="00E318A2">
      <w:pPr>
        <w:tabs>
          <w:tab w:val="left" w:pos="4962"/>
        </w:tabs>
        <w:spacing w:line="360" w:lineRule="auto"/>
        <w:ind w:left="709" w:right="900"/>
        <w:jc w:val="both"/>
        <w:rPr>
          <w:rFonts w:ascii="Palatino Linotype" w:eastAsia="Palatino Linotype" w:hAnsi="Palatino Linotype" w:cs="Palatino Linotype"/>
          <w:i/>
          <w:sz w:val="22"/>
          <w:szCs w:val="22"/>
        </w:rPr>
      </w:pPr>
    </w:p>
    <w:p w14:paraId="0AFBC0A0" w14:textId="77777777" w:rsidR="00E318A2" w:rsidRDefault="00327AA0">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46.</w:t>
      </w:r>
      <w:r>
        <w:rPr>
          <w:rFonts w:ascii="Palatino Linotype" w:eastAsia="Palatino Linotype" w:hAnsi="Palatino Linotype" w:cs="Palatino Linotype"/>
          <w:i/>
          <w:sz w:val="22"/>
          <w:szCs w:val="22"/>
        </w:rPr>
        <w:t xml:space="preserve"> Corresponde a la </w:t>
      </w:r>
      <w:r>
        <w:rPr>
          <w:rFonts w:ascii="Palatino Linotype" w:eastAsia="Palatino Linotype" w:hAnsi="Palatino Linotype" w:cs="Palatino Linotype"/>
          <w:b/>
          <w:i/>
          <w:sz w:val="22"/>
          <w:szCs w:val="22"/>
        </w:rPr>
        <w:t>Secretaría de Servicios Públicos del Municipio</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prestación de los servicios públicos de alumbrado público</w:t>
      </w:r>
      <w:r>
        <w:rPr>
          <w:rFonts w:ascii="Palatino Linotype" w:eastAsia="Palatino Linotype" w:hAnsi="Palatino Linotype" w:cs="Palatino Linotype"/>
          <w:i/>
          <w:sz w:val="22"/>
          <w:szCs w:val="22"/>
        </w:rPr>
        <w:t>, limpia, recolección, traslado y disposición final de residuos sólidos urbanos de conformidad con la normatividad aplicable, los cuales constituyen servicios que deben ser prestados de manera regular y uniforme dentro del territorio municipal en el ámbito de su competencia, con el fin de mejorar la calidad de vida de los naucalpenses.</w:t>
      </w:r>
    </w:p>
    <w:p w14:paraId="77197DB5" w14:textId="77777777" w:rsidR="00E318A2" w:rsidRDefault="00E318A2">
      <w:pPr>
        <w:tabs>
          <w:tab w:val="left" w:pos="4962"/>
        </w:tabs>
        <w:spacing w:line="360" w:lineRule="auto"/>
        <w:ind w:left="709" w:right="900"/>
        <w:jc w:val="both"/>
        <w:rPr>
          <w:rFonts w:ascii="Palatino Linotype" w:eastAsia="Palatino Linotype" w:hAnsi="Palatino Linotype" w:cs="Palatino Linotype"/>
          <w:i/>
          <w:sz w:val="22"/>
          <w:szCs w:val="22"/>
        </w:rPr>
      </w:pPr>
    </w:p>
    <w:p w14:paraId="27F882D0" w14:textId="77777777" w:rsidR="00E318A2" w:rsidRDefault="00327AA0">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Secretaría de Servicios Públicos deberá proveer lo necesario para prestar eficientemente el servicio de alumbrado público</w:t>
      </w:r>
      <w:r>
        <w:rPr>
          <w:rFonts w:ascii="Palatino Linotype" w:eastAsia="Palatino Linotype" w:hAnsi="Palatino Linotype" w:cs="Palatino Linotype"/>
          <w:i/>
          <w:sz w:val="22"/>
          <w:szCs w:val="22"/>
        </w:rPr>
        <w:t>, de conformidad con las prioridades y disponibilidad de recursos.” (sic)</w:t>
      </w:r>
    </w:p>
    <w:p w14:paraId="03BF3B5C" w14:textId="77777777" w:rsidR="00E318A2" w:rsidRDefault="00E318A2">
      <w:pPr>
        <w:tabs>
          <w:tab w:val="left" w:pos="4962"/>
        </w:tabs>
        <w:spacing w:line="360" w:lineRule="auto"/>
      </w:pPr>
    </w:p>
    <w:p w14:paraId="5A54EB12" w14:textId="77777777" w:rsidR="00E318A2" w:rsidRDefault="00327AA0">
      <w:pPr>
        <w:spacing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 xml:space="preserve">Conforme a la normatividad analizada, se logra vislumbrar que el Ayuntamiento de </w:t>
      </w:r>
      <w:r>
        <w:rPr>
          <w:rFonts w:ascii="Palatino Linotype" w:eastAsia="Palatino Linotype" w:hAnsi="Palatino Linotype" w:cs="Palatino Linotype"/>
          <w:color w:val="000000"/>
        </w:rPr>
        <w:t>Naucalpan de Juárez</w:t>
      </w:r>
      <w:r>
        <w:rPr>
          <w:rFonts w:ascii="Palatino Linotype" w:eastAsia="Palatino Linotype" w:hAnsi="Palatino Linotype" w:cs="Palatino Linotype"/>
        </w:rPr>
        <w:t xml:space="preserve"> es competente para pronunciarse sobre la información requerida, en virtud de ser el encargado de ver todas las cuestiones relacionadas con el servicio de alumbrado público, dentro de la circunscripción territorial de dicho Municipio, por lo cual el presente proyecto se enfocará en los siguientes incisos:</w:t>
      </w:r>
    </w:p>
    <w:p w14:paraId="06CB09A7" w14:textId="77777777" w:rsidR="00E318A2" w:rsidRDefault="00E318A2">
      <w:pPr>
        <w:spacing w:line="360" w:lineRule="auto"/>
        <w:jc w:val="both"/>
        <w:rPr>
          <w:rFonts w:ascii="Palatino Linotype" w:eastAsia="Palatino Linotype" w:hAnsi="Palatino Linotype" w:cs="Palatino Linotype"/>
        </w:rPr>
      </w:pPr>
    </w:p>
    <w:p w14:paraId="363E05AA" w14:textId="77777777" w:rsidR="00E318A2" w:rsidRDefault="00327AA0">
      <w:pPr>
        <w:spacing w:line="360" w:lineRule="auto"/>
        <w:ind w:left="540" w:hanging="180"/>
        <w:jc w:val="both"/>
        <w:rPr>
          <w:rFonts w:ascii="Palatino Linotype" w:eastAsia="Palatino Linotype" w:hAnsi="Palatino Linotype" w:cs="Palatino Linotype"/>
          <w:b/>
          <w:i/>
        </w:rPr>
      </w:pPr>
      <w:r>
        <w:rPr>
          <w:rFonts w:ascii="Palatino Linotype" w:eastAsia="Palatino Linotype" w:hAnsi="Palatino Linotype" w:cs="Palatino Linotype"/>
          <w:b/>
          <w:i/>
        </w:rPr>
        <w:t>A.   Convenio de colaboración por el que se establecen los términos y condiciones para la recaudación y aplicación del Derecho por concepto de Alumbrado Público (DAP) Firmado entre CFE y el municipio (el más reciente).</w:t>
      </w:r>
    </w:p>
    <w:p w14:paraId="046C14DE" w14:textId="77777777" w:rsidR="00E318A2" w:rsidRDefault="00E318A2">
      <w:pPr>
        <w:spacing w:line="360" w:lineRule="auto"/>
        <w:ind w:left="540" w:hanging="180"/>
        <w:jc w:val="both"/>
        <w:rPr>
          <w:rFonts w:ascii="Palatino Linotype" w:eastAsia="Palatino Linotype" w:hAnsi="Palatino Linotype" w:cs="Palatino Linotype"/>
          <w:b/>
          <w:i/>
        </w:rPr>
      </w:pPr>
    </w:p>
    <w:p w14:paraId="41692E6A" w14:textId="77777777" w:rsidR="00E318A2" w:rsidRDefault="00327AA0">
      <w:pPr>
        <w:spacing w:line="360" w:lineRule="auto"/>
        <w:ind w:left="540" w:hanging="180"/>
        <w:jc w:val="both"/>
        <w:rPr>
          <w:rFonts w:ascii="Palatino Linotype" w:eastAsia="Palatino Linotype" w:hAnsi="Palatino Linotype" w:cs="Palatino Linotype"/>
          <w:b/>
          <w:i/>
        </w:rPr>
      </w:pPr>
      <w:r>
        <w:rPr>
          <w:rFonts w:ascii="Palatino Linotype" w:eastAsia="Palatino Linotype" w:hAnsi="Palatino Linotype" w:cs="Palatino Linotype"/>
          <w:b/>
          <w:i/>
        </w:rPr>
        <w:t>B.  El censo de alumbrado público con el que se factura en La Comisión Federal de Electricidad; el más reciente con la siguiente información:</w:t>
      </w:r>
    </w:p>
    <w:p w14:paraId="7B2660F6" w14:textId="77777777" w:rsidR="00E318A2" w:rsidRDefault="00327AA0">
      <w:pPr>
        <w:spacing w:line="360" w:lineRule="auto"/>
        <w:ind w:left="1080"/>
        <w:jc w:val="both"/>
        <w:rPr>
          <w:rFonts w:ascii="Palatino Linotype" w:eastAsia="Palatino Linotype" w:hAnsi="Palatino Linotype" w:cs="Palatino Linotype"/>
          <w:b/>
          <w:i/>
        </w:rPr>
      </w:pPr>
      <w:r>
        <w:rPr>
          <w:rFonts w:ascii="Palatino Linotype" w:eastAsia="Palatino Linotype" w:hAnsi="Palatino Linotype" w:cs="Palatino Linotype"/>
          <w:b/>
          <w:i/>
        </w:rPr>
        <w:t>-</w:t>
      </w:r>
      <w:r>
        <w:rPr>
          <w:rFonts w:ascii="Palatino Linotype" w:eastAsia="Palatino Linotype" w:hAnsi="Palatino Linotype" w:cs="Palatino Linotype"/>
          <w:b/>
          <w:i/>
        </w:rPr>
        <w:tab/>
        <w:t xml:space="preserve">Cantidad de luminarias y balastros, el tipo de equipos, la capacidad (potencia), </w:t>
      </w:r>
    </w:p>
    <w:p w14:paraId="0A62B003" w14:textId="77777777" w:rsidR="00E318A2" w:rsidRDefault="00327AA0">
      <w:pPr>
        <w:spacing w:line="360" w:lineRule="auto"/>
        <w:ind w:left="1080"/>
        <w:jc w:val="both"/>
        <w:rPr>
          <w:rFonts w:ascii="Palatino Linotype" w:eastAsia="Palatino Linotype" w:hAnsi="Palatino Linotype" w:cs="Palatino Linotype"/>
          <w:b/>
          <w:i/>
        </w:rPr>
      </w:pPr>
      <w:r>
        <w:rPr>
          <w:rFonts w:ascii="Palatino Linotype" w:eastAsia="Palatino Linotype" w:hAnsi="Palatino Linotype" w:cs="Palatino Linotype"/>
          <w:b/>
          <w:i/>
        </w:rPr>
        <w:t>-</w:t>
      </w:r>
      <w:r>
        <w:rPr>
          <w:rFonts w:ascii="Palatino Linotype" w:eastAsia="Palatino Linotype" w:hAnsi="Palatino Linotype" w:cs="Palatino Linotype"/>
          <w:b/>
          <w:i/>
        </w:rPr>
        <w:tab/>
        <w:t>La cantidad de luminarias y balastros instalados, el tipo de equipos y su capacidad (potencia) instalados que poseen equipo de medición.</w:t>
      </w:r>
    </w:p>
    <w:p w14:paraId="07071346" w14:textId="77777777" w:rsidR="00E318A2" w:rsidRDefault="00E318A2">
      <w:pPr>
        <w:spacing w:line="360" w:lineRule="auto"/>
        <w:ind w:left="1080"/>
        <w:jc w:val="both"/>
        <w:rPr>
          <w:rFonts w:ascii="Palatino Linotype" w:eastAsia="Palatino Linotype" w:hAnsi="Palatino Linotype" w:cs="Palatino Linotype"/>
          <w:b/>
          <w:i/>
        </w:rPr>
      </w:pPr>
    </w:p>
    <w:p w14:paraId="357B100A" w14:textId="77777777" w:rsidR="00E318A2" w:rsidRDefault="00327AA0">
      <w:pPr>
        <w:spacing w:line="360" w:lineRule="auto"/>
        <w:ind w:left="540" w:hanging="180"/>
        <w:jc w:val="both"/>
        <w:rPr>
          <w:rFonts w:ascii="Palatino Linotype" w:eastAsia="Palatino Linotype" w:hAnsi="Palatino Linotype" w:cs="Palatino Linotype"/>
          <w:b/>
          <w:i/>
        </w:rPr>
      </w:pPr>
      <w:r>
        <w:rPr>
          <w:rFonts w:ascii="Palatino Linotype" w:eastAsia="Palatino Linotype" w:hAnsi="Palatino Linotype" w:cs="Palatino Linotype"/>
          <w:b/>
          <w:i/>
        </w:rPr>
        <w:t>C. Cualquier otro documento relacionado con el Derecho de Alumbrado Público, firmado por CFE y el municipio.</w:t>
      </w:r>
    </w:p>
    <w:p w14:paraId="4D231E88" w14:textId="77777777" w:rsidR="00E318A2" w:rsidRDefault="00E318A2">
      <w:pPr>
        <w:tabs>
          <w:tab w:val="left" w:pos="4962"/>
        </w:tabs>
        <w:spacing w:line="360" w:lineRule="auto"/>
        <w:rPr>
          <w:color w:val="000000"/>
        </w:rPr>
      </w:pPr>
    </w:p>
    <w:p w14:paraId="57572B82" w14:textId="77777777" w:rsidR="00E318A2" w:rsidRDefault="00E318A2">
      <w:pPr>
        <w:tabs>
          <w:tab w:val="left" w:pos="4962"/>
        </w:tabs>
        <w:spacing w:line="360" w:lineRule="auto"/>
        <w:rPr>
          <w:color w:val="000000"/>
        </w:rPr>
      </w:pPr>
    </w:p>
    <w:p w14:paraId="462D0DD7"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atención al inciso </w:t>
      </w:r>
      <w:r>
        <w:rPr>
          <w:rFonts w:ascii="Palatino Linotype" w:eastAsia="Palatino Linotype" w:hAnsi="Palatino Linotype" w:cs="Palatino Linotype"/>
          <w:b/>
          <w:i/>
        </w:rPr>
        <w:t>A)</w:t>
      </w:r>
      <w:r>
        <w:rPr>
          <w:rFonts w:ascii="Palatino Linotype" w:eastAsia="Palatino Linotype" w:hAnsi="Palatino Linotype" w:cs="Palatino Linotype"/>
        </w:rPr>
        <w:t xml:space="preserve"> </w:t>
      </w:r>
      <w:r>
        <w:rPr>
          <w:rFonts w:ascii="Palatino Linotype" w:eastAsia="Palatino Linotype" w:hAnsi="Palatino Linotype" w:cs="Palatino Linotype"/>
          <w:b/>
          <w:i/>
        </w:rPr>
        <w:t xml:space="preserve">Convenio de colaboración por el que se establecen los </w:t>
      </w:r>
      <w:r>
        <w:rPr>
          <w:rFonts w:ascii="Palatino Linotype" w:eastAsia="Palatino Linotype" w:hAnsi="Palatino Linotype" w:cs="Palatino Linotype"/>
          <w:b/>
          <w:i/>
          <w:u w:val="single"/>
        </w:rPr>
        <w:t>términos y condiciones para la recaudación y aplicación del Derecho por concepto de Alumbrado Público</w:t>
      </w:r>
      <w:r>
        <w:rPr>
          <w:rFonts w:ascii="Palatino Linotype" w:eastAsia="Palatino Linotype" w:hAnsi="Palatino Linotype" w:cs="Palatino Linotype"/>
          <w:b/>
          <w:i/>
        </w:rPr>
        <w:t xml:space="preserve"> (DAP) Firmado entre CFE y el municipio (el más reciente)</w:t>
      </w:r>
      <w:r>
        <w:rPr>
          <w:rFonts w:ascii="Palatino Linotype" w:eastAsia="Palatino Linotype" w:hAnsi="Palatino Linotype" w:cs="Palatino Linotype"/>
        </w:rPr>
        <w:t xml:space="preserve">, es importante señalar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su respuesta adjuntó el Contrato de Colaboración entre el Municipio de Naucalpan de Juárez y Comisión Federal de Electricidad 2020-2021, si bien dentro de este documento, se establecen los términos y condiciones de los servicios de recaudación, también lo es que dicho convenio debía ser acompañado de sus anexos, pues en ellos se precisa detalles respecto a los términos y condiciones establecidos en el convenio, tal como se advierte a continuación: </w:t>
      </w:r>
    </w:p>
    <w:p w14:paraId="4978D55C"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zh-CN"/>
        </w:rPr>
        <w:drawing>
          <wp:inline distT="0" distB="0" distL="0" distR="0" wp14:anchorId="3BA5CCB9" wp14:editId="723D44D1">
            <wp:extent cx="5625434" cy="1296365"/>
            <wp:effectExtent l="0" t="0" r="0" b="0"/>
            <wp:docPr id="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6"/>
                    <a:srcRect b="17747"/>
                    <a:stretch/>
                  </pic:blipFill>
                  <pic:spPr bwMode="auto">
                    <a:xfrm>
                      <a:off x="0" y="0"/>
                      <a:ext cx="5671281" cy="1306930"/>
                    </a:xfrm>
                    <a:prstGeom prst="rect">
                      <a:avLst/>
                    </a:prstGeom>
                    <a:ln>
                      <a:noFill/>
                    </a:ln>
                    <a:extLst>
                      <a:ext uri="{53640926-AAD7-44D8-BBD7-CCE9431645EC}">
                        <a14:shadowObscured xmlns:a14="http://schemas.microsoft.com/office/drawing/2010/main"/>
                      </a:ext>
                    </a:extLst>
                  </pic:spPr>
                </pic:pic>
              </a:graphicData>
            </a:graphic>
          </wp:inline>
        </w:drawing>
      </w:r>
    </w:p>
    <w:p w14:paraId="3B9E059C"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700829C9" wp14:editId="6C012A21">
            <wp:extent cx="5553075" cy="4386805"/>
            <wp:effectExtent l="0" t="0" r="9525" b="7620"/>
            <wp:docPr id="1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7"/>
                    <a:srcRect t="18137" b="5736"/>
                    <a:stretch/>
                  </pic:blipFill>
                  <pic:spPr bwMode="auto">
                    <a:xfrm>
                      <a:off x="0" y="0"/>
                      <a:ext cx="5553075" cy="4386805"/>
                    </a:xfrm>
                    <a:prstGeom prst="rect">
                      <a:avLst/>
                    </a:prstGeom>
                    <a:ln>
                      <a:noFill/>
                    </a:ln>
                    <a:extLst>
                      <a:ext uri="{53640926-AAD7-44D8-BBD7-CCE9431645EC}">
                        <a14:shadowObscured xmlns:a14="http://schemas.microsoft.com/office/drawing/2010/main"/>
                      </a:ext>
                    </a:extLst>
                  </pic:spPr>
                </pic:pic>
              </a:graphicData>
            </a:graphic>
          </wp:inline>
        </w:drawing>
      </w:r>
    </w:p>
    <w:p w14:paraId="384A0DAF"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73DE9243" wp14:editId="756CBD62">
            <wp:extent cx="5193400" cy="7072131"/>
            <wp:effectExtent l="0" t="0" r="0" b="0"/>
            <wp:docPr id="1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8"/>
                    <a:srcRect l="1326" t="5099" r="-443" b="3261"/>
                    <a:stretch/>
                  </pic:blipFill>
                  <pic:spPr bwMode="auto">
                    <a:xfrm>
                      <a:off x="0" y="0"/>
                      <a:ext cx="5193719" cy="7072565"/>
                    </a:xfrm>
                    <a:prstGeom prst="rect">
                      <a:avLst/>
                    </a:prstGeom>
                    <a:ln>
                      <a:noFill/>
                    </a:ln>
                    <a:extLst>
                      <a:ext uri="{53640926-AAD7-44D8-BBD7-CCE9431645EC}">
                        <a14:shadowObscured xmlns:a14="http://schemas.microsoft.com/office/drawing/2010/main"/>
                      </a:ext>
                    </a:extLst>
                  </pic:spPr>
                </pic:pic>
              </a:graphicData>
            </a:graphic>
          </wp:inline>
        </w:drawing>
      </w:r>
    </w:p>
    <w:p w14:paraId="0BFBCE84" w14:textId="77777777" w:rsidR="00E318A2" w:rsidRDefault="00E318A2">
      <w:pPr>
        <w:spacing w:line="360" w:lineRule="auto"/>
        <w:jc w:val="both"/>
        <w:rPr>
          <w:rFonts w:ascii="Palatino Linotype" w:eastAsia="Palatino Linotype" w:hAnsi="Palatino Linotype" w:cs="Palatino Linotype"/>
          <w:highlight w:val="yellow"/>
        </w:rPr>
      </w:pPr>
    </w:p>
    <w:p w14:paraId="562E4C8F" w14:textId="77777777" w:rsidR="00E318A2" w:rsidRDefault="00327AA0">
      <w:pPr>
        <w:spacing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rPr>
        <w:t xml:space="preserve">Así por ejemplo se puede advertir que en los anexos se detallan términos y condiciones relativos a: </w:t>
      </w:r>
    </w:p>
    <w:p w14:paraId="493BE30A" w14:textId="77777777" w:rsidR="00E318A2" w:rsidRDefault="00327AA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Anexo A. Listado de servicios propios contratados por el Ayuntamiento.</w:t>
      </w:r>
    </w:p>
    <w:p w14:paraId="1981CF5A" w14:textId="77777777" w:rsidR="00E318A2" w:rsidRDefault="00327AA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Anexo B. Acreditación de personalidad, mediante  documentos por parte del Ayuntamiento.</w:t>
      </w:r>
    </w:p>
    <w:p w14:paraId="23FC6592" w14:textId="77777777" w:rsidR="00E318A2" w:rsidRPr="00EE418C" w:rsidRDefault="00327AA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lang w:val="pt-BR"/>
        </w:rPr>
      </w:pPr>
      <w:r w:rsidRPr="00EE418C">
        <w:rPr>
          <w:rFonts w:ascii="Palatino Linotype" w:eastAsia="Palatino Linotype" w:hAnsi="Palatino Linotype" w:cs="Palatino Linotype"/>
          <w:color w:val="000000"/>
          <w:lang w:val="pt-BR"/>
        </w:rPr>
        <w:t>Anexo C Documento o normativa autorizada para firmar el contrato.</w:t>
      </w:r>
    </w:p>
    <w:p w14:paraId="24D15C85" w14:textId="77777777" w:rsidR="00E318A2" w:rsidRDefault="00327AA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Anexo D Estatuto Orgánico de la CFE.</w:t>
      </w:r>
    </w:p>
    <w:p w14:paraId="0ED722ED" w14:textId="77777777" w:rsidR="00E318A2" w:rsidRDefault="00327AA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Anexo E, Montos y porcentajes a recaudar.</w:t>
      </w:r>
    </w:p>
    <w:p w14:paraId="6E6391F2" w14:textId="77777777" w:rsidR="00E318A2" w:rsidRDefault="00E318A2">
      <w:pPr>
        <w:spacing w:line="360" w:lineRule="auto"/>
        <w:jc w:val="both"/>
        <w:rPr>
          <w:rFonts w:ascii="Palatino Linotype" w:eastAsia="Palatino Linotype" w:hAnsi="Palatino Linotype" w:cs="Palatino Linotype"/>
          <w:highlight w:val="yellow"/>
        </w:rPr>
      </w:pPr>
    </w:p>
    <w:p w14:paraId="7CE2E56D"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referido documento se destaca que el Municipio ha determinado que el Suministrador destine las cantidades recaudadas del importe de DAP al consumo de energía eléctrica utilizada para la alimentación de las luminarias del servicio de alumbrado público y de otros servicios contratados que las partes han indicado y que se señalan en el Anexo A, aplicándose al consumo de energía eléctrica de las luminarias y a otros servicios contratados los cuales se indican en el referido Anexo A.</w:t>
      </w:r>
    </w:p>
    <w:p w14:paraId="278871D2" w14:textId="77777777" w:rsidR="00E318A2" w:rsidRDefault="00E318A2">
      <w:pPr>
        <w:spacing w:line="360" w:lineRule="auto"/>
        <w:jc w:val="both"/>
        <w:rPr>
          <w:rFonts w:ascii="Palatino Linotype" w:eastAsia="Palatino Linotype" w:hAnsi="Palatino Linotype" w:cs="Palatino Linotype"/>
        </w:rPr>
      </w:pPr>
    </w:p>
    <w:p w14:paraId="38835C6E"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Que el cobro y suministro de energía eléctrica que presta el Suministrador a sus usuarios, no estará supeditado al pago que los mismos deban realizar por el servicio de alumbrado público. El municipio acepta que cualquier cantidad que pague el usuario por el suministro de energía eléctrica será destinada a cubrir los adeudos </w:t>
      </w:r>
      <w:r>
        <w:rPr>
          <w:rFonts w:ascii="Palatino Linotype" w:eastAsia="Palatino Linotype" w:hAnsi="Palatino Linotype" w:cs="Palatino Linotype"/>
        </w:rPr>
        <w:lastRenderedPageBreak/>
        <w:t>del usuario con el Suministrador y del alumbrado y otros servicios contratados por el municipio.</w:t>
      </w:r>
    </w:p>
    <w:p w14:paraId="227DCB51" w14:textId="77777777" w:rsidR="00E318A2" w:rsidRDefault="00E318A2">
      <w:pPr>
        <w:spacing w:line="360" w:lineRule="auto"/>
        <w:jc w:val="both"/>
        <w:rPr>
          <w:rFonts w:ascii="Palatino Linotype" w:eastAsia="Palatino Linotype" w:hAnsi="Palatino Linotype" w:cs="Palatino Linotype"/>
        </w:rPr>
      </w:pPr>
    </w:p>
    <w:p w14:paraId="4EEDB6B8"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Por otra parte, señala que el Suministrador es coadyuvante con el Municipio en la recaudación del DAP, por lo que no tiene ni participa en el presente contrato con otra calidad jurídica de la que pudiera derivarse obligación o responsabilidad alguna.</w:t>
      </w:r>
    </w:p>
    <w:p w14:paraId="108797F3" w14:textId="77777777" w:rsidR="00E318A2" w:rsidRDefault="00E318A2">
      <w:pPr>
        <w:spacing w:line="360" w:lineRule="auto"/>
        <w:jc w:val="both"/>
        <w:rPr>
          <w:rFonts w:ascii="Palatino Linotype" w:eastAsia="Palatino Linotype" w:hAnsi="Palatino Linotype" w:cs="Palatino Linotype"/>
        </w:rPr>
      </w:pPr>
    </w:p>
    <w:p w14:paraId="3CDCF65B"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Que para implementar el cobro de los montos o porcentajes del DAP, el Municipio entregará al Suministrador, la integración, modificación y adecuación del DAP señalado en el Anexo E.</w:t>
      </w:r>
    </w:p>
    <w:p w14:paraId="03E3D9ED" w14:textId="77777777" w:rsidR="00E318A2" w:rsidRDefault="00E318A2">
      <w:pPr>
        <w:spacing w:line="360" w:lineRule="auto"/>
        <w:jc w:val="both"/>
        <w:rPr>
          <w:rFonts w:ascii="Palatino Linotype" w:eastAsia="Palatino Linotype" w:hAnsi="Palatino Linotype" w:cs="Palatino Linotype"/>
        </w:rPr>
      </w:pPr>
    </w:p>
    <w:p w14:paraId="572C1CE8"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También que el Suministrado informará mensualmente aquellos casos en que el usuario se haya negado a pagar la cantidad que por dicho concepto se incluya en las facturas del mismo, esperando que el Municipio le indique la manera de proceder.</w:t>
      </w:r>
    </w:p>
    <w:p w14:paraId="525DD8E1" w14:textId="77777777" w:rsidR="00E318A2" w:rsidRDefault="00E318A2">
      <w:pPr>
        <w:spacing w:line="360" w:lineRule="auto"/>
        <w:jc w:val="both"/>
        <w:rPr>
          <w:rFonts w:ascii="Palatino Linotype" w:eastAsia="Palatino Linotype" w:hAnsi="Palatino Linotype" w:cs="Palatino Linotype"/>
        </w:rPr>
      </w:pPr>
    </w:p>
    <w:p w14:paraId="75561F74"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en cláusula Séptima refiere los aspectos para la recaudación del DAP, de acuerdo a los montos y porcentajes que se indiquen en el Anexo E.</w:t>
      </w:r>
    </w:p>
    <w:p w14:paraId="04019EAE" w14:textId="77777777" w:rsidR="00E318A2" w:rsidRDefault="00E318A2">
      <w:pPr>
        <w:spacing w:line="360" w:lineRule="auto"/>
        <w:jc w:val="both"/>
        <w:rPr>
          <w:rFonts w:ascii="Palatino Linotype" w:eastAsia="Palatino Linotype" w:hAnsi="Palatino Linotype" w:cs="Palatino Linotype"/>
        </w:rPr>
      </w:pPr>
    </w:p>
    <w:p w14:paraId="4D311E4D"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se estima que dichos anexos satisfacen el derecho de acceso a la información toda vez que le permitirán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conocier a detalle los </w:t>
      </w:r>
      <w:r>
        <w:rPr>
          <w:rFonts w:ascii="Palatino Linotype" w:eastAsia="Palatino Linotype" w:hAnsi="Palatino Linotype" w:cs="Palatino Linotype"/>
          <w:b/>
          <w:i/>
        </w:rPr>
        <w:t>términos y condiciones para la recaudación y aplicación del Derecho por concepto de Alumbrado Público</w:t>
      </w:r>
      <w:r>
        <w:rPr>
          <w:rFonts w:ascii="Palatino Linotype" w:eastAsia="Palatino Linotype" w:hAnsi="Palatino Linotype" w:cs="Palatino Linotype"/>
        </w:rPr>
        <w:t xml:space="preserve">. </w:t>
      </w:r>
    </w:p>
    <w:p w14:paraId="70644670" w14:textId="77777777" w:rsidR="00E318A2" w:rsidRDefault="00E318A2">
      <w:pPr>
        <w:spacing w:line="360" w:lineRule="auto"/>
        <w:jc w:val="both"/>
        <w:rPr>
          <w:rFonts w:ascii="Palatino Linotype" w:eastAsia="Palatino Linotype" w:hAnsi="Palatino Linotype" w:cs="Palatino Linotype"/>
        </w:rPr>
      </w:pPr>
    </w:p>
    <w:p w14:paraId="51EF280E"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será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de los anexos del Contrato de Colaboración entre el Municipio de Naucalpan de Juárez y Comisión Federal de Electricidad 2020-2021, así como de cualquier otra información que permita conocer</w:t>
      </w:r>
      <w:r>
        <w:rPr>
          <w:rFonts w:ascii="Palatino Linotype" w:eastAsia="Palatino Linotype" w:hAnsi="Palatino Linotype" w:cs="Palatino Linotype"/>
          <w:b/>
          <w:i/>
        </w:rPr>
        <w:t xml:space="preserve"> los términos y condiciones para la recaudación y aplicación del Derecho por concepto de Alumbrado Público (DAP)</w:t>
      </w:r>
      <w:r>
        <w:rPr>
          <w:rFonts w:ascii="Palatino Linotype" w:eastAsia="Palatino Linotype" w:hAnsi="Palatino Linotype" w:cs="Palatino Linotype"/>
        </w:rPr>
        <w:t>.</w:t>
      </w:r>
    </w:p>
    <w:p w14:paraId="5EE0742E" w14:textId="77777777" w:rsidR="00E318A2" w:rsidRDefault="00E318A2">
      <w:pPr>
        <w:spacing w:line="360" w:lineRule="auto"/>
        <w:jc w:val="both"/>
        <w:rPr>
          <w:rFonts w:ascii="Palatino Linotype" w:eastAsia="Palatino Linotype" w:hAnsi="Palatino Linotype" w:cs="Palatino Linotype"/>
        </w:rPr>
      </w:pPr>
    </w:p>
    <w:p w14:paraId="63D5F368"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se omite mencionar, que dichos anexos son considerados parte integral del documento, por lo que se debieron entregar en la respuesta a la solicitud de información, sirve de sustento a lo anterior el criterio 17/17 del Instituto Nacional de Transparencia, Acceso a la Información y Protección de Datos Personales, mismo que se cita a continuación: </w:t>
      </w:r>
    </w:p>
    <w:p w14:paraId="21E7CFCC" w14:textId="77777777" w:rsidR="00E318A2" w:rsidRDefault="00327AA0">
      <w:pPr>
        <w:spacing w:before="120" w:after="120" w:line="276" w:lineRule="auto"/>
        <w:ind w:left="566" w:right="62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Anexos de los documentos solicitados. </w:t>
      </w:r>
      <w:r>
        <w:rPr>
          <w:rFonts w:ascii="Palatino Linotype" w:eastAsia="Palatino Linotype" w:hAnsi="Palatino Linotype" w:cs="Palatino Linotype"/>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551B97FB" w14:textId="77777777" w:rsidR="00E318A2" w:rsidRDefault="00327AA0">
      <w:pPr>
        <w:spacing w:before="120" w:after="120" w:line="276" w:lineRule="auto"/>
        <w:ind w:left="566" w:right="62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Resoluciones:</w:t>
      </w:r>
    </w:p>
    <w:p w14:paraId="1EA24DFB" w14:textId="77777777" w:rsidR="00E318A2" w:rsidRDefault="00327AA0">
      <w:pPr>
        <w:spacing w:before="120" w:after="120" w:line="276" w:lineRule="auto"/>
        <w:ind w:left="566" w:right="6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RRA 0483/17. </w:t>
      </w:r>
      <w:r>
        <w:rPr>
          <w:rFonts w:ascii="Palatino Linotype" w:eastAsia="Palatino Linotype" w:hAnsi="Palatino Linotype" w:cs="Palatino Linotype"/>
          <w:i/>
          <w:sz w:val="22"/>
          <w:szCs w:val="22"/>
        </w:rPr>
        <w:t>Universidad Nacional Autónoma de México. 22 de febrero de 2017. Por unanimidad. Comisionado Ponente Joel Salas Suárez.</w:t>
      </w:r>
    </w:p>
    <w:p w14:paraId="539648D6" w14:textId="77777777" w:rsidR="00E318A2" w:rsidRDefault="00327AA0">
      <w:pPr>
        <w:spacing w:before="120" w:line="276" w:lineRule="auto"/>
        <w:ind w:left="566" w:right="6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RRA 4503/16. </w:t>
      </w:r>
      <w:r>
        <w:rPr>
          <w:rFonts w:ascii="Palatino Linotype" w:eastAsia="Palatino Linotype" w:hAnsi="Palatino Linotype" w:cs="Palatino Linotype"/>
          <w:i/>
          <w:sz w:val="22"/>
          <w:szCs w:val="22"/>
        </w:rPr>
        <w:t>Secretaría de Hacienda y Crédito Público. 01 de marzo de 2017. Por unanimidad. Comisionada Ponente Areli Cano Guadiana.</w:t>
      </w:r>
    </w:p>
    <w:p w14:paraId="47750B7D" w14:textId="77777777" w:rsidR="00E318A2" w:rsidRDefault="00327AA0">
      <w:pPr>
        <w:spacing w:before="120" w:line="276" w:lineRule="auto"/>
        <w:ind w:left="566" w:right="6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RRA 1639/17.</w:t>
      </w:r>
      <w:r>
        <w:rPr>
          <w:rFonts w:ascii="Palatino Linotype" w:eastAsia="Palatino Linotype" w:hAnsi="Palatino Linotype" w:cs="Palatino Linotype"/>
          <w:i/>
          <w:sz w:val="22"/>
          <w:szCs w:val="22"/>
        </w:rPr>
        <w:t xml:space="preserve"> Instituto Mexicano del Seguro Social. 19 de abril de 2017. Por unanimidad. Comisionado Ponente Francisco Javier Acuña Llamas</w:t>
      </w:r>
    </w:p>
    <w:p w14:paraId="70469AC4" w14:textId="77777777" w:rsidR="00E318A2" w:rsidRDefault="00E318A2">
      <w:pPr>
        <w:spacing w:line="360" w:lineRule="auto"/>
        <w:jc w:val="both"/>
        <w:rPr>
          <w:rFonts w:ascii="Palatino Linotype" w:eastAsia="Palatino Linotype" w:hAnsi="Palatino Linotype" w:cs="Palatino Linotype"/>
        </w:rPr>
      </w:pPr>
    </w:p>
    <w:p w14:paraId="5FAC41AB" w14:textId="77777777" w:rsidR="00E318A2" w:rsidRDefault="00327AA0">
      <w:pP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lastRenderedPageBreak/>
        <w:t>Por cuanto hace al inciso</w:t>
      </w:r>
      <w:r>
        <w:rPr>
          <w:rFonts w:ascii="Palatino Linotype" w:eastAsia="Palatino Linotype" w:hAnsi="Palatino Linotype" w:cs="Palatino Linotype"/>
          <w:b/>
          <w:i/>
        </w:rPr>
        <w:t xml:space="preserve"> B.) relativo al censo de alumbrado público con el que se factura en La Comisión Federal de Electricidad; el más reciente con la siguiente información: Cantidad de luminarias y balastros, el tipo de equipos, la capacidad (potencia), La cantidad de luminarias y balastros instalados, el tipo de equipos y su capacidad (potencia) instalados que poseen equipo de medición.</w:t>
      </w:r>
    </w:p>
    <w:p w14:paraId="6E602FAF" w14:textId="77777777" w:rsidR="00E318A2" w:rsidRDefault="00E318A2">
      <w:pPr>
        <w:spacing w:line="360" w:lineRule="auto"/>
        <w:jc w:val="both"/>
        <w:rPr>
          <w:rFonts w:ascii="Palatino Linotype" w:eastAsia="Palatino Linotype" w:hAnsi="Palatino Linotype" w:cs="Palatino Linotype"/>
        </w:rPr>
      </w:pPr>
    </w:p>
    <w:p w14:paraId="7B12425C"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conviene señalar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el informe justificado refiere hacer </w:t>
      </w:r>
      <w:r>
        <w:rPr>
          <w:rFonts w:ascii="Palatino Linotype" w:eastAsia="Palatino Linotype" w:hAnsi="Palatino Linotype" w:cs="Palatino Linotype"/>
          <w:b/>
          <w:i/>
        </w:rPr>
        <w:t>entrega del censo localizado en los archivos físicos y electrónicos con los que se cuenta</w:t>
      </w:r>
      <w:r>
        <w:rPr>
          <w:rFonts w:ascii="Palatino Linotype" w:eastAsia="Palatino Linotype" w:hAnsi="Palatino Linotype" w:cs="Palatino Linotype"/>
          <w:i/>
        </w:rPr>
        <w:t>,</w:t>
      </w:r>
      <w:r>
        <w:rPr>
          <w:rFonts w:ascii="Palatino Linotype" w:eastAsia="Palatino Linotype" w:hAnsi="Palatino Linotype" w:cs="Palatino Linotype"/>
        </w:rPr>
        <w:t xml:space="preserve"> sin embargo, omite adjuntar el archivo que contiene dicha información. </w:t>
      </w:r>
    </w:p>
    <w:p w14:paraId="0688B1F2" w14:textId="77777777" w:rsidR="00E318A2" w:rsidRDefault="00E318A2">
      <w:pPr>
        <w:spacing w:line="360" w:lineRule="auto"/>
        <w:jc w:val="both"/>
        <w:rPr>
          <w:rFonts w:ascii="Palatino Linotype" w:eastAsia="Palatino Linotype" w:hAnsi="Palatino Linotype" w:cs="Palatino Linotype"/>
        </w:rPr>
      </w:pPr>
    </w:p>
    <w:p w14:paraId="451F4165"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señalar que un censo es un proceso por medio del cual se realiza el conteo y diagnóstico de un tema en específico; en ese orden de ideas, este Instituto localizó el documento denominado </w:t>
      </w:r>
      <w:r>
        <w:rPr>
          <w:rFonts w:ascii="Palatino Linotype" w:eastAsia="Palatino Linotype" w:hAnsi="Palatino Linotype" w:cs="Palatino Linotype"/>
          <w:b/>
          <w:i/>
        </w:rPr>
        <w:t>Procedimiento del Control de Servicios de Alumbrado Público</w:t>
      </w:r>
      <w:r>
        <w:rPr>
          <w:rFonts w:ascii="Palatino Linotype" w:eastAsia="Palatino Linotype" w:hAnsi="Palatino Linotype" w:cs="Palatino Linotype"/>
        </w:rPr>
        <w:t xml:space="preserve"> consultado en la página electrónica https://www.gob.mx/cms/uploads/attachment/file/127275/Proc_Control_Servicios_Alumbrado_P_blico_2011.pdf, realizado por la Subdirección de Distribución de la Comisión Federal de Electricidad, que establece que los censos de alumbrado público deberán realizarse conjuntamente con los funcionarios autorizados por la autoridad municipal. </w:t>
      </w:r>
    </w:p>
    <w:p w14:paraId="5B1C872C" w14:textId="77777777" w:rsidR="00E318A2" w:rsidRDefault="00E318A2">
      <w:pPr>
        <w:spacing w:line="360" w:lineRule="auto"/>
        <w:jc w:val="both"/>
        <w:rPr>
          <w:rFonts w:ascii="Palatino Linotype" w:eastAsia="Palatino Linotype" w:hAnsi="Palatino Linotype" w:cs="Palatino Linotype"/>
        </w:rPr>
      </w:pPr>
    </w:p>
    <w:p w14:paraId="707A87C3"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la Comisión Federal de Electricidad debe notificar al Presidente Municipal, mediante oficio el programa de levantamiento del censo con un mes de </w:t>
      </w:r>
      <w:r>
        <w:rPr>
          <w:rFonts w:ascii="Palatino Linotype" w:eastAsia="Palatino Linotype" w:hAnsi="Palatino Linotype" w:cs="Palatino Linotype"/>
        </w:rPr>
        <w:lastRenderedPageBreak/>
        <w:t xml:space="preserve">anticipación; por otra parte, cabe precisar que la elaboración de los censos de alumbrado público se debe realizar de la siguiente manera: </w:t>
      </w:r>
    </w:p>
    <w:p w14:paraId="27B72972" w14:textId="77777777" w:rsidR="00E318A2" w:rsidRDefault="00E318A2">
      <w:pPr>
        <w:spacing w:line="360" w:lineRule="auto"/>
        <w:jc w:val="both"/>
        <w:rPr>
          <w:rFonts w:ascii="Palatino Linotype" w:eastAsia="Palatino Linotype" w:hAnsi="Palatino Linotype" w:cs="Palatino Linotype"/>
        </w:rPr>
      </w:pPr>
    </w:p>
    <w:p w14:paraId="38BDB994" w14:textId="77777777" w:rsidR="00E318A2" w:rsidRDefault="00327AA0">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Ciudades con más de 100,000 usuarios.</w:t>
      </w:r>
    </w:p>
    <w:p w14:paraId="61854153" w14:textId="77777777" w:rsidR="00E318A2" w:rsidRDefault="00327AA0">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resto de las ciudades, cuando menos una vez al año.</w:t>
      </w:r>
    </w:p>
    <w:p w14:paraId="5027EFD5" w14:textId="77777777" w:rsidR="00E318A2" w:rsidRDefault="00327AA0">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Censos entregados a las administraciones estatales o municipales salientes:</w:t>
      </w:r>
      <w:r>
        <w:rPr>
          <w:rFonts w:ascii="Palatino Linotype" w:eastAsia="Palatino Linotype" w:hAnsi="Palatino Linotype" w:cs="Palatino Linotype"/>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2728A0B0" w14:textId="77777777" w:rsidR="00E318A2" w:rsidRDefault="00E318A2">
      <w:pPr>
        <w:spacing w:line="360" w:lineRule="auto"/>
        <w:jc w:val="both"/>
        <w:rPr>
          <w:rFonts w:ascii="Palatino Linotype" w:eastAsia="Palatino Linotype" w:hAnsi="Palatino Linotype" w:cs="Palatino Linotype"/>
        </w:rPr>
      </w:pPr>
    </w:p>
    <w:p w14:paraId="5CA93F66"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dicho censo se conformará por los siguientes Anexos: </w:t>
      </w:r>
    </w:p>
    <w:p w14:paraId="63F2267C" w14:textId="77777777" w:rsidR="00E318A2" w:rsidRDefault="00E318A2">
      <w:pPr>
        <w:spacing w:line="360" w:lineRule="auto"/>
        <w:jc w:val="both"/>
        <w:rPr>
          <w:rFonts w:ascii="Palatino Linotype" w:eastAsia="Palatino Linotype" w:hAnsi="Palatino Linotype" w:cs="Palatino Linotype"/>
        </w:rPr>
      </w:pPr>
    </w:p>
    <w:p w14:paraId="5BBB5B9B" w14:textId="77777777" w:rsidR="00E318A2" w:rsidRDefault="00327AA0">
      <w:pPr>
        <w:numPr>
          <w:ilvl w:val="0"/>
          <w:numId w:val="4"/>
        </w:numPr>
        <w:spacing w:line="360" w:lineRule="auto"/>
        <w:ind w:firstLine="981"/>
        <w:jc w:val="both"/>
        <w:rPr>
          <w:rFonts w:ascii="Palatino Linotype" w:eastAsia="Palatino Linotype" w:hAnsi="Palatino Linotype" w:cs="Palatino Linotype"/>
        </w:rPr>
      </w:pPr>
      <w:r>
        <w:rPr>
          <w:rFonts w:ascii="Palatino Linotype" w:eastAsia="Palatino Linotype" w:hAnsi="Palatino Linotype" w:cs="Palatino Linotype"/>
        </w:rPr>
        <w:t>Convenio;</w:t>
      </w:r>
    </w:p>
    <w:p w14:paraId="3DB62D1D" w14:textId="77777777" w:rsidR="00E318A2" w:rsidRDefault="00327AA0">
      <w:pPr>
        <w:numPr>
          <w:ilvl w:val="0"/>
          <w:numId w:val="4"/>
        </w:numPr>
        <w:spacing w:line="360" w:lineRule="auto"/>
        <w:ind w:firstLine="981"/>
        <w:jc w:val="both"/>
        <w:rPr>
          <w:rFonts w:ascii="Palatino Linotype" w:eastAsia="Palatino Linotype" w:hAnsi="Palatino Linotype" w:cs="Palatino Linotype"/>
        </w:rPr>
      </w:pPr>
      <w:r>
        <w:rPr>
          <w:rFonts w:ascii="Palatino Linotype" w:eastAsia="Palatino Linotype" w:hAnsi="Palatino Linotype" w:cs="Palatino Linotype"/>
        </w:rPr>
        <w:t>Desglose del censo;</w:t>
      </w:r>
    </w:p>
    <w:p w14:paraId="10ED8948" w14:textId="77777777" w:rsidR="00E318A2" w:rsidRDefault="00327AA0">
      <w:pPr>
        <w:numPr>
          <w:ilvl w:val="0"/>
          <w:numId w:val="4"/>
        </w:numPr>
        <w:spacing w:line="360" w:lineRule="auto"/>
        <w:ind w:firstLine="981"/>
        <w:jc w:val="both"/>
        <w:rPr>
          <w:rFonts w:ascii="Palatino Linotype" w:eastAsia="Palatino Linotype" w:hAnsi="Palatino Linotype" w:cs="Palatino Linotype"/>
        </w:rPr>
      </w:pPr>
      <w:r>
        <w:rPr>
          <w:rFonts w:ascii="Palatino Linotype" w:eastAsia="Palatino Linotype" w:hAnsi="Palatino Linotype" w:cs="Palatino Linotype"/>
        </w:rPr>
        <w:t>Resumen del censo;</w:t>
      </w:r>
    </w:p>
    <w:p w14:paraId="03B8372C" w14:textId="77777777" w:rsidR="00E318A2" w:rsidRDefault="00327AA0">
      <w:pPr>
        <w:numPr>
          <w:ilvl w:val="0"/>
          <w:numId w:val="4"/>
        </w:numPr>
        <w:spacing w:line="360" w:lineRule="auto"/>
        <w:ind w:firstLine="981"/>
        <w:jc w:val="both"/>
        <w:rPr>
          <w:rFonts w:ascii="Palatino Linotype" w:eastAsia="Palatino Linotype" w:hAnsi="Palatino Linotype" w:cs="Palatino Linotype"/>
        </w:rPr>
      </w:pPr>
      <w:r>
        <w:rPr>
          <w:rFonts w:ascii="Palatino Linotype" w:eastAsia="Palatino Linotype" w:hAnsi="Palatino Linotype" w:cs="Palatino Linotype"/>
        </w:rPr>
        <w:t>Minuta;</w:t>
      </w:r>
    </w:p>
    <w:p w14:paraId="4D29464F" w14:textId="77777777" w:rsidR="00E318A2" w:rsidRDefault="00327AA0">
      <w:pPr>
        <w:numPr>
          <w:ilvl w:val="0"/>
          <w:numId w:val="4"/>
        </w:numPr>
        <w:spacing w:line="360" w:lineRule="auto"/>
        <w:ind w:firstLine="981"/>
        <w:jc w:val="both"/>
        <w:rPr>
          <w:rFonts w:ascii="Palatino Linotype" w:eastAsia="Palatino Linotype" w:hAnsi="Palatino Linotype" w:cs="Palatino Linotype"/>
        </w:rPr>
      </w:pPr>
      <w:r>
        <w:rPr>
          <w:rFonts w:ascii="Palatino Linotype" w:eastAsia="Palatino Linotype" w:hAnsi="Palatino Linotype" w:cs="Palatino Linotype"/>
        </w:rPr>
        <w:t xml:space="preserve">Reporte de alta, bajas o modificaciones; </w:t>
      </w:r>
    </w:p>
    <w:p w14:paraId="437B2ECC" w14:textId="77777777" w:rsidR="00E318A2" w:rsidRDefault="00327AA0">
      <w:pPr>
        <w:numPr>
          <w:ilvl w:val="0"/>
          <w:numId w:val="4"/>
        </w:numPr>
        <w:spacing w:line="360" w:lineRule="auto"/>
        <w:ind w:firstLine="981"/>
        <w:jc w:val="both"/>
        <w:rPr>
          <w:rFonts w:ascii="Palatino Linotype" w:eastAsia="Palatino Linotype" w:hAnsi="Palatino Linotype" w:cs="Palatino Linotype"/>
        </w:rPr>
      </w:pPr>
      <w:r>
        <w:rPr>
          <w:rFonts w:ascii="Palatino Linotype" w:eastAsia="Palatino Linotype" w:hAnsi="Palatino Linotype" w:cs="Palatino Linotype"/>
        </w:rPr>
        <w:t>Reporte de correcciones de lámparas 24 horas, y</w:t>
      </w:r>
    </w:p>
    <w:p w14:paraId="67BF29BD" w14:textId="77777777" w:rsidR="00E318A2" w:rsidRDefault="00327AA0">
      <w:pPr>
        <w:numPr>
          <w:ilvl w:val="0"/>
          <w:numId w:val="4"/>
        </w:numPr>
        <w:spacing w:line="360" w:lineRule="auto"/>
        <w:ind w:left="2127" w:hanging="425"/>
        <w:jc w:val="both"/>
        <w:rPr>
          <w:rFonts w:ascii="Palatino Linotype" w:eastAsia="Palatino Linotype" w:hAnsi="Palatino Linotype" w:cs="Palatino Linotype"/>
        </w:rPr>
      </w:pPr>
      <w:r>
        <w:rPr>
          <w:rFonts w:ascii="Palatino Linotype" w:eastAsia="Palatino Linotype" w:hAnsi="Palatino Linotype" w:cs="Palatino Linotype"/>
        </w:rPr>
        <w:t>Formato de verificación de ahorros de lámparas de alumbrado  público con atenuador.</w:t>
      </w:r>
    </w:p>
    <w:p w14:paraId="2BB12B80" w14:textId="77777777" w:rsidR="00E318A2" w:rsidRDefault="00E318A2">
      <w:pPr>
        <w:spacing w:line="360" w:lineRule="auto"/>
        <w:jc w:val="both"/>
        <w:rPr>
          <w:rFonts w:ascii="Palatino Linotype" w:eastAsia="Palatino Linotype" w:hAnsi="Palatino Linotype" w:cs="Palatino Linotype"/>
        </w:rPr>
      </w:pPr>
    </w:p>
    <w:p w14:paraId="46DEA04C"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las documentales que obran en el expediente electrónico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remitir información sobre este requerimiento; por lo que, al no proporcionar información relativa a este punto de la solicitud, éste deberá realizar una búsqueda exhaustiva y razonable en todos los archivos, sobre todo de la Dirección de Servicios Públicos a efecto de que proporcione todos los documentos que conforman el censo más reciente generado por el Ayuntamiento.</w:t>
      </w:r>
    </w:p>
    <w:p w14:paraId="65B8526F" w14:textId="77777777" w:rsidR="00E318A2" w:rsidRDefault="00E318A2">
      <w:pPr>
        <w:spacing w:line="360" w:lineRule="auto"/>
        <w:jc w:val="both"/>
        <w:rPr>
          <w:rFonts w:ascii="Palatino Linotype" w:eastAsia="Palatino Linotype" w:hAnsi="Palatino Linotype" w:cs="Palatino Linotype"/>
        </w:rPr>
      </w:pPr>
    </w:p>
    <w:p w14:paraId="6B3F4975"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se localizó en la página de internet https://campusdcoc.cfe.mx/cvdcsr/pluginfile.php/31041/mod_resource/content/0/Manual%20de%20Procedimiento%20para%20Integraci%C3%B3n%20de%20Consumos%20de%20Servicios%20de%20Alumbrado%20P%C3%Bablico%2C%20Sem%C3%A1foros%20y%20Otras%20Cargas%20Directas.pdf, el documento denominado </w:t>
      </w:r>
      <w:r>
        <w:rPr>
          <w:rFonts w:ascii="Palatino Linotype" w:eastAsia="Palatino Linotype" w:hAnsi="Palatino Linotype" w:cs="Palatino Linotype"/>
          <w:b/>
          <w:i/>
        </w:rPr>
        <w:t>Manual de Procedimiento para la Integración de Consumos de los Servicios de Alumbrado Público, Semáforos y otras Cargas Directas de 2018</w:t>
      </w:r>
      <w:r>
        <w:rPr>
          <w:rFonts w:ascii="Palatino Linotype" w:eastAsia="Palatino Linotype" w:hAnsi="Palatino Linotype" w:cs="Palatino Linotype"/>
        </w:rPr>
        <w:t>,  con un ámbito de aplicación local en áreas de servicio al cliente en CFE distribución, del cual se desprende lo siguiente:</w:t>
      </w:r>
    </w:p>
    <w:p w14:paraId="75F2053D" w14:textId="77777777" w:rsidR="00E318A2" w:rsidRDefault="00E318A2">
      <w:pPr>
        <w:spacing w:line="360" w:lineRule="auto"/>
        <w:jc w:val="both"/>
        <w:rPr>
          <w:rFonts w:ascii="Palatino Linotype" w:eastAsia="Palatino Linotype" w:hAnsi="Palatino Linotype" w:cs="Palatino Linotype"/>
        </w:rPr>
      </w:pPr>
    </w:p>
    <w:p w14:paraId="60BFD930" w14:textId="77777777" w:rsidR="00E318A2" w:rsidRDefault="00327AA0">
      <w:pPr>
        <w:spacing w:line="360" w:lineRule="auto"/>
        <w:ind w:left="851" w:right="75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“1. INTRODUCCIÓN </w:t>
      </w:r>
    </w:p>
    <w:p w14:paraId="3AFBF329"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Derivado de la publicación de los Términos de la Estricta Separación Legal de la Comisión Federal de Electricidad y la Ley de la Industria Eléctrica, </w:t>
      </w:r>
      <w:r>
        <w:rPr>
          <w:rFonts w:ascii="Palatino Linotype" w:eastAsia="Palatino Linotype" w:hAnsi="Palatino Linotype" w:cs="Palatino Linotype"/>
          <w:b/>
          <w:i/>
          <w:sz w:val="22"/>
          <w:szCs w:val="22"/>
        </w:rPr>
        <w:t>los usuarios de alumbrado público, semáforos y otras cargas directas tendrán que celebrar un contrato con un suministrador,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por lo que CFE Distribución </w:t>
      </w:r>
      <w:r>
        <w:rPr>
          <w:rFonts w:ascii="Palatino Linotype" w:eastAsia="Palatino Linotype" w:hAnsi="Palatino Linotype" w:cs="Palatino Linotype"/>
          <w:b/>
          <w:i/>
          <w:sz w:val="22"/>
          <w:szCs w:val="22"/>
        </w:rPr>
        <w:lastRenderedPageBreak/>
        <w:t>deberá establecer canales de comunicación y coordinación con los suministradores para la realización y actualización de los contratos. Para llevar a cabo los censos de alumbrado público, semáforos y otras cargas directas se requerirá la interacción entre el usuario y CFE Distribución</w:t>
      </w:r>
      <w:r>
        <w:rPr>
          <w:rFonts w:ascii="Palatino Linotype" w:eastAsia="Palatino Linotype" w:hAnsi="Palatino Linotype" w:cs="Palatino Linotype"/>
          <w:i/>
          <w:sz w:val="22"/>
          <w:szCs w:val="22"/>
        </w:rPr>
        <w:t xml:space="preserve">. </w:t>
      </w:r>
    </w:p>
    <w:p w14:paraId="6EAC34DF" w14:textId="77777777" w:rsidR="00E318A2" w:rsidRDefault="00E318A2">
      <w:pPr>
        <w:spacing w:line="360" w:lineRule="auto"/>
        <w:ind w:left="851" w:right="758"/>
        <w:jc w:val="both"/>
        <w:rPr>
          <w:rFonts w:ascii="Palatino Linotype" w:eastAsia="Palatino Linotype" w:hAnsi="Palatino Linotype" w:cs="Palatino Linotype"/>
          <w:i/>
          <w:sz w:val="22"/>
          <w:szCs w:val="22"/>
        </w:rPr>
      </w:pPr>
    </w:p>
    <w:p w14:paraId="5F754C11"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base en lo establecido en el Reglamento de la Ley de la Industria Eléctrica, las obras e instalaciones requeridas para la prestación del servicio de alumbrado público no se considerarán elementos del Sistema Eléctrico Nacional, por lo que los responsables de los sistemas de alumbrado público serán los encargados de su construcción, operación, mantenimiento y reparación. La ejecución de los proyectos y demás trabajos relacionados con los servicios de alumbrado público no serán materia del servicio público de distribución, por lo que no estarán a cargo de CFE Distribución. </w:t>
      </w:r>
    </w:p>
    <w:p w14:paraId="31F40829" w14:textId="77777777" w:rsidR="00E318A2" w:rsidRDefault="00E318A2">
      <w:pPr>
        <w:spacing w:line="360" w:lineRule="auto"/>
        <w:ind w:left="851" w:right="758"/>
        <w:jc w:val="both"/>
        <w:rPr>
          <w:rFonts w:ascii="Palatino Linotype" w:eastAsia="Palatino Linotype" w:hAnsi="Palatino Linotype" w:cs="Palatino Linotype"/>
          <w:i/>
          <w:sz w:val="22"/>
          <w:szCs w:val="22"/>
        </w:rPr>
      </w:pPr>
    </w:p>
    <w:p w14:paraId="79E9DA84"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Existen servicios de alumbrado público, semáforos y otras cargas directas que, por solicitud del usuario al suministrador, requieren la integración del consumo de energía eléctrica por parte de CFE Distribución mediante una base de estimación determinada por un censo de las cargas instaladas, por lo cual es importante realizar de manera sistemática y ordenada los censos de alumbrado público, semáforos y otras cargas directas en todo el país. </w:t>
      </w:r>
    </w:p>
    <w:p w14:paraId="1B71010D" w14:textId="77777777" w:rsidR="00E318A2" w:rsidRDefault="00E318A2">
      <w:pPr>
        <w:spacing w:line="360" w:lineRule="auto"/>
        <w:ind w:left="851" w:right="758"/>
        <w:jc w:val="both"/>
        <w:rPr>
          <w:rFonts w:ascii="Palatino Linotype" w:eastAsia="Palatino Linotype" w:hAnsi="Palatino Linotype" w:cs="Palatino Linotype"/>
          <w:b/>
          <w:i/>
          <w:sz w:val="22"/>
          <w:szCs w:val="22"/>
        </w:rPr>
      </w:pPr>
    </w:p>
    <w:p w14:paraId="59421661"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3. OBJETIVO</w:t>
      </w:r>
      <w:r>
        <w:rPr>
          <w:rFonts w:ascii="Palatino Linotype" w:eastAsia="Palatino Linotype" w:hAnsi="Palatino Linotype" w:cs="Palatino Linotype"/>
          <w:i/>
          <w:sz w:val="22"/>
          <w:szCs w:val="22"/>
        </w:rPr>
        <w:t xml:space="preserve"> </w:t>
      </w:r>
    </w:p>
    <w:p w14:paraId="57616C17"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Normalizar los criterios y la metodología de atención de las modificaciones de servicios de alumbrado públic</w:t>
      </w:r>
      <w:r>
        <w:rPr>
          <w:rFonts w:ascii="Palatino Linotype" w:eastAsia="Palatino Linotype" w:hAnsi="Palatino Linotype" w:cs="Palatino Linotype"/>
          <w:i/>
          <w:sz w:val="22"/>
          <w:szCs w:val="22"/>
        </w:rPr>
        <w:t>o, semáforos y otras cargas directas, para la correcta integración de los consumos de energía eléctrica.</w:t>
      </w:r>
    </w:p>
    <w:p w14:paraId="4F7C9AED" w14:textId="77777777" w:rsidR="00E318A2" w:rsidRDefault="00E318A2">
      <w:pPr>
        <w:spacing w:line="360" w:lineRule="auto"/>
        <w:ind w:left="851" w:right="758"/>
        <w:jc w:val="both"/>
        <w:rPr>
          <w:rFonts w:ascii="Palatino Linotype" w:eastAsia="Palatino Linotype" w:hAnsi="Palatino Linotype" w:cs="Palatino Linotype"/>
          <w:i/>
          <w:sz w:val="22"/>
          <w:szCs w:val="22"/>
        </w:rPr>
      </w:pPr>
    </w:p>
    <w:p w14:paraId="7A505780" w14:textId="77777777" w:rsidR="00E318A2" w:rsidRDefault="00327AA0">
      <w:pPr>
        <w:pBdr>
          <w:top w:val="nil"/>
          <w:left w:val="nil"/>
          <w:bottom w:val="nil"/>
          <w:right w:val="nil"/>
          <w:between w:val="nil"/>
        </w:pBdr>
        <w:spacing w:line="360" w:lineRule="auto"/>
        <w:ind w:left="720" w:right="75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POLÍTICA</w:t>
      </w:r>
    </w:p>
    <w:p w14:paraId="7739CECB"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Integrar correctamente los consumos de energía eléctrica de los servicios de alumbrado público</w:t>
      </w:r>
      <w:r>
        <w:rPr>
          <w:rFonts w:ascii="Palatino Linotype" w:eastAsia="Palatino Linotype" w:hAnsi="Palatino Linotype" w:cs="Palatino Linotype"/>
          <w:i/>
          <w:sz w:val="22"/>
          <w:szCs w:val="22"/>
        </w:rPr>
        <w:t>, semáforos y otras cargas directas para efectuar oportunamente las actualizaciones de carga de estos servicios.</w:t>
      </w:r>
    </w:p>
    <w:p w14:paraId="7FBF4757" w14:textId="77777777" w:rsidR="00E318A2" w:rsidRDefault="00E318A2">
      <w:pPr>
        <w:ind w:left="851" w:right="758"/>
        <w:rPr>
          <w:i/>
          <w:sz w:val="22"/>
          <w:szCs w:val="22"/>
        </w:rPr>
      </w:pPr>
    </w:p>
    <w:p w14:paraId="6820CFB6" w14:textId="77777777" w:rsidR="00E318A2" w:rsidRDefault="00327AA0">
      <w:pPr>
        <w:pBdr>
          <w:top w:val="nil"/>
          <w:left w:val="nil"/>
          <w:bottom w:val="nil"/>
          <w:right w:val="nil"/>
          <w:between w:val="nil"/>
        </w:pBdr>
        <w:ind w:left="720" w:right="758"/>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NORMAS</w:t>
      </w:r>
    </w:p>
    <w:p w14:paraId="4DCD63BD"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B7835B5" w14:textId="77777777" w:rsidR="00E318A2" w:rsidRDefault="00327AA0">
      <w:pPr>
        <w:spacing w:line="360" w:lineRule="auto"/>
        <w:ind w:left="851" w:right="75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CENSOS</w:t>
      </w:r>
    </w:p>
    <w:p w14:paraId="2DB137BF"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B46FCF"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llevará cabo la ejecución de los censos de alumbrado público, semáforos y otras cargas directas de la siguiente manera:</w:t>
      </w:r>
    </w:p>
    <w:p w14:paraId="5F320E5F" w14:textId="77777777" w:rsidR="00E318A2" w:rsidRDefault="00327AA0">
      <w:pPr>
        <w:spacing w:line="360" w:lineRule="auto"/>
        <w:ind w:left="851" w:right="758"/>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 </w:t>
      </w:r>
      <w:r>
        <w:rPr>
          <w:rFonts w:ascii="Palatino Linotype" w:eastAsia="Palatino Linotype" w:hAnsi="Palatino Linotype" w:cs="Palatino Linotype"/>
          <w:b/>
          <w:i/>
          <w:sz w:val="22"/>
          <w:szCs w:val="22"/>
        </w:rPr>
        <w:t>Se coordinará con el representante del sistema de alumbrado público o el particular, para llevar a cabo el levantamiento en campo de manera conjunta con personal de ambas partes.</w:t>
      </w:r>
    </w:p>
    <w:p w14:paraId="1E5E38DE"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Se identificarán en un plano las luminarias y equipos que integran cada servicio, ya sean medidos o directos.</w:t>
      </w:r>
    </w:p>
    <w:p w14:paraId="1FB86BC6"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Se sectorizará el área geográfica para identificar los servicios correspondientes.</w:t>
      </w:r>
    </w:p>
    <w:p w14:paraId="010B5D94" w14:textId="77777777" w:rsidR="00E318A2" w:rsidRDefault="00327AA0">
      <w:pPr>
        <w:spacing w:line="360" w:lineRule="auto"/>
        <w:ind w:left="851" w:right="758"/>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 </w:t>
      </w:r>
      <w:r>
        <w:rPr>
          <w:rFonts w:ascii="Palatino Linotype" w:eastAsia="Palatino Linotype" w:hAnsi="Palatino Linotype" w:cs="Palatino Linotype"/>
          <w:b/>
          <w:i/>
          <w:sz w:val="22"/>
          <w:szCs w:val="22"/>
        </w:rPr>
        <w:t>Se elaborarán los censos de alumbrado público, semáforos y otras cargas directas, relativos a cada servicio por sector y se continuará de la misma manera con los sectores restantes hasta cubrir la totalidad del área geográfica, incluyendo las poblaciones rurales y comunidades, si así fuera el caso.</w:t>
      </w:r>
    </w:p>
    <w:p w14:paraId="2C11B7A8"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El levantamiento físico para ubicar las luminarias y otras cargas directas deberá contar con las georeferencias correspondientes.</w:t>
      </w:r>
    </w:p>
    <w:p w14:paraId="3EBF670C"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f) Una vez concluido el censo de todos los sectores, se iniciará el proceso de preparación del nuevo censo con el primer sector, de tal manera que el programa de censos de alumbrado público, semáforos y otras cargas directas sea lo más continuo posible.</w:t>
      </w:r>
    </w:p>
    <w:p w14:paraId="4FE1137C"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g) Se deberá realizar un censo de alumbrado púbico, semáforos y otras cargas directas al menos una vez al año.</w:t>
      </w:r>
    </w:p>
    <w:p w14:paraId="08B54F39" w14:textId="77777777" w:rsidR="00E318A2" w:rsidRDefault="00E318A2">
      <w:pPr>
        <w:spacing w:line="360" w:lineRule="auto"/>
        <w:ind w:left="851" w:right="758"/>
        <w:jc w:val="both"/>
        <w:rPr>
          <w:rFonts w:ascii="Palatino Linotype" w:eastAsia="Palatino Linotype" w:hAnsi="Palatino Linotype" w:cs="Palatino Linotype"/>
          <w:i/>
          <w:sz w:val="22"/>
          <w:szCs w:val="22"/>
        </w:rPr>
      </w:pPr>
    </w:p>
    <w:p w14:paraId="2EACE2A6"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Una vez ejecutado el censo y acordado el resultado con el representante del sistema de alumbrado público o el particular</w:t>
      </w:r>
      <w:r>
        <w:rPr>
          <w:rFonts w:ascii="Palatino Linotype" w:eastAsia="Palatino Linotype" w:hAnsi="Palatino Linotype" w:cs="Palatino Linotype"/>
          <w:i/>
          <w:sz w:val="22"/>
          <w:szCs w:val="22"/>
        </w:rPr>
        <w:t>, se entregará por escrito al suministrador el resultado obtenido del mismo incluyendo cargos o créditos que procedan, en un máximo de 10 días naturales después de terminado el censo de cada sector, municipio o delegación.</w:t>
      </w:r>
    </w:p>
    <w:p w14:paraId="397FC2D6" w14:textId="77777777" w:rsidR="00E318A2" w:rsidRDefault="00E318A2">
      <w:pPr>
        <w:spacing w:line="360" w:lineRule="auto"/>
        <w:ind w:left="851" w:right="758"/>
        <w:jc w:val="both"/>
        <w:rPr>
          <w:rFonts w:ascii="Palatino Linotype" w:eastAsia="Palatino Linotype" w:hAnsi="Palatino Linotype" w:cs="Palatino Linotype"/>
          <w:i/>
          <w:sz w:val="22"/>
          <w:szCs w:val="22"/>
        </w:rPr>
      </w:pPr>
    </w:p>
    <w:p w14:paraId="75625EFC"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suministrador actualizará los contratos en un máximo de 15 días naturales después de recibir la comunicación por escrito de los datos finales del censo de cada sector, municipio o delegación, así mismo actualizará en su sistema comercial, la carga y demanda contratada, fecha del censo, número de lámparas y otros datos de modificaciones que puedan surgir a partir de la ejecución del censo. </w:t>
      </w:r>
    </w:p>
    <w:p w14:paraId="59E2E22E" w14:textId="77777777" w:rsidR="00E318A2" w:rsidRDefault="00327AA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eastAsia="zh-CN"/>
        </w:rPr>
        <w:lastRenderedPageBreak/>
        <w:drawing>
          <wp:inline distT="0" distB="0" distL="0" distR="0" wp14:anchorId="15A6DFC5" wp14:editId="3DE33945">
            <wp:extent cx="5430599" cy="7182836"/>
            <wp:effectExtent l="0" t="0" r="0" b="0"/>
            <wp:docPr id="1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430599" cy="7182836"/>
                    </a:xfrm>
                    <a:prstGeom prst="rect">
                      <a:avLst/>
                    </a:prstGeom>
                    <a:ln/>
                  </pic:spPr>
                </pic:pic>
              </a:graphicData>
            </a:graphic>
          </wp:inline>
        </w:drawing>
      </w:r>
    </w:p>
    <w:p w14:paraId="700BE9A2" w14:textId="77777777" w:rsidR="00E318A2" w:rsidRDefault="00E318A2">
      <w:pPr>
        <w:spacing w:line="360" w:lineRule="auto"/>
        <w:jc w:val="both"/>
        <w:rPr>
          <w:rFonts w:ascii="Palatino Linotype" w:eastAsia="Palatino Linotype" w:hAnsi="Palatino Linotype" w:cs="Palatino Linotype"/>
        </w:rPr>
      </w:pPr>
    </w:p>
    <w:p w14:paraId="140ECD69" w14:textId="77777777" w:rsidR="00E318A2" w:rsidRDefault="00327AA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zh-CN"/>
        </w:rPr>
        <w:drawing>
          <wp:inline distT="0" distB="0" distL="0" distR="0" wp14:anchorId="5118E874" wp14:editId="439A828E">
            <wp:extent cx="5051715" cy="6739882"/>
            <wp:effectExtent l="0" t="0" r="0" b="0"/>
            <wp:docPr id="1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051715" cy="6739882"/>
                    </a:xfrm>
                    <a:prstGeom prst="rect">
                      <a:avLst/>
                    </a:prstGeom>
                    <a:ln/>
                  </pic:spPr>
                </pic:pic>
              </a:graphicData>
            </a:graphic>
          </wp:inline>
        </w:drawing>
      </w:r>
    </w:p>
    <w:p w14:paraId="16EAFBCE" w14:textId="77777777" w:rsidR="00E318A2" w:rsidRDefault="00327AA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198F6851" wp14:editId="2DA1A007">
            <wp:extent cx="5054600" cy="6035040"/>
            <wp:effectExtent l="0" t="0" r="0" b="0"/>
            <wp:docPr id="1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054600" cy="6035040"/>
                    </a:xfrm>
                    <a:prstGeom prst="rect">
                      <a:avLst/>
                    </a:prstGeom>
                    <a:ln/>
                  </pic:spPr>
                </pic:pic>
              </a:graphicData>
            </a:graphic>
          </wp:inline>
        </w:drawing>
      </w:r>
    </w:p>
    <w:p w14:paraId="4FCACC53" w14:textId="77777777" w:rsidR="00E318A2" w:rsidRDefault="00327AA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2C84F3A7" wp14:editId="03840F9C">
            <wp:extent cx="5181600" cy="6934200"/>
            <wp:effectExtent l="0" t="0" r="0" b="0"/>
            <wp:docPr id="1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181600" cy="6934200"/>
                    </a:xfrm>
                    <a:prstGeom prst="rect">
                      <a:avLst/>
                    </a:prstGeom>
                    <a:ln/>
                  </pic:spPr>
                </pic:pic>
              </a:graphicData>
            </a:graphic>
          </wp:inline>
        </w:drawing>
      </w:r>
    </w:p>
    <w:p w14:paraId="320D78BA" w14:textId="77777777" w:rsidR="00E318A2" w:rsidRDefault="00327AA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7C578126" wp14:editId="440298D3">
            <wp:extent cx="5003800" cy="6197600"/>
            <wp:effectExtent l="0" t="0" r="0" b="0"/>
            <wp:docPr id="1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003800" cy="6197600"/>
                    </a:xfrm>
                    <a:prstGeom prst="rect">
                      <a:avLst/>
                    </a:prstGeom>
                    <a:ln/>
                  </pic:spPr>
                </pic:pic>
              </a:graphicData>
            </a:graphic>
          </wp:inline>
        </w:drawing>
      </w:r>
    </w:p>
    <w:p w14:paraId="49DD329D"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32ADA09C" wp14:editId="49F73EDD">
            <wp:extent cx="5835180" cy="7041025"/>
            <wp:effectExtent l="0" t="0" r="0" b="0"/>
            <wp:docPr id="1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5835180" cy="7041025"/>
                    </a:xfrm>
                    <a:prstGeom prst="rect">
                      <a:avLst/>
                    </a:prstGeom>
                    <a:ln/>
                  </pic:spPr>
                </pic:pic>
              </a:graphicData>
            </a:graphic>
          </wp:inline>
        </w:drawing>
      </w:r>
    </w:p>
    <w:p w14:paraId="45EB8FF8" w14:textId="77777777" w:rsidR="00E318A2" w:rsidRDefault="00327AA0">
      <w:pPr>
        <w:spacing w:line="360" w:lineRule="auto"/>
        <w:jc w:val="center"/>
        <w:rPr>
          <w:rFonts w:ascii="Palatino Linotype" w:eastAsia="Palatino Linotype" w:hAnsi="Palatino Linotype" w:cs="Palatino Linotype"/>
          <w:highlight w:val="green"/>
        </w:rPr>
      </w:pPr>
      <w:r>
        <w:rPr>
          <w:rFonts w:ascii="Palatino Linotype" w:eastAsia="Palatino Linotype" w:hAnsi="Palatino Linotype" w:cs="Palatino Linotype"/>
          <w:noProof/>
          <w:lang w:eastAsia="zh-CN"/>
        </w:rPr>
        <w:lastRenderedPageBreak/>
        <w:drawing>
          <wp:inline distT="0" distB="0" distL="0" distR="0" wp14:anchorId="2D3374FC" wp14:editId="2A1BB314">
            <wp:extent cx="5382216" cy="7052559"/>
            <wp:effectExtent l="0" t="0" r="0" b="0"/>
            <wp:docPr id="1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5382216" cy="7052559"/>
                    </a:xfrm>
                    <a:prstGeom prst="rect">
                      <a:avLst/>
                    </a:prstGeom>
                    <a:ln/>
                  </pic:spPr>
                </pic:pic>
              </a:graphicData>
            </a:graphic>
          </wp:inline>
        </w:drawing>
      </w:r>
    </w:p>
    <w:p w14:paraId="78FEFC40" w14:textId="77777777" w:rsidR="00E318A2" w:rsidRDefault="00327AA0">
      <w:pPr>
        <w:spacing w:line="360" w:lineRule="auto"/>
        <w:jc w:val="both"/>
        <w:rPr>
          <w:rFonts w:ascii="Palatino Linotype" w:eastAsia="Palatino Linotype" w:hAnsi="Palatino Linotype" w:cs="Palatino Linotype"/>
          <w:highlight w:val="green"/>
        </w:rPr>
      </w:pPr>
      <w:r>
        <w:rPr>
          <w:rFonts w:ascii="Palatino Linotype" w:eastAsia="Palatino Linotype" w:hAnsi="Palatino Linotype" w:cs="Palatino Linotype"/>
          <w:noProof/>
          <w:lang w:eastAsia="zh-CN"/>
        </w:rPr>
        <w:lastRenderedPageBreak/>
        <w:drawing>
          <wp:inline distT="0" distB="0" distL="0" distR="0" wp14:anchorId="03B1BD58" wp14:editId="54B9797D">
            <wp:extent cx="5491078" cy="5599277"/>
            <wp:effectExtent l="0" t="0" r="0" b="0"/>
            <wp:docPr id="1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491078" cy="5599277"/>
                    </a:xfrm>
                    <a:prstGeom prst="rect">
                      <a:avLst/>
                    </a:prstGeom>
                    <a:ln/>
                  </pic:spPr>
                </pic:pic>
              </a:graphicData>
            </a:graphic>
          </wp:inline>
        </w:drawing>
      </w:r>
    </w:p>
    <w:p w14:paraId="69201750" w14:textId="77777777" w:rsidR="00E318A2" w:rsidRDefault="00E318A2">
      <w:pPr>
        <w:spacing w:line="360" w:lineRule="auto"/>
        <w:jc w:val="both"/>
        <w:rPr>
          <w:rFonts w:ascii="Palatino Linotype" w:eastAsia="Palatino Linotype" w:hAnsi="Palatino Linotype" w:cs="Palatino Linotype"/>
        </w:rPr>
      </w:pPr>
    </w:p>
    <w:p w14:paraId="0F2B3FD7"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documento se desprende que los usuarios de alumbrado público, tendrán que celebrar un contrato con un Suministrador, por otra parte señala que para llevar a cabo los censos de alumbrado público, semáforos y otras cargas directas se requerirá de la interacción entre el usuario y CFE Distribución, y en la descripción </w:t>
      </w:r>
      <w:r>
        <w:rPr>
          <w:rFonts w:ascii="Palatino Linotype" w:eastAsia="Palatino Linotype" w:hAnsi="Palatino Linotype" w:cs="Palatino Linotype"/>
        </w:rPr>
        <w:lastRenderedPageBreak/>
        <w:t>de su procedimiento, podrán recibir una solicitud por parte de los usuarios para modificación de servicios de alumbrado público y que se llevará cabo la ejecución de los censos de alumbrado público, a través de la coordinación con el representante del sistema de alumbrado público o el particular, para llevar a cabo el levantamiento en campo de manera conjunta con personal de ambas partes,  elaborándose  los censos de alumbrado público, relativos a cada servicio por sector y que se deberá realizar un censo de alumbrado púbico, al menos una vez al año, notificando de manera oficial el nombre y cargo de los representantes de los municipios o delegaciones que participarán en el desarrollo de dicho censo.</w:t>
      </w:r>
    </w:p>
    <w:p w14:paraId="093CE48A" w14:textId="77777777" w:rsidR="00E318A2" w:rsidRDefault="00E318A2">
      <w:pPr>
        <w:spacing w:line="360" w:lineRule="auto"/>
        <w:jc w:val="both"/>
        <w:rPr>
          <w:rFonts w:ascii="Palatino Linotype" w:eastAsia="Palatino Linotype" w:hAnsi="Palatino Linotype" w:cs="Palatino Linotype"/>
        </w:rPr>
      </w:pPr>
    </w:p>
    <w:p w14:paraId="001835EA"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puede concluir que en efecto si bien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genera la información, si debe poseerla y administrarla pues participa en su elaboración como usuario del servicio, pero además dicha información es de acceso público ya que a través de esta se tiene la certeza de que la facturación que se está realizando por concepto de la prestación del servicio de energía eléctrica para la prestación del alumbrado público es la correcta, es decir, es proporcional con las lámparas y sus características y demás equipos que integran el alumbrado público, por lo que se puede concluir que en efecto cuenta con la información solicitada.</w:t>
      </w:r>
    </w:p>
    <w:p w14:paraId="3BD8F2D4"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0CE877ED"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conviene señalar que la información solicitada es pública, porque está respaldada en documentos que posee y administra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el cumplimiento de sus atribuciones de conformidad a la normatividad anteriormente descrita, en este sentido la Ley de la materia, establece que las dependencias y </w:t>
      </w:r>
      <w:r>
        <w:rPr>
          <w:rFonts w:ascii="Palatino Linotype" w:eastAsia="Palatino Linotype" w:hAnsi="Palatino Linotype" w:cs="Palatino Linotype"/>
        </w:rPr>
        <w:lastRenderedPageBreak/>
        <w:t>entidades públicas o cualquier autoridad estarán obligadas a entregar documentos que se encuentren en sus archivos; que la obligación de acceso a la información se dará por cumplida cuando se pongan a disposición del solicitante los documentos respectivos.</w:t>
      </w:r>
    </w:p>
    <w:p w14:paraId="4D4D7618" w14:textId="77777777" w:rsidR="00E318A2" w:rsidRDefault="00E318A2">
      <w:pPr>
        <w:spacing w:line="360" w:lineRule="auto"/>
        <w:jc w:val="both"/>
        <w:rPr>
          <w:rFonts w:ascii="Palatino Linotype" w:eastAsia="Palatino Linotype" w:hAnsi="Palatino Linotype" w:cs="Palatino Linotype"/>
        </w:rPr>
      </w:pPr>
    </w:p>
    <w:p w14:paraId="2FB85CFF"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para este pleno,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facultad de poseer la información solicitada por el hoy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lo que en este sentido se trata de información pública que debe obrar en los archivos del citado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y al ser información pública es que se debió entregar al hoy </w:t>
      </w:r>
      <w:r>
        <w:rPr>
          <w:rFonts w:ascii="Palatino Linotype" w:eastAsia="Palatino Linotype" w:hAnsi="Palatino Linotype" w:cs="Palatino Linotype"/>
          <w:b/>
        </w:rPr>
        <w:t>RECURRENT</w:t>
      </w:r>
      <w:r>
        <w:rPr>
          <w:rFonts w:ascii="Palatino Linotype" w:eastAsia="Palatino Linotype" w:hAnsi="Palatino Linotype" w:cs="Palatino Linotype"/>
        </w:rPr>
        <w:t xml:space="preserve">E, ya que como ha quedado asentado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deben proporcionar la información que generen en el ejercicio de sus atribuciones; a la vez que están obligados a proporcionar la información que obre en sus archivos. </w:t>
      </w:r>
    </w:p>
    <w:p w14:paraId="4ED47A27" w14:textId="77777777" w:rsidR="00E318A2" w:rsidRDefault="00E318A2">
      <w:pPr>
        <w:spacing w:line="360" w:lineRule="auto"/>
        <w:jc w:val="both"/>
        <w:rPr>
          <w:rFonts w:ascii="Palatino Linotype" w:eastAsia="Palatino Linotype" w:hAnsi="Palatino Linotype" w:cs="Palatino Linotype"/>
        </w:rPr>
      </w:pPr>
    </w:p>
    <w:p w14:paraId="485F0A00"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requiere el censo con características determinadas, por lo que al respecto resulta indispensable señalar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dará por satisfecho el Derecho de Acceso a la Información con la entrega del documento tal como se encuentre en sus archivos y como se haya generado, ello con fundamento en el artículo 160 de la Ley en la Materia. </w:t>
      </w:r>
    </w:p>
    <w:p w14:paraId="010F880E" w14:textId="77777777" w:rsidR="00E318A2" w:rsidRDefault="00E318A2">
      <w:pPr>
        <w:spacing w:line="360" w:lineRule="auto"/>
        <w:jc w:val="both"/>
        <w:rPr>
          <w:rFonts w:ascii="Palatino Linotype" w:eastAsia="Palatino Linotype" w:hAnsi="Palatino Linotype" w:cs="Palatino Linotype"/>
        </w:rPr>
      </w:pPr>
    </w:p>
    <w:p w14:paraId="4BE343B2"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anterior, es que se determina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dar cumplimiento a su obligación en materia de derecho de acceso a la información dando acceso al censo más reciente que obren en sus archivos, en la forma en la que </w:t>
      </w:r>
      <w:r>
        <w:rPr>
          <w:rFonts w:ascii="Palatino Linotype" w:eastAsia="Palatino Linotype" w:hAnsi="Palatino Linotype" w:cs="Palatino Linotype"/>
        </w:rPr>
        <w:lastRenderedPageBreak/>
        <w:t>fueron generados, finalmente no pasa desapercibido que dichos censos pudieron haber sido generados en administraciones pasadas, por lo anterior deberá realizar una búsqueda y localización de la información en el área competente, para generar, poseer y administrar la información, por lo que de conformidad con lo ya señalado en los artículos 46 y 52 del Bando Municipal de Naucalpan de Juárez 2019 – 2021, corresponde a la Secretaría de Servicios Públicos del Municipio la prestación del servicio público de alumbrado.</w:t>
      </w:r>
    </w:p>
    <w:p w14:paraId="68A8EFDC" w14:textId="77777777" w:rsidR="00E318A2" w:rsidRDefault="00E318A2">
      <w:pPr>
        <w:pBdr>
          <w:top w:val="nil"/>
          <w:left w:val="nil"/>
          <w:bottom w:val="nil"/>
          <w:right w:val="nil"/>
          <w:between w:val="nil"/>
        </w:pBdr>
        <w:spacing w:line="360" w:lineRule="auto"/>
        <w:jc w:val="both"/>
        <w:rPr>
          <w:rFonts w:ascii="Palatino Linotype" w:eastAsia="Palatino Linotype" w:hAnsi="Palatino Linotype" w:cs="Palatino Linotype"/>
          <w:b/>
          <w:i/>
        </w:rPr>
      </w:pPr>
    </w:p>
    <w:p w14:paraId="3406BB51" w14:textId="77777777" w:rsidR="00E318A2" w:rsidRDefault="00327AA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rPr>
        <w:t>Finalmente respecto al inciso C) relativo a</w:t>
      </w:r>
      <w:r>
        <w:rPr>
          <w:rFonts w:ascii="Palatino Linotype" w:eastAsia="Palatino Linotype" w:hAnsi="Palatino Linotype" w:cs="Palatino Linotype"/>
          <w:b/>
        </w:rPr>
        <w:t xml:space="preserve"> </w:t>
      </w:r>
      <w:r>
        <w:rPr>
          <w:rFonts w:ascii="Palatino Linotype" w:eastAsia="Palatino Linotype" w:hAnsi="Palatino Linotype" w:cs="Palatino Linotype"/>
          <w:b/>
          <w:i/>
          <w:color w:val="000000"/>
        </w:rPr>
        <w:t>Cualquier otro documento relacionado con el Derecho de Alumbrado Público, firmado por CFE y el municipio.</w:t>
      </w:r>
    </w:p>
    <w:p w14:paraId="014CD797" w14:textId="77777777" w:rsidR="00E318A2" w:rsidRDefault="00E318A2">
      <w:pPr>
        <w:spacing w:line="360" w:lineRule="auto"/>
        <w:jc w:val="both"/>
        <w:rPr>
          <w:rFonts w:ascii="Palatino Linotype" w:eastAsia="Palatino Linotype" w:hAnsi="Palatino Linotype" w:cs="Palatino Linotype"/>
        </w:rPr>
      </w:pPr>
    </w:p>
    <w:p w14:paraId="7BF76211"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ha quedado expuesto en las líneas que anteceden,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tanto en la respuesta como en el informe justificado, manifestó que era todo con lo que contaba,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sin embargo, del estudio se logró vislumbrar que </w:t>
      </w:r>
      <w:r>
        <w:rPr>
          <w:rFonts w:ascii="Palatino Linotype" w:eastAsia="Palatino Linotype" w:hAnsi="Palatino Linotype" w:cs="Palatino Linotype"/>
        </w:rPr>
        <w:t xml:space="preserve">debe obrar en sus archivos información adicional a la remitida, como lo son los anexos del convenio remitido en la respuesta, los anexos del censo como son, el desglose del censo; resumen del censo; Minuta; Reporte de alta, bajas o modificaciones; Reporte de correcciones de lámparas 24 horas, y Formato de verificación de ahorros de lámparas de alumbrado  público con atenuador, de igual manera deben obrar en sus archivos los recibos de pagos por concepto de alumbrado público ya que existen montos y pagos que realiza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la Comisión Federal de Electricidad por dicho concepto, respecto a esto último es de mencionar que el artículo 344 del Código Financiero del Estado de México y Municipios, indica que la Tesorería </w:t>
      </w:r>
      <w:r>
        <w:rPr>
          <w:rFonts w:ascii="Palatino Linotype" w:eastAsia="Palatino Linotype" w:hAnsi="Palatino Linotype" w:cs="Palatino Linotype"/>
        </w:rPr>
        <w:lastRenderedPageBreak/>
        <w:t>registrará contablemente el efecto patrimonial y presupuestal de las operaciones financieras que realicen, en el momento que ocurran; para lo cual todo registro contable y presupuestal, deberá estar soportado con los documentos comprobatorios originales.</w:t>
      </w:r>
    </w:p>
    <w:p w14:paraId="5C7A1871" w14:textId="77777777" w:rsidR="00E318A2" w:rsidRDefault="00E318A2">
      <w:pPr>
        <w:spacing w:line="360" w:lineRule="auto"/>
        <w:jc w:val="both"/>
        <w:rPr>
          <w:rFonts w:ascii="Palatino Linotype" w:eastAsia="Palatino Linotype" w:hAnsi="Palatino Linotype" w:cs="Palatino Linotype"/>
        </w:rPr>
      </w:pPr>
    </w:p>
    <w:p w14:paraId="53088C94"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deberá contar con el Registro Permanente de Usuario asignado al servicio de alumbrado público, del servicio estimado y medido, en ese contexto resulta necesario traer a colación el Acuerdo Número A/031/2016 que establece que el registro permanente de usuario es el número único de identificación. </w:t>
      </w:r>
    </w:p>
    <w:p w14:paraId="0A05E854" w14:textId="77777777" w:rsidR="00E318A2" w:rsidRDefault="00E318A2">
      <w:pPr>
        <w:spacing w:line="360" w:lineRule="auto"/>
        <w:jc w:val="both"/>
        <w:rPr>
          <w:rFonts w:ascii="Palatino Linotype" w:eastAsia="Palatino Linotype" w:hAnsi="Palatino Linotype" w:cs="Palatino Linotype"/>
        </w:rPr>
      </w:pPr>
    </w:p>
    <w:p w14:paraId="1FAE9AD6"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los Lineamientos para la asignación del Registro Móvil de Usuario (RMU), establece lo siguiente:</w:t>
      </w:r>
    </w:p>
    <w:p w14:paraId="0876BFB0"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EA48267" w14:textId="77777777" w:rsidR="00E318A2" w:rsidRDefault="00327AA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Registro Móvil de Usuario reemplazará al Registro Permanente de Usuario, utilizado por la Comisión Federal de Electricidad.</w:t>
      </w:r>
    </w:p>
    <w:p w14:paraId="182B7D7E" w14:textId="77777777" w:rsidR="00E318A2" w:rsidRDefault="00E318A2">
      <w:pPr>
        <w:spacing w:line="360" w:lineRule="auto"/>
        <w:jc w:val="both"/>
        <w:rPr>
          <w:rFonts w:ascii="Palatino Linotype" w:eastAsia="Palatino Linotype" w:hAnsi="Palatino Linotype" w:cs="Palatino Linotype"/>
        </w:rPr>
      </w:pPr>
    </w:p>
    <w:p w14:paraId="5779F69B" w14:textId="77777777" w:rsidR="00E318A2" w:rsidRDefault="00327AA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asignación del RMU a cada Usuario Final estará a cargo del Suministrador.</w:t>
      </w:r>
    </w:p>
    <w:p w14:paraId="7CF67C1C" w14:textId="77777777" w:rsidR="00E318A2" w:rsidRDefault="00E318A2">
      <w:pPr>
        <w:spacing w:line="360" w:lineRule="auto"/>
        <w:jc w:val="both"/>
        <w:rPr>
          <w:rFonts w:ascii="Palatino Linotype" w:eastAsia="Palatino Linotype" w:hAnsi="Palatino Linotype" w:cs="Palatino Linotype"/>
        </w:rPr>
      </w:pPr>
    </w:p>
    <w:p w14:paraId="17043C47" w14:textId="77777777" w:rsidR="00E318A2" w:rsidRDefault="00327AA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RMU se asignará y estará asociado a una instalación eléctrica independiente, en donde puede coexistir dos o más registros en el mismo inmueble o instalación.</w:t>
      </w:r>
    </w:p>
    <w:p w14:paraId="18893E3F" w14:textId="77777777" w:rsidR="00E318A2" w:rsidRDefault="00E318A2">
      <w:pPr>
        <w:spacing w:line="360" w:lineRule="auto"/>
        <w:jc w:val="both"/>
        <w:rPr>
          <w:rFonts w:ascii="Palatino Linotype" w:eastAsia="Palatino Linotype" w:hAnsi="Palatino Linotype" w:cs="Palatino Linotype"/>
        </w:rPr>
      </w:pPr>
    </w:p>
    <w:p w14:paraId="6425B12E" w14:textId="77777777" w:rsidR="00E318A2" w:rsidRDefault="00327AA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Dicho registro se conforma de quince caracteres alfanuméricos, tal como se observa a continuación:</w:t>
      </w:r>
    </w:p>
    <w:p w14:paraId="150B17B1" w14:textId="77777777" w:rsidR="00E318A2" w:rsidRDefault="00E318A2">
      <w:pPr>
        <w:spacing w:line="360" w:lineRule="auto"/>
        <w:jc w:val="both"/>
        <w:rPr>
          <w:rFonts w:ascii="Palatino Linotype" w:eastAsia="Palatino Linotype" w:hAnsi="Palatino Linotype" w:cs="Palatino Linotype"/>
        </w:rPr>
      </w:pPr>
    </w:p>
    <w:p w14:paraId="65989CF1" w14:textId="77777777" w:rsidR="00E318A2" w:rsidRDefault="00327AA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zh-CN"/>
        </w:rPr>
        <w:drawing>
          <wp:inline distT="0" distB="0" distL="0" distR="0" wp14:anchorId="6A7683CE" wp14:editId="5FAB560B">
            <wp:extent cx="3593291" cy="1285750"/>
            <wp:effectExtent l="0" t="0" r="0" b="0"/>
            <wp:docPr id="125" name="image21.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Tabla&#10;&#10;Descripción generada automáticamente"/>
                    <pic:cNvPicPr preferRelativeResize="0"/>
                  </pic:nvPicPr>
                  <pic:blipFill>
                    <a:blip r:embed="rId27"/>
                    <a:srcRect l="8812" r="10343" b="50000"/>
                    <a:stretch>
                      <a:fillRect/>
                    </a:stretch>
                  </pic:blipFill>
                  <pic:spPr>
                    <a:xfrm>
                      <a:off x="0" y="0"/>
                      <a:ext cx="3593291" cy="1285750"/>
                    </a:xfrm>
                    <a:prstGeom prst="rect">
                      <a:avLst/>
                    </a:prstGeom>
                    <a:ln/>
                  </pic:spPr>
                </pic:pic>
              </a:graphicData>
            </a:graphic>
          </wp:inline>
        </w:drawing>
      </w:r>
    </w:p>
    <w:p w14:paraId="2AC9B9DF" w14:textId="77777777" w:rsidR="00E318A2" w:rsidRDefault="00E318A2">
      <w:pPr>
        <w:spacing w:line="360" w:lineRule="auto"/>
        <w:jc w:val="both"/>
        <w:rPr>
          <w:rFonts w:ascii="Palatino Linotype" w:eastAsia="Palatino Linotype" w:hAnsi="Palatino Linotype" w:cs="Palatino Linotype"/>
        </w:rPr>
      </w:pPr>
    </w:p>
    <w:p w14:paraId="17EC5E34" w14:textId="77777777" w:rsidR="00E318A2" w:rsidRDefault="00327AA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zh-CN"/>
        </w:rPr>
        <w:drawing>
          <wp:inline distT="0" distB="0" distL="0" distR="0" wp14:anchorId="4B10C687" wp14:editId="5D9CFD69">
            <wp:extent cx="3836556" cy="1007016"/>
            <wp:effectExtent l="0" t="0" r="0" b="0"/>
            <wp:docPr id="126" name="image21.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Tabla&#10;&#10;Descripción generada automáticamente"/>
                    <pic:cNvPicPr preferRelativeResize="0"/>
                  </pic:nvPicPr>
                  <pic:blipFill>
                    <a:blip r:embed="rId27"/>
                    <a:srcRect l="3580" t="56622" r="7376" b="2980"/>
                    <a:stretch>
                      <a:fillRect/>
                    </a:stretch>
                  </pic:blipFill>
                  <pic:spPr>
                    <a:xfrm>
                      <a:off x="0" y="0"/>
                      <a:ext cx="3836556" cy="1007016"/>
                    </a:xfrm>
                    <a:prstGeom prst="rect">
                      <a:avLst/>
                    </a:prstGeom>
                    <a:ln/>
                  </pic:spPr>
                </pic:pic>
              </a:graphicData>
            </a:graphic>
          </wp:inline>
        </w:drawing>
      </w:r>
    </w:p>
    <w:p w14:paraId="61E6C196" w14:textId="77777777" w:rsidR="00E318A2" w:rsidRDefault="00E318A2">
      <w:pPr>
        <w:spacing w:line="360" w:lineRule="auto"/>
        <w:jc w:val="both"/>
        <w:rPr>
          <w:rFonts w:ascii="Palatino Linotype" w:eastAsia="Palatino Linotype" w:hAnsi="Palatino Linotype" w:cs="Palatino Linotype"/>
        </w:rPr>
      </w:pPr>
    </w:p>
    <w:p w14:paraId="6C9D8961"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conforme a la Resolución 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eléctrico, publicada el 18 de febrero de 2016, establece que el RMU estará compuesto por 27 caracteres alfanuméricos, tal como se observa:</w:t>
      </w:r>
    </w:p>
    <w:p w14:paraId="72AC5209" w14:textId="77777777" w:rsidR="00E318A2" w:rsidRDefault="00E318A2">
      <w:pPr>
        <w:spacing w:line="360" w:lineRule="auto"/>
        <w:jc w:val="both"/>
        <w:rPr>
          <w:rFonts w:ascii="Palatino Linotype" w:eastAsia="Palatino Linotype" w:hAnsi="Palatino Linotype" w:cs="Palatino Linotype"/>
        </w:rPr>
      </w:pPr>
    </w:p>
    <w:p w14:paraId="57D41097" w14:textId="77777777" w:rsidR="00E318A2" w:rsidRDefault="00327AA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zh-CN"/>
        </w:rPr>
        <w:lastRenderedPageBreak/>
        <w:drawing>
          <wp:inline distT="0" distB="0" distL="0" distR="0" wp14:anchorId="6AB29336" wp14:editId="5FC6784D">
            <wp:extent cx="4097571" cy="1094495"/>
            <wp:effectExtent l="0" t="0" r="0" b="0"/>
            <wp:docPr id="127" name="image20.png" descr="Diagrama,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0.png" descr="Diagrama, Texto&#10;&#10;Descripción generada automáticamente con confianza media"/>
                    <pic:cNvPicPr preferRelativeResize="0"/>
                  </pic:nvPicPr>
                  <pic:blipFill>
                    <a:blip r:embed="rId28"/>
                    <a:srcRect/>
                    <a:stretch>
                      <a:fillRect/>
                    </a:stretch>
                  </pic:blipFill>
                  <pic:spPr>
                    <a:xfrm>
                      <a:off x="0" y="0"/>
                      <a:ext cx="4097571" cy="1094495"/>
                    </a:xfrm>
                    <a:prstGeom prst="rect">
                      <a:avLst/>
                    </a:prstGeom>
                    <a:ln/>
                  </pic:spPr>
                </pic:pic>
              </a:graphicData>
            </a:graphic>
          </wp:inline>
        </w:drawing>
      </w:r>
    </w:p>
    <w:p w14:paraId="7D8D4B4A" w14:textId="77777777" w:rsidR="00E318A2" w:rsidRDefault="00E318A2">
      <w:pPr>
        <w:spacing w:line="360" w:lineRule="auto"/>
        <w:jc w:val="both"/>
        <w:rPr>
          <w:rFonts w:ascii="Palatino Linotype" w:eastAsia="Palatino Linotype" w:hAnsi="Palatino Linotype" w:cs="Palatino Linotype"/>
        </w:rPr>
      </w:pPr>
    </w:p>
    <w:p w14:paraId="308E5F4D" w14:textId="77777777" w:rsidR="00E318A2" w:rsidRDefault="00327AA0">
      <w:pPr>
        <w:spacing w:line="360" w:lineRule="auto"/>
        <w:jc w:val="both"/>
        <w:rPr>
          <w:rFonts w:ascii="Palatino Linotype" w:eastAsia="Palatino Linotype" w:hAnsi="Palatino Linotype" w:cs="Palatino Linotype"/>
          <w:highlight w:val="green"/>
        </w:rPr>
      </w:pPr>
      <w:bookmarkStart w:id="5" w:name="_heading=h.1t3h5sf" w:colFirst="0" w:colLast="0"/>
      <w:bookmarkEnd w:id="5"/>
      <w:r>
        <w:rPr>
          <w:rFonts w:ascii="Palatino Linotype" w:eastAsia="Palatino Linotype" w:hAnsi="Palatino Linotype" w:cs="Palatino Linotype"/>
        </w:rPr>
        <w:t xml:space="preserve">De tales consideraciones, se advierte que también existe el Registro Móvil de Usuario asignado al servicio de alumbrado público, del servicio estimado y medido; en ese sentido, resulta importante precisar que dicho dato se localiza en el recibo expedido por la Comisión Federal de Electricidad; documentos que no proporcionó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por lo anteriormente expuesto, se considera procedente ordenar la entrega, previa búsqueda exhaustiva y razonable en los archivos de las áreas competentes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la información con la que cuente relacionada con el Derecho de Alumbrado Público, derivada del contrato firmado por el CFE y el municipio el primero de enero de dos mil veinte.</w:t>
      </w:r>
    </w:p>
    <w:p w14:paraId="60EAEBE8" w14:textId="77777777" w:rsidR="00E318A2" w:rsidRDefault="00E318A2">
      <w:pPr>
        <w:spacing w:line="360" w:lineRule="auto"/>
        <w:jc w:val="both"/>
        <w:rPr>
          <w:rFonts w:ascii="Palatino Linotype" w:eastAsia="Palatino Linotype" w:hAnsi="Palatino Linotype" w:cs="Palatino Linotype"/>
        </w:rPr>
      </w:pPr>
    </w:p>
    <w:p w14:paraId="2F690271"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para este Instituto que los documentos que den cuenta de lo solicitado,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6A8F76C0" w14:textId="77777777" w:rsidR="00E318A2" w:rsidRDefault="00E318A2">
      <w:pPr>
        <w:spacing w:line="360" w:lineRule="auto"/>
        <w:jc w:val="both"/>
        <w:rPr>
          <w:rFonts w:ascii="Palatino Linotype" w:eastAsia="Palatino Linotype" w:hAnsi="Palatino Linotype" w:cs="Palatino Linotype"/>
        </w:rPr>
      </w:pPr>
    </w:p>
    <w:p w14:paraId="1CCB8B74"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7B1A39A" w14:textId="77777777" w:rsidR="00E318A2" w:rsidRDefault="00E318A2">
      <w:pPr>
        <w:spacing w:line="360" w:lineRule="auto"/>
        <w:jc w:val="both"/>
        <w:rPr>
          <w:rFonts w:ascii="Palatino Linotype" w:eastAsia="Palatino Linotype" w:hAnsi="Palatino Linotype" w:cs="Palatino Linotype"/>
        </w:rPr>
      </w:pPr>
      <w:bookmarkStart w:id="6" w:name="_heading=h.tyjcwt" w:colFirst="0" w:colLast="0"/>
      <w:bookmarkEnd w:id="6"/>
    </w:p>
    <w:p w14:paraId="04DE2936" w14:textId="77777777" w:rsidR="00E318A2" w:rsidRDefault="00327AA0">
      <w:pPr>
        <w:spacing w:line="360" w:lineRule="auto"/>
        <w:jc w:val="both"/>
        <w:rPr>
          <w:rFonts w:ascii="Palatino Linotype" w:eastAsia="Palatino Linotype" w:hAnsi="Palatino Linotype" w:cs="Palatino Linotype"/>
        </w:rPr>
      </w:pPr>
      <w:bookmarkStart w:id="7" w:name="_heading=h.3dy6vkm" w:colFirst="0" w:colLast="0"/>
      <w:bookmarkEnd w:id="7"/>
      <w:r>
        <w:rPr>
          <w:rFonts w:ascii="Palatino Linotype" w:eastAsia="Palatino Linotype" w:hAnsi="Palatino Linotype" w:cs="Palatino Linotype"/>
          <w:b/>
        </w:rPr>
        <w:t>Quinto. Versión Pública.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Para el caso de que el o los documentos de los cuales se ordena su entrega, contienen datos personales susceptibles de ser testados, deberán ser entregados en </w:t>
      </w:r>
      <w:r>
        <w:rPr>
          <w:rFonts w:ascii="Palatino Linotype" w:eastAsia="Palatino Linotype" w:hAnsi="Palatino Linotype" w:cs="Palatino Linotype"/>
          <w:b/>
        </w:rPr>
        <w:t>versión pública</w:t>
      </w:r>
      <w:r>
        <w:rPr>
          <w:rFonts w:ascii="Palatino Linotype" w:eastAsia="Palatino Linotype" w:hAnsi="Palatino Linotype" w:cs="Palatino Linotype"/>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9DF9D0F" w14:textId="77777777" w:rsidR="00E318A2" w:rsidRDefault="00E318A2">
      <w:pPr>
        <w:spacing w:line="360" w:lineRule="auto"/>
        <w:jc w:val="both"/>
        <w:rPr>
          <w:rFonts w:ascii="Palatino Linotype" w:eastAsia="Palatino Linotype" w:hAnsi="Palatino Linotype" w:cs="Palatino Linotype"/>
        </w:rPr>
      </w:pPr>
    </w:p>
    <w:p w14:paraId="72993B3D"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este respecto, los artículos 3, fracciones IX, XX, XXI y XLV; 51 y 52 de la Ley de Transparencia y Acceso a la Información Pública del Estado de México y Municipios establecen:</w:t>
      </w:r>
    </w:p>
    <w:p w14:paraId="7B82777C" w14:textId="77777777" w:rsidR="00E318A2" w:rsidRDefault="00E318A2">
      <w:pPr>
        <w:ind w:right="899"/>
        <w:jc w:val="both"/>
        <w:rPr>
          <w:rFonts w:ascii="Palatino Linotype" w:eastAsia="Palatino Linotype" w:hAnsi="Palatino Linotype" w:cs="Palatino Linotype"/>
        </w:rPr>
      </w:pPr>
    </w:p>
    <w:p w14:paraId="572ED8A4" w14:textId="77777777" w:rsidR="00E318A2" w:rsidRDefault="00327AA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Para los efectos de la presente Ley se entenderá por: </w:t>
      </w:r>
    </w:p>
    <w:p w14:paraId="3B39EA83" w14:textId="77777777" w:rsidR="00E318A2" w:rsidRDefault="00327A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Datos personales: </w:t>
      </w:r>
      <w:r>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37E682C0" w14:textId="77777777" w:rsidR="00E318A2" w:rsidRDefault="00327A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clasificada:</w:t>
      </w:r>
      <w:r>
        <w:rPr>
          <w:rFonts w:ascii="Palatino Linotype" w:eastAsia="Palatino Linotype" w:hAnsi="Palatino Linotype" w:cs="Palatino Linotype"/>
          <w:i/>
          <w:sz w:val="22"/>
          <w:szCs w:val="22"/>
        </w:rPr>
        <w:t xml:space="preserve"> Aquella considerada por la presente Ley como reservada o confidencial; </w:t>
      </w:r>
    </w:p>
    <w:p w14:paraId="2132CD74" w14:textId="77777777" w:rsidR="00E318A2" w:rsidRDefault="00327A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5009C7B" w14:textId="77777777" w:rsidR="00E318A2" w:rsidRDefault="00327A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737FDD24" w14:textId="77777777" w:rsidR="00E318A2" w:rsidRDefault="00327A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eastAsia="Palatino Linotype" w:hAnsi="Palatino Linotype" w:cs="Palatino Linotype"/>
          <w:b/>
          <w:i/>
          <w:sz w:val="22"/>
          <w:szCs w:val="22"/>
        </w:rPr>
        <w:t xml:space="preserve">y tendrá la responsabilidad de verificar en cada caso que la misma no sea confidencial o reservada. </w:t>
      </w:r>
      <w:r>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0B53B2B4" w14:textId="77777777" w:rsidR="00E318A2" w:rsidRDefault="00327A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52.</w:t>
      </w:r>
      <w:r>
        <w:rPr>
          <w:rFonts w:ascii="Palatino Linotype" w:eastAsia="Palatino Linotype" w:hAnsi="Palatino Linotype" w:cs="Palatino Linotype"/>
          <w:i/>
          <w:sz w:val="22"/>
          <w:szCs w:val="22"/>
        </w:rPr>
        <w:t xml:space="preserve"> Las solicitudes de acceso a la información y las respuestas que se les dé, incluyendo, en su caso, </w:t>
      </w:r>
      <w:r>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24FB6A5A" w14:textId="77777777" w:rsidR="00E318A2" w:rsidRDefault="00327AA0">
      <w:pPr>
        <w:ind w:right="899" w:firstLine="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5C2BB2B2" w14:textId="77777777" w:rsidR="00E318A2" w:rsidRDefault="00E318A2">
      <w:pPr>
        <w:ind w:right="899" w:firstLine="708"/>
        <w:jc w:val="both"/>
        <w:rPr>
          <w:rFonts w:ascii="Palatino Linotype" w:eastAsia="Palatino Linotype" w:hAnsi="Palatino Linotype" w:cs="Palatino Linotype"/>
        </w:rPr>
      </w:pPr>
    </w:p>
    <w:p w14:paraId="137332C1"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w:t>
      </w:r>
      <w:r>
        <w:rPr>
          <w:rFonts w:ascii="Palatino Linotype" w:eastAsia="Palatino Linotype" w:hAnsi="Palatino Linotype" w:cs="Palatino Linotype"/>
        </w:rPr>
        <w:lastRenderedPageBreak/>
        <w:t xml:space="preserve">Obligados del Estado de México y Municipios, los cuales se transcriben para mayor referencia: </w:t>
      </w:r>
    </w:p>
    <w:p w14:paraId="456ED2A8" w14:textId="77777777" w:rsidR="00E318A2" w:rsidRDefault="00E318A2">
      <w:pPr>
        <w:jc w:val="both"/>
        <w:rPr>
          <w:rFonts w:ascii="Palatino Linotype" w:eastAsia="Palatino Linotype" w:hAnsi="Palatino Linotype" w:cs="Palatino Linotype"/>
        </w:rPr>
      </w:pPr>
    </w:p>
    <w:p w14:paraId="479447E1"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w:t>
      </w:r>
      <w:r>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E965C34"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095C0C16"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38.</w:t>
      </w:r>
      <w:r>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w:t>
      </w:r>
    </w:p>
    <w:p w14:paraId="2B486FA0" w14:textId="77777777" w:rsidR="00E318A2" w:rsidRDefault="00E318A2">
      <w:pPr>
        <w:ind w:left="851" w:right="850"/>
        <w:jc w:val="both"/>
        <w:rPr>
          <w:rFonts w:ascii="Palatino Linotype" w:eastAsia="Palatino Linotype" w:hAnsi="Palatino Linotype" w:cs="Palatino Linotype"/>
          <w:i/>
          <w:sz w:val="22"/>
          <w:szCs w:val="22"/>
        </w:rPr>
      </w:pPr>
    </w:p>
    <w:p w14:paraId="14EF197B" w14:textId="77777777" w:rsidR="00E318A2" w:rsidRDefault="00E318A2">
      <w:pPr>
        <w:spacing w:line="360" w:lineRule="auto"/>
        <w:jc w:val="both"/>
        <w:rPr>
          <w:rFonts w:ascii="Palatino Linotype" w:eastAsia="Palatino Linotype" w:hAnsi="Palatino Linotype" w:cs="Palatino Linotype"/>
        </w:rPr>
      </w:pPr>
    </w:p>
    <w:p w14:paraId="33B13AAF"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1250B7D" w14:textId="77777777" w:rsidR="00E318A2" w:rsidRDefault="00E318A2">
      <w:pPr>
        <w:spacing w:line="360" w:lineRule="auto"/>
        <w:jc w:val="both"/>
        <w:rPr>
          <w:rFonts w:ascii="Palatino Linotype" w:eastAsia="Palatino Linotype" w:hAnsi="Palatino Linotype" w:cs="Palatino Linotype"/>
        </w:rPr>
      </w:pPr>
    </w:p>
    <w:p w14:paraId="753691EC"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rFonts w:ascii="Palatino Linotype" w:eastAsia="Palatino Linotype" w:hAnsi="Palatino Linotype" w:cs="Palatino Linotype"/>
          <w:b/>
        </w:rPr>
        <w:lastRenderedPageBreak/>
        <w:t>EL SUJETO OBLIGADO,</w:t>
      </w:r>
      <w:r>
        <w:rPr>
          <w:rFonts w:ascii="Palatino Linotype" w:eastAsia="Palatino Linotype" w:hAnsi="Palatino Linotype" w:cs="Palatino Linotype"/>
        </w:rPr>
        <w:t xml:space="preserve"> por lo que, todo dato personal susceptible de clasificación debe ser protegido.</w:t>
      </w:r>
    </w:p>
    <w:p w14:paraId="498910EE" w14:textId="77777777" w:rsidR="00E318A2" w:rsidRDefault="00E318A2">
      <w:pPr>
        <w:spacing w:line="360" w:lineRule="auto"/>
        <w:jc w:val="both"/>
        <w:rPr>
          <w:rFonts w:ascii="Palatino Linotype" w:eastAsia="Palatino Linotype" w:hAnsi="Palatino Linotype" w:cs="Palatino Linotype"/>
        </w:rPr>
      </w:pPr>
    </w:p>
    <w:p w14:paraId="2A5B6097"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E954A70" w14:textId="77777777" w:rsidR="00E318A2" w:rsidRDefault="00E318A2">
      <w:pPr>
        <w:spacing w:line="360" w:lineRule="auto"/>
        <w:jc w:val="both"/>
        <w:rPr>
          <w:rFonts w:ascii="Palatino Linotype" w:eastAsia="Palatino Linotype" w:hAnsi="Palatino Linotype" w:cs="Palatino Linotype"/>
        </w:rPr>
      </w:pPr>
    </w:p>
    <w:p w14:paraId="10556C67"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82C6A5C" w14:textId="77777777" w:rsidR="00E318A2" w:rsidRDefault="00E318A2">
      <w:pPr>
        <w:jc w:val="both"/>
        <w:rPr>
          <w:rFonts w:ascii="Palatino Linotype" w:eastAsia="Palatino Linotype" w:hAnsi="Palatino Linotype" w:cs="Palatino Linotype"/>
        </w:rPr>
      </w:pPr>
    </w:p>
    <w:p w14:paraId="1AF91514"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60AA68F2"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0488ED1A" w14:textId="77777777" w:rsidR="00E318A2" w:rsidRDefault="00E318A2">
      <w:pPr>
        <w:ind w:left="851" w:right="902"/>
        <w:jc w:val="both"/>
        <w:rPr>
          <w:rFonts w:ascii="Palatino Linotype" w:eastAsia="Palatino Linotype" w:hAnsi="Palatino Linotype" w:cs="Palatino Linotype"/>
          <w:i/>
          <w:sz w:val="22"/>
          <w:szCs w:val="22"/>
        </w:rPr>
      </w:pPr>
    </w:p>
    <w:p w14:paraId="13FCA21D"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5DE3F7B1"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0DA2343F"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22BAFA6E" w14:textId="77777777" w:rsidR="00E318A2" w:rsidRDefault="00327AA0">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III. Se generen versiones públicas para dar cumplimiento a las obligaciones de transparencia previstas en esta Ley.</w:t>
      </w:r>
      <w:r>
        <w:rPr>
          <w:rFonts w:ascii="Palatino Linotype" w:eastAsia="Palatino Linotype" w:hAnsi="Palatino Linotype" w:cs="Palatino Linotype"/>
          <w:b/>
          <w:i/>
          <w:sz w:val="22"/>
          <w:szCs w:val="22"/>
        </w:rPr>
        <w:t>”</w:t>
      </w:r>
    </w:p>
    <w:p w14:paraId="7A260182" w14:textId="77777777" w:rsidR="00E318A2" w:rsidRDefault="00E318A2">
      <w:pPr>
        <w:ind w:left="851" w:right="902"/>
        <w:jc w:val="both"/>
        <w:rPr>
          <w:rFonts w:ascii="Palatino Linotype" w:eastAsia="Palatino Linotype" w:hAnsi="Palatino Linotype" w:cs="Palatino Linotype"/>
          <w:b/>
          <w:i/>
          <w:sz w:val="22"/>
          <w:szCs w:val="22"/>
        </w:rPr>
      </w:pPr>
    </w:p>
    <w:p w14:paraId="1F14D73B"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7D91C7C6"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CA9F2DC" w14:textId="77777777" w:rsidR="00E318A2" w:rsidRDefault="00E318A2">
      <w:pPr>
        <w:ind w:left="851" w:right="902"/>
        <w:jc w:val="both"/>
        <w:rPr>
          <w:rFonts w:ascii="Palatino Linotype" w:eastAsia="Palatino Linotype" w:hAnsi="Palatino Linotype" w:cs="Palatino Linotype"/>
          <w:b/>
          <w:i/>
          <w:sz w:val="22"/>
          <w:szCs w:val="22"/>
        </w:rPr>
      </w:pPr>
    </w:p>
    <w:p w14:paraId="7ED6CC8B"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7AA4B51" w14:textId="77777777" w:rsidR="00EA443A" w:rsidRDefault="00EA443A">
      <w:pPr>
        <w:ind w:left="851" w:right="902"/>
        <w:jc w:val="both"/>
        <w:rPr>
          <w:rFonts w:ascii="Palatino Linotype" w:eastAsia="Palatino Linotype" w:hAnsi="Palatino Linotype" w:cs="Palatino Linotype"/>
          <w:i/>
          <w:sz w:val="22"/>
          <w:szCs w:val="22"/>
        </w:rPr>
      </w:pPr>
      <w:bookmarkStart w:id="8" w:name="_GoBack"/>
      <w:bookmarkEnd w:id="8"/>
    </w:p>
    <w:p w14:paraId="1171DC8C"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82697A3" w14:textId="77777777" w:rsidR="00E318A2" w:rsidRDefault="00E318A2">
      <w:pPr>
        <w:ind w:left="851" w:right="902"/>
        <w:jc w:val="both"/>
        <w:rPr>
          <w:rFonts w:ascii="Palatino Linotype" w:eastAsia="Palatino Linotype" w:hAnsi="Palatino Linotype" w:cs="Palatino Linotype"/>
          <w:b/>
          <w:i/>
          <w:sz w:val="22"/>
          <w:szCs w:val="22"/>
        </w:rPr>
      </w:pPr>
    </w:p>
    <w:p w14:paraId="5B942B92"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E585455" w14:textId="77777777" w:rsidR="00E318A2" w:rsidRDefault="00E318A2">
      <w:pPr>
        <w:ind w:left="851" w:right="902"/>
        <w:jc w:val="both"/>
        <w:rPr>
          <w:rFonts w:ascii="Palatino Linotype" w:eastAsia="Palatino Linotype" w:hAnsi="Palatino Linotype" w:cs="Palatino Linotype"/>
          <w:b/>
          <w:i/>
          <w:sz w:val="22"/>
          <w:szCs w:val="22"/>
        </w:rPr>
      </w:pPr>
    </w:p>
    <w:p w14:paraId="7DA827FA"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129FA0"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0829610" w14:textId="77777777" w:rsidR="00E318A2" w:rsidRDefault="00E318A2">
      <w:pPr>
        <w:ind w:left="851" w:right="902"/>
        <w:jc w:val="both"/>
        <w:rPr>
          <w:rFonts w:ascii="Palatino Linotype" w:eastAsia="Palatino Linotype" w:hAnsi="Palatino Linotype" w:cs="Palatino Linotype"/>
          <w:b/>
          <w:i/>
          <w:sz w:val="22"/>
          <w:szCs w:val="22"/>
        </w:rPr>
      </w:pPr>
    </w:p>
    <w:p w14:paraId="0CC3D4F5"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Séptimo.</w:t>
      </w:r>
      <w:r>
        <w:rPr>
          <w:rFonts w:ascii="Palatino Linotype" w:eastAsia="Palatino Linotype" w:hAnsi="Palatino Linotype" w:cs="Palatino Linotype"/>
          <w:i/>
          <w:sz w:val="22"/>
          <w:szCs w:val="22"/>
        </w:rPr>
        <w:t xml:space="preserve"> La clasificación de la información se llevará a cabo en el momento en que:</w:t>
      </w:r>
    </w:p>
    <w:p w14:paraId="4FCD791E"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18AC63FE"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2884D6ED"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B35F8CD"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0967484" w14:textId="77777777" w:rsidR="00E318A2" w:rsidRDefault="00E318A2">
      <w:pPr>
        <w:ind w:left="851" w:right="902"/>
        <w:jc w:val="both"/>
        <w:rPr>
          <w:rFonts w:ascii="Palatino Linotype" w:eastAsia="Palatino Linotype" w:hAnsi="Palatino Linotype" w:cs="Palatino Linotype"/>
          <w:b/>
          <w:i/>
          <w:sz w:val="22"/>
          <w:szCs w:val="22"/>
        </w:rPr>
      </w:pPr>
    </w:p>
    <w:p w14:paraId="1700AD98"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0105832"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E141D93"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4BF7F12"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17ABA3F"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C47BB28" w14:textId="77777777" w:rsidR="00E318A2" w:rsidRDefault="00E318A2">
      <w:pPr>
        <w:ind w:left="851" w:right="902"/>
        <w:jc w:val="both"/>
        <w:rPr>
          <w:rFonts w:ascii="Palatino Linotype" w:eastAsia="Palatino Linotype" w:hAnsi="Palatino Linotype" w:cs="Palatino Linotype"/>
          <w:b/>
          <w:i/>
          <w:sz w:val="22"/>
          <w:szCs w:val="22"/>
        </w:rPr>
      </w:pPr>
    </w:p>
    <w:p w14:paraId="46E3D72E"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C2E95C" w14:textId="77777777" w:rsidR="00E318A2" w:rsidRDefault="00E318A2">
      <w:pPr>
        <w:ind w:left="851" w:right="902"/>
        <w:jc w:val="both"/>
        <w:rPr>
          <w:rFonts w:ascii="Palatino Linotype" w:eastAsia="Palatino Linotype" w:hAnsi="Palatino Linotype" w:cs="Palatino Linotype"/>
          <w:b/>
          <w:i/>
          <w:sz w:val="22"/>
          <w:szCs w:val="22"/>
        </w:rPr>
      </w:pPr>
    </w:p>
    <w:p w14:paraId="297F4C9C"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w:t>
      </w:r>
      <w:r>
        <w:rPr>
          <w:rFonts w:ascii="Palatino Linotype" w:eastAsia="Palatino Linotype" w:hAnsi="Palatino Linotype" w:cs="Palatino Linotype"/>
          <w:i/>
          <w:sz w:val="22"/>
          <w:szCs w:val="22"/>
        </w:rPr>
        <w:lastRenderedPageBreak/>
        <w:t>adecuadamente la información clasificada, en los términos de los Lineamientos para la Organización y Conservación de Archivos.</w:t>
      </w:r>
    </w:p>
    <w:p w14:paraId="13AABC84" w14:textId="77777777" w:rsidR="00E318A2" w:rsidRDefault="00327A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80EBE24" w14:textId="77777777" w:rsidR="00E318A2" w:rsidRDefault="00E318A2">
      <w:pPr>
        <w:ind w:left="851" w:right="899"/>
        <w:jc w:val="both"/>
        <w:rPr>
          <w:rFonts w:ascii="Palatino Linotype" w:eastAsia="Palatino Linotype" w:hAnsi="Palatino Linotype" w:cs="Palatino Linotype"/>
          <w:b/>
          <w:i/>
          <w:sz w:val="22"/>
          <w:szCs w:val="22"/>
        </w:rPr>
      </w:pPr>
    </w:p>
    <w:p w14:paraId="08A128AC" w14:textId="77777777" w:rsidR="00E318A2" w:rsidRDefault="00327A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w:t>
      </w:r>
    </w:p>
    <w:p w14:paraId="29A20DCD" w14:textId="77777777" w:rsidR="00E318A2" w:rsidRDefault="00E318A2">
      <w:pPr>
        <w:ind w:left="851" w:right="899"/>
        <w:jc w:val="both"/>
        <w:rPr>
          <w:rFonts w:ascii="Palatino Linotype" w:eastAsia="Palatino Linotype" w:hAnsi="Palatino Linotype" w:cs="Palatino Linotype"/>
          <w:b/>
          <w:i/>
        </w:rPr>
      </w:pPr>
    </w:p>
    <w:p w14:paraId="48F8379B"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7A0FBE" w14:textId="77777777" w:rsidR="00E318A2" w:rsidRDefault="00E318A2">
      <w:pPr>
        <w:spacing w:line="360" w:lineRule="auto"/>
        <w:ind w:right="-93"/>
        <w:jc w:val="both"/>
        <w:rPr>
          <w:rFonts w:ascii="Palatino Linotype" w:eastAsia="Palatino Linotype" w:hAnsi="Palatino Linotype" w:cs="Palatino Linotype"/>
        </w:rPr>
      </w:pPr>
    </w:p>
    <w:p w14:paraId="66BAF571" w14:textId="77777777" w:rsidR="00E318A2" w:rsidRDefault="00327AA0">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Cabe hacer mención que la versión pública que elabore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cumplir con las formalidades exigidas en la Ley, por lo que para tal efecto emitirá el </w:t>
      </w:r>
      <w:r>
        <w:rPr>
          <w:rFonts w:ascii="Palatino Linotype" w:eastAsia="Palatino Linotype" w:hAnsi="Palatino Linotype" w:cs="Palatino Linotype"/>
          <w:b/>
        </w:rPr>
        <w:t>Acuerdo del Comité de Transparencia</w:t>
      </w:r>
      <w:r>
        <w:rPr>
          <w:rFonts w:ascii="Palatino Linotype" w:eastAsia="Palatino Linotype" w:hAnsi="Palatino Linotype" w:cs="Palatino Linotype"/>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Pr>
          <w:rFonts w:ascii="Palatino Linotype" w:eastAsia="Palatino Linotype" w:hAnsi="Palatino Linotype" w:cs="Palatino Linotype"/>
        </w:rPr>
        <w:lastRenderedPageBreak/>
        <w:t>puntual las razones de ello se estaría violentando desde un inicio el derecho de acceso a la información del solicitante.</w:t>
      </w:r>
    </w:p>
    <w:p w14:paraId="2D66CEFD" w14:textId="77777777" w:rsidR="00E318A2" w:rsidRDefault="00E318A2">
      <w:pPr>
        <w:spacing w:line="360" w:lineRule="auto"/>
        <w:jc w:val="both"/>
        <w:rPr>
          <w:rFonts w:ascii="Palatino Linotype" w:eastAsia="Palatino Linotype" w:hAnsi="Palatino Linotype" w:cs="Palatino Linotype"/>
        </w:rPr>
      </w:pPr>
    </w:p>
    <w:p w14:paraId="5C1F78B4"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y en mérito de lo expuesto en líneas anteriores, resultan fundadas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5784/INFOEM/IP/RR/2021</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00858/NAUCALPA/IP/2021.</w:t>
      </w:r>
    </w:p>
    <w:p w14:paraId="3E668574" w14:textId="77777777" w:rsidR="00E318A2" w:rsidRDefault="00E318A2">
      <w:pPr>
        <w:spacing w:line="360" w:lineRule="auto"/>
        <w:jc w:val="both"/>
        <w:rPr>
          <w:rFonts w:ascii="Palatino Linotype" w:eastAsia="Palatino Linotype" w:hAnsi="Palatino Linotype" w:cs="Palatino Linotype"/>
        </w:rPr>
      </w:pPr>
    </w:p>
    <w:p w14:paraId="7E1A9AD7" w14:textId="77777777" w:rsidR="00E318A2" w:rsidRDefault="00327A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DB312EE" w14:textId="77777777" w:rsidR="00E318A2" w:rsidRDefault="00327AA0">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39EA12CC" w14:textId="77777777"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Se</w:t>
      </w:r>
      <w:r>
        <w:rPr>
          <w:rFonts w:ascii="Palatino Linotype" w:eastAsia="Palatino Linotype" w:hAnsi="Palatino Linotype" w:cs="Palatino Linotype"/>
          <w:b/>
        </w:rPr>
        <w:t xml:space="preserve"> </w:t>
      </w:r>
      <w:r>
        <w:t xml:space="preserv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entregada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 xml:space="preserve">00858/NAUCALPA/IP/2021, </w:t>
      </w:r>
      <w:r>
        <w:rPr>
          <w:rFonts w:ascii="Palatino Linotype" w:eastAsia="Palatino Linotype" w:hAnsi="Palatino Linotype" w:cs="Palatino Linotype"/>
        </w:rPr>
        <w:t xml:space="preserve">por resultar fundadas las razones o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05784/INFOEM/IP/RR/2021,</w:t>
      </w:r>
      <w:r>
        <w:rPr>
          <w:rFonts w:ascii="Palatino Linotype" w:eastAsia="Palatino Linotype" w:hAnsi="Palatino Linotype" w:cs="Palatino Linotype"/>
        </w:rPr>
        <w:t xml:space="preserve"> en términos del considerando Cuarto de la presente Resolución.</w:t>
      </w:r>
    </w:p>
    <w:p w14:paraId="63DFE9E2" w14:textId="77777777" w:rsidR="00E318A2" w:rsidRDefault="00327AA0">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t>S</w:t>
      </w:r>
      <w:r>
        <w:rPr>
          <w:rFonts w:ascii="Palatino Linotype" w:eastAsia="Palatino Linotype" w:hAnsi="Palatino Linotype" w:cs="Palatino Linotype"/>
        </w:rPr>
        <w:t xml:space="preserve">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efecto de que haga entrega vía SAIMEX, y en su caso en versión pública en términos de los considerandos Cuarto y Quinto, los documentos donde conste:</w:t>
      </w:r>
    </w:p>
    <w:p w14:paraId="201C71C6" w14:textId="77777777" w:rsidR="00E318A2" w:rsidRDefault="00E318A2">
      <w:pPr>
        <w:spacing w:line="360" w:lineRule="auto"/>
        <w:ind w:right="-93"/>
        <w:jc w:val="both"/>
        <w:rPr>
          <w:rFonts w:ascii="Palatino Linotype" w:eastAsia="Palatino Linotype" w:hAnsi="Palatino Linotype" w:cs="Palatino Linotype"/>
        </w:rPr>
      </w:pPr>
    </w:p>
    <w:p w14:paraId="7E457744" w14:textId="77777777" w:rsidR="00E318A2" w:rsidRDefault="00327AA0">
      <w:pPr>
        <w:numPr>
          <w:ilvl w:val="0"/>
          <w:numId w:val="6"/>
        </w:num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anexos que forman parte del Contrato de Colaboración entre el Municipio de Naucalpan de Juárez y Comisión Federal de Electricidad 2020 -2021, que establecen o detallan los términos y condiciones para la recaudación y aplicación del Derecho por concepto de Alumbrado Público.</w:t>
      </w:r>
    </w:p>
    <w:p w14:paraId="49FD70B3" w14:textId="77777777" w:rsidR="00E318A2" w:rsidRDefault="00327AA0">
      <w:pPr>
        <w:numPr>
          <w:ilvl w:val="0"/>
          <w:numId w:val="6"/>
        </w:num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censo de alumbrado público del año dos mil veinte o en su caso, el más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reciente, que contenga el número de luminarias y balastros, el tipo de equipo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o poste, capacidad y aquellas que posean equipo de medición.</w:t>
      </w:r>
    </w:p>
    <w:p w14:paraId="1AD96CC1" w14:textId="77777777" w:rsidR="00E318A2" w:rsidRDefault="00327AA0">
      <w:pPr>
        <w:numPr>
          <w:ilvl w:val="0"/>
          <w:numId w:val="6"/>
        </w:numPr>
        <w:pBdr>
          <w:top w:val="nil"/>
          <w:left w:val="nil"/>
          <w:bottom w:val="nil"/>
          <w:right w:val="nil"/>
          <w:between w:val="nil"/>
        </w:pBdr>
        <w:spacing w:line="360" w:lineRule="auto"/>
        <w:ind w:right="-93"/>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highlight w:val="white"/>
        </w:rPr>
        <w:t>C</w:t>
      </w:r>
      <w:r>
        <w:rPr>
          <w:rFonts w:ascii="Palatino Linotype" w:eastAsia="Palatino Linotype" w:hAnsi="Palatino Linotype" w:cs="Palatino Linotype"/>
          <w:color w:val="000000"/>
          <w:highlight w:val="white"/>
        </w:rPr>
        <w:t>ualquier otro documento relacionado con el Derecho de Alumbrado Público, derivado del convenio firmado por CFE y el municipio</w:t>
      </w:r>
      <w:r>
        <w:rPr>
          <w:rFonts w:ascii="Palatino Linotype" w:eastAsia="Palatino Linotype" w:hAnsi="Palatino Linotype" w:cs="Palatino Linotype"/>
          <w:highlight w:val="white"/>
        </w:rPr>
        <w:t xml:space="preserve"> 2020-2021. </w:t>
      </w:r>
    </w:p>
    <w:p w14:paraId="222DE6E8" w14:textId="77777777" w:rsidR="00E318A2" w:rsidRDefault="00E318A2">
      <w:pPr>
        <w:pBdr>
          <w:top w:val="nil"/>
          <w:left w:val="nil"/>
          <w:bottom w:val="nil"/>
          <w:right w:val="nil"/>
          <w:between w:val="nil"/>
        </w:pBdr>
        <w:spacing w:line="360" w:lineRule="auto"/>
        <w:ind w:left="720" w:right="-93"/>
        <w:jc w:val="both"/>
        <w:rPr>
          <w:rFonts w:ascii="Palatino Linotype" w:eastAsia="Palatino Linotype" w:hAnsi="Palatino Linotype" w:cs="Palatino Linotype"/>
        </w:rPr>
      </w:pPr>
    </w:p>
    <w:p w14:paraId="56000E00" w14:textId="77777777" w:rsidR="00E318A2" w:rsidRDefault="00327AA0">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el caso de que los documentos localizados, contengan datos o información clasificada como confidencial, en términos del artículo 143, fracción I de la Ley de la materia, el Sujeto Obligado deberá elaborar las versiones públicas respectivas. En ese tenor, deberá emitir y entregar el acuerdo de su Comité de Transparencia, en donde, de manera fundada y motivada, confirme dicha clasificación.</w:t>
      </w:r>
    </w:p>
    <w:p w14:paraId="5B25E6EC" w14:textId="77777777" w:rsidR="00E318A2" w:rsidRDefault="00E318A2">
      <w:pPr>
        <w:spacing w:line="360" w:lineRule="auto"/>
        <w:ind w:right="-93"/>
        <w:jc w:val="both"/>
        <w:rPr>
          <w:rFonts w:ascii="Palatino Linotype" w:eastAsia="Palatino Linotype" w:hAnsi="Palatino Linotype" w:cs="Palatino Linotype"/>
        </w:rPr>
      </w:pPr>
    </w:p>
    <w:p w14:paraId="5818CC2A" w14:textId="77777777" w:rsidR="00E318A2" w:rsidRDefault="00327AA0">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highlight w:val="white"/>
        </w:rPr>
        <w:t xml:space="preserve">TERCERO. Notifíquese </w:t>
      </w:r>
      <w:r>
        <w:rPr>
          <w:rFonts w:ascii="Palatino Linotype" w:eastAsia="Palatino Linotype" w:hAnsi="Palatino Linotype" w:cs="Palatino Linotype"/>
          <w:highlight w:val="white"/>
        </w:rPr>
        <w:t>vía SAIMEX,</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al Titular de la Unidad de Transparencia del</w:t>
      </w:r>
      <w:r>
        <w:rPr>
          <w:rFonts w:ascii="Palatino Linotype" w:eastAsia="Palatino Linotype" w:hAnsi="Palatino Linotype" w:cs="Palatino Linotype"/>
          <w:b/>
          <w:highlight w:val="white"/>
        </w:rPr>
        <w:t xml:space="preserve"> SUJETO OBLIGADO</w:t>
      </w:r>
      <w:r>
        <w:rPr>
          <w:rFonts w:ascii="Palatino Linotype" w:eastAsia="Palatino Linotype" w:hAnsi="Palatino Linotype" w:cs="Palatino Linotype"/>
          <w:highlight w:val="white"/>
        </w:rPr>
        <w:t xml:space="preserve">, la presente resolución para que conforme a los artículos 186 último párrafo y 189 párrafo segundo de la Ley de Transparencia y Acceso a la </w:t>
      </w:r>
      <w:r>
        <w:rPr>
          <w:rFonts w:ascii="Palatino Linotype" w:eastAsia="Palatino Linotype" w:hAnsi="Palatino Linotype" w:cs="Palatino Linotype"/>
          <w:highlight w:val="white"/>
        </w:rPr>
        <w:lastRenderedPageBreak/>
        <w:t>Información Pública del Estado de México y Municipios, dé cumplimiento a lo ordenado dentro del plazo de diez hábiles, debiendo informar a este Instituto en un plazo de tres días hábiles siguientes sobre el cumplimiento dado a la presente resolución.</w:t>
      </w:r>
    </w:p>
    <w:p w14:paraId="4A5D5EB1" w14:textId="77777777" w:rsidR="00E318A2" w:rsidRDefault="00327A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B069AAB" w14:textId="77777777" w:rsidR="00E318A2" w:rsidRDefault="00327A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highlight w:val="white"/>
        </w:rPr>
        <w:t>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7688151" w14:textId="0F24A5DB" w:rsidR="00E318A2" w:rsidRDefault="00327A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A57E1D">
        <w:rPr>
          <w:rFonts w:ascii="Palatino Linotype" w:eastAsia="Palatino Linotype" w:hAnsi="Palatino Linotype" w:cs="Palatino Linotype"/>
        </w:rPr>
        <w:t xml:space="preserve">MARÍA DEL ROSARIO MEJÍA AYALA; </w:t>
      </w:r>
      <w:r>
        <w:rPr>
          <w:rFonts w:ascii="Palatino Linotype" w:eastAsia="Palatino Linotype" w:hAnsi="Palatino Linotype" w:cs="Palatino Linotype"/>
        </w:rPr>
        <w:t xml:space="preserve">SHARON CRISTINA MORALES MARTÍNEZ (AUSENCIA JUSTIFICADA); LUIS GUSTAVO PARRA NORIEGA Y GUADALUPE RAMÍREZ PEÑA, EN LA </w:t>
      </w:r>
      <w:r w:rsidR="006D2968">
        <w:rPr>
          <w:rFonts w:ascii="Palatino Linotype" w:eastAsia="Palatino Linotype" w:hAnsi="Palatino Linotype" w:cs="Palatino Linotype"/>
        </w:rPr>
        <w:t>QUINTA</w:t>
      </w:r>
      <w:r>
        <w:rPr>
          <w:rFonts w:ascii="Palatino Linotype" w:eastAsia="Palatino Linotype" w:hAnsi="Palatino Linotype" w:cs="Palatino Linotype"/>
        </w:rPr>
        <w:t xml:space="preserve"> SESIÓN ORDINARIA CELEBRADA EL DIEZ DE FEBRERO DE DOS MIL VEINTIDÓS, ANTE EL SECRETARIO TÉCNICO DEL PLENO, ALEXIS TAPIA RAMÍREZ.</w:t>
      </w:r>
    </w:p>
    <w:p w14:paraId="0F35C92F" w14:textId="77777777" w:rsidR="00E318A2" w:rsidRDefault="00E318A2">
      <w:pPr>
        <w:spacing w:before="240" w:after="240" w:line="360" w:lineRule="auto"/>
        <w:jc w:val="both"/>
        <w:rPr>
          <w:rFonts w:ascii="Palatino Linotype" w:eastAsia="Palatino Linotype" w:hAnsi="Palatino Linotype" w:cs="Palatino Linotype"/>
        </w:rPr>
      </w:pPr>
    </w:p>
    <w:p w14:paraId="1D73D1DD" w14:textId="77777777" w:rsidR="00E318A2" w:rsidRDefault="00E318A2">
      <w:pPr>
        <w:spacing w:before="240" w:after="240" w:line="360" w:lineRule="auto"/>
        <w:jc w:val="both"/>
        <w:rPr>
          <w:rFonts w:ascii="Palatino Linotype" w:eastAsia="Palatino Linotype" w:hAnsi="Palatino Linotype" w:cs="Palatino Linotype"/>
        </w:rPr>
      </w:pPr>
    </w:p>
    <w:p w14:paraId="7F46D131" w14:textId="77777777" w:rsidR="00E318A2" w:rsidRDefault="00E318A2">
      <w:pPr>
        <w:spacing w:before="240" w:after="240" w:line="360" w:lineRule="auto"/>
        <w:jc w:val="both"/>
        <w:rPr>
          <w:rFonts w:ascii="Palatino Linotype" w:eastAsia="Palatino Linotype" w:hAnsi="Palatino Linotype" w:cs="Palatino Linotype"/>
        </w:rPr>
      </w:pPr>
    </w:p>
    <w:p w14:paraId="5AD430B2" w14:textId="77777777" w:rsidR="00E318A2" w:rsidRDefault="00E318A2">
      <w:pPr>
        <w:spacing w:before="240" w:after="240" w:line="360" w:lineRule="auto"/>
        <w:jc w:val="both"/>
        <w:rPr>
          <w:rFonts w:ascii="Palatino Linotype" w:eastAsia="Palatino Linotype" w:hAnsi="Palatino Linotype" w:cs="Palatino Linotype"/>
        </w:rPr>
      </w:pPr>
    </w:p>
    <w:p w14:paraId="195D0C16" w14:textId="77777777" w:rsidR="00E318A2" w:rsidRDefault="00E318A2">
      <w:pPr>
        <w:spacing w:before="240" w:after="240" w:line="360" w:lineRule="auto"/>
        <w:jc w:val="both"/>
        <w:rPr>
          <w:rFonts w:ascii="Palatino Linotype" w:eastAsia="Palatino Linotype" w:hAnsi="Palatino Linotype" w:cs="Palatino Linotype"/>
        </w:rPr>
      </w:pPr>
    </w:p>
    <w:p w14:paraId="21A55F4B" w14:textId="77777777" w:rsidR="00E318A2" w:rsidRDefault="00E318A2">
      <w:pPr>
        <w:spacing w:before="240" w:after="240" w:line="360" w:lineRule="auto"/>
        <w:jc w:val="both"/>
        <w:rPr>
          <w:rFonts w:ascii="Palatino Linotype" w:eastAsia="Palatino Linotype" w:hAnsi="Palatino Linotype" w:cs="Palatino Linotype"/>
        </w:rPr>
      </w:pPr>
    </w:p>
    <w:p w14:paraId="604575AB" w14:textId="77777777" w:rsidR="00E318A2" w:rsidRDefault="00E318A2">
      <w:pPr>
        <w:spacing w:before="240" w:after="240" w:line="360" w:lineRule="auto"/>
        <w:jc w:val="both"/>
        <w:rPr>
          <w:rFonts w:ascii="Palatino Linotype" w:eastAsia="Palatino Linotype" w:hAnsi="Palatino Linotype" w:cs="Palatino Linotype"/>
        </w:rPr>
      </w:pPr>
    </w:p>
    <w:p w14:paraId="63C00E84" w14:textId="77777777" w:rsidR="00E318A2" w:rsidRDefault="00E318A2">
      <w:pPr>
        <w:spacing w:before="240" w:after="240"/>
        <w:jc w:val="both"/>
        <w:rPr>
          <w:rFonts w:ascii="Palatino Linotype" w:eastAsia="Palatino Linotype" w:hAnsi="Palatino Linotype" w:cs="Palatino Linotype"/>
          <w:sz w:val="20"/>
          <w:szCs w:val="20"/>
        </w:rPr>
      </w:pPr>
    </w:p>
    <w:p w14:paraId="59F9BF49" w14:textId="77777777" w:rsidR="00E318A2" w:rsidRDefault="00E318A2">
      <w:pPr>
        <w:spacing w:before="240" w:after="240"/>
        <w:jc w:val="both"/>
        <w:rPr>
          <w:rFonts w:ascii="Palatino Linotype" w:eastAsia="Palatino Linotype" w:hAnsi="Palatino Linotype" w:cs="Palatino Linotype"/>
          <w:sz w:val="20"/>
          <w:szCs w:val="20"/>
        </w:rPr>
      </w:pPr>
    </w:p>
    <w:p w14:paraId="5D2C2B7C" w14:textId="77777777" w:rsidR="00E318A2" w:rsidRDefault="00E318A2">
      <w:pPr>
        <w:spacing w:before="240" w:after="240"/>
        <w:jc w:val="both"/>
        <w:rPr>
          <w:rFonts w:ascii="Palatino Linotype" w:eastAsia="Palatino Linotype" w:hAnsi="Palatino Linotype" w:cs="Palatino Linotype"/>
          <w:sz w:val="20"/>
          <w:szCs w:val="20"/>
        </w:rPr>
      </w:pPr>
    </w:p>
    <w:p w14:paraId="028D1755" w14:textId="77777777" w:rsidR="00E318A2" w:rsidRDefault="00E318A2">
      <w:pPr>
        <w:spacing w:before="240" w:after="240"/>
        <w:jc w:val="both"/>
        <w:rPr>
          <w:rFonts w:ascii="Palatino Linotype" w:eastAsia="Palatino Linotype" w:hAnsi="Palatino Linotype" w:cs="Palatino Linotype"/>
          <w:sz w:val="20"/>
          <w:szCs w:val="20"/>
        </w:rPr>
      </w:pPr>
    </w:p>
    <w:p w14:paraId="79C4BED7" w14:textId="77777777" w:rsidR="00E318A2" w:rsidRDefault="00E318A2">
      <w:pPr>
        <w:spacing w:before="240" w:after="240"/>
        <w:jc w:val="both"/>
        <w:rPr>
          <w:rFonts w:ascii="Palatino Linotype" w:eastAsia="Palatino Linotype" w:hAnsi="Palatino Linotype" w:cs="Palatino Linotype"/>
          <w:sz w:val="20"/>
          <w:szCs w:val="20"/>
        </w:rPr>
      </w:pPr>
    </w:p>
    <w:p w14:paraId="0BDA2955" w14:textId="77777777" w:rsidR="00E318A2" w:rsidRDefault="00E318A2">
      <w:pPr>
        <w:spacing w:before="240" w:after="240"/>
        <w:jc w:val="both"/>
        <w:rPr>
          <w:rFonts w:ascii="Palatino Linotype" w:eastAsia="Palatino Linotype" w:hAnsi="Palatino Linotype" w:cs="Palatino Linotype"/>
          <w:sz w:val="20"/>
          <w:szCs w:val="20"/>
        </w:rPr>
      </w:pPr>
    </w:p>
    <w:p w14:paraId="4B706996" w14:textId="77777777" w:rsidR="00E318A2" w:rsidRDefault="00E318A2">
      <w:pPr>
        <w:spacing w:before="240" w:after="240"/>
        <w:jc w:val="both"/>
        <w:rPr>
          <w:rFonts w:ascii="Palatino Linotype" w:eastAsia="Palatino Linotype" w:hAnsi="Palatino Linotype" w:cs="Palatino Linotype"/>
          <w:sz w:val="20"/>
          <w:szCs w:val="20"/>
        </w:rPr>
      </w:pPr>
    </w:p>
    <w:sectPr w:rsidR="00E318A2">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F81ED" w14:textId="77777777" w:rsidR="00043C71" w:rsidRDefault="00043C71">
      <w:r>
        <w:separator/>
      </w:r>
    </w:p>
  </w:endnote>
  <w:endnote w:type="continuationSeparator" w:id="0">
    <w:p w14:paraId="5CF0EEB4" w14:textId="77777777" w:rsidR="00043C71" w:rsidRDefault="00043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roma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6B51F" w14:textId="77777777" w:rsidR="00E318A2" w:rsidRDefault="00E318A2">
    <w:pPr>
      <w:tabs>
        <w:tab w:val="center" w:pos="4252"/>
        <w:tab w:val="right" w:pos="8504"/>
      </w:tabs>
      <w:spacing w:line="360" w:lineRule="auto"/>
      <w:ind w:right="51"/>
      <w:jc w:val="both"/>
      <w:rPr>
        <w:rFonts w:ascii="Palatino Linotype" w:eastAsia="Palatino Linotype" w:hAnsi="Palatino Linotype" w:cs="Palatino Linotype"/>
      </w:rPr>
    </w:pPr>
  </w:p>
  <w:p w14:paraId="397F5A54" w14:textId="77777777" w:rsidR="00E318A2" w:rsidRDefault="00327A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A443A">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A443A">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65B909ED" w14:textId="77777777" w:rsidR="00E318A2" w:rsidRDefault="00327AA0">
    <w:pPr>
      <w:pBdr>
        <w:top w:val="nil"/>
        <w:left w:val="nil"/>
        <w:bottom w:val="nil"/>
        <w:right w:val="nil"/>
        <w:between w:val="nil"/>
      </w:pBdr>
      <w:tabs>
        <w:tab w:val="center" w:pos="4252"/>
        <w:tab w:val="right" w:pos="8504"/>
      </w:tabs>
      <w:ind w:firstLine="708"/>
      <w:rPr>
        <w:rFonts w:ascii="Cambria" w:eastAsia="Cambria" w:hAnsi="Cambria" w:cs="Cambria"/>
        <w:color w:val="000000"/>
      </w:rPr>
    </w:pPr>
    <w:r>
      <w:rPr>
        <w:noProof/>
        <w:lang w:eastAsia="zh-CN"/>
      </w:rPr>
      <mc:AlternateContent>
        <mc:Choice Requires="wpg">
          <w:drawing>
            <wp:anchor distT="0" distB="0" distL="114300" distR="114300" simplePos="0" relativeHeight="251660288" behindDoc="0" locked="0" layoutInCell="1" hidden="0" allowOverlap="1" wp14:anchorId="0994F780" wp14:editId="32E798C8">
              <wp:simplePos x="0" y="0"/>
              <wp:positionH relativeFrom="column">
                <wp:posOffset>1193800</wp:posOffset>
              </wp:positionH>
              <wp:positionV relativeFrom="paragraph">
                <wp:posOffset>8191500</wp:posOffset>
              </wp:positionV>
              <wp:extent cx="4631330" cy="394079"/>
              <wp:effectExtent l="0" t="0" r="0" b="0"/>
              <wp:wrapNone/>
              <wp:docPr id="107" name="Rectángulo redondeado 107"/>
              <wp:cNvGraphicFramePr/>
              <a:graphic xmlns:a="http://schemas.openxmlformats.org/drawingml/2006/main">
                <a:graphicData uri="http://schemas.microsoft.com/office/word/2010/wordprocessingShape">
                  <wps:wsp>
                    <wps:cNvSpPr/>
                    <wps:spPr>
                      <a:xfrm>
                        <a:off x="3087485" y="3640111"/>
                        <a:ext cx="4517030" cy="279779"/>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3725"/>
                          </a:srgbClr>
                        </a:outerShdw>
                      </a:effectLst>
                    </wps:spPr>
                    <wps:txbx>
                      <w:txbxContent>
                        <w:p w14:paraId="413012F9" w14:textId="77777777" w:rsidR="00E318A2" w:rsidRDefault="00E318A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1193800</wp:posOffset>
              </wp:positionH>
              <wp:positionV relativeFrom="paragraph">
                <wp:posOffset>8191500</wp:posOffset>
              </wp:positionV>
              <wp:extent cx="4631330" cy="394079"/>
              <wp:effectExtent b="0" l="0" r="0" t="0"/>
              <wp:wrapNone/>
              <wp:docPr id="107"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4631330" cy="394079"/>
                      </a:xfrm>
                      <a:prstGeom prst="rect"/>
                      <a:ln/>
                    </pic:spPr>
                  </pic:pic>
                </a:graphicData>
              </a:graphic>
            </wp:anchor>
          </w:drawing>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E2F36" w14:textId="77777777" w:rsidR="00E318A2" w:rsidRDefault="00327A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418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418C">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415628F2" w14:textId="77777777" w:rsidR="00E318A2" w:rsidRDefault="00E318A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3122D" w14:textId="77777777" w:rsidR="00043C71" w:rsidRDefault="00043C71">
      <w:r>
        <w:separator/>
      </w:r>
    </w:p>
  </w:footnote>
  <w:footnote w:type="continuationSeparator" w:id="0">
    <w:p w14:paraId="1F7D71B1" w14:textId="77777777" w:rsidR="00043C71" w:rsidRDefault="00043C71">
      <w:r>
        <w:continuationSeparator/>
      </w:r>
    </w:p>
  </w:footnote>
  <w:footnote w:id="1">
    <w:p w14:paraId="28B31134" w14:textId="77777777" w:rsidR="00E318A2" w:rsidRDefault="00327AA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8A7D001" w14:textId="77777777" w:rsidR="00E318A2" w:rsidRDefault="00327AA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A73DA" w14:textId="77777777" w:rsidR="00E318A2" w:rsidRDefault="00E318A2">
    <w:pPr>
      <w:pBdr>
        <w:top w:val="nil"/>
        <w:left w:val="nil"/>
        <w:bottom w:val="nil"/>
        <w:right w:val="nil"/>
        <w:between w:val="nil"/>
      </w:pBdr>
      <w:tabs>
        <w:tab w:val="center" w:pos="4252"/>
        <w:tab w:val="right" w:pos="8504"/>
        <w:tab w:val="left" w:pos="2326"/>
      </w:tabs>
      <w:rPr>
        <w:rFonts w:ascii="Cambria" w:eastAsia="Cambria" w:hAnsi="Cambria" w:cs="Cambria"/>
        <w:color w:val="000000"/>
      </w:rPr>
    </w:pPr>
  </w:p>
  <w:p w14:paraId="27AB6570" w14:textId="77777777" w:rsidR="00E318A2" w:rsidRDefault="00327A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eastAsia="zh-CN"/>
      </w:rPr>
      <w:drawing>
        <wp:anchor distT="0" distB="0" distL="0" distR="0" simplePos="0" relativeHeight="251658240" behindDoc="1" locked="0" layoutInCell="1" hidden="0" allowOverlap="1" wp14:anchorId="1B7F206B" wp14:editId="770B5A52">
          <wp:simplePos x="0" y="0"/>
          <wp:positionH relativeFrom="column">
            <wp:posOffset>-1080130</wp:posOffset>
          </wp:positionH>
          <wp:positionV relativeFrom="paragraph">
            <wp:posOffset>-450210</wp:posOffset>
          </wp:positionV>
          <wp:extent cx="7809865" cy="10165715"/>
          <wp:effectExtent l="0" t="0" r="0" b="0"/>
          <wp:wrapNone/>
          <wp:docPr id="1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5953" w:type="dxa"/>
      <w:tblInd w:w="3261" w:type="dxa"/>
      <w:tblLayout w:type="fixed"/>
      <w:tblLook w:val="0400" w:firstRow="0" w:lastRow="0" w:firstColumn="0" w:lastColumn="0" w:noHBand="0" w:noVBand="1"/>
    </w:tblPr>
    <w:tblGrid>
      <w:gridCol w:w="2489"/>
      <w:gridCol w:w="3464"/>
    </w:tblGrid>
    <w:tr w:rsidR="00E318A2" w14:paraId="41F2C872" w14:textId="77777777">
      <w:tc>
        <w:tcPr>
          <w:tcW w:w="2489" w:type="dxa"/>
          <w:shd w:val="clear" w:color="auto" w:fill="auto"/>
        </w:tcPr>
        <w:p w14:paraId="755F3B3F" w14:textId="77777777" w:rsidR="00E318A2" w:rsidRDefault="00327A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170DD9D" w14:textId="77777777" w:rsidR="00E318A2" w:rsidRDefault="00327AA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05784/INFOEM/IP/RR/2021 </w:t>
          </w:r>
        </w:p>
      </w:tc>
    </w:tr>
    <w:tr w:rsidR="00E318A2" w14:paraId="56215D1F" w14:textId="77777777">
      <w:trPr>
        <w:trHeight w:val="228"/>
      </w:trPr>
      <w:tc>
        <w:tcPr>
          <w:tcW w:w="2489" w:type="dxa"/>
          <w:shd w:val="clear" w:color="auto" w:fill="auto"/>
          <w:vAlign w:val="center"/>
        </w:tcPr>
        <w:p w14:paraId="1A009349" w14:textId="77777777" w:rsidR="00E318A2" w:rsidRDefault="00327A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31F1124" w14:textId="77777777" w:rsidR="00E318A2" w:rsidRDefault="00327AA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
        <w:p w14:paraId="79E15FB3" w14:textId="77777777" w:rsidR="00E318A2" w:rsidRDefault="00327AA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Naucalpan de Juárez</w:t>
          </w:r>
        </w:p>
      </w:tc>
    </w:tr>
    <w:tr w:rsidR="00E318A2" w14:paraId="04863F4D" w14:textId="77777777">
      <w:tc>
        <w:tcPr>
          <w:tcW w:w="2489" w:type="dxa"/>
          <w:shd w:val="clear" w:color="auto" w:fill="auto"/>
          <w:vAlign w:val="center"/>
        </w:tcPr>
        <w:p w14:paraId="58FE5B48" w14:textId="77777777" w:rsidR="00E318A2" w:rsidRDefault="00327AA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100BE03" w14:textId="77777777" w:rsidR="00E318A2" w:rsidRDefault="00327AA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372805" w14:textId="77777777" w:rsidR="00E318A2" w:rsidRDefault="00327A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7DCF7" w14:textId="77777777" w:rsidR="00E318A2" w:rsidRDefault="00E318A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f1"/>
      <w:tblW w:w="5812" w:type="dxa"/>
      <w:tblInd w:w="2977" w:type="dxa"/>
      <w:tblLayout w:type="fixed"/>
      <w:tblLook w:val="0400" w:firstRow="0" w:lastRow="0" w:firstColumn="0" w:lastColumn="0" w:noHBand="0" w:noVBand="1"/>
    </w:tblPr>
    <w:tblGrid>
      <w:gridCol w:w="2551"/>
      <w:gridCol w:w="3261"/>
    </w:tblGrid>
    <w:tr w:rsidR="00E318A2" w14:paraId="419C63C0" w14:textId="77777777">
      <w:tc>
        <w:tcPr>
          <w:tcW w:w="2551" w:type="dxa"/>
          <w:shd w:val="clear" w:color="auto" w:fill="auto"/>
          <w:vAlign w:val="center"/>
        </w:tcPr>
        <w:p w14:paraId="5774DD46" w14:textId="77777777" w:rsidR="00E318A2" w:rsidRDefault="00327A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shd w:val="clear" w:color="auto" w:fill="auto"/>
          <w:vAlign w:val="center"/>
        </w:tcPr>
        <w:p w14:paraId="3959B5B3" w14:textId="77777777" w:rsidR="00E318A2" w:rsidRDefault="00327AA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05784/INFOEM/IP/RR/2021 </w:t>
          </w:r>
        </w:p>
      </w:tc>
    </w:tr>
    <w:tr w:rsidR="00E318A2" w14:paraId="0CCC8591" w14:textId="77777777">
      <w:trPr>
        <w:trHeight w:val="130"/>
      </w:trPr>
      <w:tc>
        <w:tcPr>
          <w:tcW w:w="2551" w:type="dxa"/>
          <w:shd w:val="clear" w:color="auto" w:fill="auto"/>
          <w:vAlign w:val="center"/>
        </w:tcPr>
        <w:p w14:paraId="27ABA0C8" w14:textId="77777777" w:rsidR="00E318A2" w:rsidRDefault="00327A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shd w:val="clear" w:color="auto" w:fill="auto"/>
          <w:vAlign w:val="center"/>
        </w:tcPr>
        <w:p w14:paraId="7E43DEEF" w14:textId="2D69B755" w:rsidR="00E318A2" w:rsidRDefault="00EE418C">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XXXXXX</w:t>
          </w:r>
        </w:p>
      </w:tc>
    </w:tr>
    <w:tr w:rsidR="00E318A2" w14:paraId="300937F7" w14:textId="77777777">
      <w:trPr>
        <w:trHeight w:val="228"/>
      </w:trPr>
      <w:tc>
        <w:tcPr>
          <w:tcW w:w="2551" w:type="dxa"/>
          <w:shd w:val="clear" w:color="auto" w:fill="auto"/>
          <w:vAlign w:val="center"/>
        </w:tcPr>
        <w:p w14:paraId="1D2CC034" w14:textId="77777777" w:rsidR="00E318A2" w:rsidRDefault="00327A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shd w:val="clear" w:color="auto" w:fill="auto"/>
          <w:vAlign w:val="center"/>
        </w:tcPr>
        <w:p w14:paraId="58D64B07" w14:textId="77777777" w:rsidR="00E318A2" w:rsidRDefault="00327AA0">
          <w:pPr>
            <w:ind w:right="1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E318A2" w14:paraId="054338E1" w14:textId="77777777">
      <w:tc>
        <w:tcPr>
          <w:tcW w:w="2551" w:type="dxa"/>
          <w:shd w:val="clear" w:color="auto" w:fill="auto"/>
          <w:vAlign w:val="center"/>
        </w:tcPr>
        <w:p w14:paraId="6CB4D233" w14:textId="77777777" w:rsidR="00E318A2" w:rsidRDefault="00327A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shd w:val="clear" w:color="auto" w:fill="auto"/>
          <w:vAlign w:val="center"/>
        </w:tcPr>
        <w:p w14:paraId="6FF0D5B3" w14:textId="77777777" w:rsidR="00E318A2" w:rsidRDefault="00327AA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E9C529" w14:textId="77777777" w:rsidR="00E318A2" w:rsidRDefault="00327AA0">
    <w:pPr>
      <w:pBdr>
        <w:top w:val="nil"/>
        <w:left w:val="nil"/>
        <w:bottom w:val="nil"/>
        <w:right w:val="nil"/>
        <w:between w:val="nil"/>
      </w:pBdr>
      <w:tabs>
        <w:tab w:val="center" w:pos="4252"/>
        <w:tab w:val="right" w:pos="8504"/>
      </w:tabs>
      <w:rPr>
        <w:rFonts w:ascii="Cambria" w:eastAsia="Cambria" w:hAnsi="Cambria" w:cs="Cambria"/>
        <w:color w:val="000000"/>
      </w:rPr>
    </w:pPr>
    <w:r>
      <w:rPr>
        <w:noProof/>
        <w:lang w:eastAsia="zh-CN"/>
      </w:rPr>
      <w:drawing>
        <wp:anchor distT="0" distB="0" distL="0" distR="0" simplePos="0" relativeHeight="251659264" behindDoc="1" locked="0" layoutInCell="1" hidden="0" allowOverlap="1" wp14:anchorId="79DCFBBB" wp14:editId="2DB2354A">
          <wp:simplePos x="0" y="0"/>
          <wp:positionH relativeFrom="column">
            <wp:posOffset>-1090925</wp:posOffset>
          </wp:positionH>
          <wp:positionV relativeFrom="paragraph">
            <wp:posOffset>-1154425</wp:posOffset>
          </wp:positionV>
          <wp:extent cx="7809865" cy="10165715"/>
          <wp:effectExtent l="0" t="0" r="0" b="0"/>
          <wp:wrapNone/>
          <wp:docPr id="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349F0"/>
    <w:multiLevelType w:val="multilevel"/>
    <w:tmpl w:val="918C4E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F12C72"/>
    <w:multiLevelType w:val="multilevel"/>
    <w:tmpl w:val="8444B3F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2C64376"/>
    <w:multiLevelType w:val="multilevel"/>
    <w:tmpl w:val="7D48A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7870E7"/>
    <w:multiLevelType w:val="multilevel"/>
    <w:tmpl w:val="16FCFECC"/>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BE244E5"/>
    <w:multiLevelType w:val="multilevel"/>
    <w:tmpl w:val="ABF68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B1B3226"/>
    <w:multiLevelType w:val="multilevel"/>
    <w:tmpl w:val="4EC8E6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0E12702"/>
    <w:multiLevelType w:val="multilevel"/>
    <w:tmpl w:val="7324B7C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nsid w:val="45E4092C"/>
    <w:multiLevelType w:val="multilevel"/>
    <w:tmpl w:val="FAEE3CF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764134C"/>
    <w:multiLevelType w:val="multilevel"/>
    <w:tmpl w:val="F180432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3"/>
  </w:num>
  <w:num w:numId="4">
    <w:abstractNumId w:val="5"/>
  </w:num>
  <w:num w:numId="5">
    <w:abstractNumId w:val="2"/>
  </w:num>
  <w:num w:numId="6">
    <w:abstractNumId w:val="0"/>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8A2"/>
    <w:rsid w:val="00043C71"/>
    <w:rsid w:val="002647C9"/>
    <w:rsid w:val="00327AA0"/>
    <w:rsid w:val="006D2968"/>
    <w:rsid w:val="00853330"/>
    <w:rsid w:val="00A57E1D"/>
    <w:rsid w:val="00B13695"/>
    <w:rsid w:val="00E318A2"/>
    <w:rsid w:val="00EA443A"/>
    <w:rsid w:val="00EE418C"/>
  </w:rsids>
  <m:mathPr>
    <m:mathFont m:val="Cambria Math"/>
    <m:brkBin m:val="before"/>
    <m:brkBinSub m:val="--"/>
    <m:smallFrac m:val="0"/>
    <m:dispDef/>
    <m:lMargin m:val="0"/>
    <m:rMargin m:val="0"/>
    <m:defJc m:val="centerGroup"/>
    <m:wrapIndent m:val="1440"/>
    <m:intLim m:val="subSup"/>
    <m:naryLim m:val="undOvr"/>
  </m:mathPr>
  <w:themeFontLang w:val="es-MX"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A2B5E"/>
  <w15:docId w15:val="{C4836F50-CE2D-4B8D-A0AC-B560CC7C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44C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08" w:type="dxa"/>
        <w:bottom w:w="0" w:type="dxa"/>
        <w:right w:w="108" w:type="dxa"/>
      </w:tblCellMar>
    </w:tblPr>
  </w:style>
  <w:style w:type="table" w:customStyle="1" w:styleId="a0">
    <w:basedOn w:val="TableNormal3"/>
    <w:tblPr>
      <w:tblStyleRowBandSize w:val="1"/>
      <w:tblStyleColBandSize w:val="1"/>
      <w:tblCellMar>
        <w:top w:w="0" w:type="dxa"/>
        <w:left w:w="108" w:type="dxa"/>
        <w:bottom w:w="0" w:type="dxa"/>
        <w:right w:w="108" w:type="dxa"/>
      </w:tblCellMar>
    </w:tblPr>
  </w:style>
  <w:style w:type="table" w:customStyle="1" w:styleId="a2">
    <w:basedOn w:val="TableNormal3"/>
    <w:tblPr>
      <w:tblStyleRowBandSize w:val="1"/>
      <w:tblStyleColBandSize w:val="1"/>
      <w:tblCellMar>
        <w:top w:w="0" w:type="dxa"/>
        <w:left w:w="108" w:type="dxa"/>
        <w:bottom w:w="0" w:type="dxa"/>
        <w:right w:w="108" w:type="dxa"/>
      </w:tblCellMar>
    </w:tblPr>
  </w:style>
  <w:style w:type="table" w:customStyle="1" w:styleId="a3">
    <w:basedOn w:val="TableNormal3"/>
    <w:tblPr>
      <w:tblStyleRowBandSize w:val="1"/>
      <w:tblStyleColBandSize w:val="1"/>
      <w:tblCellMar>
        <w:top w:w="0" w:type="dxa"/>
        <w:left w:w="108" w:type="dxa"/>
        <w:bottom w:w="0" w:type="dxa"/>
        <w:right w:w="108" w:type="dxa"/>
      </w:tblCellMar>
    </w:tblPr>
  </w:style>
  <w:style w:type="table" w:customStyle="1" w:styleId="a4">
    <w:basedOn w:val="TableNormal3"/>
    <w:tblPr>
      <w:tblStyleRowBandSize w:val="1"/>
      <w:tblStyleColBandSize w:val="1"/>
      <w:tblCellMar>
        <w:top w:w="0" w:type="dxa"/>
        <w:left w:w="108" w:type="dxa"/>
        <w:bottom w:w="0" w:type="dxa"/>
        <w:right w:w="108"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3"/>
    <w:tblPr>
      <w:tblStyleRowBandSize w:val="1"/>
      <w:tblStyleColBandSize w:val="1"/>
      <w:tblCellMar>
        <w:top w:w="0" w:type="dxa"/>
        <w:left w:w="115" w:type="dxa"/>
        <w:bottom w:w="0" w:type="dxa"/>
        <w:right w:w="115" w:type="dxa"/>
      </w:tblCellMar>
    </w:tblPr>
  </w:style>
  <w:style w:type="table" w:customStyle="1" w:styleId="a7">
    <w:basedOn w:val="TableNormal3"/>
    <w:tblPr>
      <w:tblStyleRowBandSize w:val="1"/>
      <w:tblStyleColBandSize w:val="1"/>
      <w:tblCellMar>
        <w:top w:w="0" w:type="dxa"/>
        <w:left w:w="108" w:type="dxa"/>
        <w:bottom w:w="0" w:type="dxa"/>
        <w:right w:w="108" w:type="dxa"/>
      </w:tblCellMar>
    </w:tblPr>
  </w:style>
  <w:style w:type="table" w:customStyle="1" w:styleId="a8">
    <w:basedOn w:val="TableNormal3"/>
    <w:tblPr>
      <w:tblStyleRowBandSize w:val="1"/>
      <w:tblStyleColBandSize w:val="1"/>
      <w:tblCellMar>
        <w:top w:w="0" w:type="dxa"/>
        <w:left w:w="115" w:type="dxa"/>
        <w:bottom w:w="0" w:type="dxa"/>
        <w:right w:w="115" w:type="dxa"/>
      </w:tblCellMar>
    </w:tblPr>
  </w:style>
  <w:style w:type="table" w:customStyle="1" w:styleId="a9">
    <w:basedOn w:val="TableNormal3"/>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08" w:type="dxa"/>
        <w:bottom w:w="0" w:type="dxa"/>
        <w:right w:w="108"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header" Target="header2.xml"/><Relationship Id="rId32" Type="http://schemas.openxmlformats.org/officeDocument/2006/relationships/footer" Target="foot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image" Target="media/image9.png"/><Relationship Id="rId12" Type="http://schemas.openxmlformats.org/officeDocument/2006/relationships/image" Target="media/image3.png"/><Relationship Id="rId13" Type="http://schemas.openxmlformats.org/officeDocument/2006/relationships/image" Target="media/image12.png"/><Relationship Id="rId14" Type="http://schemas.openxmlformats.org/officeDocument/2006/relationships/image" Target="media/image4.png"/><Relationship Id="rId15" Type="http://schemas.openxmlformats.org/officeDocument/2006/relationships/image" Target="media/image11.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90.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6wI3dz0BTThHz6MIeYwUlMHiiw==">AMUW2mXFcdLAcRRgNz24s/Wp8jpyV0scFqCSJfnentPLBfLNOyR1SKa3ZgABR5a5FEyADeAJNvjUXCgWzxpWiQ5J3+7E7NrULgiGRz0+38jymznwWvfDGx3Tgm4ZPAyv4AiOc8x1f9PA0Q9LGTSuMT3XQxvoBdRqVb1R/UjnhzKbp04/apBL4kdbZmE59z2SADO8l+T6Z64KpWpBbAMPkBQhEFEMXJc4KM5bXMWQ32gWJYSJGWTWPMs=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64</Pages>
  <Words>11506</Words>
  <Characters>63284</Characters>
  <Application>Microsoft Macintosh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juan Jesus Portilla Villavicencio</cp:lastModifiedBy>
  <cp:revision>5</cp:revision>
  <dcterms:created xsi:type="dcterms:W3CDTF">2022-02-01T02:23:00Z</dcterms:created>
  <dcterms:modified xsi:type="dcterms:W3CDTF">2022-02-16T18:40:00Z</dcterms:modified>
</cp:coreProperties>
</file>