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C50C8" w14:textId="1676536A" w:rsidR="00163A95" w:rsidRPr="005E7052" w:rsidRDefault="00063C0A">
      <w:pPr>
        <w:spacing w:line="360" w:lineRule="auto"/>
        <w:jc w:val="both"/>
        <w:rPr>
          <w:rFonts w:ascii="Palatino Linotype" w:eastAsia="Palatino Linotype" w:hAnsi="Palatino Linotype" w:cs="Palatino Linotype"/>
        </w:rPr>
      </w:pPr>
      <w:bookmarkStart w:id="0" w:name="_heading=h.gjdgxs" w:colFirst="0" w:colLast="0"/>
      <w:bookmarkEnd w:id="0"/>
      <w:r w:rsidRPr="005E705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315B2B" w:rsidRPr="005E7052">
        <w:rPr>
          <w:rFonts w:ascii="Palatino Linotype" w:eastAsia="Palatino Linotype" w:hAnsi="Palatino Linotype" w:cs="Palatino Linotype"/>
        </w:rPr>
        <w:t>cuatro</w:t>
      </w:r>
      <w:r w:rsidRPr="005E7052">
        <w:rPr>
          <w:rFonts w:ascii="Palatino Linotype" w:eastAsia="Palatino Linotype" w:hAnsi="Palatino Linotype" w:cs="Palatino Linotype"/>
        </w:rPr>
        <w:t xml:space="preserve"> de febrero de dos mil veintidós. </w:t>
      </w:r>
    </w:p>
    <w:p w14:paraId="30C3EED2" w14:textId="77777777" w:rsidR="00163A95" w:rsidRPr="005E7052" w:rsidRDefault="00163A95">
      <w:pPr>
        <w:spacing w:line="360" w:lineRule="auto"/>
        <w:jc w:val="both"/>
        <w:rPr>
          <w:rFonts w:ascii="Palatino Linotype" w:eastAsia="Palatino Linotype" w:hAnsi="Palatino Linotype" w:cs="Palatino Linotype"/>
        </w:rPr>
      </w:pPr>
    </w:p>
    <w:p w14:paraId="67ADCE7F" w14:textId="00B8DBB1"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b/>
          <w:sz w:val="28"/>
          <w:szCs w:val="28"/>
        </w:rPr>
        <w:t>VISTO</w:t>
      </w:r>
      <w:r w:rsidRPr="005E7052">
        <w:rPr>
          <w:rFonts w:ascii="Palatino Linotype" w:eastAsia="Palatino Linotype" w:hAnsi="Palatino Linotype" w:cs="Palatino Linotype"/>
        </w:rPr>
        <w:t xml:space="preserve"> el expediente formado con motivo del recurso de revisión </w:t>
      </w:r>
      <w:r w:rsidRPr="005E7052">
        <w:rPr>
          <w:rFonts w:ascii="Palatino Linotype" w:eastAsia="Palatino Linotype" w:hAnsi="Palatino Linotype" w:cs="Palatino Linotype"/>
          <w:b/>
        </w:rPr>
        <w:t xml:space="preserve">05842/INFOEM/IP/RR/2021, </w:t>
      </w:r>
      <w:r w:rsidRPr="005E7052">
        <w:rPr>
          <w:rFonts w:ascii="Palatino Linotype" w:eastAsia="Palatino Linotype" w:hAnsi="Palatino Linotype" w:cs="Palatino Linotype"/>
        </w:rPr>
        <w:t xml:space="preserve">promovido por el C. </w:t>
      </w:r>
      <w:r w:rsidR="00F22F1B">
        <w:rPr>
          <w:rFonts w:ascii="Palatino Linotype" w:eastAsia="Palatino Linotype" w:hAnsi="Palatino Linotype" w:cs="Palatino Linotype"/>
        </w:rPr>
        <w:t>xxxxxxxxx</w:t>
      </w:r>
      <w:bookmarkStart w:id="1" w:name="_GoBack"/>
      <w:bookmarkEnd w:id="1"/>
      <w:r w:rsidRPr="005E7052">
        <w:rPr>
          <w:rFonts w:ascii="Palatino Linotype" w:eastAsia="Palatino Linotype" w:hAnsi="Palatino Linotype" w:cs="Palatino Linotype"/>
          <w:b/>
        </w:rPr>
        <w:t xml:space="preserve">, </w:t>
      </w:r>
      <w:r w:rsidRPr="005E7052">
        <w:rPr>
          <w:rFonts w:ascii="Palatino Linotype" w:eastAsia="Palatino Linotype" w:hAnsi="Palatino Linotype" w:cs="Palatino Linotype"/>
        </w:rPr>
        <w:t xml:space="preserve">a quien en lo sucesivo se le denominara como </w:t>
      </w:r>
      <w:r w:rsidRPr="005E7052">
        <w:rPr>
          <w:rFonts w:ascii="Palatino Linotype" w:eastAsia="Palatino Linotype" w:hAnsi="Palatino Linotype" w:cs="Palatino Linotype"/>
          <w:b/>
        </w:rPr>
        <w:t>EL RECURRENTE,</w:t>
      </w:r>
      <w:r w:rsidRPr="005E7052">
        <w:rPr>
          <w:rFonts w:ascii="Palatino Linotype" w:eastAsia="Palatino Linotype" w:hAnsi="Palatino Linotype" w:cs="Palatino Linotype"/>
        </w:rPr>
        <w:t xml:space="preserve"> en contra de las respuestas del Ayuntamiento de Chiconcuac</w:t>
      </w:r>
      <w:r w:rsidRPr="005E7052">
        <w:rPr>
          <w:rFonts w:ascii="Palatino Linotype" w:eastAsia="Palatino Linotype" w:hAnsi="Palatino Linotype" w:cs="Palatino Linotype"/>
          <w:b/>
        </w:rPr>
        <w:t xml:space="preserve">, </w:t>
      </w:r>
      <w:r w:rsidRPr="005E7052">
        <w:rPr>
          <w:rFonts w:ascii="Palatino Linotype" w:eastAsia="Palatino Linotype" w:hAnsi="Palatino Linotype" w:cs="Palatino Linotype"/>
        </w:rPr>
        <w:t xml:space="preserve">que en lo subsecuente se le denominará </w:t>
      </w:r>
      <w:r w:rsidRPr="005E7052">
        <w:rPr>
          <w:rFonts w:ascii="Palatino Linotype" w:eastAsia="Palatino Linotype" w:hAnsi="Palatino Linotype" w:cs="Palatino Linotype"/>
          <w:b/>
        </w:rPr>
        <w:t xml:space="preserve">EL SUJETO OBLIGADO, </w:t>
      </w:r>
      <w:r w:rsidRPr="005E7052">
        <w:rPr>
          <w:rFonts w:ascii="Palatino Linotype" w:eastAsia="Palatino Linotype" w:hAnsi="Palatino Linotype" w:cs="Palatino Linotype"/>
        </w:rPr>
        <w:t>se procede a dictar la presente resolución con base en lo siguiente:</w:t>
      </w:r>
    </w:p>
    <w:p w14:paraId="11D7C0AC" w14:textId="77777777" w:rsidR="00163A95" w:rsidRPr="005E7052" w:rsidRDefault="00163A95">
      <w:pPr>
        <w:spacing w:line="360" w:lineRule="auto"/>
        <w:jc w:val="both"/>
        <w:rPr>
          <w:rFonts w:ascii="Palatino Linotype" w:eastAsia="Palatino Linotype" w:hAnsi="Palatino Linotype" w:cs="Palatino Linotype"/>
          <w:b/>
        </w:rPr>
      </w:pPr>
    </w:p>
    <w:p w14:paraId="1D07347E" w14:textId="77777777" w:rsidR="00163A95" w:rsidRPr="005E7052" w:rsidRDefault="00063C0A">
      <w:pPr>
        <w:jc w:val="center"/>
        <w:rPr>
          <w:rFonts w:ascii="Palatino Linotype" w:eastAsia="Palatino Linotype" w:hAnsi="Palatino Linotype" w:cs="Palatino Linotype"/>
          <w:b/>
          <w:sz w:val="28"/>
          <w:szCs w:val="28"/>
        </w:rPr>
      </w:pPr>
      <w:r w:rsidRPr="005E7052">
        <w:rPr>
          <w:rFonts w:ascii="Palatino Linotype" w:eastAsia="Palatino Linotype" w:hAnsi="Palatino Linotype" w:cs="Palatino Linotype"/>
          <w:b/>
          <w:sz w:val="28"/>
          <w:szCs w:val="28"/>
        </w:rPr>
        <w:t>RESULTANDO</w:t>
      </w:r>
    </w:p>
    <w:p w14:paraId="38758D7B" w14:textId="77777777" w:rsidR="00163A95" w:rsidRPr="005E7052" w:rsidRDefault="00163A95">
      <w:pPr>
        <w:rPr>
          <w:rFonts w:ascii="Palatino Linotype" w:eastAsia="Palatino Linotype" w:hAnsi="Palatino Linotype" w:cs="Palatino Linotype"/>
          <w:b/>
        </w:rPr>
      </w:pPr>
    </w:p>
    <w:p w14:paraId="10C17B02" w14:textId="77777777" w:rsidR="00163A95" w:rsidRPr="005E7052" w:rsidRDefault="00063C0A">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2" w:name="_heading=h.30j0zll" w:colFirst="0" w:colLast="0"/>
      <w:bookmarkEnd w:id="2"/>
      <w:r w:rsidRPr="005E7052">
        <w:rPr>
          <w:rFonts w:ascii="Palatino Linotype" w:eastAsia="Palatino Linotype" w:hAnsi="Palatino Linotype" w:cs="Palatino Linotype"/>
          <w:b/>
          <w:sz w:val="28"/>
          <w:szCs w:val="28"/>
        </w:rPr>
        <w:t>I.</w:t>
      </w:r>
      <w:r w:rsidRPr="005E7052">
        <w:rPr>
          <w:rFonts w:ascii="Palatino Linotype" w:eastAsia="Palatino Linotype" w:hAnsi="Palatino Linotype" w:cs="Palatino Linotype"/>
        </w:rPr>
        <w:t xml:space="preserve"> </w:t>
      </w:r>
      <w:r w:rsidRPr="005E7052">
        <w:rPr>
          <w:rFonts w:ascii="Palatino Linotype" w:eastAsia="Palatino Linotype" w:hAnsi="Palatino Linotype" w:cs="Palatino Linotype"/>
          <w:color w:val="000000"/>
        </w:rPr>
        <w:t xml:space="preserve">En </w:t>
      </w:r>
      <w:r w:rsidRPr="005E7052">
        <w:rPr>
          <w:rFonts w:ascii="Palatino Linotype" w:eastAsia="Palatino Linotype" w:hAnsi="Palatino Linotype" w:cs="Palatino Linotype"/>
        </w:rPr>
        <w:t>veintidós</w:t>
      </w:r>
      <w:r w:rsidRPr="005E7052">
        <w:rPr>
          <w:rFonts w:ascii="Palatino Linotype" w:eastAsia="Palatino Linotype" w:hAnsi="Palatino Linotype" w:cs="Palatino Linotype"/>
          <w:color w:val="000000"/>
        </w:rPr>
        <w:t xml:space="preserve"> de octubre de dos mil veintiuno, </w:t>
      </w:r>
      <w:r w:rsidRPr="005E7052">
        <w:rPr>
          <w:rFonts w:ascii="Palatino Linotype" w:eastAsia="Palatino Linotype" w:hAnsi="Palatino Linotype" w:cs="Palatino Linotype"/>
          <w:b/>
          <w:color w:val="000000"/>
        </w:rPr>
        <w:t>EL RECURRENTE</w:t>
      </w:r>
      <w:r w:rsidRPr="005E7052">
        <w:rPr>
          <w:rFonts w:ascii="Palatino Linotype" w:eastAsia="Palatino Linotype" w:hAnsi="Palatino Linotype" w:cs="Palatino Linotype"/>
          <w:color w:val="000000"/>
        </w:rPr>
        <w:t xml:space="preserve"> presentó a través del Sistema de Acceso a la Información Mexiquense, que en lo subsecuente se denominará </w:t>
      </w:r>
      <w:r w:rsidRPr="005E7052">
        <w:rPr>
          <w:rFonts w:ascii="Palatino Linotype" w:eastAsia="Palatino Linotype" w:hAnsi="Palatino Linotype" w:cs="Palatino Linotype"/>
          <w:b/>
          <w:color w:val="000000"/>
        </w:rPr>
        <w:t>EL SAIMEX</w:t>
      </w:r>
      <w:r w:rsidRPr="005E7052">
        <w:rPr>
          <w:rFonts w:ascii="Palatino Linotype" w:eastAsia="Palatino Linotype" w:hAnsi="Palatino Linotype" w:cs="Palatino Linotype"/>
          <w:color w:val="000000"/>
        </w:rPr>
        <w:t xml:space="preserve"> ante </w:t>
      </w:r>
      <w:r w:rsidRPr="005E7052">
        <w:rPr>
          <w:rFonts w:ascii="Palatino Linotype" w:eastAsia="Palatino Linotype" w:hAnsi="Palatino Linotype" w:cs="Palatino Linotype"/>
          <w:b/>
          <w:color w:val="000000"/>
        </w:rPr>
        <w:t>EL SUJETO OBLIGADO</w:t>
      </w:r>
      <w:r w:rsidRPr="005E7052">
        <w:rPr>
          <w:rFonts w:ascii="Palatino Linotype" w:eastAsia="Palatino Linotype" w:hAnsi="Palatino Linotype" w:cs="Palatino Linotype"/>
          <w:color w:val="000000"/>
        </w:rPr>
        <w:t xml:space="preserve">, la solicitud de acceso a la información pública, a la que se le asignó el número de expediente </w:t>
      </w:r>
      <w:r w:rsidRPr="005E7052">
        <w:rPr>
          <w:rFonts w:ascii="Palatino Linotype" w:eastAsia="Palatino Linotype" w:hAnsi="Palatino Linotype" w:cs="Palatino Linotype"/>
          <w:b/>
          <w:color w:val="000000"/>
        </w:rPr>
        <w:t xml:space="preserve">00099/CHICONCU/IP/2021, </w:t>
      </w:r>
      <w:r w:rsidRPr="005E7052">
        <w:rPr>
          <w:rFonts w:ascii="Palatino Linotype" w:eastAsia="Palatino Linotype" w:hAnsi="Palatino Linotype" w:cs="Palatino Linotype"/>
          <w:color w:val="000000"/>
        </w:rPr>
        <w:t xml:space="preserve">mediante </w:t>
      </w:r>
      <w:r w:rsidRPr="005E7052">
        <w:rPr>
          <w:rFonts w:ascii="Palatino Linotype" w:eastAsia="Palatino Linotype" w:hAnsi="Palatino Linotype" w:cs="Palatino Linotype"/>
        </w:rPr>
        <w:t>el</w:t>
      </w:r>
      <w:r w:rsidRPr="005E7052">
        <w:rPr>
          <w:rFonts w:ascii="Palatino Linotype" w:eastAsia="Palatino Linotype" w:hAnsi="Palatino Linotype" w:cs="Palatino Linotype"/>
          <w:color w:val="000000"/>
        </w:rPr>
        <w:t xml:space="preserve"> cual requirió, lo siguiente:</w:t>
      </w:r>
    </w:p>
    <w:p w14:paraId="6998AE9A" w14:textId="77777777" w:rsidR="00163A95" w:rsidRPr="005E7052" w:rsidRDefault="00163A95">
      <w:pPr>
        <w:spacing w:line="360" w:lineRule="auto"/>
        <w:ind w:left="360"/>
        <w:jc w:val="both"/>
        <w:rPr>
          <w:rFonts w:ascii="Palatino Linotype" w:eastAsia="Palatino Linotype" w:hAnsi="Palatino Linotype" w:cs="Palatino Linotype"/>
          <w:i/>
          <w:sz w:val="20"/>
          <w:szCs w:val="20"/>
        </w:rPr>
      </w:pPr>
    </w:p>
    <w:p w14:paraId="216F3099" w14:textId="77777777" w:rsidR="00163A95" w:rsidRPr="005E7052" w:rsidRDefault="00063C0A">
      <w:pPr>
        <w:spacing w:line="360" w:lineRule="auto"/>
        <w:ind w:left="360"/>
        <w:jc w:val="both"/>
        <w:rPr>
          <w:rFonts w:ascii="Palatino Linotype" w:eastAsia="Palatino Linotype" w:hAnsi="Palatino Linotype" w:cs="Palatino Linotype"/>
        </w:rPr>
      </w:pPr>
      <w:r w:rsidRPr="005E7052">
        <w:rPr>
          <w:rFonts w:ascii="Palatino Linotype" w:eastAsia="Palatino Linotype" w:hAnsi="Palatino Linotype" w:cs="Palatino Linotype"/>
          <w:i/>
          <w:sz w:val="20"/>
          <w:szCs w:val="20"/>
        </w:rPr>
        <w:t>“respecto al tema de seguridad se requiere saber si el ayuntamiento ha llevado a cabo algún tipo de acción que combata el contrabandeo que se lleva a cabo por la mafia procedente del libano” (sic)</w:t>
      </w:r>
    </w:p>
    <w:p w14:paraId="41A83194" w14:textId="77777777" w:rsidR="00163A95" w:rsidRPr="005E7052" w:rsidRDefault="00163A95">
      <w:pPr>
        <w:tabs>
          <w:tab w:val="left" w:pos="851"/>
        </w:tabs>
        <w:ind w:right="901"/>
        <w:jc w:val="both"/>
        <w:rPr>
          <w:rFonts w:ascii="Palatino Linotype" w:eastAsia="Palatino Linotype" w:hAnsi="Palatino Linotype" w:cs="Palatino Linotype"/>
          <w:sz w:val="22"/>
          <w:szCs w:val="22"/>
        </w:rPr>
      </w:pPr>
    </w:p>
    <w:p w14:paraId="6C82C5FE" w14:textId="77777777" w:rsidR="00163A95" w:rsidRPr="005E7052" w:rsidRDefault="00063C0A">
      <w:pPr>
        <w:widowControl w:val="0"/>
        <w:spacing w:line="360" w:lineRule="auto"/>
        <w:jc w:val="both"/>
        <w:rPr>
          <w:rFonts w:ascii="Palatino Linotype" w:eastAsia="Palatino Linotype" w:hAnsi="Palatino Linotype" w:cs="Palatino Linotype"/>
          <w:b/>
        </w:rPr>
      </w:pPr>
      <w:r w:rsidRPr="005E7052">
        <w:rPr>
          <w:rFonts w:ascii="Palatino Linotype" w:eastAsia="Palatino Linotype" w:hAnsi="Palatino Linotype" w:cs="Palatino Linotype"/>
          <w:b/>
        </w:rPr>
        <w:t xml:space="preserve">MODALIDAD DE ENTREGA: </w:t>
      </w:r>
      <w:r w:rsidRPr="005E7052">
        <w:rPr>
          <w:rFonts w:ascii="Palatino Linotype" w:eastAsia="Palatino Linotype" w:hAnsi="Palatino Linotype" w:cs="Palatino Linotype"/>
        </w:rPr>
        <w:t>Vía</w:t>
      </w:r>
      <w:r w:rsidRPr="005E7052">
        <w:rPr>
          <w:rFonts w:ascii="Palatino Linotype" w:eastAsia="Palatino Linotype" w:hAnsi="Palatino Linotype" w:cs="Palatino Linotype"/>
          <w:b/>
        </w:rPr>
        <w:t xml:space="preserve"> SAIMEX.</w:t>
      </w:r>
    </w:p>
    <w:p w14:paraId="6FF28932" w14:textId="77777777" w:rsidR="00163A95" w:rsidRPr="005E7052" w:rsidRDefault="00163A95">
      <w:pPr>
        <w:widowControl w:val="0"/>
        <w:jc w:val="both"/>
        <w:rPr>
          <w:rFonts w:ascii="Palatino Linotype" w:eastAsia="Palatino Linotype" w:hAnsi="Palatino Linotype" w:cs="Palatino Linotype"/>
          <w:b/>
        </w:rPr>
      </w:pPr>
    </w:p>
    <w:p w14:paraId="468640F8" w14:textId="77777777" w:rsidR="00163A95" w:rsidRPr="005E7052" w:rsidRDefault="00063C0A">
      <w:pPr>
        <w:widowControl w:val="0"/>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b/>
          <w:sz w:val="28"/>
          <w:szCs w:val="28"/>
        </w:rPr>
        <w:t>II</w:t>
      </w:r>
      <w:r w:rsidRPr="005E7052">
        <w:rPr>
          <w:rFonts w:ascii="Palatino Linotype" w:eastAsia="Palatino Linotype" w:hAnsi="Palatino Linotype" w:cs="Palatino Linotype"/>
          <w:b/>
        </w:rPr>
        <w:t>.</w:t>
      </w:r>
      <w:r w:rsidRPr="005E7052">
        <w:rPr>
          <w:rFonts w:ascii="Palatino Linotype" w:eastAsia="Palatino Linotype" w:hAnsi="Palatino Linotype" w:cs="Palatino Linotype"/>
        </w:rPr>
        <w:t xml:space="preserve"> En cumplimiento al artículo 162 de la Ley de Transparencia y Acceso a la Información Pública del Estado de México y Municipios, el veinticinco de octubre de </w:t>
      </w:r>
      <w:r w:rsidRPr="005E7052">
        <w:rPr>
          <w:rFonts w:ascii="Palatino Linotype" w:eastAsia="Palatino Linotype" w:hAnsi="Palatino Linotype" w:cs="Palatino Linotype"/>
        </w:rPr>
        <w:lastRenderedPageBreak/>
        <w:t xml:space="preserve">dos mil veintiuno, </w:t>
      </w:r>
      <w:r w:rsidRPr="005E7052">
        <w:rPr>
          <w:rFonts w:ascii="Palatino Linotype" w:eastAsia="Palatino Linotype" w:hAnsi="Palatino Linotype" w:cs="Palatino Linotype"/>
          <w:b/>
        </w:rPr>
        <w:t>EL SUJETO OBLIGADO</w:t>
      </w:r>
      <w:r w:rsidRPr="005E7052">
        <w:rPr>
          <w:rFonts w:ascii="Palatino Linotype" w:eastAsia="Palatino Linotype" w:hAnsi="Palatino Linotype" w:cs="Palatino Linotype"/>
        </w:rPr>
        <w:t xml:space="preserve"> turnó el requerimiento para solicitar la información para dar respuesta a las solicitudes del ciudadano, así mismo, se le pidió al servidor público habilitado que consideró competente, la búsqueda y localización de dicha información, tal como se desprende de las imágenes que continuación se insertan:</w:t>
      </w:r>
    </w:p>
    <w:p w14:paraId="27774309" w14:textId="77777777" w:rsidR="00163A95" w:rsidRPr="005E7052" w:rsidRDefault="00063C0A">
      <w:pPr>
        <w:widowControl w:val="0"/>
        <w:jc w:val="both"/>
        <w:rPr>
          <w:rFonts w:ascii="Palatino Linotype" w:eastAsia="Palatino Linotype" w:hAnsi="Palatino Linotype" w:cs="Palatino Linotype"/>
        </w:rPr>
      </w:pPr>
      <w:r w:rsidRPr="005E7052">
        <w:rPr>
          <w:rFonts w:ascii="Palatino Linotype" w:eastAsia="Palatino Linotype" w:hAnsi="Palatino Linotype" w:cs="Palatino Linotype"/>
          <w:noProof/>
        </w:rPr>
        <w:drawing>
          <wp:inline distT="0" distB="0" distL="0" distR="0" wp14:anchorId="1A51B392" wp14:editId="4B62ACF9">
            <wp:extent cx="5791835" cy="909320"/>
            <wp:effectExtent l="0" t="0" r="0" b="0"/>
            <wp:docPr id="2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791835" cy="909320"/>
                    </a:xfrm>
                    <a:prstGeom prst="rect">
                      <a:avLst/>
                    </a:prstGeom>
                    <a:ln/>
                  </pic:spPr>
                </pic:pic>
              </a:graphicData>
            </a:graphic>
          </wp:inline>
        </w:drawing>
      </w:r>
    </w:p>
    <w:p w14:paraId="0EA45FD7" w14:textId="77777777" w:rsidR="00163A95" w:rsidRPr="005E7052" w:rsidRDefault="00163A95">
      <w:pPr>
        <w:widowControl w:val="0"/>
        <w:jc w:val="both"/>
        <w:rPr>
          <w:rFonts w:ascii="Palatino Linotype" w:eastAsia="Palatino Linotype" w:hAnsi="Palatino Linotype" w:cs="Palatino Linotype"/>
        </w:rPr>
      </w:pPr>
    </w:p>
    <w:p w14:paraId="52FD84D6" w14:textId="77777777" w:rsidR="00163A95" w:rsidRPr="005E7052" w:rsidRDefault="00063C0A">
      <w:pPr>
        <w:widowControl w:val="0"/>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b/>
          <w:sz w:val="28"/>
          <w:szCs w:val="28"/>
        </w:rPr>
        <w:t>III</w:t>
      </w:r>
      <w:r w:rsidRPr="005E7052">
        <w:rPr>
          <w:rFonts w:ascii="Palatino Linotype" w:eastAsia="Palatino Linotype" w:hAnsi="Palatino Linotype" w:cs="Palatino Linotype"/>
          <w:b/>
        </w:rPr>
        <w:t>.</w:t>
      </w:r>
      <w:r w:rsidRPr="005E7052">
        <w:rPr>
          <w:rFonts w:ascii="Palatino Linotype" w:eastAsia="Palatino Linotype" w:hAnsi="Palatino Linotype" w:cs="Palatino Linotype"/>
        </w:rPr>
        <w:t xml:space="preserve"> En fecha dieciséis de noviembre de dos mil veintiuno, </w:t>
      </w:r>
      <w:r w:rsidRPr="005E7052">
        <w:rPr>
          <w:rFonts w:ascii="Palatino Linotype" w:eastAsia="Palatino Linotype" w:hAnsi="Palatino Linotype" w:cs="Palatino Linotype"/>
          <w:b/>
        </w:rPr>
        <w:t>EL SUJETO OBLIGADO</w:t>
      </w:r>
      <w:r w:rsidRPr="005E7052">
        <w:rPr>
          <w:rFonts w:ascii="Palatino Linotype" w:eastAsia="Palatino Linotype" w:hAnsi="Palatino Linotype" w:cs="Palatino Linotype"/>
        </w:rPr>
        <w:t xml:space="preserve"> dio respuesta a las solicitudes de información en los siguientes términos:</w:t>
      </w:r>
    </w:p>
    <w:p w14:paraId="62DDD564" w14:textId="77777777" w:rsidR="00163A95" w:rsidRPr="005E7052" w:rsidRDefault="00163A95">
      <w:pPr>
        <w:widowControl w:val="0"/>
        <w:spacing w:line="360" w:lineRule="auto"/>
        <w:jc w:val="both"/>
        <w:rPr>
          <w:rFonts w:ascii="Palatino Linotype" w:eastAsia="Palatino Linotype" w:hAnsi="Palatino Linotype" w:cs="Palatino Linotype"/>
        </w:rPr>
      </w:pPr>
    </w:p>
    <w:p w14:paraId="73503A63" w14:textId="77777777" w:rsidR="00163A95" w:rsidRPr="005E7052" w:rsidRDefault="00063C0A">
      <w:pPr>
        <w:widowControl w:val="0"/>
        <w:spacing w:line="360" w:lineRule="auto"/>
        <w:jc w:val="both"/>
        <w:rPr>
          <w:rFonts w:ascii="Palatino Linotype" w:eastAsia="Palatino Linotype" w:hAnsi="Palatino Linotype" w:cs="Palatino Linotype"/>
          <w:b/>
          <w:sz w:val="22"/>
          <w:szCs w:val="22"/>
        </w:rPr>
      </w:pPr>
      <w:bookmarkStart w:id="3" w:name="_heading=h.1fob9te" w:colFirst="0" w:colLast="0"/>
      <w:bookmarkEnd w:id="3"/>
      <w:r w:rsidRPr="005E7052">
        <w:rPr>
          <w:rFonts w:ascii="Palatino Linotype" w:eastAsia="Palatino Linotype" w:hAnsi="Palatino Linotype" w:cs="Palatino Linotype"/>
          <w:b/>
        </w:rPr>
        <w:t xml:space="preserve">00099/CHICONCU/IP/2021 </w:t>
      </w:r>
      <w:r w:rsidRPr="005E7052">
        <w:rPr>
          <w:rFonts w:ascii="Palatino Linotype" w:eastAsia="Palatino Linotype" w:hAnsi="Palatino Linotype" w:cs="Palatino Linotype"/>
        </w:rPr>
        <w:t>relativo al recurso</w:t>
      </w:r>
      <w:r w:rsidRPr="005E7052">
        <w:rPr>
          <w:rFonts w:ascii="Palatino Linotype" w:eastAsia="Palatino Linotype" w:hAnsi="Palatino Linotype" w:cs="Palatino Linotype"/>
          <w:b/>
        </w:rPr>
        <w:t xml:space="preserve"> </w:t>
      </w:r>
      <w:r w:rsidRPr="005E7052">
        <w:rPr>
          <w:rFonts w:ascii="Palatino Linotype" w:eastAsia="Palatino Linotype" w:hAnsi="Palatino Linotype" w:cs="Palatino Linotype"/>
        </w:rPr>
        <w:t>de revisión</w:t>
      </w:r>
      <w:r w:rsidRPr="005E7052">
        <w:rPr>
          <w:rFonts w:ascii="Palatino Linotype" w:eastAsia="Palatino Linotype" w:hAnsi="Palatino Linotype" w:cs="Palatino Linotype"/>
          <w:b/>
        </w:rPr>
        <w:t xml:space="preserve"> </w:t>
      </w:r>
      <w:r w:rsidRPr="005E7052">
        <w:rPr>
          <w:rFonts w:ascii="Palatino Linotype" w:eastAsia="Palatino Linotype" w:hAnsi="Palatino Linotype" w:cs="Palatino Linotype"/>
          <w:b/>
          <w:sz w:val="22"/>
          <w:szCs w:val="22"/>
        </w:rPr>
        <w:t>05842/INFOEM/IP/RR/2021:</w:t>
      </w:r>
    </w:p>
    <w:p w14:paraId="67DCD8BB" w14:textId="77777777" w:rsidR="00163A95" w:rsidRPr="005E7052" w:rsidRDefault="00163A95">
      <w:pPr>
        <w:widowControl w:val="0"/>
        <w:spacing w:line="360" w:lineRule="auto"/>
        <w:ind w:left="850" w:right="901"/>
        <w:jc w:val="both"/>
        <w:rPr>
          <w:rFonts w:ascii="Palatino Linotype" w:eastAsia="Palatino Linotype" w:hAnsi="Palatino Linotype" w:cs="Palatino Linotype"/>
          <w:i/>
          <w:sz w:val="22"/>
          <w:szCs w:val="22"/>
        </w:rPr>
      </w:pPr>
    </w:p>
    <w:p w14:paraId="1E736603" w14:textId="77777777" w:rsidR="00163A95" w:rsidRPr="005E7052" w:rsidRDefault="00063C0A">
      <w:pPr>
        <w:widowControl w:val="0"/>
        <w:ind w:left="850" w:right="901"/>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1D4007" w14:textId="77777777" w:rsidR="00163A95" w:rsidRPr="005E7052" w:rsidRDefault="00063C0A">
      <w:pPr>
        <w:widowControl w:val="0"/>
        <w:ind w:left="850" w:right="901"/>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De acuerdo al Código fiscal de la Federación: "comete el delito de contrabando quien introduzca al país o extraiga de él mercancías: Omitiendo el pago total o parcial de las contribuciones o cuotas compensatorias que deban cubrirse. Sin permiso de autoridad competente, cuando sea necesario este requisito". por lo que en la dirección de seguridad publica no se tiene registro de algún reporte derivado del contrabando, siendo este un delito fiscal.” (Sic)</w:t>
      </w:r>
    </w:p>
    <w:p w14:paraId="192E3C90" w14:textId="77777777" w:rsidR="00163A95" w:rsidRPr="005E7052" w:rsidRDefault="00163A95">
      <w:pPr>
        <w:widowControl w:val="0"/>
        <w:spacing w:line="360" w:lineRule="auto"/>
        <w:ind w:left="850" w:right="901"/>
        <w:jc w:val="both"/>
        <w:rPr>
          <w:rFonts w:ascii="Palatino Linotype" w:eastAsia="Palatino Linotype" w:hAnsi="Palatino Linotype" w:cs="Palatino Linotype"/>
          <w:i/>
          <w:sz w:val="22"/>
          <w:szCs w:val="22"/>
        </w:rPr>
      </w:pPr>
    </w:p>
    <w:p w14:paraId="1DD628FF" w14:textId="77777777" w:rsidR="00163A95" w:rsidRPr="005E7052" w:rsidRDefault="00063C0A">
      <w:pPr>
        <w:widowControl w:val="0"/>
        <w:spacing w:line="360" w:lineRule="auto"/>
        <w:ind w:right="-92"/>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De la cita previa se puede observar que la Titular de la Unidad de Transparencia respondió a la solicitud de información derivado del turno realizado al Director de Seguridad Pública indicando la definición de acuerdo al Código Fiscal de la Federación </w:t>
      </w:r>
      <w:r w:rsidRPr="005E7052">
        <w:rPr>
          <w:rFonts w:ascii="Palatino Linotype" w:eastAsia="Palatino Linotype" w:hAnsi="Palatino Linotype" w:cs="Palatino Linotype"/>
        </w:rPr>
        <w:lastRenderedPageBreak/>
        <w:t>del delito de contrabando y señalando que no se tiene registro en la Dirección de Seguridad Pública de algún reporte de contrabando.</w:t>
      </w:r>
    </w:p>
    <w:p w14:paraId="3BEF7975" w14:textId="77777777" w:rsidR="00163A95" w:rsidRPr="005E7052" w:rsidRDefault="00163A95">
      <w:pPr>
        <w:widowControl w:val="0"/>
        <w:spacing w:line="360" w:lineRule="auto"/>
        <w:ind w:right="901"/>
        <w:jc w:val="both"/>
        <w:rPr>
          <w:rFonts w:ascii="Palatino Linotype" w:eastAsia="Palatino Linotype" w:hAnsi="Palatino Linotype" w:cs="Palatino Linotype"/>
        </w:rPr>
      </w:pPr>
    </w:p>
    <w:p w14:paraId="6D134788" w14:textId="77777777" w:rsidR="00163A95" w:rsidRPr="005E7052" w:rsidRDefault="00063C0A">
      <w:pPr>
        <w:spacing w:line="360" w:lineRule="auto"/>
        <w:ind w:left="-57" w:right="-57"/>
        <w:jc w:val="both"/>
        <w:rPr>
          <w:rFonts w:ascii="Palatino Linotype" w:eastAsia="Palatino Linotype" w:hAnsi="Palatino Linotype" w:cs="Palatino Linotype"/>
        </w:rPr>
      </w:pPr>
      <w:bookmarkStart w:id="4" w:name="_heading=h.3znysh7" w:colFirst="0" w:colLast="0"/>
      <w:bookmarkEnd w:id="4"/>
      <w:r w:rsidRPr="005E7052">
        <w:rPr>
          <w:rFonts w:ascii="Palatino Linotype" w:eastAsia="Palatino Linotype" w:hAnsi="Palatino Linotype" w:cs="Palatino Linotype"/>
          <w:b/>
          <w:sz w:val="28"/>
          <w:szCs w:val="28"/>
        </w:rPr>
        <w:t>IV</w:t>
      </w:r>
      <w:r w:rsidRPr="005E7052">
        <w:rPr>
          <w:rFonts w:ascii="Palatino Linotype" w:eastAsia="Palatino Linotype" w:hAnsi="Palatino Linotype" w:cs="Palatino Linotype"/>
          <w:b/>
        </w:rPr>
        <w:t xml:space="preserve">. </w:t>
      </w:r>
      <w:r w:rsidRPr="005E7052">
        <w:rPr>
          <w:rFonts w:ascii="Palatino Linotype" w:eastAsia="Palatino Linotype" w:hAnsi="Palatino Linotype" w:cs="Palatino Linotype"/>
        </w:rPr>
        <w:t>Inconforme por las respuestas del</w:t>
      </w:r>
      <w:r w:rsidRPr="005E7052">
        <w:rPr>
          <w:rFonts w:ascii="Palatino Linotype" w:eastAsia="Palatino Linotype" w:hAnsi="Palatino Linotype" w:cs="Palatino Linotype"/>
          <w:b/>
        </w:rPr>
        <w:t xml:space="preserve"> SUJETO OBLIGADO</w:t>
      </w:r>
      <w:r w:rsidRPr="005E7052">
        <w:rPr>
          <w:rFonts w:ascii="Palatino Linotype" w:eastAsia="Palatino Linotype" w:hAnsi="Palatino Linotype" w:cs="Palatino Linotype"/>
        </w:rPr>
        <w:t xml:space="preserve">, el veinticuatro de noviembre de dos mil veintiuno, </w:t>
      </w:r>
      <w:r w:rsidRPr="005E7052">
        <w:rPr>
          <w:rFonts w:ascii="Palatino Linotype" w:eastAsia="Palatino Linotype" w:hAnsi="Palatino Linotype" w:cs="Palatino Linotype"/>
          <w:b/>
        </w:rPr>
        <w:t>EL RECURRENTE</w:t>
      </w:r>
      <w:r w:rsidRPr="005E7052">
        <w:rPr>
          <w:rFonts w:ascii="Palatino Linotype" w:eastAsia="Palatino Linotype" w:hAnsi="Palatino Linotype" w:cs="Palatino Linotype"/>
        </w:rPr>
        <w:t xml:space="preserve"> interpuso el recurso de revisión el cual es materia del presente estudio, cabe destacar que fue registrado en </w:t>
      </w:r>
      <w:r w:rsidRPr="005E7052">
        <w:rPr>
          <w:rFonts w:ascii="Palatino Linotype" w:eastAsia="Palatino Linotype" w:hAnsi="Palatino Linotype" w:cs="Palatino Linotype"/>
          <w:b/>
        </w:rPr>
        <w:t>EL SAIMEX</w:t>
      </w:r>
      <w:r w:rsidRPr="005E7052">
        <w:rPr>
          <w:rFonts w:ascii="Palatino Linotype" w:eastAsia="Palatino Linotype" w:hAnsi="Palatino Linotype" w:cs="Palatino Linotype"/>
        </w:rPr>
        <w:t xml:space="preserve"> y se le asignó el número de expediente </w:t>
      </w:r>
      <w:r w:rsidRPr="005E7052">
        <w:rPr>
          <w:rFonts w:ascii="Palatino Linotype" w:eastAsia="Palatino Linotype" w:hAnsi="Palatino Linotype" w:cs="Palatino Linotype"/>
          <w:b/>
        </w:rPr>
        <w:t xml:space="preserve">05842/INFOEM/IP/RR/2021, </w:t>
      </w:r>
      <w:r w:rsidRPr="005E7052">
        <w:rPr>
          <w:rFonts w:ascii="Palatino Linotype" w:eastAsia="Palatino Linotype" w:hAnsi="Palatino Linotype" w:cs="Palatino Linotype"/>
        </w:rPr>
        <w:t xml:space="preserve">en este recurso los motivos de agravio del </w:t>
      </w:r>
      <w:r w:rsidRPr="005E7052">
        <w:rPr>
          <w:rFonts w:ascii="Palatino Linotype" w:eastAsia="Palatino Linotype" w:hAnsi="Palatino Linotype" w:cs="Palatino Linotype"/>
          <w:b/>
        </w:rPr>
        <w:t xml:space="preserve">RECURRENTE </w:t>
      </w:r>
      <w:r w:rsidRPr="005E7052">
        <w:rPr>
          <w:rFonts w:ascii="Palatino Linotype" w:eastAsia="Palatino Linotype" w:hAnsi="Palatino Linotype" w:cs="Palatino Linotype"/>
        </w:rPr>
        <w:t>fueron los siguientes:</w:t>
      </w:r>
    </w:p>
    <w:p w14:paraId="17AC17EE" w14:textId="77777777" w:rsidR="00163A95" w:rsidRPr="005E7052" w:rsidRDefault="00163A95">
      <w:pPr>
        <w:spacing w:line="360" w:lineRule="auto"/>
        <w:jc w:val="both"/>
        <w:rPr>
          <w:rFonts w:ascii="Palatino Linotype" w:eastAsia="Palatino Linotype" w:hAnsi="Palatino Linotype" w:cs="Palatino Linotype"/>
        </w:rPr>
      </w:pPr>
    </w:p>
    <w:tbl>
      <w:tblPr>
        <w:tblStyle w:val="a3"/>
        <w:tblW w:w="9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5"/>
        <w:gridCol w:w="2833"/>
        <w:gridCol w:w="3551"/>
      </w:tblGrid>
      <w:tr w:rsidR="00163A95" w:rsidRPr="005E7052" w14:paraId="193B9C7F" w14:textId="77777777">
        <w:trPr>
          <w:tblHeader/>
        </w:trPr>
        <w:tc>
          <w:tcPr>
            <w:tcW w:w="2685" w:type="dxa"/>
            <w:tcBorders>
              <w:top w:val="single" w:sz="4" w:space="0" w:color="000000"/>
              <w:left w:val="single" w:sz="4" w:space="0" w:color="000000"/>
              <w:bottom w:val="single" w:sz="4" w:space="0" w:color="000000"/>
              <w:right w:val="single" w:sz="4" w:space="0" w:color="000000"/>
            </w:tcBorders>
            <w:shd w:val="clear" w:color="auto" w:fill="4A452A"/>
          </w:tcPr>
          <w:p w14:paraId="401ED21D" w14:textId="77777777" w:rsidR="00163A95" w:rsidRPr="005E7052" w:rsidRDefault="00063C0A">
            <w:pPr>
              <w:spacing w:line="276" w:lineRule="auto"/>
              <w:jc w:val="center"/>
              <w:rPr>
                <w:rFonts w:ascii="Palatino Linotype" w:eastAsia="Palatino Linotype" w:hAnsi="Palatino Linotype" w:cs="Palatino Linotype"/>
                <w:b/>
                <w:color w:val="FFFFFF"/>
              </w:rPr>
            </w:pPr>
            <w:r w:rsidRPr="005E7052">
              <w:rPr>
                <w:rFonts w:ascii="Palatino Linotype" w:eastAsia="Palatino Linotype" w:hAnsi="Palatino Linotype" w:cs="Palatino Linotype"/>
                <w:b/>
                <w:color w:val="FFFFFF"/>
              </w:rPr>
              <w:t>Número de recurso</w:t>
            </w:r>
          </w:p>
        </w:tc>
        <w:tc>
          <w:tcPr>
            <w:tcW w:w="2833" w:type="dxa"/>
            <w:tcBorders>
              <w:left w:val="single" w:sz="4" w:space="0" w:color="000000"/>
            </w:tcBorders>
            <w:shd w:val="clear" w:color="auto" w:fill="4A452A"/>
          </w:tcPr>
          <w:p w14:paraId="796F7567" w14:textId="77777777" w:rsidR="00163A95" w:rsidRPr="005E7052" w:rsidRDefault="00063C0A">
            <w:pPr>
              <w:spacing w:line="276" w:lineRule="auto"/>
              <w:jc w:val="center"/>
              <w:rPr>
                <w:rFonts w:ascii="Palatino Linotype" w:eastAsia="Palatino Linotype" w:hAnsi="Palatino Linotype" w:cs="Palatino Linotype"/>
                <w:b/>
                <w:color w:val="FFFFFF"/>
              </w:rPr>
            </w:pPr>
            <w:r w:rsidRPr="005E7052">
              <w:rPr>
                <w:rFonts w:ascii="Palatino Linotype" w:eastAsia="Palatino Linotype" w:hAnsi="Palatino Linotype" w:cs="Palatino Linotype"/>
                <w:b/>
                <w:color w:val="FFFFFF"/>
              </w:rPr>
              <w:t xml:space="preserve">Acto impugnado </w:t>
            </w:r>
          </w:p>
        </w:tc>
        <w:tc>
          <w:tcPr>
            <w:tcW w:w="3551" w:type="dxa"/>
            <w:tcBorders>
              <w:left w:val="single" w:sz="4" w:space="0" w:color="000000"/>
            </w:tcBorders>
            <w:shd w:val="clear" w:color="auto" w:fill="4A452A"/>
          </w:tcPr>
          <w:p w14:paraId="43F7EC93" w14:textId="77777777" w:rsidR="00163A95" w:rsidRPr="005E7052" w:rsidRDefault="00063C0A">
            <w:pPr>
              <w:spacing w:line="276" w:lineRule="auto"/>
              <w:jc w:val="center"/>
              <w:rPr>
                <w:rFonts w:ascii="Palatino Linotype" w:eastAsia="Palatino Linotype" w:hAnsi="Palatino Linotype" w:cs="Palatino Linotype"/>
                <w:b/>
                <w:color w:val="FFFFFF"/>
              </w:rPr>
            </w:pPr>
            <w:r w:rsidRPr="005E7052">
              <w:rPr>
                <w:rFonts w:ascii="Palatino Linotype" w:eastAsia="Palatino Linotype" w:hAnsi="Palatino Linotype" w:cs="Palatino Linotype"/>
                <w:b/>
                <w:color w:val="FFFFFF"/>
              </w:rPr>
              <w:t>las razones o motivos de inconformidad</w:t>
            </w:r>
          </w:p>
        </w:tc>
      </w:tr>
      <w:tr w:rsidR="00163A95" w:rsidRPr="005E7052" w14:paraId="4B2B7257" w14:textId="77777777">
        <w:tc>
          <w:tcPr>
            <w:tcW w:w="2685" w:type="dxa"/>
            <w:tcBorders>
              <w:top w:val="single" w:sz="4" w:space="0" w:color="000000"/>
              <w:bottom w:val="single" w:sz="4" w:space="0" w:color="000000"/>
            </w:tcBorders>
            <w:shd w:val="clear" w:color="auto" w:fill="auto"/>
          </w:tcPr>
          <w:p w14:paraId="1EEF667E" w14:textId="77777777" w:rsidR="00163A95" w:rsidRPr="005E7052" w:rsidRDefault="00063C0A">
            <w:pPr>
              <w:spacing w:line="276" w:lineRule="auto"/>
              <w:rPr>
                <w:rFonts w:ascii="Palatino Linotype" w:eastAsia="Palatino Linotype" w:hAnsi="Palatino Linotype" w:cs="Palatino Linotype"/>
                <w:b/>
              </w:rPr>
            </w:pPr>
            <w:r w:rsidRPr="005E7052">
              <w:rPr>
                <w:rFonts w:ascii="Palatino Linotype" w:eastAsia="Palatino Linotype" w:hAnsi="Palatino Linotype" w:cs="Palatino Linotype"/>
                <w:b/>
                <w:sz w:val="20"/>
                <w:szCs w:val="20"/>
              </w:rPr>
              <w:t>05842/INFOEM/IP/RR/2021</w:t>
            </w:r>
          </w:p>
        </w:tc>
        <w:tc>
          <w:tcPr>
            <w:tcW w:w="2833" w:type="dxa"/>
            <w:shd w:val="clear" w:color="auto" w:fill="auto"/>
          </w:tcPr>
          <w:p w14:paraId="613BA5A5" w14:textId="77777777" w:rsidR="00163A95" w:rsidRPr="005E7052" w:rsidRDefault="00063C0A">
            <w:pPr>
              <w:jc w:val="both"/>
              <w:rPr>
                <w:rFonts w:ascii="Palatino Linotype" w:eastAsia="Palatino Linotype" w:hAnsi="Palatino Linotype" w:cs="Palatino Linotype"/>
                <w:i/>
              </w:rPr>
            </w:pPr>
            <w:r w:rsidRPr="005E7052">
              <w:rPr>
                <w:rFonts w:ascii="Palatino Linotype" w:eastAsia="Palatino Linotype" w:hAnsi="Palatino Linotype" w:cs="Palatino Linotype"/>
                <w:i/>
                <w:sz w:val="20"/>
                <w:szCs w:val="20"/>
              </w:rPr>
              <w:t>“</w:t>
            </w:r>
            <w:r w:rsidRPr="005E7052">
              <w:rPr>
                <w:rFonts w:ascii="Palatino Linotype" w:eastAsia="Palatino Linotype" w:hAnsi="Palatino Linotype" w:cs="Palatino Linotype"/>
                <w:i/>
              </w:rPr>
              <w:t>contestación a solicitud de información” (sic)</w:t>
            </w:r>
          </w:p>
        </w:tc>
        <w:tc>
          <w:tcPr>
            <w:tcW w:w="3551" w:type="dxa"/>
          </w:tcPr>
          <w:p w14:paraId="484E9BC9" w14:textId="64AE2E90" w:rsidR="00163A95" w:rsidRPr="005E7052" w:rsidRDefault="00063C0A">
            <w:pPr>
              <w:spacing w:before="106"/>
              <w:ind w:left="70"/>
              <w:rPr>
                <w:rFonts w:ascii="Palatino Linotype" w:eastAsia="Palatino Linotype" w:hAnsi="Palatino Linotype" w:cs="Palatino Linotype"/>
                <w:i/>
              </w:rPr>
            </w:pPr>
            <w:r w:rsidRPr="005E7052">
              <w:rPr>
                <w:rFonts w:ascii="Palatino Linotype" w:eastAsia="Palatino Linotype" w:hAnsi="Palatino Linotype" w:cs="Palatino Linotype"/>
                <w:i/>
              </w:rPr>
              <w:t xml:space="preserve">“ </w:t>
            </w:r>
            <w:r w:rsidR="00315B2B" w:rsidRPr="005E7052">
              <w:rPr>
                <w:rFonts w:ascii="Palatino Linotype" w:eastAsia="Palatino Linotype" w:hAnsi="Palatino Linotype" w:cs="Palatino Linotype"/>
                <w:i/>
              </w:rPr>
              <w:t>I</w:t>
            </w:r>
            <w:r w:rsidRPr="005E7052">
              <w:rPr>
                <w:rFonts w:ascii="Palatino Linotype" w:eastAsia="Palatino Linotype" w:hAnsi="Palatino Linotype" w:cs="Palatino Linotype"/>
                <w:i/>
              </w:rPr>
              <w:t>nsuficiente e indebida contestación a la solicitud de acceso</w:t>
            </w:r>
          </w:p>
          <w:p w14:paraId="0ABB36A1" w14:textId="77777777" w:rsidR="00163A95" w:rsidRPr="005E7052" w:rsidRDefault="00063C0A">
            <w:pPr>
              <w:spacing w:line="276" w:lineRule="auto"/>
              <w:jc w:val="both"/>
              <w:rPr>
                <w:rFonts w:ascii="Palatino Linotype" w:eastAsia="Palatino Linotype" w:hAnsi="Palatino Linotype" w:cs="Palatino Linotype"/>
                <w:i/>
              </w:rPr>
            </w:pPr>
            <w:r w:rsidRPr="005E7052">
              <w:rPr>
                <w:rFonts w:ascii="Palatino Linotype" w:eastAsia="Palatino Linotype" w:hAnsi="Palatino Linotype" w:cs="Palatino Linotype"/>
                <w:i/>
              </w:rPr>
              <w:t>” (sic)</w:t>
            </w:r>
          </w:p>
        </w:tc>
      </w:tr>
    </w:tbl>
    <w:p w14:paraId="6FBD7442" w14:textId="77777777" w:rsidR="00163A95" w:rsidRPr="005E7052" w:rsidRDefault="00163A95">
      <w:pPr>
        <w:spacing w:line="360" w:lineRule="auto"/>
        <w:jc w:val="both"/>
        <w:rPr>
          <w:rFonts w:ascii="Palatino Linotype" w:eastAsia="Palatino Linotype" w:hAnsi="Palatino Linotype" w:cs="Palatino Linotype"/>
          <w:sz w:val="22"/>
          <w:szCs w:val="22"/>
        </w:rPr>
      </w:pPr>
    </w:p>
    <w:p w14:paraId="5221FE70" w14:textId="77777777"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b/>
          <w:sz w:val="28"/>
          <w:szCs w:val="28"/>
        </w:rPr>
        <w:t xml:space="preserve">V. </w:t>
      </w:r>
      <w:r w:rsidRPr="005E7052">
        <w:rPr>
          <w:rFonts w:ascii="Palatino Linotype" w:eastAsia="Palatino Linotype" w:hAnsi="Palatino Linotype" w:cs="Palatino Linotype"/>
        </w:rPr>
        <w:t xml:space="preserve">El veinticuatro de noviembre de dos mil veintiuno,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así: a través del </w:t>
      </w:r>
      <w:r w:rsidRPr="005E7052">
        <w:rPr>
          <w:rFonts w:ascii="Palatino Linotype" w:eastAsia="Palatino Linotype" w:hAnsi="Palatino Linotype" w:cs="Palatino Linotype"/>
          <w:b/>
        </w:rPr>
        <w:t>SAIMEX</w:t>
      </w:r>
      <w:r w:rsidRPr="005E7052">
        <w:rPr>
          <w:rFonts w:ascii="Palatino Linotype" w:eastAsia="Palatino Linotype" w:hAnsi="Palatino Linotype" w:cs="Palatino Linotype"/>
        </w:rPr>
        <w:t xml:space="preserve">, el recurso de revisión </w:t>
      </w:r>
      <w:r w:rsidRPr="005E7052">
        <w:rPr>
          <w:rFonts w:ascii="Palatino Linotype" w:eastAsia="Palatino Linotype" w:hAnsi="Palatino Linotype" w:cs="Palatino Linotype"/>
          <w:b/>
        </w:rPr>
        <w:t xml:space="preserve">05842/INFOEM/IP/RR/2021 </w:t>
      </w:r>
      <w:r w:rsidRPr="005E7052">
        <w:rPr>
          <w:rFonts w:ascii="Palatino Linotype" w:eastAsia="Palatino Linotype" w:hAnsi="Palatino Linotype" w:cs="Palatino Linotype"/>
        </w:rPr>
        <w:t xml:space="preserve">a la </w:t>
      </w:r>
      <w:r w:rsidRPr="005E7052">
        <w:rPr>
          <w:rFonts w:ascii="Palatino Linotype" w:eastAsia="Palatino Linotype" w:hAnsi="Palatino Linotype" w:cs="Palatino Linotype"/>
          <w:b/>
        </w:rPr>
        <w:t>Comisionada Sharon Cristina Morales Martínez;</w:t>
      </w:r>
      <w:r w:rsidRPr="005E7052">
        <w:rPr>
          <w:rFonts w:ascii="Palatino Linotype" w:eastAsia="Palatino Linotype" w:hAnsi="Palatino Linotype" w:cs="Palatino Linotype"/>
        </w:rPr>
        <w:t>, a efecto de decretar su admisión o desechamiento.</w:t>
      </w:r>
    </w:p>
    <w:p w14:paraId="7D2AEF44" w14:textId="77777777" w:rsidR="00163A95" w:rsidRPr="005E7052" w:rsidRDefault="00163A95">
      <w:pPr>
        <w:spacing w:line="360" w:lineRule="auto"/>
        <w:jc w:val="both"/>
        <w:rPr>
          <w:rFonts w:ascii="Palatino Linotype" w:eastAsia="Palatino Linotype" w:hAnsi="Palatino Linotype" w:cs="Palatino Linotype"/>
        </w:rPr>
      </w:pPr>
    </w:p>
    <w:p w14:paraId="732A0913" w14:textId="77777777" w:rsidR="00163A95" w:rsidRPr="005E7052" w:rsidRDefault="00063C0A">
      <w:pPr>
        <w:tabs>
          <w:tab w:val="center" w:pos="4252"/>
          <w:tab w:val="right" w:pos="8504"/>
        </w:tabs>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b/>
          <w:sz w:val="28"/>
          <w:szCs w:val="28"/>
        </w:rPr>
        <w:t>VI</w:t>
      </w:r>
      <w:r w:rsidRPr="005E7052">
        <w:rPr>
          <w:rFonts w:ascii="Palatino Linotype" w:eastAsia="Palatino Linotype" w:hAnsi="Palatino Linotype" w:cs="Palatino Linotype"/>
          <w:b/>
        </w:rPr>
        <w:t xml:space="preserve">. </w:t>
      </w:r>
      <w:r w:rsidRPr="005E7052">
        <w:rPr>
          <w:rFonts w:ascii="Palatino Linotype" w:eastAsia="Palatino Linotype" w:hAnsi="Palatino Linotype" w:cs="Palatino Linotype"/>
        </w:rPr>
        <w:t>De las constancias que obran en el expediente electrónico del</w:t>
      </w:r>
      <w:r w:rsidRPr="005E7052">
        <w:rPr>
          <w:rFonts w:ascii="Palatino Linotype" w:eastAsia="Palatino Linotype" w:hAnsi="Palatino Linotype" w:cs="Palatino Linotype"/>
          <w:b/>
        </w:rPr>
        <w:t xml:space="preserve"> SAIMEX</w:t>
      </w:r>
      <w:r w:rsidRPr="005E7052">
        <w:rPr>
          <w:rFonts w:ascii="Palatino Linotype" w:eastAsia="Palatino Linotype" w:hAnsi="Palatino Linotype" w:cs="Palatino Linotype"/>
        </w:rPr>
        <w:t xml:space="preserve">, se advierte que en fechas veinticuatro de noviembre de dos mil veintiuno, se acordó la admisión a </w:t>
      </w:r>
      <w:r w:rsidRPr="005E7052">
        <w:rPr>
          <w:rFonts w:ascii="Palatino Linotype" w:eastAsia="Palatino Linotype" w:hAnsi="Palatino Linotype" w:cs="Palatino Linotype"/>
        </w:rPr>
        <w:lastRenderedPageBreak/>
        <w:t xml:space="preserve">trámite del recurso de revisión que nos ocupan;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5E7052">
        <w:rPr>
          <w:rFonts w:ascii="Palatino Linotype" w:eastAsia="Palatino Linotype" w:hAnsi="Palatino Linotype" w:cs="Palatino Linotype"/>
          <w:b/>
        </w:rPr>
        <w:t xml:space="preserve">EL SUJETO OBLIGADO </w:t>
      </w:r>
      <w:r w:rsidRPr="005E7052">
        <w:rPr>
          <w:rFonts w:ascii="Palatino Linotype" w:eastAsia="Palatino Linotype" w:hAnsi="Palatino Linotype" w:cs="Palatino Linotype"/>
        </w:rPr>
        <w:t>rindiera el correspondiente</w:t>
      </w:r>
      <w:r w:rsidRPr="005E7052">
        <w:rPr>
          <w:rFonts w:ascii="Palatino Linotype" w:eastAsia="Palatino Linotype" w:hAnsi="Palatino Linotype" w:cs="Palatino Linotype"/>
          <w:b/>
        </w:rPr>
        <w:t xml:space="preserve"> </w:t>
      </w:r>
      <w:r w:rsidRPr="005E7052">
        <w:rPr>
          <w:rFonts w:ascii="Palatino Linotype" w:eastAsia="Palatino Linotype" w:hAnsi="Palatino Linotype" w:cs="Palatino Linotype"/>
        </w:rPr>
        <w:t>Informe Justificados.</w:t>
      </w:r>
    </w:p>
    <w:p w14:paraId="2EAB0408" w14:textId="77777777" w:rsidR="00163A95" w:rsidRPr="005E7052" w:rsidRDefault="00163A95">
      <w:pPr>
        <w:tabs>
          <w:tab w:val="center" w:pos="4252"/>
          <w:tab w:val="right" w:pos="8504"/>
        </w:tabs>
        <w:spacing w:line="360" w:lineRule="auto"/>
        <w:jc w:val="both"/>
        <w:rPr>
          <w:rFonts w:ascii="Palatino Linotype" w:eastAsia="Palatino Linotype" w:hAnsi="Palatino Linotype" w:cs="Palatino Linotype"/>
        </w:rPr>
      </w:pPr>
    </w:p>
    <w:p w14:paraId="71C6708F" w14:textId="77777777" w:rsidR="00163A95" w:rsidRPr="005E7052" w:rsidRDefault="00063C0A">
      <w:pPr>
        <w:tabs>
          <w:tab w:val="center" w:pos="4252"/>
          <w:tab w:val="right" w:pos="8504"/>
        </w:tabs>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b/>
          <w:sz w:val="28"/>
          <w:szCs w:val="28"/>
        </w:rPr>
        <w:t xml:space="preserve">VII. </w:t>
      </w:r>
      <w:r w:rsidRPr="005E7052">
        <w:rPr>
          <w:rFonts w:ascii="Palatino Linotype" w:eastAsia="Palatino Linotype" w:hAnsi="Palatino Linotype" w:cs="Palatino Linotype"/>
        </w:rPr>
        <w:t>En cumplimiento a lo anterior, de las constancias del expediente electrónico del </w:t>
      </w:r>
      <w:r w:rsidRPr="005E7052">
        <w:rPr>
          <w:rFonts w:ascii="Palatino Linotype" w:eastAsia="Palatino Linotype" w:hAnsi="Palatino Linotype" w:cs="Palatino Linotype"/>
          <w:b/>
        </w:rPr>
        <w:t>SAIMEX</w:t>
      </w:r>
      <w:r w:rsidRPr="005E7052">
        <w:rPr>
          <w:rFonts w:ascii="Palatino Linotype" w:eastAsia="Palatino Linotype" w:hAnsi="Palatino Linotype" w:cs="Palatino Linotype"/>
        </w:rPr>
        <w:t>, se observa que el particular no realizó sus manifestaciones conforme a derecho le correspondían; así mismo, </w:t>
      </w:r>
      <w:r w:rsidRPr="005E7052">
        <w:rPr>
          <w:rFonts w:ascii="Palatino Linotype" w:eastAsia="Palatino Linotype" w:hAnsi="Palatino Linotype" w:cs="Palatino Linotype"/>
          <w:b/>
        </w:rPr>
        <w:t xml:space="preserve">EL SUJETO OBLIGADO </w:t>
      </w:r>
      <w:r w:rsidRPr="005E7052">
        <w:rPr>
          <w:rFonts w:ascii="Palatino Linotype" w:eastAsia="Palatino Linotype" w:hAnsi="Palatino Linotype" w:cs="Palatino Linotype"/>
        </w:rPr>
        <w:t>fue omiso de rendir su Informe Justificado, tal y  como se desprende en la imagen que a continuación se inserta:</w:t>
      </w:r>
    </w:p>
    <w:p w14:paraId="64D90CFE" w14:textId="77777777" w:rsidR="00163A95" w:rsidRPr="005E7052" w:rsidRDefault="00163A95">
      <w:pPr>
        <w:jc w:val="both"/>
        <w:rPr>
          <w:rFonts w:ascii="Palatino Linotype" w:eastAsia="Palatino Linotype" w:hAnsi="Palatino Linotype" w:cs="Palatino Linotype"/>
        </w:rPr>
      </w:pPr>
    </w:p>
    <w:p w14:paraId="75D44D9A" w14:textId="77777777" w:rsidR="00163A95" w:rsidRPr="005E7052" w:rsidRDefault="00063C0A">
      <w:pPr>
        <w:rPr>
          <w:rFonts w:ascii="Palatino Linotype" w:eastAsia="Palatino Linotype" w:hAnsi="Palatino Linotype" w:cs="Palatino Linotype"/>
        </w:rPr>
      </w:pPr>
      <w:r w:rsidRPr="005E7052">
        <w:rPr>
          <w:rFonts w:ascii="Palatino Linotype" w:eastAsia="Palatino Linotype" w:hAnsi="Palatino Linotype" w:cs="Palatino Linotype"/>
          <w:noProof/>
        </w:rPr>
        <w:drawing>
          <wp:inline distT="0" distB="0" distL="0" distR="0" wp14:anchorId="2392AA7E" wp14:editId="4CA37C0A">
            <wp:extent cx="5791835" cy="1455420"/>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91835" cy="1455420"/>
                    </a:xfrm>
                    <a:prstGeom prst="rect">
                      <a:avLst/>
                    </a:prstGeom>
                    <a:ln/>
                  </pic:spPr>
                </pic:pic>
              </a:graphicData>
            </a:graphic>
          </wp:inline>
        </w:drawing>
      </w:r>
    </w:p>
    <w:p w14:paraId="6CB20B46" w14:textId="77777777"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 </w:t>
      </w:r>
    </w:p>
    <w:p w14:paraId="05675FDD" w14:textId="77777777" w:rsidR="00163A95" w:rsidRPr="005E7052" w:rsidRDefault="00063C0A">
      <w:pPr>
        <w:tabs>
          <w:tab w:val="left" w:pos="709"/>
        </w:tabs>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b/>
          <w:sz w:val="28"/>
          <w:szCs w:val="28"/>
        </w:rPr>
        <w:t>VIII</w:t>
      </w:r>
      <w:r w:rsidRPr="005E7052">
        <w:rPr>
          <w:rFonts w:ascii="Palatino Linotype" w:eastAsia="Palatino Linotype" w:hAnsi="Palatino Linotype" w:cs="Palatino Linotype"/>
          <w:sz w:val="27"/>
          <w:szCs w:val="27"/>
        </w:rPr>
        <w:t xml:space="preserve">. </w:t>
      </w:r>
      <w:r w:rsidRPr="005E7052">
        <w:rPr>
          <w:rFonts w:ascii="Palatino Linotype" w:eastAsia="Palatino Linotype" w:hAnsi="Palatino Linotype" w:cs="Palatino Linotype"/>
        </w:rPr>
        <w:t xml:space="preserve">Una vez analizado el estado procesal que guardaba el expediente, en fecha seis de diciembre de dos mil veintiuno, la </w:t>
      </w:r>
      <w:r w:rsidRPr="005E7052">
        <w:rPr>
          <w:rFonts w:ascii="Palatino Linotype" w:eastAsia="Palatino Linotype" w:hAnsi="Palatino Linotype" w:cs="Palatino Linotype"/>
          <w:b/>
        </w:rPr>
        <w:t>Comisionada Sharon Cristina Morales Martínez</w:t>
      </w:r>
      <w:r w:rsidRPr="005E7052">
        <w:rPr>
          <w:rFonts w:ascii="Palatino Linotype" w:eastAsia="Palatino Linotype" w:hAnsi="Palatino Linotype" w:cs="Palatino Linotype"/>
        </w:rPr>
        <w:t xml:space="preserve"> acordó el cierre de instrucción, así como la remisión del mismo a efecto de ser resuelto, </w:t>
      </w:r>
      <w:r w:rsidRPr="005E7052">
        <w:rPr>
          <w:rFonts w:ascii="Palatino Linotype" w:eastAsia="Palatino Linotype" w:hAnsi="Palatino Linotype" w:cs="Palatino Linotype"/>
        </w:rPr>
        <w:lastRenderedPageBreak/>
        <w:t>de conformidad con lo establecido en el artículo 185 fracciones VI y VIII de la Ley de Transparencia y Acceso a la Información Pública del Estado de México y Municipios.</w:t>
      </w:r>
    </w:p>
    <w:p w14:paraId="69D55642" w14:textId="77777777" w:rsidR="00163A95" w:rsidRPr="005E7052" w:rsidRDefault="00163A95">
      <w:pPr>
        <w:spacing w:line="360" w:lineRule="auto"/>
        <w:jc w:val="both"/>
        <w:rPr>
          <w:rFonts w:ascii="Palatino Linotype" w:eastAsia="Palatino Linotype" w:hAnsi="Palatino Linotype" w:cs="Palatino Linotype"/>
          <w:b/>
        </w:rPr>
      </w:pPr>
    </w:p>
    <w:p w14:paraId="385B0BED" w14:textId="77777777" w:rsidR="00163A95" w:rsidRPr="005E7052" w:rsidRDefault="00063C0A">
      <w:pPr>
        <w:spacing w:line="360" w:lineRule="auto"/>
        <w:jc w:val="both"/>
        <w:rPr>
          <w:rFonts w:ascii="Palatino Linotype" w:eastAsia="Palatino Linotype" w:hAnsi="Palatino Linotype" w:cs="Palatino Linotype"/>
        </w:rPr>
      </w:pPr>
      <w:bookmarkStart w:id="5" w:name="_heading=h.2et92p0" w:colFirst="0" w:colLast="0"/>
      <w:bookmarkEnd w:id="5"/>
      <w:r w:rsidRPr="005E7052">
        <w:rPr>
          <w:rFonts w:ascii="Palatino Linotype" w:eastAsia="Palatino Linotype" w:hAnsi="Palatino Linotype" w:cs="Palatino Linotype"/>
          <w:b/>
          <w:sz w:val="28"/>
          <w:szCs w:val="28"/>
        </w:rPr>
        <w:t>IX.</w:t>
      </w:r>
      <w:r w:rsidRPr="005E7052">
        <w:rPr>
          <w:rFonts w:ascii="Palatino Linotype" w:eastAsia="Palatino Linotype" w:hAnsi="Palatino Linotype" w:cs="Palatino Linotype"/>
          <w:sz w:val="28"/>
          <w:szCs w:val="28"/>
        </w:rPr>
        <w:t xml:space="preserve"> </w:t>
      </w:r>
      <w:r w:rsidRPr="005E7052">
        <w:rPr>
          <w:rFonts w:ascii="Palatino Linotype" w:eastAsia="Palatino Linotype" w:hAnsi="Palatino Linotype" w:cs="Palatino Linotype"/>
        </w:rPr>
        <w:t xml:space="preserve">En fecha nueve de diciembre de dos mil veintiuno, el Pleno del Instituto de Transparencia, Acceso a la Información Pública y Protección de Datos Personales del Estado de México y Municipios, mediante acuerdo signado por sus integrantes, aprobó la Licencia por incapacidad médica de la </w:t>
      </w:r>
      <w:r w:rsidRPr="005E7052">
        <w:rPr>
          <w:rFonts w:ascii="Palatino Linotype" w:eastAsia="Palatino Linotype" w:hAnsi="Palatino Linotype" w:cs="Palatino Linotype"/>
          <w:b/>
        </w:rPr>
        <w:t>Comisionada</w:t>
      </w:r>
      <w:r w:rsidRPr="005E7052">
        <w:rPr>
          <w:rFonts w:ascii="Palatino Linotype" w:eastAsia="Palatino Linotype" w:hAnsi="Palatino Linotype" w:cs="Palatino Linotype"/>
        </w:rPr>
        <w:t xml:space="preserve"> </w:t>
      </w:r>
      <w:r w:rsidRPr="005E7052">
        <w:rPr>
          <w:rFonts w:ascii="Palatino Linotype" w:eastAsia="Palatino Linotype" w:hAnsi="Palatino Linotype" w:cs="Palatino Linotype"/>
          <w:b/>
        </w:rPr>
        <w:t>Sharon Cristina Morales Martínez</w:t>
      </w:r>
      <w:r w:rsidRPr="005E7052">
        <w:rPr>
          <w:rFonts w:ascii="Palatino Linotype" w:eastAsia="Palatino Linotype" w:hAnsi="Palatino Linotype" w:cs="Palatino Linotype"/>
        </w:rPr>
        <w:t xml:space="preserve">, y a través del cual se convino el returno del recurso de revisión de mérito al </w:t>
      </w:r>
      <w:r w:rsidRPr="005E7052">
        <w:rPr>
          <w:rFonts w:ascii="Palatino Linotype" w:eastAsia="Palatino Linotype" w:hAnsi="Palatino Linotype" w:cs="Palatino Linotype"/>
          <w:b/>
        </w:rPr>
        <w:t>Comisionado Presidente</w:t>
      </w:r>
      <w:r w:rsidRPr="005E7052">
        <w:rPr>
          <w:rFonts w:ascii="Palatino Linotype" w:eastAsia="Palatino Linotype" w:hAnsi="Palatino Linotype" w:cs="Palatino Linotype"/>
        </w:rPr>
        <w:t xml:space="preserve"> </w:t>
      </w:r>
      <w:r w:rsidRPr="005E7052">
        <w:rPr>
          <w:rFonts w:ascii="Palatino Linotype" w:eastAsia="Palatino Linotype" w:hAnsi="Palatino Linotype" w:cs="Palatino Linotype"/>
          <w:b/>
        </w:rPr>
        <w:t>José Martínez Vilchis</w:t>
      </w:r>
      <w:r w:rsidRPr="005E7052">
        <w:rPr>
          <w:rFonts w:ascii="Palatino Linotype" w:eastAsia="Palatino Linotype" w:hAnsi="Palatino Linotype" w:cs="Palatino Linotype"/>
        </w:rPr>
        <w:t>, para que diera trámite y resolviera conforme a derecho.</w:t>
      </w:r>
    </w:p>
    <w:p w14:paraId="5751D0DD" w14:textId="22655C8D" w:rsidR="00163A95" w:rsidRPr="005E7052" w:rsidRDefault="00063C0A" w:rsidP="00315B2B">
      <w:pPr>
        <w:spacing w:before="280" w:after="280"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b/>
          <w:sz w:val="28"/>
          <w:szCs w:val="28"/>
        </w:rPr>
        <w:t>X.</w:t>
      </w:r>
      <w:r w:rsidRPr="005E7052">
        <w:rPr>
          <w:rFonts w:ascii="Palatino Linotype" w:eastAsia="Palatino Linotype" w:hAnsi="Palatino Linotype" w:cs="Palatino Linotype"/>
        </w:rPr>
        <w:t xml:space="preserve"> El </w:t>
      </w:r>
      <w:r w:rsidRPr="005E7052">
        <w:rPr>
          <w:rFonts w:ascii="Palatino Linotype" w:eastAsia="Palatino Linotype" w:hAnsi="Palatino Linotype" w:cs="Palatino Linotype"/>
          <w:b/>
        </w:rPr>
        <w:t>veintiuno de enero de dos mil veintidós</w:t>
      </w:r>
      <w:r w:rsidRPr="005E7052">
        <w:rPr>
          <w:rFonts w:ascii="Palatino Linotype" w:eastAsia="Palatino Linotype" w:hAnsi="Palatino Linotype" w:cs="Palatino Linotype"/>
        </w:rPr>
        <w:t>, se acordó ampliar el plazo para resolver el recurso de revisión en estudio, por un periodo de hasta quince días hábiles, de conformidad con el artículo 181, tercer párrafo de la Ley de Transparencia y Acceso a la Información Pública del Estado de México y Municipios; y,</w:t>
      </w:r>
    </w:p>
    <w:p w14:paraId="78C68F04" w14:textId="77777777" w:rsidR="00163A95" w:rsidRPr="005E7052" w:rsidRDefault="00063C0A">
      <w:pPr>
        <w:jc w:val="center"/>
        <w:rPr>
          <w:rFonts w:ascii="Palatino Linotype" w:eastAsia="Palatino Linotype" w:hAnsi="Palatino Linotype" w:cs="Palatino Linotype"/>
          <w:b/>
          <w:sz w:val="28"/>
          <w:szCs w:val="28"/>
        </w:rPr>
      </w:pPr>
      <w:r w:rsidRPr="005E7052">
        <w:rPr>
          <w:rFonts w:ascii="Palatino Linotype" w:eastAsia="Palatino Linotype" w:hAnsi="Palatino Linotype" w:cs="Palatino Linotype"/>
          <w:b/>
          <w:sz w:val="28"/>
          <w:szCs w:val="28"/>
        </w:rPr>
        <w:t>CONSIDERANDO</w:t>
      </w:r>
    </w:p>
    <w:p w14:paraId="74697965" w14:textId="77777777" w:rsidR="00163A95" w:rsidRPr="005E7052" w:rsidRDefault="00163A95">
      <w:pPr>
        <w:rPr>
          <w:rFonts w:ascii="Palatino Linotype" w:eastAsia="Palatino Linotype" w:hAnsi="Palatino Linotype" w:cs="Palatino Linotype"/>
          <w:b/>
          <w:sz w:val="28"/>
          <w:szCs w:val="28"/>
        </w:rPr>
      </w:pPr>
    </w:p>
    <w:p w14:paraId="0D631C18" w14:textId="77777777" w:rsidR="00163A95" w:rsidRPr="005E7052" w:rsidRDefault="00063C0A">
      <w:pPr>
        <w:widowControl w:val="0"/>
        <w:tabs>
          <w:tab w:val="left" w:pos="1701"/>
        </w:tabs>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b/>
          <w:sz w:val="28"/>
          <w:szCs w:val="28"/>
        </w:rPr>
        <w:t xml:space="preserve">PRIMERO. </w:t>
      </w:r>
      <w:r w:rsidRPr="005E7052">
        <w:rPr>
          <w:rFonts w:ascii="Palatino Linotype" w:eastAsia="Palatino Linotype" w:hAnsi="Palatino Linotype" w:cs="Palatino Linotype"/>
          <w:b/>
        </w:rPr>
        <w:t>Competencia</w:t>
      </w:r>
      <w:r w:rsidRPr="005E7052">
        <w:rPr>
          <w:rFonts w:ascii="Palatino Linotype" w:eastAsia="Palatino Linotype" w:hAnsi="Palatino Linotype" w:cs="Palatino Linotype"/>
        </w:rPr>
        <w:t>.</w:t>
      </w:r>
      <w:r w:rsidRPr="005E7052">
        <w:rPr>
          <w:rFonts w:ascii="Palatino Linotype" w:eastAsia="Palatino Linotype" w:hAnsi="Palatino Linotype" w:cs="Palatino Linotype"/>
          <w:b/>
        </w:rPr>
        <w:t xml:space="preserve"> </w:t>
      </w:r>
    </w:p>
    <w:p w14:paraId="2E3976B3" w14:textId="77777777" w:rsidR="00163A95" w:rsidRPr="005E7052" w:rsidRDefault="00063C0A">
      <w:pPr>
        <w:widowControl w:val="0"/>
        <w:tabs>
          <w:tab w:val="left" w:pos="1701"/>
        </w:tabs>
        <w:spacing w:line="360" w:lineRule="auto"/>
        <w:jc w:val="both"/>
        <w:rPr>
          <w:rFonts w:ascii="Palatino Linotype" w:eastAsia="Palatino Linotype" w:hAnsi="Palatino Linotype" w:cs="Palatino Linotype"/>
        </w:rPr>
      </w:pPr>
      <w:bookmarkStart w:id="6" w:name="_heading=h.tyjcwt" w:colFirst="0" w:colLast="0"/>
      <w:bookmarkEnd w:id="6"/>
      <w:r w:rsidRPr="005E7052">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w:t>
      </w:r>
      <w:r w:rsidRPr="005E7052">
        <w:rPr>
          <w:rFonts w:ascii="Palatino Linotype" w:eastAsia="Palatino Linotype" w:hAnsi="Palatino Linotype" w:cs="Palatino Linotype"/>
        </w:rPr>
        <w:lastRenderedPageBreak/>
        <w:t>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D8B6A6C" w14:textId="77777777" w:rsidR="00163A95" w:rsidRPr="005E7052" w:rsidRDefault="00163A95">
      <w:pPr>
        <w:widowControl w:val="0"/>
        <w:tabs>
          <w:tab w:val="left" w:pos="1701"/>
          <w:tab w:val="left" w:pos="2977"/>
        </w:tabs>
        <w:spacing w:line="360" w:lineRule="auto"/>
        <w:jc w:val="both"/>
        <w:rPr>
          <w:rFonts w:ascii="Palatino Linotype" w:eastAsia="Palatino Linotype" w:hAnsi="Palatino Linotype" w:cs="Palatino Linotype"/>
        </w:rPr>
      </w:pPr>
    </w:p>
    <w:p w14:paraId="187E9052" w14:textId="77777777" w:rsidR="00163A95" w:rsidRPr="005E7052" w:rsidRDefault="00063C0A">
      <w:pPr>
        <w:spacing w:line="360" w:lineRule="auto"/>
        <w:jc w:val="both"/>
        <w:rPr>
          <w:rFonts w:ascii="Palatino Linotype" w:eastAsia="Palatino Linotype" w:hAnsi="Palatino Linotype" w:cs="Palatino Linotype"/>
          <w:b/>
        </w:rPr>
      </w:pPr>
      <w:r w:rsidRPr="005E7052">
        <w:rPr>
          <w:rFonts w:ascii="Palatino Linotype" w:eastAsia="Palatino Linotype" w:hAnsi="Palatino Linotype" w:cs="Palatino Linotype"/>
          <w:b/>
          <w:sz w:val="28"/>
          <w:szCs w:val="28"/>
        </w:rPr>
        <w:t>SEGUNDO</w:t>
      </w:r>
      <w:r w:rsidRPr="005E7052">
        <w:rPr>
          <w:rFonts w:ascii="Palatino Linotype" w:eastAsia="Palatino Linotype" w:hAnsi="Palatino Linotype" w:cs="Palatino Linotype"/>
          <w:b/>
        </w:rPr>
        <w:t xml:space="preserve">. Interés. </w:t>
      </w:r>
    </w:p>
    <w:p w14:paraId="4A736099" w14:textId="77777777" w:rsidR="00163A95" w:rsidRPr="005E7052" w:rsidRDefault="00063C0A">
      <w:pPr>
        <w:spacing w:line="360" w:lineRule="auto"/>
        <w:jc w:val="both"/>
        <w:rPr>
          <w:rFonts w:ascii="Palatino Linotype" w:eastAsia="Palatino Linotype" w:hAnsi="Palatino Linotype" w:cs="Palatino Linotype"/>
          <w:b/>
        </w:rPr>
      </w:pPr>
      <w:r w:rsidRPr="005E7052">
        <w:rPr>
          <w:rFonts w:ascii="Palatino Linotype" w:eastAsia="Palatino Linotype" w:hAnsi="Palatino Linotype" w:cs="Palatino Linotype"/>
        </w:rPr>
        <w:t xml:space="preserve">El recurso de revisión fue interpuesto por parte legítima, en atención a que se presentó por </w:t>
      </w:r>
      <w:r w:rsidRPr="005E7052">
        <w:rPr>
          <w:rFonts w:ascii="Palatino Linotype" w:eastAsia="Palatino Linotype" w:hAnsi="Palatino Linotype" w:cs="Palatino Linotype"/>
          <w:b/>
        </w:rPr>
        <w:t>EL RECURRENTE,</w:t>
      </w:r>
      <w:r w:rsidRPr="005E7052">
        <w:rPr>
          <w:rFonts w:ascii="Palatino Linotype" w:eastAsia="Palatino Linotype" w:hAnsi="Palatino Linotype" w:cs="Palatino Linotype"/>
        </w:rPr>
        <w:t xml:space="preserve"> quien es la misma persona que formuló la solicitud de acceso a la información pública al </w:t>
      </w:r>
      <w:r w:rsidRPr="005E7052">
        <w:rPr>
          <w:rFonts w:ascii="Palatino Linotype" w:eastAsia="Palatino Linotype" w:hAnsi="Palatino Linotype" w:cs="Palatino Linotype"/>
          <w:b/>
        </w:rPr>
        <w:t>SUJETO OBLIGADO.</w:t>
      </w:r>
    </w:p>
    <w:p w14:paraId="474D9A02" w14:textId="77777777" w:rsidR="00163A95" w:rsidRPr="005E7052" w:rsidRDefault="00163A95">
      <w:pPr>
        <w:spacing w:line="360" w:lineRule="auto"/>
        <w:jc w:val="both"/>
        <w:rPr>
          <w:rFonts w:ascii="Palatino Linotype" w:eastAsia="Palatino Linotype" w:hAnsi="Palatino Linotype" w:cs="Palatino Linotype"/>
          <w:b/>
        </w:rPr>
      </w:pPr>
    </w:p>
    <w:p w14:paraId="071A230F" w14:textId="77777777" w:rsidR="00163A95" w:rsidRPr="005E7052" w:rsidRDefault="00063C0A">
      <w:pPr>
        <w:tabs>
          <w:tab w:val="center" w:pos="4252"/>
          <w:tab w:val="right" w:pos="8504"/>
        </w:tabs>
        <w:spacing w:line="360" w:lineRule="auto"/>
        <w:ind w:left="-57"/>
        <w:jc w:val="both"/>
        <w:rPr>
          <w:rFonts w:ascii="Palatino Linotype" w:eastAsia="Palatino Linotype" w:hAnsi="Palatino Linotype" w:cs="Palatino Linotype"/>
          <w:color w:val="000000"/>
        </w:rPr>
      </w:pPr>
      <w:r w:rsidRPr="005E7052">
        <w:rPr>
          <w:rFonts w:ascii="Palatino Linotype" w:eastAsia="Palatino Linotype" w:hAnsi="Palatino Linotype" w:cs="Palatino Linotype"/>
          <w:b/>
          <w:sz w:val="28"/>
          <w:szCs w:val="28"/>
        </w:rPr>
        <w:t>TERCERO.</w:t>
      </w:r>
      <w:r w:rsidRPr="005E7052">
        <w:rPr>
          <w:rFonts w:ascii="Palatino Linotype" w:eastAsia="Palatino Linotype" w:hAnsi="Palatino Linotype" w:cs="Palatino Linotype"/>
        </w:rPr>
        <w:t xml:space="preserve"> </w:t>
      </w:r>
      <w:r w:rsidRPr="005E7052">
        <w:rPr>
          <w:rFonts w:ascii="Palatino Linotype" w:eastAsia="Palatino Linotype" w:hAnsi="Palatino Linotype" w:cs="Palatino Linotype"/>
          <w:b/>
          <w:color w:val="000000"/>
        </w:rPr>
        <w:t>Oportunidad</w:t>
      </w:r>
      <w:r w:rsidRPr="005E7052">
        <w:rPr>
          <w:rFonts w:ascii="Palatino Linotype" w:eastAsia="Palatino Linotype" w:hAnsi="Palatino Linotype" w:cs="Palatino Linotype"/>
          <w:color w:val="000000"/>
        </w:rPr>
        <w:t xml:space="preserve">. </w:t>
      </w:r>
    </w:p>
    <w:p w14:paraId="10BFB23F" w14:textId="77777777" w:rsidR="00163A95" w:rsidRPr="005E7052" w:rsidRDefault="00063C0A">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5E7052">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5E7052">
        <w:rPr>
          <w:rFonts w:ascii="Palatino Linotype" w:eastAsia="Palatino Linotype" w:hAnsi="Palatino Linotype" w:cs="Palatino Linotype"/>
          <w:b/>
          <w:color w:val="000000"/>
        </w:rPr>
        <w:t xml:space="preserve">EL RECURRENTE </w:t>
      </w:r>
      <w:r w:rsidRPr="005E7052">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2525CC6B" w14:textId="77777777" w:rsidR="00163A95" w:rsidRPr="005E7052" w:rsidRDefault="00163A95">
      <w:pPr>
        <w:ind w:left="720" w:right="709"/>
        <w:jc w:val="both"/>
        <w:rPr>
          <w:rFonts w:ascii="Palatino Linotype" w:eastAsia="Palatino Linotype" w:hAnsi="Palatino Linotype" w:cs="Palatino Linotype"/>
          <w:i/>
          <w:sz w:val="22"/>
          <w:szCs w:val="22"/>
        </w:rPr>
      </w:pPr>
    </w:p>
    <w:p w14:paraId="361FDAD2" w14:textId="77777777" w:rsidR="00163A95" w:rsidRPr="005E7052" w:rsidRDefault="00063C0A">
      <w:pPr>
        <w:ind w:left="851" w:right="899"/>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w:t>
      </w:r>
      <w:r w:rsidRPr="005E7052">
        <w:rPr>
          <w:rFonts w:ascii="Palatino Linotype" w:eastAsia="Palatino Linotype" w:hAnsi="Palatino Linotype" w:cs="Palatino Linotype"/>
          <w:b/>
          <w:i/>
          <w:sz w:val="22"/>
          <w:szCs w:val="22"/>
        </w:rPr>
        <w:t>Artículo 178.</w:t>
      </w:r>
      <w:r w:rsidRPr="005E7052">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F1A7BBC" w14:textId="77777777" w:rsidR="00163A95" w:rsidRPr="005E7052" w:rsidRDefault="00163A95">
      <w:pPr>
        <w:ind w:left="851" w:right="899"/>
        <w:jc w:val="both"/>
        <w:rPr>
          <w:rFonts w:ascii="Palatino Linotype" w:eastAsia="Palatino Linotype" w:hAnsi="Palatino Linotype" w:cs="Palatino Linotype"/>
          <w:i/>
          <w:sz w:val="22"/>
          <w:szCs w:val="22"/>
        </w:rPr>
      </w:pPr>
    </w:p>
    <w:p w14:paraId="3609C625" w14:textId="77777777" w:rsidR="00163A95" w:rsidRPr="005E7052" w:rsidRDefault="00063C0A">
      <w:pPr>
        <w:ind w:left="851" w:right="899"/>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003542E" w14:textId="77777777" w:rsidR="00163A95" w:rsidRPr="005E7052" w:rsidRDefault="00163A95">
      <w:pPr>
        <w:ind w:left="851" w:right="899"/>
        <w:jc w:val="both"/>
        <w:rPr>
          <w:rFonts w:ascii="Palatino Linotype" w:eastAsia="Palatino Linotype" w:hAnsi="Palatino Linotype" w:cs="Palatino Linotype"/>
          <w:i/>
          <w:sz w:val="22"/>
          <w:szCs w:val="22"/>
        </w:rPr>
      </w:pPr>
    </w:p>
    <w:p w14:paraId="0AC14148" w14:textId="77777777" w:rsidR="00163A95" w:rsidRPr="005E7052" w:rsidRDefault="00063C0A">
      <w:pPr>
        <w:ind w:left="851" w:right="899"/>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2F20F18" w14:textId="77777777" w:rsidR="00163A95" w:rsidRPr="005E7052" w:rsidRDefault="00163A95">
      <w:pPr>
        <w:ind w:left="720" w:right="709"/>
        <w:jc w:val="both"/>
        <w:rPr>
          <w:rFonts w:ascii="Palatino Linotype" w:eastAsia="Palatino Linotype" w:hAnsi="Palatino Linotype" w:cs="Palatino Linotype"/>
          <w:i/>
          <w:sz w:val="22"/>
          <w:szCs w:val="22"/>
        </w:rPr>
      </w:pPr>
    </w:p>
    <w:p w14:paraId="0B39DE71" w14:textId="77777777" w:rsidR="00163A95" w:rsidRPr="005E7052" w:rsidRDefault="00063C0A">
      <w:pPr>
        <w:spacing w:line="360" w:lineRule="auto"/>
        <w:jc w:val="both"/>
        <w:rPr>
          <w:rFonts w:ascii="Palatino Linotype" w:eastAsia="Palatino Linotype" w:hAnsi="Palatino Linotype" w:cs="Palatino Linotype"/>
        </w:rPr>
      </w:pPr>
      <w:bookmarkStart w:id="7" w:name="_heading=h.3dy6vkm" w:colFirst="0" w:colLast="0"/>
      <w:bookmarkEnd w:id="7"/>
      <w:r w:rsidRPr="005E7052">
        <w:rPr>
          <w:rFonts w:ascii="Palatino Linotype" w:eastAsia="Palatino Linotype" w:hAnsi="Palatino Linotype" w:cs="Palatino Linotype"/>
        </w:rPr>
        <w:t xml:space="preserve">En esa tesitura, atendiendo a que </w:t>
      </w:r>
      <w:r w:rsidRPr="005E7052">
        <w:rPr>
          <w:rFonts w:ascii="Palatino Linotype" w:eastAsia="Palatino Linotype" w:hAnsi="Palatino Linotype" w:cs="Palatino Linotype"/>
          <w:b/>
        </w:rPr>
        <w:t>EL SUJETO OBLIGADO</w:t>
      </w:r>
      <w:r w:rsidRPr="005E7052">
        <w:rPr>
          <w:rFonts w:ascii="Palatino Linotype" w:eastAsia="Palatino Linotype" w:hAnsi="Palatino Linotype" w:cs="Palatino Linotype"/>
        </w:rPr>
        <w:t xml:space="preserve"> notificó la respuesta a la solicitud de acceso a la información pública el día</w:t>
      </w:r>
      <w:r w:rsidRPr="005E7052">
        <w:rPr>
          <w:rFonts w:ascii="Palatino Linotype" w:eastAsia="Palatino Linotype" w:hAnsi="Palatino Linotype" w:cs="Palatino Linotype"/>
          <w:b/>
        </w:rPr>
        <w:t xml:space="preserve"> dieciséis de noviembre de dos mil veintiuno</w:t>
      </w:r>
      <w:r w:rsidRPr="005E7052">
        <w:rPr>
          <w:rFonts w:ascii="Palatino Linotype" w:eastAsia="Palatino Linotype" w:hAnsi="Palatino Linotype" w:cs="Palatino Linotype"/>
        </w:rPr>
        <w:t>; así, el plazo de quince días hábiles que el artículo 178 de la Ley de la materia otorga al</w:t>
      </w:r>
      <w:r w:rsidRPr="005E7052">
        <w:rPr>
          <w:rFonts w:ascii="Palatino Linotype" w:eastAsia="Palatino Linotype" w:hAnsi="Palatino Linotype" w:cs="Palatino Linotype"/>
          <w:b/>
        </w:rPr>
        <w:t xml:space="preserve"> RECURRENTE</w:t>
      </w:r>
      <w:r w:rsidRPr="005E7052">
        <w:rPr>
          <w:rFonts w:ascii="Palatino Linotype" w:eastAsia="Palatino Linotype" w:hAnsi="Palatino Linotype" w:cs="Palatino Linotype"/>
        </w:rPr>
        <w:t xml:space="preserve"> para presentar el respectivo recurso de revisión, transcurrió del </w:t>
      </w:r>
      <w:r w:rsidRPr="005E7052">
        <w:rPr>
          <w:rFonts w:ascii="Palatino Linotype" w:eastAsia="Palatino Linotype" w:hAnsi="Palatino Linotype" w:cs="Palatino Linotype"/>
          <w:b/>
        </w:rPr>
        <w:t>diecisiete de noviembre al siete de diciembre de dos mil veintiuno</w:t>
      </w:r>
      <w:r w:rsidRPr="005E7052">
        <w:rPr>
          <w:rFonts w:ascii="Palatino Linotype" w:eastAsia="Palatino Linotype" w:hAnsi="Palatino Linotype" w:cs="Palatino Linotype"/>
        </w:rPr>
        <w:t xml:space="preserve">, sin contemplar en el cómputo los días veinte, veintiuno, veintisiete y veintiocho de noviembre; así como, cuatro y cinco de diciembre de dos mil veintiuno, por corresponder a sábados y domingos, considerados como días inhábiles, en términos del artículo 3, fracción X de la Ley de Transparencia y Acceso a la Información Pública del Estado de México y Municipios. </w:t>
      </w:r>
    </w:p>
    <w:p w14:paraId="46175CE8" w14:textId="77777777" w:rsidR="00163A95" w:rsidRPr="005E7052" w:rsidRDefault="00163A95">
      <w:pPr>
        <w:spacing w:line="360" w:lineRule="auto"/>
        <w:jc w:val="both"/>
        <w:rPr>
          <w:rFonts w:ascii="Palatino Linotype" w:eastAsia="Palatino Linotype" w:hAnsi="Palatino Linotype" w:cs="Palatino Linotype"/>
        </w:rPr>
      </w:pPr>
      <w:bookmarkStart w:id="8" w:name="_heading=h.9wz9lnx19zcm" w:colFirst="0" w:colLast="0"/>
      <w:bookmarkEnd w:id="8"/>
    </w:p>
    <w:p w14:paraId="0954118B" w14:textId="259C5502" w:rsidR="00163A95" w:rsidRPr="005E7052" w:rsidRDefault="00063C0A">
      <w:pPr>
        <w:spacing w:line="360" w:lineRule="auto"/>
        <w:ind w:left="-5" w:hanging="10"/>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En ese tenor, si el recurso de revisión que nos ocupa, se interpuso el </w:t>
      </w:r>
      <w:r w:rsidRPr="005E7052">
        <w:rPr>
          <w:rFonts w:ascii="Palatino Linotype" w:eastAsia="Palatino Linotype" w:hAnsi="Palatino Linotype" w:cs="Palatino Linotype"/>
          <w:b/>
        </w:rPr>
        <w:t>veinticuatro de noviembre de dos mil veintiuno,</w:t>
      </w:r>
      <w:r w:rsidRPr="005E7052">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7931AC21" w14:textId="77777777" w:rsidR="00163A95" w:rsidRPr="005E7052" w:rsidRDefault="00163A95">
      <w:pPr>
        <w:spacing w:line="360" w:lineRule="auto"/>
        <w:ind w:left="-5" w:hanging="10"/>
        <w:jc w:val="both"/>
        <w:rPr>
          <w:rFonts w:ascii="Palatino Linotype" w:eastAsia="Palatino Linotype" w:hAnsi="Palatino Linotype" w:cs="Palatino Linotype"/>
        </w:rPr>
      </w:pPr>
    </w:p>
    <w:p w14:paraId="01A55565" w14:textId="77777777" w:rsidR="00163A95" w:rsidRPr="005E7052" w:rsidRDefault="00063C0A">
      <w:pPr>
        <w:spacing w:line="360" w:lineRule="auto"/>
        <w:ind w:right="49"/>
        <w:jc w:val="both"/>
        <w:rPr>
          <w:rFonts w:ascii="Palatino Linotype" w:eastAsia="Palatino Linotype" w:hAnsi="Palatino Linotype" w:cs="Palatino Linotype"/>
          <w:b/>
        </w:rPr>
      </w:pPr>
      <w:r w:rsidRPr="005E7052">
        <w:rPr>
          <w:rFonts w:ascii="Palatino Linotype" w:eastAsia="Palatino Linotype" w:hAnsi="Palatino Linotype" w:cs="Palatino Linotype"/>
          <w:b/>
          <w:sz w:val="28"/>
          <w:szCs w:val="28"/>
        </w:rPr>
        <w:t>CUARTO</w:t>
      </w:r>
      <w:r w:rsidRPr="005E7052">
        <w:rPr>
          <w:rFonts w:ascii="Palatino Linotype" w:eastAsia="Palatino Linotype" w:hAnsi="Palatino Linotype" w:cs="Palatino Linotype"/>
          <w:b/>
        </w:rPr>
        <w:t xml:space="preserve">. Procedibilidad. </w:t>
      </w:r>
    </w:p>
    <w:p w14:paraId="3EC9AA48" w14:textId="77777777" w:rsidR="00163A95" w:rsidRPr="005E7052" w:rsidRDefault="00063C0A">
      <w:pPr>
        <w:widowControl w:val="0"/>
        <w:tabs>
          <w:tab w:val="left" w:pos="1701"/>
        </w:tabs>
        <w:spacing w:line="360" w:lineRule="auto"/>
        <w:ind w:right="49"/>
        <w:jc w:val="both"/>
        <w:rPr>
          <w:rFonts w:ascii="Palatino Linotype" w:eastAsia="Palatino Linotype" w:hAnsi="Palatino Linotype" w:cs="Palatino Linotype"/>
        </w:rPr>
      </w:pPr>
      <w:r w:rsidRPr="005E7052">
        <w:rPr>
          <w:rFonts w:ascii="Palatino Linotype" w:eastAsia="Palatino Linotype" w:hAnsi="Palatino Linotype" w:cs="Palatino Linotype"/>
        </w:rPr>
        <w:t>Este Instituto considera importante abordar el análisis de los requisitos de procedibilidad del recurso de revisión, así el artículo 180 de la Ley de Transparencia y Acceso a la Información Pública del Estado de México y Municipios, que establece lo siguiente:</w:t>
      </w:r>
    </w:p>
    <w:p w14:paraId="59965489" w14:textId="77777777" w:rsidR="00163A95" w:rsidRPr="005E7052" w:rsidRDefault="00163A95">
      <w:pPr>
        <w:ind w:right="49"/>
        <w:jc w:val="both"/>
        <w:rPr>
          <w:rFonts w:ascii="Palatino Linotype" w:eastAsia="Palatino Linotype" w:hAnsi="Palatino Linotype" w:cs="Palatino Linotype"/>
        </w:rPr>
      </w:pPr>
    </w:p>
    <w:p w14:paraId="773602E7" w14:textId="77777777" w:rsidR="00163A95" w:rsidRPr="005E7052" w:rsidRDefault="00063C0A">
      <w:pPr>
        <w:tabs>
          <w:tab w:val="left" w:pos="851"/>
        </w:tabs>
        <w:ind w:left="851" w:right="901"/>
        <w:jc w:val="both"/>
        <w:rPr>
          <w:rFonts w:ascii="Palatino Linotype" w:eastAsia="Palatino Linotype" w:hAnsi="Palatino Linotype" w:cs="Palatino Linotype"/>
          <w:b/>
          <w:i/>
          <w:sz w:val="22"/>
          <w:szCs w:val="22"/>
        </w:rPr>
      </w:pPr>
      <w:r w:rsidRPr="005E7052">
        <w:rPr>
          <w:rFonts w:ascii="Palatino Linotype" w:eastAsia="Palatino Linotype" w:hAnsi="Palatino Linotype" w:cs="Palatino Linotype"/>
          <w:b/>
          <w:i/>
          <w:sz w:val="22"/>
          <w:szCs w:val="22"/>
        </w:rPr>
        <w:t xml:space="preserve">“Artículo 180. </w:t>
      </w:r>
      <w:r w:rsidRPr="005E7052">
        <w:rPr>
          <w:rFonts w:ascii="Palatino Linotype" w:eastAsia="Palatino Linotype" w:hAnsi="Palatino Linotype" w:cs="Palatino Linotype"/>
          <w:i/>
          <w:sz w:val="22"/>
          <w:szCs w:val="22"/>
        </w:rPr>
        <w:t xml:space="preserve">El recurso </w:t>
      </w:r>
      <w:r w:rsidRPr="005E7052">
        <w:rPr>
          <w:rFonts w:ascii="Palatino Linotype" w:eastAsia="Palatino Linotype" w:hAnsi="Palatino Linotype" w:cs="Palatino Linotype"/>
          <w:i/>
          <w:color w:val="222222"/>
          <w:sz w:val="22"/>
          <w:szCs w:val="22"/>
        </w:rPr>
        <w:t>de</w:t>
      </w:r>
      <w:r w:rsidRPr="005E7052">
        <w:rPr>
          <w:rFonts w:ascii="Palatino Linotype" w:eastAsia="Palatino Linotype" w:hAnsi="Palatino Linotype" w:cs="Palatino Linotype"/>
          <w:i/>
          <w:sz w:val="22"/>
          <w:szCs w:val="22"/>
        </w:rPr>
        <w:t xml:space="preserve"> revisión contendrá:</w:t>
      </w:r>
      <w:r w:rsidRPr="005E7052">
        <w:rPr>
          <w:rFonts w:ascii="Palatino Linotype" w:eastAsia="Palatino Linotype" w:hAnsi="Palatino Linotype" w:cs="Palatino Linotype"/>
          <w:b/>
          <w:i/>
          <w:sz w:val="22"/>
          <w:szCs w:val="22"/>
        </w:rPr>
        <w:t xml:space="preserve"> </w:t>
      </w:r>
    </w:p>
    <w:p w14:paraId="6E1A50C6" w14:textId="77777777" w:rsidR="00163A95" w:rsidRPr="005E7052" w:rsidRDefault="00063C0A">
      <w:pPr>
        <w:tabs>
          <w:tab w:val="left" w:pos="851"/>
        </w:tabs>
        <w:ind w:left="851" w:right="901"/>
        <w:jc w:val="both"/>
        <w:rPr>
          <w:rFonts w:ascii="Palatino Linotype" w:eastAsia="Palatino Linotype" w:hAnsi="Palatino Linotype" w:cs="Palatino Linotype"/>
          <w:b/>
          <w:i/>
          <w:sz w:val="22"/>
          <w:szCs w:val="22"/>
        </w:rPr>
      </w:pPr>
      <w:r w:rsidRPr="005E7052">
        <w:rPr>
          <w:rFonts w:ascii="Palatino Linotype" w:eastAsia="Palatino Linotype" w:hAnsi="Palatino Linotype" w:cs="Palatino Linotype"/>
          <w:b/>
          <w:i/>
          <w:sz w:val="22"/>
          <w:szCs w:val="22"/>
        </w:rPr>
        <w:t xml:space="preserve">I. </w:t>
      </w:r>
      <w:r w:rsidRPr="005E7052">
        <w:rPr>
          <w:rFonts w:ascii="Palatino Linotype" w:eastAsia="Palatino Linotype" w:hAnsi="Palatino Linotype" w:cs="Palatino Linotype"/>
          <w:i/>
          <w:sz w:val="22"/>
          <w:szCs w:val="22"/>
        </w:rPr>
        <w:t xml:space="preserve">El sujeto obligado ante la cual </w:t>
      </w:r>
      <w:r w:rsidRPr="005E7052">
        <w:rPr>
          <w:rFonts w:ascii="Palatino Linotype" w:eastAsia="Palatino Linotype" w:hAnsi="Palatino Linotype" w:cs="Palatino Linotype"/>
          <w:i/>
          <w:color w:val="222222"/>
          <w:sz w:val="22"/>
          <w:szCs w:val="22"/>
        </w:rPr>
        <w:t>se</w:t>
      </w:r>
      <w:r w:rsidRPr="005E7052">
        <w:rPr>
          <w:rFonts w:ascii="Palatino Linotype" w:eastAsia="Palatino Linotype" w:hAnsi="Palatino Linotype" w:cs="Palatino Linotype"/>
          <w:i/>
          <w:sz w:val="22"/>
          <w:szCs w:val="22"/>
        </w:rPr>
        <w:t xml:space="preserve"> presentó la solicitud;</w:t>
      </w:r>
      <w:r w:rsidRPr="005E7052">
        <w:rPr>
          <w:rFonts w:ascii="Palatino Linotype" w:eastAsia="Palatino Linotype" w:hAnsi="Palatino Linotype" w:cs="Palatino Linotype"/>
          <w:b/>
          <w:i/>
          <w:sz w:val="22"/>
          <w:szCs w:val="22"/>
        </w:rPr>
        <w:t xml:space="preserve"> </w:t>
      </w:r>
    </w:p>
    <w:p w14:paraId="0299BBB0" w14:textId="77777777" w:rsidR="00163A95" w:rsidRPr="005E7052" w:rsidRDefault="00063C0A">
      <w:pPr>
        <w:tabs>
          <w:tab w:val="left" w:pos="851"/>
        </w:tabs>
        <w:ind w:left="851" w:right="901"/>
        <w:jc w:val="both"/>
        <w:rPr>
          <w:rFonts w:ascii="Palatino Linotype" w:eastAsia="Palatino Linotype" w:hAnsi="Palatino Linotype" w:cs="Palatino Linotype"/>
          <w:b/>
          <w:i/>
          <w:sz w:val="22"/>
          <w:szCs w:val="22"/>
        </w:rPr>
      </w:pPr>
      <w:r w:rsidRPr="005E7052">
        <w:rPr>
          <w:rFonts w:ascii="Palatino Linotype" w:eastAsia="Palatino Linotype" w:hAnsi="Palatino Linotype" w:cs="Palatino Linotype"/>
          <w:b/>
          <w:i/>
          <w:sz w:val="22"/>
          <w:szCs w:val="22"/>
        </w:rPr>
        <w:lastRenderedPageBreak/>
        <w:t xml:space="preserve">II. </w:t>
      </w:r>
      <w:r w:rsidRPr="005E7052">
        <w:rPr>
          <w:rFonts w:ascii="Palatino Linotype" w:eastAsia="Palatino Linotype" w:hAnsi="Palatino Linotype" w:cs="Palatino Linotype"/>
          <w:b/>
          <w:i/>
          <w:sz w:val="22"/>
          <w:szCs w:val="22"/>
          <w:u w:val="single"/>
        </w:rPr>
        <w:t xml:space="preserve">El nombre del solicitante </w:t>
      </w:r>
      <w:r w:rsidRPr="005E7052">
        <w:rPr>
          <w:rFonts w:ascii="Palatino Linotype" w:eastAsia="Palatino Linotype" w:hAnsi="Palatino Linotype" w:cs="Palatino Linotype"/>
          <w:b/>
          <w:i/>
          <w:color w:val="222222"/>
          <w:sz w:val="22"/>
          <w:szCs w:val="22"/>
          <w:u w:val="single"/>
        </w:rPr>
        <w:t>que</w:t>
      </w:r>
      <w:r w:rsidRPr="005E7052">
        <w:rPr>
          <w:rFonts w:ascii="Palatino Linotype" w:eastAsia="Palatino Linotype" w:hAnsi="Palatino Linotype" w:cs="Palatino Linotype"/>
          <w:b/>
          <w:i/>
          <w:sz w:val="22"/>
          <w:szCs w:val="22"/>
          <w:u w:val="single"/>
        </w:rPr>
        <w:t xml:space="preserve"> recurre </w:t>
      </w:r>
      <w:r w:rsidRPr="005E7052">
        <w:rPr>
          <w:rFonts w:ascii="Palatino Linotype" w:eastAsia="Palatino Linotype" w:hAnsi="Palatino Linotype" w:cs="Palatino Linotype"/>
          <w:i/>
          <w:sz w:val="22"/>
          <w:szCs w:val="22"/>
        </w:rPr>
        <w:t>o de su representante y, en su caso, del tercero interesado, así como la dirección o medio que señale para recibir notificaciones;</w:t>
      </w:r>
      <w:r w:rsidRPr="005E7052">
        <w:rPr>
          <w:rFonts w:ascii="Palatino Linotype" w:eastAsia="Palatino Linotype" w:hAnsi="Palatino Linotype" w:cs="Palatino Linotype"/>
          <w:b/>
          <w:i/>
          <w:sz w:val="22"/>
          <w:szCs w:val="22"/>
        </w:rPr>
        <w:t xml:space="preserve"> </w:t>
      </w:r>
    </w:p>
    <w:p w14:paraId="5EC1F6DF" w14:textId="77777777" w:rsidR="00163A95" w:rsidRPr="005E7052" w:rsidRDefault="00063C0A">
      <w:pPr>
        <w:tabs>
          <w:tab w:val="left" w:pos="851"/>
        </w:tabs>
        <w:ind w:left="851" w:right="901"/>
        <w:jc w:val="both"/>
        <w:rPr>
          <w:rFonts w:ascii="Palatino Linotype" w:eastAsia="Palatino Linotype" w:hAnsi="Palatino Linotype" w:cs="Palatino Linotype"/>
          <w:b/>
          <w:i/>
          <w:sz w:val="22"/>
          <w:szCs w:val="22"/>
        </w:rPr>
      </w:pPr>
      <w:r w:rsidRPr="005E7052">
        <w:rPr>
          <w:rFonts w:ascii="Palatino Linotype" w:eastAsia="Palatino Linotype" w:hAnsi="Palatino Linotype" w:cs="Palatino Linotype"/>
          <w:b/>
          <w:i/>
          <w:sz w:val="22"/>
          <w:szCs w:val="22"/>
        </w:rPr>
        <w:t xml:space="preserve">III. </w:t>
      </w:r>
      <w:r w:rsidRPr="005E7052">
        <w:rPr>
          <w:rFonts w:ascii="Palatino Linotype" w:eastAsia="Palatino Linotype" w:hAnsi="Palatino Linotype" w:cs="Palatino Linotype"/>
          <w:i/>
          <w:sz w:val="22"/>
          <w:szCs w:val="22"/>
        </w:rPr>
        <w:t xml:space="preserve">El número de folio de </w:t>
      </w:r>
      <w:r w:rsidRPr="005E7052">
        <w:rPr>
          <w:rFonts w:ascii="Palatino Linotype" w:eastAsia="Palatino Linotype" w:hAnsi="Palatino Linotype" w:cs="Palatino Linotype"/>
          <w:i/>
          <w:color w:val="222222"/>
          <w:sz w:val="22"/>
          <w:szCs w:val="22"/>
        </w:rPr>
        <w:t>respuesta</w:t>
      </w:r>
      <w:r w:rsidRPr="005E7052">
        <w:rPr>
          <w:rFonts w:ascii="Palatino Linotype" w:eastAsia="Palatino Linotype" w:hAnsi="Palatino Linotype" w:cs="Palatino Linotype"/>
          <w:i/>
          <w:sz w:val="22"/>
          <w:szCs w:val="22"/>
        </w:rPr>
        <w:t xml:space="preserve"> de la solicitud de acceso; </w:t>
      </w:r>
    </w:p>
    <w:p w14:paraId="5228C219" w14:textId="77777777" w:rsidR="00163A95" w:rsidRPr="005E7052" w:rsidRDefault="00063C0A">
      <w:pPr>
        <w:tabs>
          <w:tab w:val="left" w:pos="851"/>
        </w:tabs>
        <w:ind w:left="851" w:right="901"/>
        <w:jc w:val="both"/>
        <w:rPr>
          <w:rFonts w:ascii="Palatino Linotype" w:eastAsia="Palatino Linotype" w:hAnsi="Palatino Linotype" w:cs="Palatino Linotype"/>
          <w:b/>
          <w:i/>
          <w:sz w:val="22"/>
          <w:szCs w:val="22"/>
        </w:rPr>
      </w:pPr>
      <w:r w:rsidRPr="005E7052">
        <w:rPr>
          <w:rFonts w:ascii="Palatino Linotype" w:eastAsia="Palatino Linotype" w:hAnsi="Palatino Linotype" w:cs="Palatino Linotype"/>
          <w:b/>
          <w:i/>
          <w:sz w:val="22"/>
          <w:szCs w:val="22"/>
        </w:rPr>
        <w:t xml:space="preserve">IV. </w:t>
      </w:r>
      <w:r w:rsidRPr="005E7052">
        <w:rPr>
          <w:rFonts w:ascii="Palatino Linotype" w:eastAsia="Palatino Linotype" w:hAnsi="Palatino Linotype" w:cs="Palatino Linotype"/>
          <w:i/>
          <w:sz w:val="22"/>
          <w:szCs w:val="22"/>
        </w:rPr>
        <w:t xml:space="preserve">La fecha en que fue </w:t>
      </w:r>
      <w:r w:rsidRPr="005E7052">
        <w:rPr>
          <w:rFonts w:ascii="Palatino Linotype" w:eastAsia="Palatino Linotype" w:hAnsi="Palatino Linotype" w:cs="Palatino Linotype"/>
          <w:i/>
          <w:color w:val="222222"/>
          <w:sz w:val="22"/>
          <w:szCs w:val="22"/>
        </w:rPr>
        <w:t>notificada</w:t>
      </w:r>
      <w:r w:rsidRPr="005E7052">
        <w:rPr>
          <w:rFonts w:ascii="Palatino Linotype" w:eastAsia="Palatino Linotype" w:hAnsi="Palatino Linotype" w:cs="Palatino Linotype"/>
          <w:i/>
          <w:sz w:val="22"/>
          <w:szCs w:val="22"/>
        </w:rPr>
        <w:t xml:space="preserve"> la respuesta al solicitante o tuvo conocimiento del acto reclamado, o de presentación de la solicitud, en caso de falta de respuesta;</w:t>
      </w:r>
      <w:r w:rsidRPr="005E7052">
        <w:rPr>
          <w:rFonts w:ascii="Palatino Linotype" w:eastAsia="Palatino Linotype" w:hAnsi="Palatino Linotype" w:cs="Palatino Linotype"/>
          <w:b/>
          <w:i/>
          <w:sz w:val="22"/>
          <w:szCs w:val="22"/>
        </w:rPr>
        <w:t xml:space="preserve"> </w:t>
      </w:r>
    </w:p>
    <w:p w14:paraId="00AB17F2" w14:textId="77777777" w:rsidR="00163A95" w:rsidRPr="005E7052" w:rsidRDefault="00063C0A">
      <w:pPr>
        <w:tabs>
          <w:tab w:val="left" w:pos="851"/>
        </w:tabs>
        <w:ind w:left="851" w:right="901"/>
        <w:jc w:val="both"/>
        <w:rPr>
          <w:rFonts w:ascii="Palatino Linotype" w:eastAsia="Palatino Linotype" w:hAnsi="Palatino Linotype" w:cs="Palatino Linotype"/>
          <w:b/>
          <w:i/>
          <w:sz w:val="22"/>
          <w:szCs w:val="22"/>
        </w:rPr>
      </w:pPr>
      <w:r w:rsidRPr="005E7052">
        <w:rPr>
          <w:rFonts w:ascii="Palatino Linotype" w:eastAsia="Palatino Linotype" w:hAnsi="Palatino Linotype" w:cs="Palatino Linotype"/>
          <w:b/>
          <w:i/>
          <w:sz w:val="22"/>
          <w:szCs w:val="22"/>
        </w:rPr>
        <w:t xml:space="preserve">V. </w:t>
      </w:r>
      <w:r w:rsidRPr="005E7052">
        <w:rPr>
          <w:rFonts w:ascii="Palatino Linotype" w:eastAsia="Palatino Linotype" w:hAnsi="Palatino Linotype" w:cs="Palatino Linotype"/>
          <w:i/>
          <w:sz w:val="22"/>
          <w:szCs w:val="22"/>
        </w:rPr>
        <w:t xml:space="preserve">El acto que se </w:t>
      </w:r>
      <w:r w:rsidRPr="005E7052">
        <w:rPr>
          <w:rFonts w:ascii="Palatino Linotype" w:eastAsia="Palatino Linotype" w:hAnsi="Palatino Linotype" w:cs="Palatino Linotype"/>
          <w:i/>
          <w:color w:val="222222"/>
          <w:sz w:val="22"/>
          <w:szCs w:val="22"/>
        </w:rPr>
        <w:t>recurre</w:t>
      </w:r>
      <w:r w:rsidRPr="005E7052">
        <w:rPr>
          <w:rFonts w:ascii="Palatino Linotype" w:eastAsia="Palatino Linotype" w:hAnsi="Palatino Linotype" w:cs="Palatino Linotype"/>
          <w:i/>
          <w:sz w:val="22"/>
          <w:szCs w:val="22"/>
        </w:rPr>
        <w:t>;</w:t>
      </w:r>
      <w:r w:rsidRPr="005E7052">
        <w:rPr>
          <w:rFonts w:ascii="Palatino Linotype" w:eastAsia="Palatino Linotype" w:hAnsi="Palatino Linotype" w:cs="Palatino Linotype"/>
          <w:b/>
          <w:i/>
          <w:sz w:val="22"/>
          <w:szCs w:val="22"/>
        </w:rPr>
        <w:t xml:space="preserve"> </w:t>
      </w:r>
    </w:p>
    <w:p w14:paraId="3EC250BE" w14:textId="77777777" w:rsidR="00163A95" w:rsidRPr="005E7052" w:rsidRDefault="00063C0A">
      <w:pPr>
        <w:tabs>
          <w:tab w:val="left" w:pos="851"/>
        </w:tabs>
        <w:ind w:left="851" w:right="901"/>
        <w:jc w:val="both"/>
        <w:rPr>
          <w:rFonts w:ascii="Palatino Linotype" w:eastAsia="Palatino Linotype" w:hAnsi="Palatino Linotype" w:cs="Palatino Linotype"/>
          <w:b/>
          <w:i/>
          <w:sz w:val="22"/>
          <w:szCs w:val="22"/>
        </w:rPr>
      </w:pPr>
      <w:r w:rsidRPr="005E7052">
        <w:rPr>
          <w:rFonts w:ascii="Palatino Linotype" w:eastAsia="Palatino Linotype" w:hAnsi="Palatino Linotype" w:cs="Palatino Linotype"/>
          <w:b/>
          <w:i/>
          <w:sz w:val="22"/>
          <w:szCs w:val="22"/>
        </w:rPr>
        <w:t xml:space="preserve">VI. </w:t>
      </w:r>
      <w:r w:rsidRPr="005E7052">
        <w:rPr>
          <w:rFonts w:ascii="Palatino Linotype" w:eastAsia="Palatino Linotype" w:hAnsi="Palatino Linotype" w:cs="Palatino Linotype"/>
          <w:i/>
          <w:sz w:val="22"/>
          <w:szCs w:val="22"/>
        </w:rPr>
        <w:t xml:space="preserve">Las razones o </w:t>
      </w:r>
      <w:r w:rsidRPr="005E7052">
        <w:rPr>
          <w:rFonts w:ascii="Palatino Linotype" w:eastAsia="Palatino Linotype" w:hAnsi="Palatino Linotype" w:cs="Palatino Linotype"/>
          <w:i/>
          <w:color w:val="222222"/>
          <w:sz w:val="22"/>
          <w:szCs w:val="22"/>
        </w:rPr>
        <w:t>motivos</w:t>
      </w:r>
      <w:r w:rsidRPr="005E7052">
        <w:rPr>
          <w:rFonts w:ascii="Palatino Linotype" w:eastAsia="Palatino Linotype" w:hAnsi="Palatino Linotype" w:cs="Palatino Linotype"/>
          <w:i/>
          <w:sz w:val="22"/>
          <w:szCs w:val="22"/>
        </w:rPr>
        <w:t xml:space="preserve"> de inconformidad;</w:t>
      </w:r>
      <w:r w:rsidRPr="005E7052">
        <w:rPr>
          <w:rFonts w:ascii="Palatino Linotype" w:eastAsia="Palatino Linotype" w:hAnsi="Palatino Linotype" w:cs="Palatino Linotype"/>
          <w:b/>
          <w:i/>
          <w:sz w:val="22"/>
          <w:szCs w:val="22"/>
        </w:rPr>
        <w:t xml:space="preserve"> </w:t>
      </w:r>
    </w:p>
    <w:p w14:paraId="3FA05AD9" w14:textId="77777777" w:rsidR="00163A95" w:rsidRPr="005E7052" w:rsidRDefault="00063C0A">
      <w:pPr>
        <w:tabs>
          <w:tab w:val="left" w:pos="851"/>
        </w:tabs>
        <w:ind w:left="851" w:right="901"/>
        <w:jc w:val="both"/>
        <w:rPr>
          <w:rFonts w:ascii="Palatino Linotype" w:eastAsia="Palatino Linotype" w:hAnsi="Palatino Linotype" w:cs="Palatino Linotype"/>
          <w:b/>
          <w:i/>
          <w:sz w:val="22"/>
          <w:szCs w:val="22"/>
        </w:rPr>
      </w:pPr>
      <w:r w:rsidRPr="005E7052">
        <w:rPr>
          <w:rFonts w:ascii="Palatino Linotype" w:eastAsia="Palatino Linotype" w:hAnsi="Palatino Linotype" w:cs="Palatino Linotype"/>
          <w:b/>
          <w:i/>
          <w:sz w:val="22"/>
          <w:szCs w:val="22"/>
        </w:rPr>
        <w:t xml:space="preserve">VII. </w:t>
      </w:r>
      <w:r w:rsidRPr="005E7052">
        <w:rPr>
          <w:rFonts w:ascii="Palatino Linotype" w:eastAsia="Palatino Linotype" w:hAnsi="Palatino Linotype" w:cs="Palatino Linotype"/>
          <w:i/>
          <w:sz w:val="22"/>
          <w:szCs w:val="22"/>
        </w:rPr>
        <w:t>La copia de la respuesta que se impugna y, en su caso, de la notificación correspondiente, en el caso de respuesta de la solicitud; y</w:t>
      </w:r>
      <w:r w:rsidRPr="005E7052">
        <w:rPr>
          <w:rFonts w:ascii="Palatino Linotype" w:eastAsia="Palatino Linotype" w:hAnsi="Palatino Linotype" w:cs="Palatino Linotype"/>
          <w:b/>
          <w:i/>
          <w:sz w:val="22"/>
          <w:szCs w:val="22"/>
        </w:rPr>
        <w:t xml:space="preserve"> </w:t>
      </w:r>
    </w:p>
    <w:p w14:paraId="05CA0343" w14:textId="77777777" w:rsidR="00163A95" w:rsidRPr="005E7052" w:rsidRDefault="00063C0A">
      <w:pPr>
        <w:tabs>
          <w:tab w:val="left" w:pos="851"/>
        </w:tabs>
        <w:ind w:left="851" w:right="901"/>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 xml:space="preserve">VIII. </w:t>
      </w:r>
      <w:r w:rsidRPr="005E7052">
        <w:rPr>
          <w:rFonts w:ascii="Palatino Linotype" w:eastAsia="Palatino Linotype" w:hAnsi="Palatino Linotype" w:cs="Palatino Linotype"/>
          <w:i/>
          <w:sz w:val="22"/>
          <w:szCs w:val="22"/>
        </w:rPr>
        <w:t>Firma del recurrente, en su caso, cuando se presente por escrito, requisito sin el cual se dará trámite al recurso.</w:t>
      </w:r>
    </w:p>
    <w:p w14:paraId="31EBDF4F" w14:textId="77777777" w:rsidR="00163A95" w:rsidRPr="005E7052" w:rsidRDefault="00063C0A">
      <w:pPr>
        <w:tabs>
          <w:tab w:val="left" w:pos="851"/>
        </w:tabs>
        <w:ind w:left="851" w:right="901"/>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 xml:space="preserve">Adicionalmente, se podrán anexar las pruebas y demás elementos que considere procedentes someter a juicio del Instituto. </w:t>
      </w:r>
    </w:p>
    <w:p w14:paraId="40E2957E" w14:textId="77777777" w:rsidR="00163A95" w:rsidRPr="005E7052" w:rsidRDefault="00063C0A">
      <w:pPr>
        <w:tabs>
          <w:tab w:val="left" w:pos="851"/>
        </w:tabs>
        <w:ind w:left="851" w:right="901"/>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 xml:space="preserve">En ningún caso será necesario que el particular ratifique el recurso de revisión interpuesto. </w:t>
      </w:r>
    </w:p>
    <w:p w14:paraId="4F8DDAAA" w14:textId="77777777" w:rsidR="00163A95" w:rsidRPr="005E7052" w:rsidRDefault="00063C0A">
      <w:pPr>
        <w:tabs>
          <w:tab w:val="left" w:pos="851"/>
        </w:tabs>
        <w:ind w:left="851" w:right="901"/>
        <w:jc w:val="both"/>
        <w:rPr>
          <w:rFonts w:ascii="Palatino Linotype" w:eastAsia="Palatino Linotype" w:hAnsi="Palatino Linotype" w:cs="Palatino Linotype"/>
          <w:b/>
          <w:i/>
          <w:sz w:val="22"/>
          <w:szCs w:val="22"/>
        </w:rPr>
      </w:pPr>
      <w:r w:rsidRPr="005E7052">
        <w:rPr>
          <w:rFonts w:ascii="Palatino Linotype" w:eastAsia="Palatino Linotype" w:hAnsi="Palatino Linotype" w:cs="Palatino Linotype"/>
          <w:b/>
          <w:i/>
          <w:sz w:val="22"/>
          <w:szCs w:val="22"/>
          <w:u w:val="single"/>
        </w:rPr>
        <w:t xml:space="preserve">En caso de </w:t>
      </w:r>
      <w:r w:rsidRPr="005E7052">
        <w:rPr>
          <w:rFonts w:ascii="Palatino Linotype" w:eastAsia="Palatino Linotype" w:hAnsi="Palatino Linotype" w:cs="Palatino Linotype"/>
          <w:b/>
          <w:i/>
          <w:color w:val="222222"/>
          <w:sz w:val="22"/>
          <w:szCs w:val="22"/>
          <w:u w:val="single"/>
        </w:rPr>
        <w:t>que</w:t>
      </w:r>
      <w:r w:rsidRPr="005E7052">
        <w:rPr>
          <w:rFonts w:ascii="Palatino Linotype" w:eastAsia="Palatino Linotype" w:hAnsi="Palatino Linotype" w:cs="Palatino Linotype"/>
          <w:b/>
          <w:i/>
          <w:sz w:val="22"/>
          <w:szCs w:val="22"/>
          <w:u w:val="single"/>
        </w:rPr>
        <w:t xml:space="preserve"> el recurso se interponga de manera electrónica no será indispensable que contengan los requisitos establecidos en las fracciones II</w:t>
      </w:r>
      <w:r w:rsidRPr="005E7052">
        <w:rPr>
          <w:rFonts w:ascii="Palatino Linotype" w:eastAsia="Palatino Linotype" w:hAnsi="Palatino Linotype" w:cs="Palatino Linotype"/>
          <w:i/>
          <w:sz w:val="22"/>
          <w:szCs w:val="22"/>
        </w:rPr>
        <w:t>, IV, VII y VIII.</w:t>
      </w:r>
      <w:r w:rsidRPr="005E7052">
        <w:rPr>
          <w:rFonts w:ascii="Palatino Linotype" w:eastAsia="Palatino Linotype" w:hAnsi="Palatino Linotype" w:cs="Palatino Linotype"/>
          <w:b/>
          <w:i/>
          <w:sz w:val="22"/>
          <w:szCs w:val="22"/>
        </w:rPr>
        <w:t>”</w:t>
      </w:r>
    </w:p>
    <w:p w14:paraId="100A8813" w14:textId="77777777" w:rsidR="00163A95" w:rsidRPr="005E7052" w:rsidRDefault="00063C0A">
      <w:pPr>
        <w:tabs>
          <w:tab w:val="left" w:pos="851"/>
        </w:tabs>
        <w:ind w:left="851" w:right="901"/>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(Énfasis añadido)</w:t>
      </w:r>
    </w:p>
    <w:p w14:paraId="7F12EBFC" w14:textId="77777777" w:rsidR="00163A95" w:rsidRPr="005E7052" w:rsidRDefault="00163A95">
      <w:pPr>
        <w:tabs>
          <w:tab w:val="left" w:pos="851"/>
        </w:tabs>
        <w:ind w:left="851" w:right="901"/>
        <w:jc w:val="both"/>
        <w:rPr>
          <w:rFonts w:ascii="Palatino Linotype" w:eastAsia="Palatino Linotype" w:hAnsi="Palatino Linotype" w:cs="Palatino Linotype"/>
          <w:i/>
          <w:sz w:val="22"/>
          <w:szCs w:val="22"/>
        </w:rPr>
      </w:pPr>
    </w:p>
    <w:p w14:paraId="13F40D66" w14:textId="77777777"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Como se puede apreciar del contenido del artículo anterior, este enlista los requisitos de procedibilidad, lo cual, incluye el nombre del solicitante como uno de ellos; sin embargo, también contempla la posibilidad de que en caso de que el recurso se interponga de manera electrónica el nombre no será indispensable, y al ser este recurso interpuesto por la plataforma digital especializada para ello </w:t>
      </w:r>
      <w:r w:rsidRPr="005E7052">
        <w:rPr>
          <w:rFonts w:ascii="Palatino Linotype" w:eastAsia="Palatino Linotype" w:hAnsi="Palatino Linotype" w:cs="Palatino Linotype"/>
          <w:b/>
        </w:rPr>
        <w:t>(SAIMEX),</w:t>
      </w:r>
      <w:r w:rsidRPr="005E7052">
        <w:rPr>
          <w:rFonts w:ascii="Palatino Linotype" w:eastAsia="Palatino Linotype" w:hAnsi="Palatino Linotype" w:cs="Palatino Linotype"/>
        </w:rPr>
        <w:t xml:space="preserve"> es que puede ser declarado procedente sin necesidad de que se acredite el nombre de quien lo interpone. </w:t>
      </w:r>
    </w:p>
    <w:p w14:paraId="14B2B66F" w14:textId="77777777"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 </w:t>
      </w:r>
    </w:p>
    <w:p w14:paraId="270D7287" w14:textId="77777777"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Esto en virtud, de una interpretación sistemática, armónica y progresiva del derecho humano de acceso a la información pública la cual dispone que toda persona, sin necesidad de acreditar interés alguno o justificar su utilización, deberá tener acceso a </w:t>
      </w:r>
      <w:r w:rsidRPr="005E7052">
        <w:rPr>
          <w:rFonts w:ascii="Palatino Linotype" w:eastAsia="Palatino Linotype" w:hAnsi="Palatino Linotype" w:cs="Palatino Linotype"/>
        </w:rPr>
        <w:lastRenderedPageBreak/>
        <w:t>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9EF7358" w14:textId="77777777" w:rsidR="00163A95" w:rsidRPr="005E7052" w:rsidRDefault="00163A95">
      <w:pPr>
        <w:spacing w:line="360" w:lineRule="auto"/>
        <w:jc w:val="both"/>
        <w:rPr>
          <w:rFonts w:ascii="Palatino Linotype" w:eastAsia="Palatino Linotype" w:hAnsi="Palatino Linotype" w:cs="Palatino Linotype"/>
        </w:rPr>
      </w:pPr>
    </w:p>
    <w:p w14:paraId="0228C9B2" w14:textId="77777777"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Aunado a ello,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además de la existencia de un precepto legal que lo permite, resulta ocioso realizar dicho análisis. </w:t>
      </w:r>
    </w:p>
    <w:p w14:paraId="71CE5328" w14:textId="77777777" w:rsidR="00163A95" w:rsidRPr="005E7052" w:rsidRDefault="00163A95">
      <w:pPr>
        <w:spacing w:line="360" w:lineRule="auto"/>
        <w:jc w:val="both"/>
        <w:rPr>
          <w:rFonts w:ascii="Palatino Linotype" w:eastAsia="Palatino Linotype" w:hAnsi="Palatino Linotype" w:cs="Palatino Linotype"/>
        </w:rPr>
      </w:pPr>
    </w:p>
    <w:p w14:paraId="135906CB" w14:textId="77777777"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59665B75" w14:textId="77777777" w:rsidR="00163A95" w:rsidRPr="005E7052" w:rsidRDefault="00163A95">
      <w:pPr>
        <w:tabs>
          <w:tab w:val="left" w:pos="851"/>
        </w:tabs>
        <w:ind w:left="851" w:right="901"/>
        <w:jc w:val="both"/>
        <w:rPr>
          <w:rFonts w:ascii="Palatino Linotype" w:eastAsia="Palatino Linotype" w:hAnsi="Palatino Linotype" w:cs="Palatino Linotype"/>
          <w:b/>
          <w:i/>
          <w:sz w:val="22"/>
          <w:szCs w:val="22"/>
        </w:rPr>
      </w:pPr>
    </w:p>
    <w:p w14:paraId="46CF7CCF" w14:textId="77777777" w:rsidR="00163A95" w:rsidRPr="005E7052" w:rsidRDefault="00063C0A">
      <w:pPr>
        <w:tabs>
          <w:tab w:val="left" w:pos="851"/>
        </w:tabs>
        <w:ind w:left="851" w:right="901"/>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“Acceso a información gubernamental. No debe condicionarse a que el solicitante acredite su personalidad, demuestre interés alguno o justifique su utilización.</w:t>
      </w:r>
      <w:r w:rsidRPr="005E7052">
        <w:rPr>
          <w:rFonts w:ascii="Palatino Linotype" w:eastAsia="Palatino Linotype" w:hAnsi="Palatino Linotype" w:cs="Palatino Linotype"/>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w:t>
      </w:r>
      <w:r w:rsidRPr="005E7052">
        <w:rPr>
          <w:rFonts w:ascii="Palatino Linotype" w:eastAsia="Palatino Linotype" w:hAnsi="Palatino Linotype" w:cs="Palatino Linotype"/>
          <w:i/>
          <w:sz w:val="22"/>
          <w:szCs w:val="22"/>
        </w:rPr>
        <w:lastRenderedPageBreak/>
        <w:t>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0F3DADB" w14:textId="77777777" w:rsidR="00163A95" w:rsidRPr="005E7052" w:rsidRDefault="00163A95">
      <w:pPr>
        <w:spacing w:line="360" w:lineRule="auto"/>
        <w:jc w:val="both"/>
        <w:rPr>
          <w:rFonts w:ascii="Palatino Linotype" w:eastAsia="Palatino Linotype" w:hAnsi="Palatino Linotype" w:cs="Palatino Linotype"/>
        </w:rPr>
      </w:pPr>
    </w:p>
    <w:p w14:paraId="461FCC3D" w14:textId="77777777"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Asimismo, se estima que el requisito relativo al nombre del </w:t>
      </w:r>
      <w:r w:rsidRPr="005E7052">
        <w:rPr>
          <w:rFonts w:ascii="Palatino Linotype" w:eastAsia="Palatino Linotype" w:hAnsi="Palatino Linotype" w:cs="Palatino Linotype"/>
          <w:b/>
        </w:rPr>
        <w:t>RECURRENTE</w:t>
      </w:r>
      <w:r w:rsidRPr="005E7052">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E7052">
        <w:rPr>
          <w:rFonts w:ascii="Palatino Linotype" w:eastAsia="Palatino Linotype" w:hAnsi="Palatino Linotype" w:cs="Palatino Linotype"/>
          <w:b/>
        </w:rPr>
        <w:t>EL RECURRENTE</w:t>
      </w:r>
      <w:r w:rsidRPr="005E7052">
        <w:rPr>
          <w:rFonts w:ascii="Palatino Linotype" w:eastAsia="Palatino Linotype" w:hAnsi="Palatino Linotype" w:cs="Palatino Linotype"/>
        </w:rPr>
        <w:t xml:space="preserve"> es la misma persona que realizó la solicitud de acceso a la información pública que ahora se impugna.</w:t>
      </w:r>
    </w:p>
    <w:p w14:paraId="4CEB2157" w14:textId="77777777" w:rsidR="00163A95" w:rsidRPr="005E7052" w:rsidRDefault="00163A95">
      <w:pPr>
        <w:spacing w:line="360" w:lineRule="auto"/>
        <w:ind w:right="49"/>
        <w:jc w:val="both"/>
        <w:rPr>
          <w:rFonts w:ascii="Palatino Linotype" w:eastAsia="Palatino Linotype" w:hAnsi="Palatino Linotype" w:cs="Palatino Linotype"/>
        </w:rPr>
      </w:pPr>
    </w:p>
    <w:p w14:paraId="736AF6FF" w14:textId="77777777" w:rsidR="00163A95" w:rsidRPr="005E7052" w:rsidRDefault="00063C0A">
      <w:pPr>
        <w:spacing w:line="360" w:lineRule="auto"/>
        <w:jc w:val="both"/>
        <w:rPr>
          <w:rFonts w:ascii="Palatino Linotype" w:eastAsia="Palatino Linotype" w:hAnsi="Palatino Linotype" w:cs="Palatino Linotype"/>
          <w:b/>
        </w:rPr>
      </w:pPr>
      <w:r w:rsidRPr="005E7052">
        <w:rPr>
          <w:rFonts w:ascii="Palatino Linotype" w:eastAsia="Palatino Linotype" w:hAnsi="Palatino Linotype" w:cs="Palatino Linotype"/>
          <w:b/>
          <w:sz w:val="28"/>
          <w:szCs w:val="28"/>
        </w:rPr>
        <w:t>QUINTO</w:t>
      </w:r>
      <w:r w:rsidRPr="005E7052">
        <w:rPr>
          <w:rFonts w:ascii="Palatino Linotype" w:eastAsia="Palatino Linotype" w:hAnsi="Palatino Linotype" w:cs="Palatino Linotype"/>
          <w:b/>
        </w:rPr>
        <w:t xml:space="preserve">. Estudio y resolución del asunto. </w:t>
      </w:r>
    </w:p>
    <w:p w14:paraId="69928028" w14:textId="77777777"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Del análisis efectuado, se advierte que el presente recurso de revisión es procedente, pues se actualiza la hipótesis prevista en la fracción I, del artículo 179 de la Ley de Transparencia y Acceso a la Información Pública del Estado de México y Municipios, el cual a la letra dice:</w:t>
      </w:r>
    </w:p>
    <w:p w14:paraId="344B718C" w14:textId="77777777" w:rsidR="00163A95" w:rsidRPr="005E7052" w:rsidRDefault="00163A95">
      <w:pPr>
        <w:jc w:val="both"/>
        <w:rPr>
          <w:rFonts w:ascii="Palatino Linotype" w:eastAsia="Palatino Linotype" w:hAnsi="Palatino Linotype" w:cs="Palatino Linotype"/>
        </w:rPr>
      </w:pPr>
    </w:p>
    <w:p w14:paraId="4D4FDABB" w14:textId="77777777" w:rsidR="00163A95" w:rsidRPr="005E7052" w:rsidRDefault="00063C0A">
      <w:pPr>
        <w:ind w:left="851" w:right="901"/>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w:t>
      </w:r>
      <w:r w:rsidRPr="005E7052">
        <w:rPr>
          <w:rFonts w:ascii="Palatino Linotype" w:eastAsia="Palatino Linotype" w:hAnsi="Palatino Linotype" w:cs="Palatino Linotype"/>
          <w:b/>
          <w:i/>
          <w:sz w:val="22"/>
          <w:szCs w:val="22"/>
        </w:rPr>
        <w:t>Artículo 179.</w:t>
      </w:r>
      <w:r w:rsidRPr="005E705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B870DBB" w14:textId="77777777" w:rsidR="00163A95" w:rsidRPr="005E7052" w:rsidRDefault="00063C0A">
      <w:pPr>
        <w:ind w:left="851" w:right="901"/>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w:t>
      </w:r>
    </w:p>
    <w:p w14:paraId="57267196" w14:textId="77777777" w:rsidR="00163A95" w:rsidRPr="005E7052" w:rsidRDefault="00063C0A">
      <w:pPr>
        <w:ind w:left="851" w:right="901"/>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lastRenderedPageBreak/>
        <w:t>XI. La falta de trámite a una solicitud;</w:t>
      </w:r>
    </w:p>
    <w:p w14:paraId="78E0593C" w14:textId="77777777" w:rsidR="00163A95" w:rsidRPr="005E7052" w:rsidRDefault="00063C0A">
      <w:pPr>
        <w:ind w:left="851" w:right="901"/>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w:t>
      </w:r>
      <w:r w:rsidRPr="005E7052">
        <w:rPr>
          <w:rFonts w:ascii="Palatino Linotype" w:eastAsia="Palatino Linotype" w:hAnsi="Palatino Linotype" w:cs="Palatino Linotype"/>
          <w:i/>
          <w:sz w:val="22"/>
          <w:szCs w:val="22"/>
        </w:rPr>
        <w:t>”</w:t>
      </w:r>
    </w:p>
    <w:p w14:paraId="51CC5984" w14:textId="77777777" w:rsidR="00163A95" w:rsidRPr="005E7052" w:rsidRDefault="00063C0A">
      <w:pPr>
        <w:ind w:left="851" w:right="901"/>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(Énfasis añadido)</w:t>
      </w:r>
    </w:p>
    <w:p w14:paraId="27930D92" w14:textId="77777777" w:rsidR="00163A95" w:rsidRPr="005E7052" w:rsidRDefault="00163A95">
      <w:pPr>
        <w:ind w:left="851" w:right="901"/>
        <w:jc w:val="both"/>
        <w:rPr>
          <w:rFonts w:ascii="Palatino Linotype" w:eastAsia="Palatino Linotype" w:hAnsi="Palatino Linotype" w:cs="Palatino Linotype"/>
          <w:i/>
        </w:rPr>
      </w:pPr>
    </w:p>
    <w:p w14:paraId="4F7C741A" w14:textId="52B1F51D" w:rsidR="00163A95" w:rsidRPr="005E7052" w:rsidRDefault="00063C0A">
      <w:pPr>
        <w:widowControl w:val="0"/>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El precepto legal citado, establece como supuesto de procedencia de los recursos de revisión, en aquellos casos en que no se dé trámite a una solicitud, por lo que si bien es cierto, se dio respuesta a la misma, lo cierto también es que derivado del análisis efectuado por este Órgano Garante, en la tramitación de la solicitud no se </w:t>
      </w:r>
      <w:r w:rsidR="005F2B1C" w:rsidRPr="005E7052">
        <w:rPr>
          <w:rFonts w:ascii="Palatino Linotype" w:eastAsia="Palatino Linotype" w:hAnsi="Palatino Linotype" w:cs="Palatino Linotype"/>
        </w:rPr>
        <w:t>dio</w:t>
      </w:r>
      <w:r w:rsidRPr="005E7052">
        <w:rPr>
          <w:rFonts w:ascii="Palatino Linotype" w:eastAsia="Palatino Linotype" w:hAnsi="Palatino Linotype" w:cs="Palatino Linotype"/>
        </w:rPr>
        <w:t xml:space="preserve"> cabal </w:t>
      </w:r>
      <w:r w:rsidR="005F2B1C" w:rsidRPr="005E7052">
        <w:rPr>
          <w:rFonts w:ascii="Palatino Linotype" w:eastAsia="Palatino Linotype" w:hAnsi="Palatino Linotype" w:cs="Palatino Linotype"/>
        </w:rPr>
        <w:t>cumplimiento</w:t>
      </w:r>
      <w:r w:rsidRPr="005E7052">
        <w:rPr>
          <w:rFonts w:ascii="Palatino Linotype" w:eastAsia="Palatino Linotype" w:hAnsi="Palatino Linotype" w:cs="Palatino Linotype"/>
        </w:rPr>
        <w:t xml:space="preserve"> de lo dispuesto por el artículo 162 de la Ley de Transparencia y Acceso a la Información Pública del Estado de México y Municipios por las razones que se expondrán a continuación: </w:t>
      </w:r>
    </w:p>
    <w:p w14:paraId="747EF005" w14:textId="77777777" w:rsidR="00163A95" w:rsidRPr="005E7052" w:rsidRDefault="00163A95">
      <w:pPr>
        <w:spacing w:line="360" w:lineRule="auto"/>
        <w:jc w:val="both"/>
        <w:rPr>
          <w:rFonts w:ascii="Palatino Linotype" w:eastAsia="Palatino Linotype" w:hAnsi="Palatino Linotype" w:cs="Palatino Linotype"/>
        </w:rPr>
      </w:pPr>
    </w:p>
    <w:p w14:paraId="44CAE335" w14:textId="77777777"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Atento a ello, es conveniente recordar que el particular requirió del </w:t>
      </w:r>
      <w:r w:rsidRPr="005E7052">
        <w:rPr>
          <w:rFonts w:ascii="Palatino Linotype" w:eastAsia="Palatino Linotype" w:hAnsi="Palatino Linotype" w:cs="Palatino Linotype"/>
          <w:b/>
        </w:rPr>
        <w:t xml:space="preserve">SUJETO OBLIGADO </w:t>
      </w:r>
      <w:r w:rsidRPr="005E7052">
        <w:rPr>
          <w:rFonts w:ascii="Palatino Linotype" w:eastAsia="Palatino Linotype" w:hAnsi="Palatino Linotype" w:cs="Palatino Linotype"/>
        </w:rPr>
        <w:t>lo siguiente:</w:t>
      </w:r>
    </w:p>
    <w:p w14:paraId="367B379B" w14:textId="77777777" w:rsidR="00163A95" w:rsidRPr="005E7052" w:rsidRDefault="00063C0A">
      <w:pPr>
        <w:pBdr>
          <w:top w:val="nil"/>
          <w:left w:val="nil"/>
          <w:bottom w:val="nil"/>
          <w:right w:val="nil"/>
          <w:between w:val="nil"/>
        </w:pBdr>
        <w:ind w:left="992" w:right="899"/>
        <w:jc w:val="both"/>
        <w:rPr>
          <w:rFonts w:ascii="Palatino Linotype" w:eastAsia="Palatino Linotype" w:hAnsi="Palatino Linotype" w:cs="Palatino Linotype"/>
          <w:i/>
          <w:color w:val="000000"/>
          <w:sz w:val="22"/>
          <w:szCs w:val="22"/>
        </w:rPr>
      </w:pPr>
      <w:r w:rsidRPr="005E7052">
        <w:rPr>
          <w:rFonts w:ascii="Palatino Linotype" w:eastAsia="Palatino Linotype" w:hAnsi="Palatino Linotype" w:cs="Palatino Linotype"/>
          <w:i/>
          <w:sz w:val="22"/>
          <w:szCs w:val="22"/>
        </w:rPr>
        <w:t>“respecto al tema de seguridad se requiere saber si el ayuntamiento ha llevado a cabo algún tipo de acción que combata el contrabandeo que se lleva a cabo por la mafia procedente del libano.” (Sic)</w:t>
      </w:r>
    </w:p>
    <w:p w14:paraId="3010F67F" w14:textId="77777777" w:rsidR="00163A95" w:rsidRPr="005E7052" w:rsidRDefault="00163A95">
      <w:pPr>
        <w:pBdr>
          <w:top w:val="nil"/>
          <w:left w:val="nil"/>
          <w:bottom w:val="nil"/>
          <w:right w:val="nil"/>
          <w:between w:val="nil"/>
        </w:pBdr>
        <w:spacing w:line="360" w:lineRule="auto"/>
        <w:ind w:left="992" w:right="899"/>
        <w:jc w:val="both"/>
        <w:rPr>
          <w:rFonts w:ascii="Palatino Linotype" w:eastAsia="Palatino Linotype" w:hAnsi="Palatino Linotype" w:cs="Palatino Linotype"/>
          <w:i/>
          <w:sz w:val="22"/>
          <w:szCs w:val="22"/>
        </w:rPr>
      </w:pPr>
    </w:p>
    <w:p w14:paraId="15CD4107" w14:textId="77777777"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Al respecto, </w:t>
      </w:r>
      <w:r w:rsidRPr="005E7052">
        <w:rPr>
          <w:rFonts w:ascii="Palatino Linotype" w:eastAsia="Palatino Linotype" w:hAnsi="Palatino Linotype" w:cs="Palatino Linotype"/>
          <w:b/>
        </w:rPr>
        <w:t>EL SUJETO OBLIGADO</w:t>
      </w:r>
      <w:r w:rsidRPr="005E7052">
        <w:rPr>
          <w:rFonts w:ascii="Palatino Linotype" w:eastAsia="Palatino Linotype" w:hAnsi="Palatino Linotype" w:cs="Palatino Linotype"/>
        </w:rPr>
        <w:t xml:space="preserve"> mediante la respuesta proporcionada señala que </w:t>
      </w:r>
      <w:r w:rsidRPr="005E7052">
        <w:rPr>
          <w:rFonts w:ascii="Palatino Linotype" w:eastAsia="Palatino Linotype" w:hAnsi="Palatino Linotype" w:cs="Palatino Linotype"/>
          <w:b/>
          <w:i/>
        </w:rPr>
        <w:t>el delito de contrabando está tipificado dentro del Código Fiscal de la Federación</w:t>
      </w:r>
      <w:r w:rsidRPr="005E7052">
        <w:rPr>
          <w:rFonts w:ascii="Palatino Linotype" w:eastAsia="Palatino Linotype" w:hAnsi="Palatino Linotype" w:cs="Palatino Linotype"/>
        </w:rPr>
        <w:t xml:space="preserve"> y al ser este un delito fiscal en la Dirección de Seguridad Pública no se tienen registro de algún reporte derivado de dicho delito. </w:t>
      </w:r>
    </w:p>
    <w:p w14:paraId="7E4469AE" w14:textId="77777777" w:rsidR="00163A95" w:rsidRPr="005E7052" w:rsidRDefault="00163A95">
      <w:pPr>
        <w:spacing w:line="360" w:lineRule="auto"/>
        <w:jc w:val="both"/>
        <w:rPr>
          <w:rFonts w:ascii="Palatino Linotype" w:eastAsia="Palatino Linotype" w:hAnsi="Palatino Linotype" w:cs="Palatino Linotype"/>
        </w:rPr>
      </w:pPr>
    </w:p>
    <w:p w14:paraId="219724A2" w14:textId="77777777"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Inconforme con la respuesta del </w:t>
      </w:r>
      <w:r w:rsidRPr="005E7052">
        <w:rPr>
          <w:rFonts w:ascii="Palatino Linotype" w:eastAsia="Palatino Linotype" w:hAnsi="Palatino Linotype" w:cs="Palatino Linotype"/>
          <w:b/>
        </w:rPr>
        <w:t>SUJETO OBLIGADO</w:t>
      </w:r>
      <w:r w:rsidRPr="005E7052">
        <w:rPr>
          <w:rFonts w:ascii="Palatino Linotype" w:eastAsia="Palatino Linotype" w:hAnsi="Palatino Linotype" w:cs="Palatino Linotype"/>
        </w:rPr>
        <w:t xml:space="preserve">, el particular interpuso el presente recurso de revisión impugnando la respuesta a su solicitud de información y </w:t>
      </w:r>
      <w:r w:rsidRPr="005E7052">
        <w:rPr>
          <w:rFonts w:ascii="Palatino Linotype" w:eastAsia="Palatino Linotype" w:hAnsi="Palatino Linotype" w:cs="Palatino Linotype"/>
        </w:rPr>
        <w:lastRenderedPageBreak/>
        <w:t xml:space="preserve">señalando en el apartado correspondiente su inconformidad con la fundamentación y motivación de la respuesta, manifestando literalmente lo siguiente: </w:t>
      </w:r>
    </w:p>
    <w:p w14:paraId="3E652E66" w14:textId="77777777" w:rsidR="00163A95" w:rsidRPr="005E7052" w:rsidRDefault="00063C0A">
      <w:pPr>
        <w:spacing w:before="200" w:line="360" w:lineRule="auto"/>
        <w:ind w:left="850" w:right="899"/>
        <w:jc w:val="both"/>
        <w:rPr>
          <w:rFonts w:ascii="Palatino Linotype" w:eastAsia="Palatino Linotype" w:hAnsi="Palatino Linotype" w:cs="Palatino Linotype"/>
          <w:sz w:val="22"/>
          <w:szCs w:val="22"/>
        </w:rPr>
      </w:pPr>
      <w:r w:rsidRPr="005E7052">
        <w:rPr>
          <w:rFonts w:ascii="Palatino Linotype" w:eastAsia="Palatino Linotype" w:hAnsi="Palatino Linotype" w:cs="Palatino Linotype"/>
          <w:i/>
          <w:sz w:val="22"/>
          <w:szCs w:val="22"/>
        </w:rPr>
        <w:t>“insuficiente e indebida contestación a la solicitud de acceso</w:t>
      </w:r>
      <w:r w:rsidRPr="005E7052">
        <w:rPr>
          <w:rFonts w:ascii="Palatino Linotype" w:eastAsia="Palatino Linotype" w:hAnsi="Palatino Linotype" w:cs="Palatino Linotype"/>
        </w:rPr>
        <w:t>”</w:t>
      </w:r>
      <w:r w:rsidRPr="005E7052">
        <w:rPr>
          <w:rFonts w:ascii="Palatino Linotype" w:eastAsia="Palatino Linotype" w:hAnsi="Palatino Linotype" w:cs="Palatino Linotype"/>
          <w:sz w:val="22"/>
          <w:szCs w:val="22"/>
        </w:rPr>
        <w:t>(Sic)</w:t>
      </w:r>
    </w:p>
    <w:p w14:paraId="4AB1C6D6" w14:textId="77777777" w:rsidR="00163A95" w:rsidRPr="005E7052" w:rsidRDefault="00163A95">
      <w:pPr>
        <w:spacing w:line="360" w:lineRule="auto"/>
        <w:jc w:val="both"/>
        <w:rPr>
          <w:rFonts w:ascii="Palatino Linotype" w:eastAsia="Palatino Linotype" w:hAnsi="Palatino Linotype" w:cs="Palatino Linotype"/>
        </w:rPr>
      </w:pPr>
    </w:p>
    <w:p w14:paraId="2125DA08" w14:textId="77777777" w:rsidR="00163A95" w:rsidRPr="005E7052" w:rsidRDefault="00063C0A">
      <w:pPr>
        <w:spacing w:line="360" w:lineRule="auto"/>
        <w:jc w:val="both"/>
        <w:rPr>
          <w:rFonts w:ascii="Palatino Linotype" w:eastAsia="Palatino Linotype" w:hAnsi="Palatino Linotype" w:cs="Palatino Linotype"/>
          <w:b/>
        </w:rPr>
      </w:pPr>
      <w:r w:rsidRPr="005E7052">
        <w:rPr>
          <w:rFonts w:ascii="Palatino Linotype" w:eastAsia="Palatino Linotype" w:hAnsi="Palatino Linotype" w:cs="Palatino Linotype"/>
        </w:rPr>
        <w:t xml:space="preserve">Abierta la etapa de instrucción, es de observarse que tanto </w:t>
      </w:r>
      <w:r w:rsidRPr="005E7052">
        <w:rPr>
          <w:rFonts w:ascii="Palatino Linotype" w:eastAsia="Palatino Linotype" w:hAnsi="Palatino Linotype" w:cs="Palatino Linotype"/>
          <w:b/>
        </w:rPr>
        <w:t xml:space="preserve">EL RECURRENTE </w:t>
      </w:r>
      <w:r w:rsidRPr="005E7052">
        <w:rPr>
          <w:rFonts w:ascii="Palatino Linotype" w:eastAsia="Palatino Linotype" w:hAnsi="Palatino Linotype" w:cs="Palatino Linotype"/>
        </w:rPr>
        <w:t xml:space="preserve">no rindió manifestaciones que conforme a derecho le corresponden, así como </w:t>
      </w:r>
      <w:r w:rsidRPr="005E7052">
        <w:rPr>
          <w:rFonts w:ascii="Palatino Linotype" w:eastAsia="Palatino Linotype" w:hAnsi="Palatino Linotype" w:cs="Palatino Linotype"/>
          <w:b/>
        </w:rPr>
        <w:t xml:space="preserve">EL SUJETO OBLIGADO </w:t>
      </w:r>
      <w:r w:rsidRPr="005E7052">
        <w:rPr>
          <w:rFonts w:ascii="Palatino Linotype" w:eastAsia="Palatino Linotype" w:hAnsi="Palatino Linotype" w:cs="Palatino Linotype"/>
        </w:rPr>
        <w:t xml:space="preserve">no presentó el Informe Justificado, razón por la cual se procede a analizar la respuesta emitida, a efecto de verificar si con esta se puede tener por satisfecho el derecho de Acceso a la Información del ahora </w:t>
      </w:r>
      <w:r w:rsidRPr="005E7052">
        <w:rPr>
          <w:rFonts w:ascii="Palatino Linotype" w:eastAsia="Palatino Linotype" w:hAnsi="Palatino Linotype" w:cs="Palatino Linotype"/>
          <w:b/>
        </w:rPr>
        <w:t>RECURRENTE.</w:t>
      </w:r>
    </w:p>
    <w:p w14:paraId="442A3A06" w14:textId="77777777" w:rsidR="00163A95" w:rsidRPr="005E7052" w:rsidRDefault="00163A95">
      <w:pPr>
        <w:spacing w:line="360" w:lineRule="auto"/>
        <w:jc w:val="both"/>
        <w:rPr>
          <w:rFonts w:ascii="Palatino Linotype" w:eastAsia="Palatino Linotype" w:hAnsi="Palatino Linotype" w:cs="Palatino Linotype"/>
        </w:rPr>
      </w:pPr>
    </w:p>
    <w:p w14:paraId="2300DF35" w14:textId="77777777" w:rsidR="00163A95" w:rsidRPr="005E7052" w:rsidRDefault="00063C0A">
      <w:pPr>
        <w:widowControl w:val="0"/>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Una vez precisado lo anterior, es importante mencionar que de la solicitud hecha por </w:t>
      </w:r>
      <w:r w:rsidRPr="005E7052">
        <w:rPr>
          <w:rFonts w:ascii="Palatino Linotype" w:eastAsia="Palatino Linotype" w:hAnsi="Palatino Linotype" w:cs="Palatino Linotype"/>
          <w:b/>
        </w:rPr>
        <w:t>EL RECURRENTE</w:t>
      </w:r>
      <w:r w:rsidRPr="005E7052">
        <w:rPr>
          <w:rFonts w:ascii="Palatino Linotype" w:eastAsia="Palatino Linotype" w:hAnsi="Palatino Linotype" w:cs="Palatino Linotype"/>
        </w:rPr>
        <w:t xml:space="preserve"> se advierte este requiere un pronunciamiento específico que podría implicar que </w:t>
      </w:r>
      <w:r w:rsidRPr="005E7052">
        <w:rPr>
          <w:rFonts w:ascii="Palatino Linotype" w:eastAsia="Palatino Linotype" w:hAnsi="Palatino Linotype" w:cs="Palatino Linotype"/>
          <w:b/>
        </w:rPr>
        <w:t>EL SUJETO OBLIGADO</w:t>
      </w:r>
      <w:r w:rsidRPr="005E7052">
        <w:rPr>
          <w:rFonts w:ascii="Palatino Linotype" w:eastAsia="Palatino Linotype" w:hAnsi="Palatino Linotype" w:cs="Palatino Linotype"/>
        </w:rPr>
        <w:t xml:space="preserve"> lleve a cabo un documento a modo, por lo que se debe señalar que los Sujetos Obligados, únicamente deben entregar la información que obre en sus archivos sin procesarla, resumirla, efectuar cálculos o practicar investigaciones, así como lo establece el artículo 12 de la Ley de Transparencia y Acceso a la Información Pública del Estado de México y Municipios, el cual se transcribe a continuación: </w:t>
      </w:r>
    </w:p>
    <w:p w14:paraId="737FC4B9"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 xml:space="preserve">“Artículo 12. Quienes generen, recopilen, administren, manejen, procesen, archiven o conserven información pública serán responsables de la misma en los términos de las disposiciones jurídicas aplicables. </w:t>
      </w:r>
    </w:p>
    <w:p w14:paraId="07AAF08F"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43DB6176" w14:textId="77777777" w:rsidR="00163A95" w:rsidRPr="005E7052" w:rsidRDefault="00063C0A">
      <w:pPr>
        <w:shd w:val="clear" w:color="auto" w:fill="FFFFFF"/>
        <w:jc w:val="both"/>
      </w:pPr>
      <w:r w:rsidRPr="005E7052">
        <w:rPr>
          <w:rFonts w:ascii="Palatino Linotype" w:eastAsia="Palatino Linotype" w:hAnsi="Palatino Linotype" w:cs="Palatino Linotype"/>
          <w:sz w:val="22"/>
          <w:szCs w:val="22"/>
        </w:rPr>
        <w:t> </w:t>
      </w:r>
    </w:p>
    <w:p w14:paraId="5236B898" w14:textId="77777777" w:rsidR="00163A95" w:rsidRPr="005E7052" w:rsidRDefault="00063C0A">
      <w:pPr>
        <w:shd w:val="clear" w:color="auto" w:fill="FFFFFF"/>
        <w:jc w:val="both"/>
      </w:pPr>
      <w:r w:rsidRPr="005E7052">
        <w:rPr>
          <w:rFonts w:ascii="Palatino Linotype" w:eastAsia="Palatino Linotype" w:hAnsi="Palatino Linotype" w:cs="Palatino Linotype"/>
          <w:sz w:val="22"/>
          <w:szCs w:val="22"/>
        </w:rPr>
        <w:lastRenderedPageBreak/>
        <w:t> </w:t>
      </w:r>
    </w:p>
    <w:p w14:paraId="1854790F" w14:textId="77777777" w:rsidR="00163A95" w:rsidRPr="005E7052" w:rsidRDefault="00063C0A">
      <w:pPr>
        <w:shd w:val="clear" w:color="auto" w:fill="FFFFFF"/>
        <w:spacing w:line="360" w:lineRule="auto"/>
        <w:jc w:val="both"/>
        <w:rPr>
          <w:sz w:val="28"/>
          <w:szCs w:val="28"/>
        </w:rPr>
      </w:pPr>
      <w:r w:rsidRPr="005E7052">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14:paraId="7BB5061E" w14:textId="77777777" w:rsidR="00163A95" w:rsidRPr="005E7052" w:rsidRDefault="00063C0A">
      <w:pPr>
        <w:shd w:val="clear" w:color="auto" w:fill="FFFFFF"/>
        <w:ind w:left="567" w:right="567"/>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“No existe obligación de elaborar documentos ad hoc para atender las solicitudes de acceso a la información. </w:t>
      </w:r>
      <w:r w:rsidRPr="005E7052">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6AB8ACA6" w14:textId="77777777" w:rsidR="00163A95" w:rsidRPr="005E7052" w:rsidRDefault="00163A95">
      <w:pPr>
        <w:shd w:val="clear" w:color="auto" w:fill="FFFFFF"/>
        <w:ind w:left="567" w:right="567"/>
        <w:jc w:val="both"/>
        <w:rPr>
          <w:sz w:val="28"/>
          <w:szCs w:val="28"/>
        </w:rPr>
      </w:pPr>
    </w:p>
    <w:p w14:paraId="49C450F8" w14:textId="77777777"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Conforme a lo anterior, es de observar que las respuestas a los cuestionamientos realizados por </w:t>
      </w:r>
      <w:r w:rsidRPr="005E7052">
        <w:rPr>
          <w:rFonts w:ascii="Palatino Linotype" w:eastAsia="Palatino Linotype" w:hAnsi="Palatino Linotype" w:cs="Palatino Linotype"/>
          <w:b/>
        </w:rPr>
        <w:t>EL RECURRENTE</w:t>
      </w:r>
      <w:r w:rsidRPr="005E7052">
        <w:rPr>
          <w:rFonts w:ascii="Palatino Linotype" w:eastAsia="Palatino Linotype" w:hAnsi="Palatino Linotype" w:cs="Palatino Linotype"/>
        </w:rPr>
        <w:t xml:space="preserve">, en primera instancia, son una consulta y no así una solicitud de acceso a información pública que pueda ser atendida mediante una expresión documental; pues corresponde a varias preguntas que implicaría elaborar un documento </w:t>
      </w:r>
      <w:r w:rsidRPr="005E7052">
        <w:rPr>
          <w:rFonts w:ascii="Palatino Linotype" w:eastAsia="Palatino Linotype" w:hAnsi="Palatino Linotype" w:cs="Palatino Linotype"/>
          <w:i/>
        </w:rPr>
        <w:t>ad hoc.</w:t>
      </w:r>
      <w:r w:rsidRPr="005E7052">
        <w:rPr>
          <w:rFonts w:ascii="Palatino Linotype" w:eastAsia="Palatino Linotype" w:hAnsi="Palatino Linotype" w:cs="Palatino Linotype"/>
          <w:b/>
        </w:rPr>
        <w:t> </w:t>
      </w:r>
    </w:p>
    <w:p w14:paraId="0B630CD1" w14:textId="77777777" w:rsidR="00163A95" w:rsidRPr="005E7052" w:rsidRDefault="00163A95">
      <w:pPr>
        <w:spacing w:line="360" w:lineRule="auto"/>
        <w:rPr>
          <w:rFonts w:ascii="Palatino Linotype" w:eastAsia="Palatino Linotype" w:hAnsi="Palatino Linotype" w:cs="Palatino Linotype"/>
        </w:rPr>
      </w:pPr>
    </w:p>
    <w:p w14:paraId="71EF75C7" w14:textId="77777777"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Lo anterior, toma sustento la Jurisprudencia XXI.1o.P.A. J/27, de los Tribunales Colegiados de Circuito, localizada en la página 1406, del Semanario Judicial de la Federación y su Gaceta, Tomo XXXIII, marzo 2011, Novena Época, que establece lo siguiente:</w:t>
      </w:r>
    </w:p>
    <w:p w14:paraId="0A865AEB" w14:textId="77777777" w:rsidR="00163A95" w:rsidRPr="005E7052" w:rsidRDefault="00163A95"/>
    <w:p w14:paraId="5F5A9427" w14:textId="77777777" w:rsidR="00163A95" w:rsidRPr="005E7052" w:rsidRDefault="00063C0A">
      <w:pPr>
        <w:ind w:left="567" w:right="567"/>
        <w:jc w:val="both"/>
        <w:rPr>
          <w:sz w:val="28"/>
          <w:szCs w:val="28"/>
        </w:rPr>
      </w:pPr>
      <w:r w:rsidRPr="005E7052">
        <w:rPr>
          <w:rFonts w:ascii="Palatino Linotype" w:eastAsia="Palatino Linotype" w:hAnsi="Palatino Linotype" w:cs="Palatino Linotype"/>
          <w:b/>
          <w:i/>
          <w:sz w:val="22"/>
          <w:szCs w:val="22"/>
        </w:rPr>
        <w:t xml:space="preserve">“DERECHO DE PETICIÓN. SUS ELEMENTOS. </w:t>
      </w:r>
      <w:r w:rsidRPr="005E7052">
        <w:rPr>
          <w:rFonts w:ascii="Palatino Linotype" w:eastAsia="Palatino Linotype" w:hAnsi="Palatino Linotype" w:cs="Palatino Linotype"/>
          <w:i/>
          <w:sz w:val="22"/>
          <w:szCs w:val="22"/>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w:t>
      </w:r>
      <w:r w:rsidRPr="005E7052">
        <w:rPr>
          <w:rFonts w:ascii="Palatino Linotype" w:eastAsia="Palatino Linotype" w:hAnsi="Palatino Linotype" w:cs="Palatino Linotype"/>
          <w:i/>
          <w:sz w:val="22"/>
          <w:szCs w:val="22"/>
        </w:rPr>
        <w:lastRenderedPageBreak/>
        <w:t>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diversa.”(Sic)</w:t>
      </w:r>
    </w:p>
    <w:p w14:paraId="30F29182" w14:textId="77777777" w:rsidR="00163A95" w:rsidRPr="005E7052" w:rsidRDefault="00163A95"/>
    <w:p w14:paraId="64C4ECEF" w14:textId="77777777"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71C27C51" w14:textId="77777777" w:rsidR="00163A95" w:rsidRPr="005E7052" w:rsidRDefault="00163A95">
      <w:pPr>
        <w:spacing w:line="360" w:lineRule="auto"/>
        <w:jc w:val="both"/>
        <w:rPr>
          <w:rFonts w:ascii="Palatino Linotype" w:eastAsia="Palatino Linotype" w:hAnsi="Palatino Linotype" w:cs="Palatino Linotype"/>
        </w:rPr>
      </w:pPr>
    </w:p>
    <w:p w14:paraId="4D28140E" w14:textId="77777777" w:rsidR="00163A95" w:rsidRPr="005E7052" w:rsidRDefault="00063C0A">
      <w:pPr>
        <w:spacing w:line="360" w:lineRule="auto"/>
        <w:jc w:val="both"/>
        <w:rPr>
          <w:rFonts w:ascii="Palatino Linotype" w:eastAsia="Palatino Linotype" w:hAnsi="Palatino Linotype" w:cs="Palatino Linotype"/>
          <w:i/>
        </w:rPr>
      </w:pPr>
      <w:r w:rsidRPr="005E7052">
        <w:rPr>
          <w:rFonts w:ascii="Palatino Linotype" w:eastAsia="Palatino Linotype" w:hAnsi="Palatino Linotype" w:cs="Palatino Linotype"/>
        </w:rPr>
        <w:t xml:space="preserve">No obstante, </w:t>
      </w:r>
      <w:r w:rsidRPr="005E7052">
        <w:rPr>
          <w:rFonts w:ascii="Palatino Linotype" w:eastAsia="Palatino Linotype" w:hAnsi="Palatino Linotype" w:cs="Palatino Linotype"/>
          <w:b/>
        </w:rPr>
        <w:t>EL SUJETO OBLIGADO</w:t>
      </w:r>
      <w:r w:rsidRPr="005E7052">
        <w:rPr>
          <w:rFonts w:ascii="Palatino Linotype" w:eastAsia="Palatino Linotype" w:hAnsi="Palatino Linotype" w:cs="Palatino Linotype"/>
        </w:rPr>
        <w:t xml:space="preserve"> en aras de privilegiar el derecho de acceso a la información, dio contestación a dichas peticiones, de igual manera, este Órgano Garante advierte del contenido general de la solicitud de información que </w:t>
      </w:r>
      <w:r w:rsidRPr="005E7052">
        <w:rPr>
          <w:rFonts w:ascii="Palatino Linotype" w:eastAsia="Palatino Linotype" w:hAnsi="Palatino Linotype" w:cs="Palatino Linotype"/>
          <w:b/>
        </w:rPr>
        <w:t>EL RECURRENTE</w:t>
      </w:r>
      <w:r w:rsidRPr="005E7052">
        <w:rPr>
          <w:rFonts w:ascii="Palatino Linotype" w:eastAsia="Palatino Linotype" w:hAnsi="Palatino Linotype" w:cs="Palatino Linotype"/>
        </w:rPr>
        <w:t xml:space="preserve"> desea obtener información referente a las medidas adoptadas por el Ayuntamiento de Chiconcuac tendientes a combatir el contrabando, entendiendo dichas medidas en su amplio espectro; es decir, </w:t>
      </w:r>
      <w:r w:rsidRPr="005E7052">
        <w:rPr>
          <w:rFonts w:ascii="Palatino Linotype" w:eastAsia="Palatino Linotype" w:hAnsi="Palatino Linotype" w:cs="Palatino Linotype"/>
          <w:i/>
        </w:rPr>
        <w:t xml:space="preserve">medidas de seguridad, prevención, entre otras. </w:t>
      </w:r>
    </w:p>
    <w:p w14:paraId="159634D4" w14:textId="77777777" w:rsidR="00163A95" w:rsidRPr="005E7052" w:rsidRDefault="00163A95">
      <w:pPr>
        <w:spacing w:line="360" w:lineRule="auto"/>
        <w:jc w:val="both"/>
        <w:rPr>
          <w:rFonts w:ascii="Palatino Linotype" w:eastAsia="Palatino Linotype" w:hAnsi="Palatino Linotype" w:cs="Palatino Linotype"/>
        </w:rPr>
      </w:pPr>
    </w:p>
    <w:p w14:paraId="3E757764" w14:textId="77777777"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lastRenderedPageBreak/>
        <w:t xml:space="preserve">En ese sentido, es procedente mencionar que, aun cuando la solicitud no señale expresamente que se requiere el documento en donde conste la información solicitada, pero dicha información obra en uno, los Sujetos Obligados deberán hacer entrega de ese soporte documental, como lo señala el criterio histórico 28/10 del El Instituto Nacional de Transparencia, Acceso a la Información y Protección de Datos Personales (INAI), el cual señala lo siguiente: </w:t>
      </w:r>
    </w:p>
    <w:p w14:paraId="3B721105" w14:textId="77777777" w:rsidR="00163A95" w:rsidRPr="005E7052" w:rsidRDefault="00063C0A">
      <w:pPr>
        <w:spacing w:before="62"/>
        <w:ind w:left="851" w:right="899"/>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 xml:space="preserve">“Cuando en una solicitud de información no se identifique un documento en específico, si ésta tiene una expresión documental, el sujeto obligado deberá entregar al particular el documento en específico. </w:t>
      </w:r>
      <w:r w:rsidRPr="005E7052">
        <w:rPr>
          <w:rFonts w:ascii="Palatino Linotype" w:eastAsia="Palatino Linotype" w:hAnsi="Palatino Linotype" w:cs="Palatino Linotype"/>
          <w:i/>
          <w:sz w:val="22"/>
          <w:szCs w:val="22"/>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w:t>
      </w:r>
      <w:r w:rsidRPr="005E7052">
        <w:rPr>
          <w:rFonts w:ascii="Palatino Linotype" w:eastAsia="Palatino Linotype" w:hAnsi="Palatino Linotype" w:cs="Palatino Linotype"/>
          <w:b/>
          <w:i/>
          <w:sz w:val="22"/>
          <w:szCs w:val="22"/>
        </w:rPr>
        <w:t>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5E7052">
        <w:rPr>
          <w:rFonts w:ascii="Palatino Linotype" w:eastAsia="Palatino Linotype" w:hAnsi="Palatino Linotype" w:cs="Palatino Linotype"/>
          <w:i/>
          <w:sz w:val="22"/>
          <w:szCs w:val="22"/>
        </w:rPr>
        <w:t>. Es decir, si la respuesta a la solicitud obra en algún documento en poder de la autoridad, pero el particular no hace referencia específica a tal documento, se deberá hacer entrega del mismo al solicitante.” (Sic)</w:t>
      </w:r>
    </w:p>
    <w:p w14:paraId="2203B08E" w14:textId="77777777" w:rsidR="00163A95" w:rsidRPr="005E7052" w:rsidRDefault="00063C0A">
      <w:pPr>
        <w:spacing w:before="62"/>
        <w:ind w:left="851" w:right="899"/>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(Énfasis añadido)</w:t>
      </w:r>
    </w:p>
    <w:p w14:paraId="0298F2DC" w14:textId="77777777" w:rsidR="00163A95" w:rsidRPr="005E7052" w:rsidRDefault="00163A95">
      <w:pPr>
        <w:spacing w:line="360" w:lineRule="auto"/>
        <w:ind w:right="49"/>
        <w:jc w:val="both"/>
        <w:rPr>
          <w:rFonts w:ascii="Palatino Linotype" w:eastAsia="Palatino Linotype" w:hAnsi="Palatino Linotype" w:cs="Palatino Linotype"/>
        </w:rPr>
      </w:pPr>
    </w:p>
    <w:p w14:paraId="40A98909" w14:textId="77777777"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color w:val="222222"/>
        </w:rPr>
        <w:t xml:space="preserve">Este criterio puede ser aplicado al caso que nos ocupa, toda vez que aun cuando </w:t>
      </w:r>
      <w:r w:rsidRPr="005E7052">
        <w:rPr>
          <w:rFonts w:ascii="Palatino Linotype" w:eastAsia="Palatino Linotype" w:hAnsi="Palatino Linotype" w:cs="Palatino Linotype"/>
          <w:b/>
          <w:color w:val="222222"/>
        </w:rPr>
        <w:t>EL RECURRENTE</w:t>
      </w:r>
      <w:r w:rsidRPr="005E7052">
        <w:rPr>
          <w:rFonts w:ascii="Palatino Linotype" w:eastAsia="Palatino Linotype" w:hAnsi="Palatino Linotype" w:cs="Palatino Linotype"/>
          <w:color w:val="222222"/>
        </w:rPr>
        <w:t xml:space="preserve"> no menciona un documento en particular, si la información que solicita puede obrar en uno y este es emitido por las autoridades en ejercicio de sus funciones, es procedente su entrega, de tal manera que de la investigación realizada por este Instituto se pudo advertir lo siguiente: </w:t>
      </w:r>
    </w:p>
    <w:p w14:paraId="42FAF111" w14:textId="77777777" w:rsidR="00163A95" w:rsidRPr="005E7052" w:rsidRDefault="00163A95">
      <w:pPr>
        <w:widowControl w:val="0"/>
        <w:spacing w:line="360" w:lineRule="auto"/>
        <w:jc w:val="both"/>
        <w:rPr>
          <w:rFonts w:ascii="Palatino Linotype" w:eastAsia="Palatino Linotype" w:hAnsi="Palatino Linotype" w:cs="Palatino Linotype"/>
        </w:rPr>
      </w:pPr>
    </w:p>
    <w:p w14:paraId="2FFEFF01" w14:textId="77777777" w:rsidR="00163A95" w:rsidRPr="005E7052" w:rsidRDefault="00063C0A">
      <w:pPr>
        <w:widowControl w:val="0"/>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En primer lugar, es importante señalar que de las constancias que obran en el expediente electrónico del </w:t>
      </w:r>
      <w:r w:rsidRPr="005E7052">
        <w:rPr>
          <w:rFonts w:ascii="Palatino Linotype" w:eastAsia="Palatino Linotype" w:hAnsi="Palatino Linotype" w:cs="Palatino Linotype"/>
          <w:b/>
        </w:rPr>
        <w:t>SAIMEX</w:t>
      </w:r>
      <w:r w:rsidRPr="005E7052">
        <w:rPr>
          <w:rFonts w:ascii="Palatino Linotype" w:eastAsia="Palatino Linotype" w:hAnsi="Palatino Linotype" w:cs="Palatino Linotype"/>
        </w:rPr>
        <w:t xml:space="preserve"> se logra apreciar dentro del apartado de Requerimientos, que la Titular de la Unidad de Transparencia turnó la solicitud de información a los Servidores Públicos que considero pertinentes quedando uno pendiente de respuesta como se puede apreciar en la imagen que se inserta a continuación: </w:t>
      </w:r>
    </w:p>
    <w:p w14:paraId="64899D6E" w14:textId="77777777" w:rsidR="00163A95" w:rsidRPr="005E7052" w:rsidRDefault="00163A95">
      <w:pPr>
        <w:rPr>
          <w:rFonts w:ascii="Palatino Linotype" w:eastAsia="Palatino Linotype" w:hAnsi="Palatino Linotype" w:cs="Palatino Linotype"/>
        </w:rPr>
      </w:pPr>
    </w:p>
    <w:p w14:paraId="0E697D86" w14:textId="77777777" w:rsidR="00163A95" w:rsidRPr="005E7052" w:rsidRDefault="00063C0A">
      <w:pPr>
        <w:widowControl w:val="0"/>
        <w:jc w:val="both"/>
        <w:rPr>
          <w:rFonts w:ascii="Palatino Linotype" w:eastAsia="Palatino Linotype" w:hAnsi="Palatino Linotype" w:cs="Palatino Linotype"/>
        </w:rPr>
      </w:pPr>
      <w:r w:rsidRPr="005E7052">
        <w:rPr>
          <w:rFonts w:ascii="Palatino Linotype" w:eastAsia="Palatino Linotype" w:hAnsi="Palatino Linotype" w:cs="Palatino Linotype"/>
          <w:noProof/>
        </w:rPr>
        <w:drawing>
          <wp:inline distT="0" distB="0" distL="0" distR="0" wp14:anchorId="36DA646C" wp14:editId="734B6670">
            <wp:extent cx="5791835" cy="909320"/>
            <wp:effectExtent l="0" t="0" r="0" b="0"/>
            <wp:docPr id="2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791835" cy="909320"/>
                    </a:xfrm>
                    <a:prstGeom prst="rect">
                      <a:avLst/>
                    </a:prstGeom>
                    <a:ln/>
                  </pic:spPr>
                </pic:pic>
              </a:graphicData>
            </a:graphic>
          </wp:inline>
        </w:drawing>
      </w:r>
    </w:p>
    <w:p w14:paraId="00013B20" w14:textId="77777777" w:rsidR="00163A95" w:rsidRPr="005E7052" w:rsidRDefault="00163A95">
      <w:pPr>
        <w:widowControl w:val="0"/>
        <w:spacing w:line="360" w:lineRule="auto"/>
        <w:jc w:val="both"/>
        <w:rPr>
          <w:rFonts w:ascii="Palatino Linotype" w:eastAsia="Palatino Linotype" w:hAnsi="Palatino Linotype" w:cs="Palatino Linotype"/>
        </w:rPr>
      </w:pPr>
    </w:p>
    <w:p w14:paraId="4A45EC01" w14:textId="77777777" w:rsidR="00163A95" w:rsidRPr="005E7052" w:rsidRDefault="00063C0A">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Por lo que, es importante señalar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777BB0BD" w14:textId="77777777" w:rsidR="00163A95" w:rsidRPr="005E7052" w:rsidRDefault="00063C0A">
      <w:pPr>
        <w:ind w:left="567" w:right="616"/>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w:t>
      </w:r>
      <w:r w:rsidRPr="005E7052">
        <w:rPr>
          <w:rFonts w:ascii="Palatino Linotype" w:eastAsia="Palatino Linotype" w:hAnsi="Palatino Linotype" w:cs="Palatino Linotype"/>
          <w:b/>
          <w:i/>
          <w:sz w:val="22"/>
          <w:szCs w:val="22"/>
        </w:rPr>
        <w:t>Artículo 3</w:t>
      </w:r>
      <w:r w:rsidRPr="005E7052">
        <w:rPr>
          <w:rFonts w:ascii="Palatino Linotype" w:eastAsia="Palatino Linotype" w:hAnsi="Palatino Linotype" w:cs="Palatino Linotype"/>
          <w:i/>
          <w:sz w:val="22"/>
          <w:szCs w:val="22"/>
        </w:rPr>
        <w:t xml:space="preserve">. </w:t>
      </w:r>
      <w:r w:rsidRPr="005E7052">
        <w:rPr>
          <w:rFonts w:ascii="Palatino Linotype" w:eastAsia="Palatino Linotype" w:hAnsi="Palatino Linotype" w:cs="Palatino Linotype"/>
          <w:b/>
          <w:i/>
          <w:sz w:val="22"/>
          <w:szCs w:val="22"/>
          <w:u w:val="single"/>
        </w:rPr>
        <w:t>Para los efectos de la presente Ley se entenderá por</w:t>
      </w:r>
      <w:r w:rsidRPr="005E7052">
        <w:rPr>
          <w:rFonts w:ascii="Palatino Linotype" w:eastAsia="Palatino Linotype" w:hAnsi="Palatino Linotype" w:cs="Palatino Linotype"/>
          <w:i/>
          <w:sz w:val="22"/>
          <w:szCs w:val="22"/>
        </w:rPr>
        <w:t xml:space="preserve">: </w:t>
      </w:r>
    </w:p>
    <w:p w14:paraId="5F382A36" w14:textId="77777777" w:rsidR="00163A95" w:rsidRPr="005E7052" w:rsidRDefault="00063C0A">
      <w:pPr>
        <w:ind w:left="567" w:right="616"/>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XXXIX</w:t>
      </w:r>
      <w:r w:rsidRPr="005E7052">
        <w:rPr>
          <w:rFonts w:ascii="Palatino Linotype" w:eastAsia="Palatino Linotype" w:hAnsi="Palatino Linotype" w:cs="Palatino Linotype"/>
          <w:i/>
          <w:sz w:val="22"/>
          <w:szCs w:val="22"/>
        </w:rPr>
        <w:t xml:space="preserve">. </w:t>
      </w:r>
      <w:r w:rsidRPr="005E7052">
        <w:rPr>
          <w:rFonts w:ascii="Palatino Linotype" w:eastAsia="Palatino Linotype" w:hAnsi="Palatino Linotype" w:cs="Palatino Linotype"/>
          <w:b/>
          <w:i/>
          <w:sz w:val="22"/>
          <w:szCs w:val="22"/>
          <w:u w:val="single"/>
        </w:rPr>
        <w:t>Servidor público habilitado</w:t>
      </w:r>
      <w:r w:rsidRPr="005E7052">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8B834A9" w14:textId="77777777" w:rsidR="00163A95" w:rsidRPr="005E7052" w:rsidRDefault="00063C0A">
      <w:pPr>
        <w:ind w:left="567" w:right="616"/>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lastRenderedPageBreak/>
        <w:t>…</w:t>
      </w:r>
    </w:p>
    <w:p w14:paraId="1DC8DF1C" w14:textId="77777777" w:rsidR="00163A95" w:rsidRPr="005E7052" w:rsidRDefault="00063C0A">
      <w:pPr>
        <w:ind w:left="567" w:right="618"/>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Artículo 50.</w:t>
      </w:r>
      <w:r w:rsidRPr="005E7052">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14:paraId="3E23F2FD" w14:textId="77777777" w:rsidR="00163A95" w:rsidRPr="005E7052" w:rsidRDefault="00063C0A">
      <w:pPr>
        <w:ind w:left="567" w:right="618"/>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Artículo 51</w:t>
      </w:r>
      <w:r w:rsidRPr="005E7052">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42DA822" w14:textId="77777777" w:rsidR="00163A95" w:rsidRPr="005E7052" w:rsidRDefault="00063C0A">
      <w:pPr>
        <w:ind w:left="567" w:right="618"/>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Artículo 53</w:t>
      </w:r>
      <w:r w:rsidRPr="005E7052">
        <w:rPr>
          <w:rFonts w:ascii="Palatino Linotype" w:eastAsia="Palatino Linotype" w:hAnsi="Palatino Linotype" w:cs="Palatino Linotype"/>
          <w:i/>
          <w:sz w:val="22"/>
          <w:szCs w:val="22"/>
        </w:rPr>
        <w:t>. Las Unidades de Transparencia tendrán las siguientes funciones:</w:t>
      </w:r>
    </w:p>
    <w:p w14:paraId="6697DA1F" w14:textId="77777777" w:rsidR="00163A95" w:rsidRPr="005E7052" w:rsidRDefault="00063C0A">
      <w:pPr>
        <w:ind w:left="567" w:right="618"/>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6A97B2D2" w14:textId="77777777" w:rsidR="00163A95" w:rsidRPr="005E7052" w:rsidRDefault="00063C0A">
      <w:pPr>
        <w:ind w:left="567" w:right="618"/>
        <w:jc w:val="both"/>
        <w:rPr>
          <w:rFonts w:ascii="Palatino Linotype" w:eastAsia="Palatino Linotype" w:hAnsi="Palatino Linotype" w:cs="Palatino Linotype"/>
          <w:b/>
          <w:i/>
          <w:sz w:val="22"/>
          <w:szCs w:val="22"/>
        </w:rPr>
      </w:pPr>
      <w:r w:rsidRPr="005E7052">
        <w:rPr>
          <w:rFonts w:ascii="Palatino Linotype" w:eastAsia="Palatino Linotype" w:hAnsi="Palatino Linotype" w:cs="Palatino Linotype"/>
          <w:b/>
          <w:i/>
          <w:sz w:val="22"/>
          <w:szCs w:val="22"/>
        </w:rPr>
        <w:t xml:space="preserve">II. Recibir, </w:t>
      </w:r>
      <w:r w:rsidRPr="005E7052">
        <w:rPr>
          <w:rFonts w:ascii="Palatino Linotype" w:eastAsia="Palatino Linotype" w:hAnsi="Palatino Linotype" w:cs="Palatino Linotype"/>
          <w:b/>
          <w:i/>
          <w:sz w:val="22"/>
          <w:szCs w:val="22"/>
          <w:u w:val="single"/>
        </w:rPr>
        <w:t>tramitar</w:t>
      </w:r>
      <w:r w:rsidRPr="005E7052">
        <w:rPr>
          <w:rFonts w:ascii="Palatino Linotype" w:eastAsia="Palatino Linotype" w:hAnsi="Palatino Linotype" w:cs="Palatino Linotype"/>
          <w:b/>
          <w:i/>
          <w:sz w:val="22"/>
          <w:szCs w:val="22"/>
        </w:rPr>
        <w:t xml:space="preserve"> y dar respuesta a las solicitudes de acceso a la información;</w:t>
      </w:r>
    </w:p>
    <w:p w14:paraId="58B42124" w14:textId="77777777" w:rsidR="00163A95" w:rsidRPr="005E7052" w:rsidRDefault="00063C0A">
      <w:pPr>
        <w:ind w:left="567" w:right="618"/>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14:paraId="11684FC7" w14:textId="77777777" w:rsidR="00163A95" w:rsidRPr="005E7052" w:rsidRDefault="00063C0A">
      <w:pPr>
        <w:ind w:left="567" w:right="618"/>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14:paraId="69C935C5" w14:textId="77777777" w:rsidR="00163A95" w:rsidRPr="005E7052" w:rsidRDefault="00063C0A">
      <w:pPr>
        <w:ind w:left="567" w:right="618"/>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V. Entregar, en su caso, a los particulares la información solicitada;</w:t>
      </w:r>
    </w:p>
    <w:p w14:paraId="6720B469" w14:textId="77777777" w:rsidR="00163A95" w:rsidRPr="005E7052" w:rsidRDefault="00063C0A">
      <w:pPr>
        <w:ind w:left="567" w:right="618"/>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VI. Efectuar las notificaciones a los solicitantes;</w:t>
      </w:r>
    </w:p>
    <w:p w14:paraId="6CB604EC" w14:textId="77777777" w:rsidR="00163A95" w:rsidRPr="005E7052" w:rsidRDefault="00063C0A">
      <w:pPr>
        <w:ind w:left="567" w:right="618"/>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14:paraId="1DE7B757" w14:textId="77777777" w:rsidR="00163A95" w:rsidRPr="005E7052" w:rsidRDefault="00063C0A">
      <w:pPr>
        <w:ind w:left="567" w:right="618"/>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14:paraId="5D7143C5" w14:textId="77777777" w:rsidR="00163A95" w:rsidRPr="005E7052" w:rsidRDefault="00063C0A">
      <w:pPr>
        <w:ind w:left="567" w:right="618"/>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5D41BB20" w14:textId="77777777" w:rsidR="00163A95" w:rsidRPr="005E7052" w:rsidRDefault="00063C0A">
      <w:pPr>
        <w:ind w:left="567" w:right="618"/>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X. Presentar ante el Comité, el proyecto de clasificación de información;</w:t>
      </w:r>
    </w:p>
    <w:p w14:paraId="3DB49D4E" w14:textId="77777777" w:rsidR="00163A95" w:rsidRPr="005E7052" w:rsidRDefault="00063C0A">
      <w:pPr>
        <w:ind w:left="567" w:right="618"/>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XI. Promover e implementar políticas de transparencia proactiva procurando su accesibilidad;</w:t>
      </w:r>
    </w:p>
    <w:p w14:paraId="55039BA4" w14:textId="77777777" w:rsidR="00163A95" w:rsidRPr="005E7052" w:rsidRDefault="00063C0A">
      <w:pPr>
        <w:ind w:left="567" w:right="618"/>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XII. Fomentar la transparencia y accesibilidad al interior del sujeto obligado;</w:t>
      </w:r>
    </w:p>
    <w:p w14:paraId="0676C869" w14:textId="77777777" w:rsidR="00163A95" w:rsidRPr="005E7052" w:rsidRDefault="00063C0A">
      <w:pPr>
        <w:ind w:left="567" w:right="618"/>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14:paraId="15F311DB" w14:textId="77777777" w:rsidR="00163A95" w:rsidRPr="005E7052" w:rsidRDefault="00063C0A">
      <w:pPr>
        <w:ind w:left="567" w:right="618"/>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14:paraId="2900AA65" w14:textId="77777777" w:rsidR="00163A95" w:rsidRPr="005E7052" w:rsidRDefault="00063C0A">
      <w:pPr>
        <w:ind w:left="567" w:right="618"/>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lastRenderedPageBreak/>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995A223" w14:textId="77777777" w:rsidR="00163A95" w:rsidRPr="005E7052" w:rsidRDefault="00063C0A">
      <w:pPr>
        <w:ind w:left="567" w:right="618"/>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1C79CA18" w14:textId="77777777" w:rsidR="00163A95" w:rsidRPr="005E7052" w:rsidRDefault="00063C0A">
      <w:pPr>
        <w:ind w:left="567" w:right="616"/>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Artículo 59</w:t>
      </w:r>
      <w:r w:rsidRPr="005E7052">
        <w:rPr>
          <w:rFonts w:ascii="Palatino Linotype" w:eastAsia="Palatino Linotype" w:hAnsi="Palatino Linotype" w:cs="Palatino Linotype"/>
          <w:i/>
          <w:sz w:val="22"/>
          <w:szCs w:val="22"/>
        </w:rPr>
        <w:t xml:space="preserve">. </w:t>
      </w:r>
      <w:r w:rsidRPr="005E7052">
        <w:rPr>
          <w:rFonts w:ascii="Palatino Linotype" w:eastAsia="Palatino Linotype" w:hAnsi="Palatino Linotype" w:cs="Palatino Linotype"/>
          <w:b/>
          <w:i/>
          <w:sz w:val="22"/>
          <w:szCs w:val="22"/>
          <w:u w:val="single"/>
        </w:rPr>
        <w:t>Los servidores públicos habilitados tendrán las funciones siguientes</w:t>
      </w:r>
      <w:r w:rsidRPr="005E7052">
        <w:rPr>
          <w:rFonts w:ascii="Palatino Linotype" w:eastAsia="Palatino Linotype" w:hAnsi="Palatino Linotype" w:cs="Palatino Linotype"/>
          <w:i/>
          <w:sz w:val="22"/>
          <w:szCs w:val="22"/>
        </w:rPr>
        <w:t xml:space="preserve">: </w:t>
      </w:r>
    </w:p>
    <w:p w14:paraId="074AC919" w14:textId="77777777" w:rsidR="00163A95" w:rsidRPr="005E7052" w:rsidRDefault="00063C0A">
      <w:pPr>
        <w:ind w:left="567" w:right="616"/>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 xml:space="preserve">I. </w:t>
      </w:r>
      <w:r w:rsidRPr="005E7052">
        <w:rPr>
          <w:rFonts w:ascii="Palatino Linotype" w:eastAsia="Palatino Linotype" w:hAnsi="Palatino Linotype" w:cs="Palatino Linotype"/>
          <w:b/>
          <w:i/>
          <w:sz w:val="22"/>
          <w:szCs w:val="22"/>
          <w:u w:val="single"/>
        </w:rPr>
        <w:t>Localizar la información que le solicite la Unidad de Transparencia</w:t>
      </w:r>
      <w:r w:rsidRPr="005E7052">
        <w:rPr>
          <w:rFonts w:ascii="Palatino Linotype" w:eastAsia="Palatino Linotype" w:hAnsi="Palatino Linotype" w:cs="Palatino Linotype"/>
          <w:i/>
          <w:sz w:val="22"/>
          <w:szCs w:val="22"/>
        </w:rPr>
        <w:t xml:space="preserve">; </w:t>
      </w:r>
    </w:p>
    <w:p w14:paraId="5B117768" w14:textId="77777777" w:rsidR="00163A95" w:rsidRPr="005E7052" w:rsidRDefault="00063C0A">
      <w:pPr>
        <w:ind w:left="567" w:right="616"/>
        <w:jc w:val="both"/>
        <w:rPr>
          <w:rFonts w:ascii="Palatino Linotype" w:eastAsia="Palatino Linotype" w:hAnsi="Palatino Linotype" w:cs="Palatino Linotype"/>
          <w:b/>
          <w:i/>
          <w:sz w:val="22"/>
          <w:szCs w:val="22"/>
        </w:rPr>
      </w:pPr>
      <w:r w:rsidRPr="005E7052">
        <w:rPr>
          <w:rFonts w:ascii="Palatino Linotype" w:eastAsia="Palatino Linotype" w:hAnsi="Palatino Linotype" w:cs="Palatino Linotype"/>
          <w:b/>
          <w:i/>
          <w:sz w:val="22"/>
          <w:szCs w:val="22"/>
        </w:rPr>
        <w:t xml:space="preserve">II. </w:t>
      </w:r>
      <w:r w:rsidRPr="005E7052">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5E7052">
        <w:rPr>
          <w:rFonts w:ascii="Palatino Linotype" w:eastAsia="Palatino Linotype" w:hAnsi="Palatino Linotype" w:cs="Palatino Linotype"/>
          <w:b/>
          <w:i/>
          <w:sz w:val="22"/>
          <w:szCs w:val="22"/>
        </w:rPr>
        <w:t xml:space="preserve">; </w:t>
      </w:r>
    </w:p>
    <w:p w14:paraId="481EBAE1" w14:textId="77777777" w:rsidR="00163A95" w:rsidRPr="005E7052" w:rsidRDefault="00063C0A">
      <w:pPr>
        <w:ind w:left="567" w:right="616"/>
        <w:jc w:val="both"/>
        <w:rPr>
          <w:rFonts w:ascii="Palatino Linotype" w:eastAsia="Palatino Linotype" w:hAnsi="Palatino Linotype" w:cs="Palatino Linotype"/>
          <w:b/>
          <w:i/>
          <w:sz w:val="22"/>
          <w:szCs w:val="22"/>
        </w:rPr>
      </w:pPr>
      <w:r w:rsidRPr="005E7052">
        <w:rPr>
          <w:rFonts w:ascii="Palatino Linotype" w:eastAsia="Palatino Linotype" w:hAnsi="Palatino Linotype" w:cs="Palatino Linotype"/>
          <w:b/>
          <w:i/>
          <w:sz w:val="22"/>
          <w:szCs w:val="22"/>
        </w:rPr>
        <w:t xml:space="preserve">III. </w:t>
      </w:r>
      <w:r w:rsidRPr="005E7052">
        <w:rPr>
          <w:rFonts w:ascii="Palatino Linotype" w:eastAsia="Palatino Linotype" w:hAnsi="Palatino Linotype" w:cs="Palatino Linotype"/>
          <w:b/>
          <w:i/>
          <w:sz w:val="22"/>
          <w:szCs w:val="22"/>
          <w:u w:val="single"/>
        </w:rPr>
        <w:t>Apoyar a la Unidad de Transparencia en lo que esta le solicite para el cumplimiento de sus funciones</w:t>
      </w:r>
      <w:r w:rsidRPr="005E7052">
        <w:rPr>
          <w:rFonts w:ascii="Palatino Linotype" w:eastAsia="Palatino Linotype" w:hAnsi="Palatino Linotype" w:cs="Palatino Linotype"/>
          <w:b/>
          <w:i/>
          <w:sz w:val="22"/>
          <w:szCs w:val="22"/>
        </w:rPr>
        <w:t xml:space="preserve">; </w:t>
      </w:r>
    </w:p>
    <w:p w14:paraId="5DF42B5E" w14:textId="77777777" w:rsidR="00163A95" w:rsidRPr="005E7052" w:rsidRDefault="00063C0A">
      <w:pPr>
        <w:ind w:left="567" w:right="616"/>
        <w:jc w:val="both"/>
        <w:rPr>
          <w:rFonts w:ascii="Palatino Linotype" w:eastAsia="Palatino Linotype" w:hAnsi="Palatino Linotype" w:cs="Palatino Linotype"/>
          <w:b/>
          <w:i/>
          <w:sz w:val="22"/>
          <w:szCs w:val="22"/>
        </w:rPr>
      </w:pPr>
      <w:r w:rsidRPr="005E7052">
        <w:rPr>
          <w:rFonts w:ascii="Palatino Linotype" w:eastAsia="Palatino Linotype" w:hAnsi="Palatino Linotype" w:cs="Palatino Linotype"/>
          <w:b/>
          <w:i/>
          <w:sz w:val="22"/>
          <w:szCs w:val="22"/>
        </w:rPr>
        <w:t>…</w:t>
      </w:r>
      <w:r w:rsidRPr="005E7052">
        <w:rPr>
          <w:rFonts w:ascii="Palatino Linotype" w:eastAsia="Palatino Linotype" w:hAnsi="Palatino Linotype" w:cs="Palatino Linotype"/>
          <w:i/>
          <w:sz w:val="22"/>
          <w:szCs w:val="22"/>
        </w:rPr>
        <w:t>”</w:t>
      </w:r>
    </w:p>
    <w:p w14:paraId="7B30A8FC" w14:textId="77777777" w:rsidR="00163A95" w:rsidRPr="005E7052" w:rsidRDefault="00063C0A">
      <w:pPr>
        <w:ind w:left="567" w:right="616"/>
        <w:jc w:val="both"/>
        <w:rPr>
          <w:rFonts w:ascii="Palatino Linotype" w:eastAsia="Palatino Linotype" w:hAnsi="Palatino Linotype" w:cs="Palatino Linotype"/>
          <w:sz w:val="22"/>
          <w:szCs w:val="22"/>
        </w:rPr>
      </w:pPr>
      <w:r w:rsidRPr="005E7052">
        <w:rPr>
          <w:rFonts w:ascii="Palatino Linotype" w:eastAsia="Palatino Linotype" w:hAnsi="Palatino Linotype" w:cs="Palatino Linotype"/>
          <w:sz w:val="22"/>
          <w:szCs w:val="22"/>
        </w:rPr>
        <w:t>(Énfasis añadido)</w:t>
      </w:r>
    </w:p>
    <w:p w14:paraId="14CFC4B5" w14:textId="77777777" w:rsidR="00163A95" w:rsidRPr="005E7052" w:rsidRDefault="00063C0A">
      <w:pPr>
        <w:spacing w:before="240" w:after="240"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01BA22A8" w14:textId="77777777" w:rsidR="00163A95" w:rsidRPr="005E7052" w:rsidRDefault="00063C0A">
      <w:pPr>
        <w:spacing w:before="240" w:after="240"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5E7052">
        <w:rPr>
          <w:rFonts w:ascii="Palatino Linotype" w:eastAsia="Palatino Linotype" w:hAnsi="Palatino Linotype" w:cs="Palatino Linotype"/>
          <w:b/>
        </w:rPr>
        <w:t>SUJETO OBLIGADO</w:t>
      </w:r>
      <w:r w:rsidRPr="005E7052">
        <w:rPr>
          <w:rFonts w:ascii="Palatino Linotype" w:eastAsia="Palatino Linotype" w:hAnsi="Palatino Linotype" w:cs="Palatino Linotype"/>
        </w:rPr>
        <w:t>, es por ello que, debe turnar la solicitud al servidor público habilitado que tiene bajo su resguardo la misma. Los servidores públicos habilitados tienen como función, buscar, localizar y en su caso entregar la información solicitada.</w:t>
      </w:r>
    </w:p>
    <w:p w14:paraId="5CD044C5" w14:textId="77777777" w:rsidR="00163A95" w:rsidRPr="005E7052" w:rsidRDefault="00063C0A">
      <w:pPr>
        <w:spacing w:before="240" w:after="240"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lastRenderedPageBreak/>
        <w:t xml:space="preserve">Por lo que corresponde al Titular de la Unidad de Transparencia el garantizar que las solicitudes se turnen a todas las áreas competentes que puedan contar con la información, </w:t>
      </w:r>
      <w:r w:rsidRPr="005E7052">
        <w:rPr>
          <w:rFonts w:ascii="Palatino Linotype" w:eastAsia="Palatino Linotype" w:hAnsi="Palatino Linotype" w:cs="Palatino Linotype"/>
          <w:b/>
        </w:rPr>
        <w:t>con el objeto de que se realice una búsqueda exhaustiva y razonable de la información solicitada</w:t>
      </w:r>
      <w:r w:rsidRPr="005E7052">
        <w:rPr>
          <w:rFonts w:ascii="Palatino Linotype" w:eastAsia="Palatino Linotype" w:hAnsi="Palatino Linotype" w:cs="Palatino Linotype"/>
        </w:rPr>
        <w:t>.</w:t>
      </w:r>
    </w:p>
    <w:p w14:paraId="3CEB2D2F" w14:textId="77777777" w:rsidR="00163A95" w:rsidRPr="005E7052" w:rsidRDefault="00063C0A">
      <w:pPr>
        <w:spacing w:before="280" w:after="280"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Así, respecto de la información solicitada, se advierte que el Titular de la Unidad de Transparencia del </w:t>
      </w:r>
      <w:r w:rsidRPr="005E7052">
        <w:rPr>
          <w:rFonts w:ascii="Palatino Linotype" w:eastAsia="Palatino Linotype" w:hAnsi="Palatino Linotype" w:cs="Palatino Linotype"/>
          <w:b/>
        </w:rPr>
        <w:t>SUJETO OBLIGADO</w:t>
      </w:r>
      <w:r w:rsidRPr="005E7052">
        <w:rPr>
          <w:rFonts w:ascii="Palatino Linotype" w:eastAsia="Palatino Linotype" w:hAnsi="Palatino Linotype" w:cs="Palatino Linotype"/>
        </w:rPr>
        <w:t xml:space="preserve">, en términos del artículo 162 de la Ley de Transparencia y Acceso a la Información Pública del Estado de México y Municipios, debió solicitar la información requerida, a dichas áreas. </w:t>
      </w:r>
    </w:p>
    <w:p w14:paraId="253138F8" w14:textId="77777777" w:rsidR="00163A95" w:rsidRPr="005E7052" w:rsidRDefault="00063C0A">
      <w:pPr>
        <w:spacing w:before="280" w:after="280"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En ese sentido, resulta importante traer a contexto el contenido del Bando Municipal de Chiconcuac 2021 en su artículo 45, el cual versa sobre lo siguiente: </w:t>
      </w:r>
    </w:p>
    <w:p w14:paraId="6C635436" w14:textId="77777777" w:rsidR="00163A95" w:rsidRPr="005E7052" w:rsidRDefault="00063C0A">
      <w:pPr>
        <w:ind w:left="850"/>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“ARTÍCULO 45.</w:t>
      </w:r>
      <w:r w:rsidRPr="005E7052">
        <w:rPr>
          <w:rFonts w:ascii="Palatino Linotype" w:eastAsia="Palatino Linotype" w:hAnsi="Palatino Linotype" w:cs="Palatino Linotype"/>
          <w:i/>
          <w:sz w:val="22"/>
          <w:szCs w:val="22"/>
        </w:rPr>
        <w:t xml:space="preserve"> Para el estudio, planeación, despacho y ejecución de los diversos asuntos de los distintos órganos que conforman la Administración Pública Municipal, la Presidenta Municipal se auxiliara de las siguientes Dependencias, Direcciones, Unidades, Órganos Descentralizados y Organismos Autónomos, los cuales estarán subordinados a la Presidenta Municipal y se organizarán administrativa y funcionalmente de la siguiente forma: </w:t>
      </w:r>
    </w:p>
    <w:p w14:paraId="39A29ED1" w14:textId="77777777" w:rsidR="00163A95" w:rsidRPr="005E7052" w:rsidRDefault="00163A95">
      <w:pPr>
        <w:ind w:left="850"/>
        <w:jc w:val="both"/>
        <w:rPr>
          <w:rFonts w:ascii="Palatino Linotype" w:eastAsia="Palatino Linotype" w:hAnsi="Palatino Linotype" w:cs="Palatino Linotype"/>
          <w:i/>
          <w:sz w:val="22"/>
          <w:szCs w:val="22"/>
        </w:rPr>
      </w:pPr>
    </w:p>
    <w:p w14:paraId="2EB393DD" w14:textId="77777777" w:rsidR="00163A95" w:rsidRPr="005E7052" w:rsidRDefault="00063C0A">
      <w:pPr>
        <w:ind w:left="1570"/>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 xml:space="preserve">I. Presidencia Municipal </w:t>
      </w:r>
    </w:p>
    <w:p w14:paraId="3A3C5A41" w14:textId="77777777" w:rsidR="00163A95" w:rsidRPr="005E7052" w:rsidRDefault="00063C0A">
      <w:pPr>
        <w:ind w:left="2290"/>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 xml:space="preserve">A. Secretaría del Ayuntamiento; </w:t>
      </w:r>
    </w:p>
    <w:p w14:paraId="385F48B4" w14:textId="77777777" w:rsidR="00163A95" w:rsidRPr="005E7052" w:rsidRDefault="00063C0A">
      <w:pPr>
        <w:ind w:left="3010"/>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 xml:space="preserve">I. Unidad Jurídica; </w:t>
      </w:r>
    </w:p>
    <w:p w14:paraId="3A74FA1B" w14:textId="77777777" w:rsidR="00163A95" w:rsidRPr="005E7052" w:rsidRDefault="00063C0A">
      <w:pPr>
        <w:ind w:left="3010"/>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 xml:space="preserve">II. Junta Municipal de Reclutamiento; </w:t>
      </w:r>
    </w:p>
    <w:p w14:paraId="34ABBA0C" w14:textId="77777777" w:rsidR="00163A95" w:rsidRPr="005E7052" w:rsidRDefault="00063C0A">
      <w:pPr>
        <w:ind w:left="3010"/>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 xml:space="preserve">III. Unidad de Gobierno; </w:t>
      </w:r>
    </w:p>
    <w:p w14:paraId="3B0D28D7" w14:textId="77777777" w:rsidR="00163A95" w:rsidRPr="005E7052" w:rsidRDefault="00063C0A">
      <w:pPr>
        <w:ind w:left="3010"/>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 xml:space="preserve">IV. Unidad de Comunicación Social; </w:t>
      </w:r>
    </w:p>
    <w:p w14:paraId="02E488B7" w14:textId="77777777" w:rsidR="00163A95" w:rsidRPr="005E7052" w:rsidRDefault="00063C0A">
      <w:pPr>
        <w:ind w:left="2290"/>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 xml:space="preserve">B. Secretaría Técnica del Consejo Municipal de Seguridad Pública; </w:t>
      </w:r>
    </w:p>
    <w:p w14:paraId="145D8855" w14:textId="77777777" w:rsidR="00163A95" w:rsidRPr="005E7052" w:rsidRDefault="00063C0A">
      <w:pPr>
        <w:ind w:left="2290"/>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C. Dirección de Desarrollo Económico y Coordinación General de Mejora Regulatoria;</w:t>
      </w:r>
    </w:p>
    <w:p w14:paraId="6343F308" w14:textId="77777777" w:rsidR="00163A95" w:rsidRPr="005E7052" w:rsidRDefault="00063C0A">
      <w:pPr>
        <w:ind w:left="3010"/>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 xml:space="preserve"> I. Administración Municipal del Mercado Municipal “Benito Juárez</w:t>
      </w:r>
      <w:r w:rsidRPr="005E7052">
        <w:rPr>
          <w:rFonts w:ascii="Palatino Linotype" w:eastAsia="Palatino Linotype" w:hAnsi="Palatino Linotype" w:cs="Palatino Linotype"/>
          <w:i/>
          <w:sz w:val="22"/>
          <w:szCs w:val="22"/>
        </w:rPr>
        <w:t>”;” (Sic)</w:t>
      </w:r>
    </w:p>
    <w:p w14:paraId="40CF55B2" w14:textId="77777777" w:rsidR="00163A95" w:rsidRPr="005E7052" w:rsidRDefault="00163A95">
      <w:pPr>
        <w:ind w:left="1570"/>
        <w:jc w:val="both"/>
        <w:rPr>
          <w:rFonts w:ascii="Palatino Linotype" w:eastAsia="Palatino Linotype" w:hAnsi="Palatino Linotype" w:cs="Palatino Linotype"/>
          <w:i/>
          <w:sz w:val="22"/>
          <w:szCs w:val="22"/>
        </w:rPr>
      </w:pPr>
    </w:p>
    <w:p w14:paraId="6D1754B2" w14:textId="77777777" w:rsidR="00163A95" w:rsidRPr="005E7052" w:rsidRDefault="00163A95">
      <w:pPr>
        <w:ind w:left="850"/>
        <w:jc w:val="both"/>
        <w:rPr>
          <w:rFonts w:ascii="Palatino Linotype" w:eastAsia="Palatino Linotype" w:hAnsi="Palatino Linotype" w:cs="Palatino Linotype"/>
          <w:i/>
          <w:sz w:val="22"/>
          <w:szCs w:val="22"/>
        </w:rPr>
      </w:pPr>
    </w:p>
    <w:p w14:paraId="331911FF" w14:textId="77777777" w:rsidR="00163A95" w:rsidRPr="005E7052" w:rsidRDefault="00063C0A">
      <w:pPr>
        <w:spacing w:before="280" w:after="280"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lastRenderedPageBreak/>
        <w:t xml:space="preserve">Del contenido del precepto legal en cita, se puede observar que la Administración Pública Municipal para llevar a cabo sus funciones, estará conformada por diversas áreas entre las cuales se encuentra la Dirección de Desarrollo Económico y Coordinación General de Mejora Regulatoria, misma que se divide en diferentes Unidades de Administración, siendo una de estas la Administración Municipal del Mercado Municipal “Benito Juárez”. </w:t>
      </w:r>
    </w:p>
    <w:p w14:paraId="63D43BAD" w14:textId="77777777" w:rsidR="00163A95" w:rsidRPr="005E7052" w:rsidRDefault="00063C0A">
      <w:pPr>
        <w:widowControl w:val="0"/>
        <w:spacing w:before="280" w:after="280"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De igual manera, al consultar el portal de IPOMEX</w:t>
      </w:r>
      <w:r w:rsidRPr="005E7052">
        <w:rPr>
          <w:rFonts w:ascii="Palatino Linotype" w:eastAsia="Palatino Linotype" w:hAnsi="Palatino Linotype" w:cs="Palatino Linotype"/>
          <w:vertAlign w:val="superscript"/>
        </w:rPr>
        <w:footnoteReference w:id="1"/>
      </w:r>
      <w:r w:rsidRPr="005E7052">
        <w:rPr>
          <w:rFonts w:ascii="Palatino Linotype" w:eastAsia="Palatino Linotype" w:hAnsi="Palatino Linotype" w:cs="Palatino Linotype"/>
        </w:rPr>
        <w:t xml:space="preserve"> del </w:t>
      </w:r>
      <w:r w:rsidRPr="005E7052">
        <w:rPr>
          <w:rFonts w:ascii="Palatino Linotype" w:eastAsia="Palatino Linotype" w:hAnsi="Palatino Linotype" w:cs="Palatino Linotype"/>
          <w:b/>
        </w:rPr>
        <w:t>SUJETO OBLIGADO,</w:t>
      </w:r>
      <w:r w:rsidRPr="005E7052">
        <w:rPr>
          <w:rFonts w:ascii="Palatino Linotype" w:eastAsia="Palatino Linotype" w:hAnsi="Palatino Linotype" w:cs="Palatino Linotype"/>
        </w:rPr>
        <w:t xml:space="preserve"> en la cual dentro del apartado de Estructura Orgánica, se puede ubicar la Unidad Administrativa en comento, se inserta capturas de pantalla de dicho apartado para mayor referencia:</w:t>
      </w:r>
    </w:p>
    <w:p w14:paraId="60024618" w14:textId="77777777" w:rsidR="00163A95" w:rsidRPr="005E7052" w:rsidRDefault="00063C0A">
      <w:pPr>
        <w:widowControl w:val="0"/>
        <w:spacing w:before="280" w:after="280" w:line="360" w:lineRule="auto"/>
        <w:jc w:val="center"/>
        <w:rPr>
          <w:rFonts w:ascii="Palatino Linotype" w:eastAsia="Palatino Linotype" w:hAnsi="Palatino Linotype" w:cs="Palatino Linotype"/>
        </w:rPr>
      </w:pPr>
      <w:r w:rsidRPr="005E7052">
        <w:rPr>
          <w:rFonts w:ascii="Palatino Linotype" w:eastAsia="Palatino Linotype" w:hAnsi="Palatino Linotype" w:cs="Palatino Linotype"/>
          <w:noProof/>
        </w:rPr>
        <w:drawing>
          <wp:inline distT="114300" distB="114300" distL="114300" distR="114300" wp14:anchorId="2EA5C369" wp14:editId="28465C34">
            <wp:extent cx="5391150" cy="1857375"/>
            <wp:effectExtent l="0" t="0" r="0" b="0"/>
            <wp:docPr id="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391150" cy="1857375"/>
                    </a:xfrm>
                    <a:prstGeom prst="rect">
                      <a:avLst/>
                    </a:prstGeom>
                    <a:ln/>
                  </pic:spPr>
                </pic:pic>
              </a:graphicData>
            </a:graphic>
          </wp:inline>
        </w:drawing>
      </w:r>
    </w:p>
    <w:p w14:paraId="5247F649" w14:textId="77777777" w:rsidR="00163A95" w:rsidRPr="005E7052" w:rsidRDefault="00063C0A">
      <w:pPr>
        <w:widowControl w:val="0"/>
        <w:spacing w:before="280" w:after="280" w:line="360" w:lineRule="auto"/>
        <w:jc w:val="center"/>
        <w:rPr>
          <w:rFonts w:ascii="Palatino Linotype" w:eastAsia="Palatino Linotype" w:hAnsi="Palatino Linotype" w:cs="Palatino Linotype"/>
        </w:rPr>
      </w:pPr>
      <w:r w:rsidRPr="005E7052">
        <w:rPr>
          <w:rFonts w:ascii="Palatino Linotype" w:eastAsia="Palatino Linotype" w:hAnsi="Palatino Linotype" w:cs="Palatino Linotype"/>
          <w:noProof/>
        </w:rPr>
        <w:drawing>
          <wp:inline distT="114300" distB="114300" distL="114300" distR="114300" wp14:anchorId="2E4BEE30" wp14:editId="31FD833A">
            <wp:extent cx="5448300" cy="485775"/>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448300" cy="485775"/>
                    </a:xfrm>
                    <a:prstGeom prst="rect">
                      <a:avLst/>
                    </a:prstGeom>
                    <a:ln/>
                  </pic:spPr>
                </pic:pic>
              </a:graphicData>
            </a:graphic>
          </wp:inline>
        </w:drawing>
      </w:r>
    </w:p>
    <w:p w14:paraId="2DC03A1E" w14:textId="77777777" w:rsidR="00163A95" w:rsidRPr="005E7052" w:rsidRDefault="00063C0A">
      <w:pPr>
        <w:spacing w:before="280" w:after="280"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lastRenderedPageBreak/>
        <w:t xml:space="preserve">Esta área cobra relevancia, ya que dentro del mismo Bando Municipal en su sección tercera artículos 61, 62, 67, 69 y 70 se encuentra regulado lo referente al comercio en mercados, vía pública o lugares de uso común. </w:t>
      </w:r>
    </w:p>
    <w:p w14:paraId="42826472" w14:textId="77777777" w:rsidR="00163A95" w:rsidRPr="005E7052" w:rsidRDefault="00063C0A">
      <w:pPr>
        <w:spacing w:before="280" w:after="280"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Donde de una interpretación sistemática y armónica se puede advertir que el Ayuntamiento por conducto de la Unidad Administrativa competente ejercerá la prestación del servicio público de mercados y regulará el comercio en vía pública y áreas comunes. </w:t>
      </w:r>
    </w:p>
    <w:p w14:paraId="1F543133" w14:textId="77777777" w:rsidR="00163A95" w:rsidRPr="005E7052" w:rsidRDefault="00063C0A">
      <w:pPr>
        <w:spacing w:before="280" w:after="280"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Aunado a ello, el mismo Bando </w:t>
      </w:r>
      <w:r w:rsidRPr="005E7052">
        <w:rPr>
          <w:rFonts w:ascii="Palatino Linotype" w:eastAsia="Palatino Linotype" w:hAnsi="Palatino Linotype" w:cs="Palatino Linotype"/>
          <w:i/>
        </w:rPr>
        <w:t>prohíbe expresamente la venta de bienes ingresados al territorio municipal por contrabando,</w:t>
      </w:r>
      <w:r w:rsidRPr="005E7052">
        <w:rPr>
          <w:rFonts w:ascii="Palatino Linotype" w:eastAsia="Palatino Linotype" w:hAnsi="Palatino Linotype" w:cs="Palatino Linotype"/>
        </w:rPr>
        <w:t xml:space="preserve"> indicando que la Unidad en comento podrá retirar o reubicar comercios cuando las normas municipales en materia comercial así lo permitan.</w:t>
      </w:r>
    </w:p>
    <w:p w14:paraId="7BF02573" w14:textId="77777777" w:rsidR="00163A95" w:rsidRPr="005E7052" w:rsidRDefault="00063C0A">
      <w:pPr>
        <w:ind w:left="850" w:right="899"/>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 xml:space="preserve">“SECCIÓN TERCERA </w:t>
      </w:r>
    </w:p>
    <w:p w14:paraId="46D9A842" w14:textId="77777777" w:rsidR="00163A95" w:rsidRPr="005E7052" w:rsidRDefault="00063C0A">
      <w:pPr>
        <w:ind w:left="850" w:right="899"/>
        <w:jc w:val="center"/>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 xml:space="preserve">DEL COMERCIO EN MERCADOS, EN LA VÍA PÚBLICA O LUGARES DE USO COMÚN </w:t>
      </w:r>
    </w:p>
    <w:p w14:paraId="2718D301" w14:textId="77777777" w:rsidR="00163A95" w:rsidRPr="005E7052" w:rsidRDefault="00163A95">
      <w:pPr>
        <w:ind w:left="850" w:right="899"/>
        <w:jc w:val="both"/>
        <w:rPr>
          <w:rFonts w:ascii="Palatino Linotype" w:eastAsia="Palatino Linotype" w:hAnsi="Palatino Linotype" w:cs="Palatino Linotype"/>
          <w:i/>
          <w:sz w:val="22"/>
          <w:szCs w:val="22"/>
        </w:rPr>
      </w:pPr>
    </w:p>
    <w:p w14:paraId="7E639DD5" w14:textId="77777777" w:rsidR="00163A95" w:rsidRPr="005E7052" w:rsidRDefault="00063C0A">
      <w:pPr>
        <w:ind w:left="850" w:right="899"/>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ARTÍCULO 61.-</w:t>
      </w:r>
      <w:r w:rsidRPr="005E7052">
        <w:rPr>
          <w:rFonts w:ascii="Palatino Linotype" w:eastAsia="Palatino Linotype" w:hAnsi="Palatino Linotype" w:cs="Palatino Linotype"/>
          <w:i/>
          <w:sz w:val="22"/>
          <w:szCs w:val="22"/>
        </w:rPr>
        <w:t xml:space="preserve"> El Ayuntamiento, por conducto de la Unidad Administrativa encargada de la regulación comercial, ejercerá la prestación del servicio público de mercados, centrales de abasto, así como el control y regulación del comercio en la vía pública y/o áreas de uso común, dentro del territorio municipal, incluyendo el que se realice a través de puestos fijos, semifijos, temporales, permanentes u otro tipo de puestos, así como tianguistas, vendedores ambulantes, expendedores de periódicos y revistas y el que se realice a través de vehículos automotores, estando sujeto, entre otras, a las disposiciones de la Ley de Bienes del Estado de México y sus Municipios, el presente Bando, la reglamentación de comercio municipal y de los demás reglamentos, circulares administrativas y acuerdos que al efecto expida el Ayuntamiento.</w:t>
      </w:r>
    </w:p>
    <w:p w14:paraId="4EAAF7BA" w14:textId="77777777" w:rsidR="00163A95" w:rsidRPr="005E7052" w:rsidRDefault="00163A95">
      <w:pPr>
        <w:ind w:left="850" w:right="899"/>
        <w:jc w:val="both"/>
        <w:rPr>
          <w:rFonts w:ascii="Palatino Linotype" w:eastAsia="Palatino Linotype" w:hAnsi="Palatino Linotype" w:cs="Palatino Linotype"/>
          <w:i/>
          <w:sz w:val="22"/>
          <w:szCs w:val="22"/>
        </w:rPr>
      </w:pPr>
    </w:p>
    <w:p w14:paraId="0FEE8472" w14:textId="77777777" w:rsidR="00163A95" w:rsidRPr="005E7052" w:rsidRDefault="00063C0A">
      <w:pPr>
        <w:ind w:left="850" w:right="899"/>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ARTÍCULO 67.-</w:t>
      </w:r>
      <w:r w:rsidRPr="005E7052">
        <w:rPr>
          <w:rFonts w:ascii="Palatino Linotype" w:eastAsia="Palatino Linotype" w:hAnsi="Palatino Linotype" w:cs="Palatino Linotype"/>
          <w:i/>
          <w:sz w:val="22"/>
          <w:szCs w:val="22"/>
        </w:rPr>
        <w:t xml:space="preserve"> El Municipio, a través de la Unidad Administrativa encargada de la regulación comercial, podrá ordenar sean retirados o reubicados del comercio en la </w:t>
      </w:r>
      <w:r w:rsidRPr="005E7052">
        <w:rPr>
          <w:rFonts w:ascii="Palatino Linotype" w:eastAsia="Palatino Linotype" w:hAnsi="Palatino Linotype" w:cs="Palatino Linotype"/>
          <w:i/>
          <w:sz w:val="22"/>
          <w:szCs w:val="22"/>
        </w:rPr>
        <w:lastRenderedPageBreak/>
        <w:t>vía pública y/o áreas de uso común los puestos fijos, semifijos, temporales, permanentes u otro tipo de puestos, así como tianguistas, vendedores ambulantes y expendedores de periódicos y revistas y el que se realice a través de vehículos automotores, cuando:</w:t>
      </w:r>
    </w:p>
    <w:p w14:paraId="4C5BD624" w14:textId="77777777" w:rsidR="00163A95" w:rsidRPr="005E7052" w:rsidRDefault="00063C0A">
      <w:pPr>
        <w:ind w:left="850" w:right="899"/>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III. Expresamente así lo señalen las normas municipales en materia comercial.</w:t>
      </w:r>
    </w:p>
    <w:p w14:paraId="7A32FCEA" w14:textId="77777777" w:rsidR="00163A95" w:rsidRPr="005E7052" w:rsidRDefault="00163A95">
      <w:pPr>
        <w:ind w:left="850" w:right="899"/>
        <w:jc w:val="both"/>
        <w:rPr>
          <w:rFonts w:ascii="Palatino Linotype" w:eastAsia="Palatino Linotype" w:hAnsi="Palatino Linotype" w:cs="Palatino Linotype"/>
          <w:i/>
          <w:sz w:val="22"/>
          <w:szCs w:val="22"/>
        </w:rPr>
      </w:pPr>
    </w:p>
    <w:p w14:paraId="111D950C" w14:textId="77777777" w:rsidR="00163A95" w:rsidRPr="005E7052" w:rsidRDefault="00063C0A">
      <w:pPr>
        <w:ind w:left="850" w:right="899"/>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ARTÍCULO 69.-</w:t>
      </w:r>
      <w:r w:rsidRPr="005E7052">
        <w:rPr>
          <w:rFonts w:ascii="Palatino Linotype" w:eastAsia="Palatino Linotype" w:hAnsi="Palatino Linotype" w:cs="Palatino Linotype"/>
          <w:i/>
          <w:sz w:val="22"/>
          <w:szCs w:val="22"/>
        </w:rPr>
        <w:t xml:space="preserve"> Queda prohibida la venta de armas punzo cortantes, armas de fuego, diábolos, postas o municiones, de plantas en peligro de extinción y de animales vivos; sin excepción, en la vía pública y/o lugares de uso común, a través de puestos fijos, semifijos, al aire libre, ambulantes, sobre ruedas, tianguis y mercados cualquiera que sea su modalidad, de igual forma, </w:t>
      </w:r>
      <w:r w:rsidRPr="005E7052">
        <w:rPr>
          <w:rFonts w:ascii="Palatino Linotype" w:eastAsia="Palatino Linotype" w:hAnsi="Palatino Linotype" w:cs="Palatino Linotype"/>
          <w:b/>
          <w:i/>
          <w:sz w:val="22"/>
          <w:szCs w:val="22"/>
        </w:rPr>
        <w:t>queda prohibida la venta de bienes ingresados al territorio municipal por contrabando</w:t>
      </w:r>
      <w:r w:rsidRPr="005E7052">
        <w:rPr>
          <w:rFonts w:ascii="Palatino Linotype" w:eastAsia="Palatino Linotype" w:hAnsi="Palatino Linotype" w:cs="Palatino Linotype"/>
          <w:i/>
          <w:sz w:val="22"/>
          <w:szCs w:val="22"/>
        </w:rPr>
        <w:t>, conducta ya tipificada como tal por la representación social competente; y artículos que en términos de la Ley Aduanera no hayan sido nacionalizados o permitida su internación al país. Queda prohibida la venta de bebidas alcohólicas, explosivos y juegos pirotécnicos a menos que cuenten con el permiso de la autoridad competente; drogas, enervantes o cualquier artículo que atente contra la moral, las buenas costumbres o la salud, en vías o áreas públicas. Se exceptúa de la prohibición de la venta de animales vivos, previstas en el primer párrafo del presente artículo las que se realicen en los tianguis y mercados, siempre que tales especies no se encuentren amenazadas o en peligro de extinción, observando para tal efecto lo señalado en las disposiciones de protección a los animales.</w:t>
      </w:r>
    </w:p>
    <w:p w14:paraId="36EBA089" w14:textId="77777777" w:rsidR="00163A95" w:rsidRPr="005E7052" w:rsidRDefault="00163A95">
      <w:pPr>
        <w:ind w:left="850" w:right="899"/>
        <w:jc w:val="both"/>
        <w:rPr>
          <w:rFonts w:ascii="Palatino Linotype" w:eastAsia="Palatino Linotype" w:hAnsi="Palatino Linotype" w:cs="Palatino Linotype"/>
          <w:i/>
          <w:sz w:val="22"/>
          <w:szCs w:val="22"/>
        </w:rPr>
      </w:pPr>
    </w:p>
    <w:p w14:paraId="087A83EF" w14:textId="77777777" w:rsidR="00163A95" w:rsidRPr="005E7052" w:rsidRDefault="00063C0A">
      <w:pPr>
        <w:ind w:left="850" w:right="899"/>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ARTÍCULO 70.</w:t>
      </w:r>
      <w:r w:rsidRPr="005E7052">
        <w:rPr>
          <w:rFonts w:ascii="Palatino Linotype" w:eastAsia="Palatino Linotype" w:hAnsi="Palatino Linotype" w:cs="Palatino Linotype"/>
          <w:i/>
          <w:sz w:val="22"/>
          <w:szCs w:val="22"/>
        </w:rPr>
        <w:t xml:space="preserve"> La Unidad Administrativa encargada de la regulación comercial y la Tesorería Municipal, de manera conjunta y/o independiente, están facultadas para iniciar, tramitar y resolver procedimientos administrativos comunes, reubicar, retirar, sancionar y/o remitir ante la autoridad competente a vendedores ambulantes, vendedores de puestos fijos, semifijos, temporales o de otro tipo, tianguistas, así como locatarios de los mercados públicos municipales; por el incumplimiento a las disposiciones del presente Bando Municipal, reglamentos y circulares de la materia, de igual forma, por razones de interés público, vialidad, higiene o por cualquier otra causa justificada, así como el resguardo de las mercancías, cumpliendo en todo momento con las formalidades previstas en la reglamentación municipal que al efecto regule la materia y demás disposiciones jurídicas aplicables. ” (Sic)</w:t>
      </w:r>
    </w:p>
    <w:p w14:paraId="5F242B55" w14:textId="77777777" w:rsidR="00163A95" w:rsidRPr="005E7052" w:rsidRDefault="00163A95">
      <w:pPr>
        <w:widowControl w:val="0"/>
        <w:spacing w:line="360" w:lineRule="auto"/>
        <w:jc w:val="both"/>
        <w:rPr>
          <w:rFonts w:ascii="Palatino Linotype" w:eastAsia="Palatino Linotype" w:hAnsi="Palatino Linotype" w:cs="Palatino Linotype"/>
        </w:rPr>
      </w:pPr>
    </w:p>
    <w:p w14:paraId="099F4EF9" w14:textId="77777777" w:rsidR="00163A95" w:rsidRPr="005E7052" w:rsidRDefault="00063C0A">
      <w:pPr>
        <w:widowControl w:val="0"/>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Como se puede apreciar de la normatividad interna del </w:t>
      </w:r>
      <w:r w:rsidRPr="005E7052">
        <w:rPr>
          <w:rFonts w:ascii="Palatino Linotype" w:eastAsia="Palatino Linotype" w:hAnsi="Palatino Linotype" w:cs="Palatino Linotype"/>
          <w:b/>
        </w:rPr>
        <w:t xml:space="preserve">SUJETO OBLIGADO </w:t>
      </w:r>
      <w:r w:rsidRPr="005E7052">
        <w:rPr>
          <w:rFonts w:ascii="Palatino Linotype" w:eastAsia="Palatino Linotype" w:hAnsi="Palatino Linotype" w:cs="Palatino Linotype"/>
        </w:rPr>
        <w:t xml:space="preserve">existe un área que está encargada de regular toda lo referente a la administración de los </w:t>
      </w:r>
      <w:r w:rsidRPr="005E7052">
        <w:rPr>
          <w:rFonts w:ascii="Palatino Linotype" w:eastAsia="Palatino Linotype" w:hAnsi="Palatino Linotype" w:cs="Palatino Linotype"/>
        </w:rPr>
        <w:lastRenderedPageBreak/>
        <w:t xml:space="preserve">mercados y comercio en vías públicas, la cual dentro de sus atribuciones tiene la facultad de  iniciar, tramitar y resolver  procedimientos administrativos comunes, reubicar, sancionar y/o remitir a la autoridad competente vendedores y locatarios que incumplan las disposiciones Municipales, entre las cuales se encuentra el Bando Municipal, mismo que impone la prohibición expresa de vender mercancías que fueran ingresadas al territorio municipal por contrabando. </w:t>
      </w:r>
    </w:p>
    <w:p w14:paraId="3FA559EF" w14:textId="77777777" w:rsidR="00163A95" w:rsidRPr="005E7052" w:rsidRDefault="00163A95">
      <w:pPr>
        <w:widowControl w:val="0"/>
        <w:spacing w:line="360" w:lineRule="auto"/>
        <w:jc w:val="both"/>
        <w:rPr>
          <w:rFonts w:ascii="Palatino Linotype" w:eastAsia="Palatino Linotype" w:hAnsi="Palatino Linotype" w:cs="Palatino Linotype"/>
        </w:rPr>
      </w:pPr>
    </w:p>
    <w:p w14:paraId="4577F77F" w14:textId="77777777" w:rsidR="00163A95" w:rsidRPr="005E7052" w:rsidRDefault="00063C0A">
      <w:pPr>
        <w:widowControl w:val="0"/>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De tal manera que si bien es cierta, en la respuesta primigenia a la solicitud de acceso a la información materia del presente recurso, se turnó a la Dirección de Seguridad Pública a fin de que esta se pronunciara al respecto, quien de primera instancia señaló no tener reportes del delito de contrabando, siendo este un delito de carácter fiscal, lo cierto es que, de lo analizado en la normatividad interna del </w:t>
      </w:r>
      <w:r w:rsidRPr="005E7052">
        <w:rPr>
          <w:rFonts w:ascii="Palatino Linotype" w:eastAsia="Palatino Linotype" w:hAnsi="Palatino Linotype" w:cs="Palatino Linotype"/>
          <w:b/>
        </w:rPr>
        <w:t>SUJETO OBLIGADO</w:t>
      </w:r>
      <w:r w:rsidRPr="005E7052">
        <w:rPr>
          <w:rFonts w:ascii="Palatino Linotype" w:eastAsia="Palatino Linotype" w:hAnsi="Palatino Linotype" w:cs="Palatino Linotype"/>
        </w:rPr>
        <w:t xml:space="preserve"> existe una Unidad Administrativa encargada de regular los mercados y en general el comercio que por sus facultades y funciones puede contar con información de las medidas para prevenir combatir o sancionar el delito de contrabando. </w:t>
      </w:r>
    </w:p>
    <w:p w14:paraId="265E9C87" w14:textId="77777777" w:rsidR="00163A95" w:rsidRPr="005E7052" w:rsidRDefault="00163A95">
      <w:pPr>
        <w:widowControl w:val="0"/>
        <w:spacing w:line="360" w:lineRule="auto"/>
        <w:jc w:val="both"/>
        <w:rPr>
          <w:rFonts w:ascii="Palatino Linotype" w:eastAsia="Palatino Linotype" w:hAnsi="Palatino Linotype" w:cs="Palatino Linotype"/>
        </w:rPr>
      </w:pPr>
    </w:p>
    <w:p w14:paraId="16A7B545" w14:textId="182FDDC0" w:rsidR="00163A95" w:rsidRPr="005E7052" w:rsidRDefault="00063C0A">
      <w:pPr>
        <w:widowControl w:val="0"/>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Razón por la cual, en aras de brindar certeza jurídica al </w:t>
      </w:r>
      <w:r w:rsidRPr="005E7052">
        <w:rPr>
          <w:rFonts w:ascii="Palatino Linotype" w:eastAsia="Palatino Linotype" w:hAnsi="Palatino Linotype" w:cs="Palatino Linotype"/>
          <w:b/>
        </w:rPr>
        <w:t>RECURRENTE</w:t>
      </w:r>
      <w:r w:rsidRPr="005E7052">
        <w:rPr>
          <w:rFonts w:ascii="Palatino Linotype" w:eastAsia="Palatino Linotype" w:hAnsi="Palatino Linotype" w:cs="Palatino Linotype"/>
        </w:rPr>
        <w:t xml:space="preserve"> y privilegiar el derecho de acceso a la información,</w:t>
      </w:r>
      <w:r w:rsidRPr="005E7052">
        <w:rPr>
          <w:rFonts w:ascii="Palatino Linotype" w:eastAsia="Palatino Linotype" w:hAnsi="Palatino Linotype" w:cs="Palatino Linotype"/>
          <w:b/>
        </w:rPr>
        <w:t xml:space="preserve"> EL SUJETO OBLIGADO</w:t>
      </w:r>
      <w:r w:rsidRPr="005E7052">
        <w:rPr>
          <w:rFonts w:ascii="Palatino Linotype" w:eastAsia="Palatino Linotype" w:hAnsi="Palatino Linotype" w:cs="Palatino Linotype"/>
        </w:rPr>
        <w:t xml:space="preserve"> deberá realizar una búsqueda razonable y exhaustiva del soporte documental donde consten las medidas llevadas a cabo por el Municipio de </w:t>
      </w:r>
      <w:r w:rsidR="005F2B1C" w:rsidRPr="005E7052">
        <w:rPr>
          <w:rFonts w:ascii="Palatino Linotype" w:eastAsia="Palatino Linotype" w:hAnsi="Palatino Linotype" w:cs="Palatino Linotype"/>
        </w:rPr>
        <w:t>Chiconcuac</w:t>
      </w:r>
      <w:r w:rsidRPr="005E7052">
        <w:rPr>
          <w:rFonts w:ascii="Palatino Linotype" w:eastAsia="Palatino Linotype" w:hAnsi="Palatino Linotype" w:cs="Palatino Linotype"/>
        </w:rPr>
        <w:t xml:space="preserve"> respecto al combate al contrabando. </w:t>
      </w:r>
    </w:p>
    <w:p w14:paraId="3AE1E3D2" w14:textId="77777777" w:rsidR="00163A95" w:rsidRPr="005E7052" w:rsidRDefault="00063C0A">
      <w:pPr>
        <w:spacing w:before="240" w:after="240"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Atento a lo anterior, este Órgano Garante no advierte que en su solicitud el ahora </w:t>
      </w:r>
      <w:r w:rsidRPr="005E7052">
        <w:rPr>
          <w:rFonts w:ascii="Palatino Linotype" w:eastAsia="Palatino Linotype" w:hAnsi="Palatino Linotype" w:cs="Palatino Linotype"/>
          <w:b/>
        </w:rPr>
        <w:t>RECURRENTE</w:t>
      </w:r>
      <w:r w:rsidRPr="005E7052">
        <w:rPr>
          <w:rFonts w:ascii="Palatino Linotype" w:eastAsia="Palatino Linotype" w:hAnsi="Palatino Linotype" w:cs="Palatino Linotype"/>
        </w:rPr>
        <w:t xml:space="preserve"> haya establecido una fecha o periodo específicos sobre los cuales </w:t>
      </w:r>
      <w:r w:rsidRPr="005E7052">
        <w:rPr>
          <w:rFonts w:ascii="Palatino Linotype" w:eastAsia="Palatino Linotype" w:hAnsi="Palatino Linotype" w:cs="Palatino Linotype"/>
        </w:rPr>
        <w:lastRenderedPageBreak/>
        <w:t>requiera la información, de manera que El INAI</w:t>
      </w:r>
      <w:r w:rsidRPr="005E7052">
        <w:rPr>
          <w:rFonts w:ascii="Palatino Linotype" w:eastAsia="Palatino Linotype" w:hAnsi="Palatino Linotype" w:cs="Palatino Linotype"/>
          <w:vertAlign w:val="superscript"/>
        </w:rPr>
        <w:footnoteReference w:id="2"/>
      </w:r>
      <w:r w:rsidRPr="005E7052">
        <w:rPr>
          <w:rFonts w:ascii="Palatino Linotype" w:eastAsia="Palatino Linotype" w:hAnsi="Palatino Linotype" w:cs="Palatino Linotype"/>
        </w:rPr>
        <w:t xml:space="preserve"> en su criterio 09/13 hace referencia a ello en el tenor que a continuación se muestra:</w:t>
      </w:r>
    </w:p>
    <w:p w14:paraId="06EDBB45" w14:textId="77777777" w:rsidR="00163A95" w:rsidRPr="005E7052" w:rsidRDefault="00063C0A">
      <w:pPr>
        <w:spacing w:before="240" w:after="240"/>
        <w:ind w:left="850" w:right="899"/>
        <w:jc w:val="both"/>
        <w:rPr>
          <w:rFonts w:ascii="Palatino Linotype" w:eastAsia="Palatino Linotype" w:hAnsi="Palatino Linotype" w:cs="Palatino Linotype"/>
        </w:rPr>
      </w:pPr>
      <w:r w:rsidRPr="005E7052">
        <w:rPr>
          <w:rFonts w:ascii="Palatino Linotype" w:eastAsia="Palatino Linotype" w:hAnsi="Palatino Linotype" w:cs="Palatino Linotype"/>
          <w:i/>
          <w:sz w:val="22"/>
          <w:szCs w:val="22"/>
        </w:rPr>
        <w:t>“</w:t>
      </w:r>
      <w:r w:rsidRPr="005E7052">
        <w:rPr>
          <w:rFonts w:ascii="Palatino Linotype" w:eastAsia="Palatino Linotype" w:hAnsi="Palatino Linotype" w:cs="Palatino Linotype"/>
          <w:b/>
          <w:i/>
          <w:sz w:val="22"/>
          <w:szCs w:val="22"/>
        </w:rPr>
        <w:t>Periodo de búsqueda de la información, cuando no se precisa en la solicitud de información.</w:t>
      </w:r>
      <w:r w:rsidRPr="005E7052">
        <w:rPr>
          <w:rFonts w:ascii="Palatino Linotype" w:eastAsia="Palatino Linotype" w:hAnsi="Palatino Linotype" w:cs="Palatino Linotype"/>
          <w:i/>
          <w:sz w:val="22"/>
          <w:szCs w:val="22"/>
        </w:rPr>
        <w:t xml:space="preserve"> El artículo 40, fracción II de la Ley Federal de Transparencia y Acceso a la Información Pública Gubernamental, señala que los particulares deberán describir en su solicitud de información, de forma clara y precisa, los documentos requeridos. </w:t>
      </w:r>
      <w:r w:rsidRPr="005E7052">
        <w:rPr>
          <w:rFonts w:ascii="Palatino Linotype" w:eastAsia="Palatino Linotype" w:hAnsi="Palatino Linotype" w:cs="Palatino Linotype"/>
          <w:b/>
          <w:i/>
          <w:sz w:val="22"/>
          <w:szCs w:val="22"/>
        </w:rPr>
        <w:t>En ese sentido, en el supuesto de que el particular no haya señalado el periodo sobre el que requiere la información, deberá interpretarse que su requerimiento se refiere al del año inmediato anterior contado a partir de la fecha en que se presentó la solicitud.</w:t>
      </w:r>
      <w:r w:rsidRPr="005E7052">
        <w:rPr>
          <w:rFonts w:ascii="Palatino Linotype" w:eastAsia="Palatino Linotype" w:hAnsi="Palatino Linotype" w:cs="Palatino Linotype"/>
          <w:i/>
          <w:sz w:val="22"/>
          <w:szCs w:val="22"/>
        </w:rPr>
        <w:t xml:space="preserve"> Lo anterior permite que los sujetos obligados cuenten con mayores elementos para precisar y localizar la información solicitada.”(Sic)</w:t>
      </w:r>
    </w:p>
    <w:p w14:paraId="69360095" w14:textId="77777777" w:rsidR="00163A95" w:rsidRPr="005E7052" w:rsidRDefault="00063C0A">
      <w:pPr>
        <w:spacing w:before="240" w:after="240"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Del criterio citado se advierte que en el caso de no existir un plazo específico mencionado en la solicitud, este se entenderá como un año anterior a la fecha de la solicitud. Con esa consideración en mente, </w:t>
      </w:r>
      <w:r w:rsidRPr="005E7052">
        <w:rPr>
          <w:rFonts w:ascii="Palatino Linotype" w:eastAsia="Palatino Linotype" w:hAnsi="Palatino Linotype" w:cs="Palatino Linotype"/>
          <w:b/>
        </w:rPr>
        <w:t xml:space="preserve">EL SUJETO OBLIGADO </w:t>
      </w:r>
      <w:r w:rsidRPr="005E7052">
        <w:rPr>
          <w:rFonts w:ascii="Palatino Linotype" w:eastAsia="Palatino Linotype" w:hAnsi="Palatino Linotype" w:cs="Palatino Linotype"/>
        </w:rPr>
        <w:t xml:space="preserve">deberá llevar a cabo la búsqueda razonable y exhaustiva de la información indicada por el periodo comprendido del 22 de octubre del 2020 al 22 de octubre de 2021, y haga entrega de la misma al </w:t>
      </w:r>
      <w:r w:rsidRPr="005E7052">
        <w:rPr>
          <w:rFonts w:ascii="Palatino Linotype" w:eastAsia="Palatino Linotype" w:hAnsi="Palatino Linotype" w:cs="Palatino Linotype"/>
          <w:b/>
        </w:rPr>
        <w:t>RECURRENTE</w:t>
      </w:r>
      <w:r w:rsidRPr="005E7052">
        <w:rPr>
          <w:rFonts w:ascii="Palatino Linotype" w:eastAsia="Palatino Linotype" w:hAnsi="Palatino Linotype" w:cs="Palatino Linotype"/>
        </w:rPr>
        <w:t xml:space="preserve"> en </w:t>
      </w:r>
      <w:r w:rsidRPr="005E7052">
        <w:rPr>
          <w:rFonts w:ascii="Palatino Linotype" w:eastAsia="Palatino Linotype" w:hAnsi="Palatino Linotype" w:cs="Palatino Linotype"/>
          <w:b/>
        </w:rPr>
        <w:t>versión pública</w:t>
      </w:r>
      <w:r w:rsidRPr="005E7052">
        <w:rPr>
          <w:rFonts w:ascii="Palatino Linotype" w:eastAsia="Palatino Linotype" w:hAnsi="Palatino Linotype" w:cs="Palatino Linotype"/>
        </w:rPr>
        <w:t xml:space="preserve"> de ser procedente. </w:t>
      </w:r>
    </w:p>
    <w:p w14:paraId="57C14F03" w14:textId="77777777" w:rsidR="00163A95" w:rsidRPr="005E7052" w:rsidRDefault="00063C0A">
      <w:pPr>
        <w:spacing w:before="240" w:after="240"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Respecto  a lo anterior, es de precisarse que , en el caso de que se lleve a cabo la búsqueda y </w:t>
      </w:r>
      <w:r w:rsidRPr="005E7052">
        <w:rPr>
          <w:rFonts w:ascii="Palatino Linotype" w:eastAsia="Palatino Linotype" w:hAnsi="Palatino Linotype" w:cs="Palatino Linotype"/>
          <w:b/>
        </w:rPr>
        <w:t xml:space="preserve">EL SUJETO OBLIGADO </w:t>
      </w:r>
      <w:r w:rsidRPr="005E7052">
        <w:rPr>
          <w:rFonts w:ascii="Palatino Linotype" w:eastAsia="Palatino Linotype" w:hAnsi="Palatino Linotype" w:cs="Palatino Linotype"/>
        </w:rPr>
        <w:t xml:space="preserve">no encuentre dicha información en sus archivos conforme al ejercicio de sus facultades, deberá hacérselo saber al </w:t>
      </w:r>
      <w:r w:rsidRPr="005E7052">
        <w:rPr>
          <w:rFonts w:ascii="Palatino Linotype" w:eastAsia="Palatino Linotype" w:hAnsi="Palatino Linotype" w:cs="Palatino Linotype"/>
          <w:b/>
        </w:rPr>
        <w:t>RECURRENTE</w:t>
      </w:r>
      <w:r w:rsidRPr="005E7052">
        <w:rPr>
          <w:rFonts w:ascii="Palatino Linotype" w:eastAsia="Palatino Linotype" w:hAnsi="Palatino Linotype" w:cs="Palatino Linotype"/>
        </w:rPr>
        <w:t xml:space="preserve"> de forma fundad y motivada. </w:t>
      </w:r>
    </w:p>
    <w:p w14:paraId="2E00FBBC" w14:textId="77777777"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Ahora bien, en caso de que fuese necesaria la versión pública de los documentos que se ordenan, en términos del artículo 143 de la Ley de Transparencia y Acceso a la </w:t>
      </w:r>
      <w:r w:rsidRPr="005E7052">
        <w:rPr>
          <w:rFonts w:ascii="Palatino Linotype" w:eastAsia="Palatino Linotype" w:hAnsi="Palatino Linotype" w:cs="Palatino Linotype"/>
        </w:rPr>
        <w:lastRenderedPageBreak/>
        <w:t xml:space="preserve">Información Pública del Estado de México y Municipios, deberá omitirse, eliminarse o suprimirse la información </w:t>
      </w:r>
      <w:r w:rsidRPr="005E7052">
        <w:rPr>
          <w:rFonts w:ascii="Palatino Linotype" w:eastAsia="Palatino Linotype" w:hAnsi="Palatino Linotype" w:cs="Palatino Linotype"/>
          <w:b/>
        </w:rPr>
        <w:t>confidencial</w:t>
      </w:r>
      <w:r w:rsidRPr="005E7052">
        <w:rPr>
          <w:rFonts w:ascii="Palatino Linotype" w:eastAsia="Palatino Linotype" w:hAnsi="Palatino Linotype" w:cs="Palatino Linotype"/>
        </w:rPr>
        <w:t xml:space="preserve">. </w:t>
      </w:r>
    </w:p>
    <w:p w14:paraId="76C6265F" w14:textId="77777777" w:rsidR="00163A95" w:rsidRPr="005E7052" w:rsidRDefault="00163A95">
      <w:pPr>
        <w:spacing w:line="360" w:lineRule="auto"/>
        <w:jc w:val="both"/>
        <w:rPr>
          <w:rFonts w:ascii="Palatino Linotype" w:eastAsia="Palatino Linotype" w:hAnsi="Palatino Linotype" w:cs="Palatino Linotype"/>
        </w:rPr>
      </w:pPr>
    </w:p>
    <w:p w14:paraId="2ABB0ADE" w14:textId="7975E1A6"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5E7052">
        <w:rPr>
          <w:rFonts w:ascii="Palatino Linotype" w:eastAsia="Palatino Linotype" w:hAnsi="Palatino Linotype" w:cs="Palatino Linotype"/>
          <w:b/>
        </w:rPr>
        <w:t>SUJETO OBLIGADO</w:t>
      </w:r>
      <w:r w:rsidRPr="005E7052">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3A5E98CA" w14:textId="77777777" w:rsidR="00315B2B" w:rsidRPr="005E7052" w:rsidRDefault="00315B2B">
      <w:pPr>
        <w:spacing w:line="360" w:lineRule="auto"/>
        <w:jc w:val="both"/>
        <w:rPr>
          <w:rFonts w:ascii="Palatino Linotype" w:eastAsia="Palatino Linotype" w:hAnsi="Palatino Linotype" w:cs="Palatino Linotype"/>
        </w:rPr>
      </w:pPr>
    </w:p>
    <w:p w14:paraId="67B1C535" w14:textId="77777777"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Por ende, </w:t>
      </w:r>
      <w:r w:rsidRPr="005E7052">
        <w:rPr>
          <w:rFonts w:ascii="Palatino Linotype" w:eastAsia="Palatino Linotype" w:hAnsi="Palatino Linotype" w:cs="Palatino Linotype"/>
          <w:b/>
        </w:rPr>
        <w:t>EL SUJETO OBLIGADO</w:t>
      </w:r>
      <w:r w:rsidRPr="005E7052">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sidRPr="005E7052">
        <w:rPr>
          <w:rFonts w:ascii="Palatino Linotype" w:eastAsia="Palatino Linotype" w:hAnsi="Palatino Linotype" w:cs="Palatino Linotype"/>
        </w:rPr>
        <w:lastRenderedPageBreak/>
        <w:t>de la Información, así como para la elaboración de Versiones Públicas, que literalmente expresan:</w:t>
      </w:r>
    </w:p>
    <w:p w14:paraId="29E77379" w14:textId="77777777" w:rsidR="00163A95" w:rsidRPr="005E7052" w:rsidRDefault="00063C0A">
      <w:pPr>
        <w:ind w:left="851" w:right="902"/>
        <w:jc w:val="center"/>
        <w:rPr>
          <w:rFonts w:ascii="Palatino Linotype" w:eastAsia="Palatino Linotype" w:hAnsi="Palatino Linotype" w:cs="Palatino Linotype"/>
          <w:b/>
          <w:i/>
          <w:sz w:val="22"/>
          <w:szCs w:val="22"/>
        </w:rPr>
      </w:pPr>
      <w:r w:rsidRPr="005E7052">
        <w:rPr>
          <w:rFonts w:ascii="Palatino Linotype" w:eastAsia="Palatino Linotype" w:hAnsi="Palatino Linotype" w:cs="Palatino Linotype"/>
          <w:b/>
          <w:i/>
          <w:sz w:val="22"/>
          <w:szCs w:val="22"/>
        </w:rPr>
        <w:t>Ley de Transparencia y Acceso a la Información Pública del Estado de México y Municipios</w:t>
      </w:r>
    </w:p>
    <w:p w14:paraId="2F45AE0B"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w:t>
      </w:r>
      <w:r w:rsidRPr="005E7052">
        <w:rPr>
          <w:rFonts w:ascii="Palatino Linotype" w:eastAsia="Palatino Linotype" w:hAnsi="Palatino Linotype" w:cs="Palatino Linotype"/>
          <w:b/>
          <w:i/>
          <w:sz w:val="22"/>
          <w:szCs w:val="22"/>
        </w:rPr>
        <w:t xml:space="preserve">Artículo 49. </w:t>
      </w:r>
      <w:r w:rsidRPr="005E7052">
        <w:rPr>
          <w:rFonts w:ascii="Palatino Linotype" w:eastAsia="Palatino Linotype" w:hAnsi="Palatino Linotype" w:cs="Palatino Linotype"/>
          <w:i/>
          <w:sz w:val="22"/>
          <w:szCs w:val="22"/>
        </w:rPr>
        <w:t>Los Comités de Transparencia tendrán las siguientes atribuciones:</w:t>
      </w:r>
    </w:p>
    <w:p w14:paraId="1F32A19B"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VIII.</w:t>
      </w:r>
      <w:r w:rsidRPr="005E7052">
        <w:rPr>
          <w:rFonts w:ascii="Palatino Linotype" w:eastAsia="Palatino Linotype" w:hAnsi="Palatino Linotype" w:cs="Palatino Linotype"/>
          <w:i/>
          <w:sz w:val="22"/>
          <w:szCs w:val="22"/>
        </w:rPr>
        <w:t xml:space="preserve"> </w:t>
      </w:r>
      <w:r w:rsidRPr="005E7052">
        <w:rPr>
          <w:rFonts w:ascii="Palatino Linotype" w:eastAsia="Palatino Linotype" w:hAnsi="Palatino Linotype" w:cs="Palatino Linotype"/>
          <w:b/>
          <w:i/>
          <w:sz w:val="22"/>
          <w:szCs w:val="22"/>
        </w:rPr>
        <w:t>Aprobar</w:t>
      </w:r>
      <w:r w:rsidRPr="005E7052">
        <w:rPr>
          <w:rFonts w:ascii="Palatino Linotype" w:eastAsia="Palatino Linotype" w:hAnsi="Palatino Linotype" w:cs="Palatino Linotype"/>
          <w:i/>
          <w:sz w:val="22"/>
          <w:szCs w:val="22"/>
        </w:rPr>
        <w:t>, modificar o revocar la clasificación de la información;</w:t>
      </w:r>
    </w:p>
    <w:p w14:paraId="746E8754" w14:textId="77777777" w:rsidR="00163A95" w:rsidRPr="005E7052" w:rsidRDefault="00063C0A">
      <w:pPr>
        <w:ind w:left="851" w:right="902"/>
        <w:jc w:val="both"/>
        <w:rPr>
          <w:rFonts w:ascii="Palatino Linotype" w:eastAsia="Palatino Linotype" w:hAnsi="Palatino Linotype" w:cs="Palatino Linotype"/>
          <w:b/>
          <w:i/>
          <w:sz w:val="22"/>
          <w:szCs w:val="22"/>
        </w:rPr>
      </w:pPr>
      <w:r w:rsidRPr="005E7052">
        <w:rPr>
          <w:rFonts w:ascii="Palatino Linotype" w:eastAsia="Palatino Linotype" w:hAnsi="Palatino Linotype" w:cs="Palatino Linotype"/>
          <w:b/>
          <w:i/>
          <w:sz w:val="22"/>
          <w:szCs w:val="22"/>
        </w:rPr>
        <w:t>Artículo 132.</w:t>
      </w:r>
      <w:r w:rsidRPr="005E7052">
        <w:rPr>
          <w:rFonts w:ascii="Palatino Linotype" w:eastAsia="Palatino Linotype" w:hAnsi="Palatino Linotype" w:cs="Palatino Linotype"/>
          <w:i/>
          <w:sz w:val="22"/>
          <w:szCs w:val="22"/>
        </w:rPr>
        <w:t xml:space="preserve"> </w:t>
      </w:r>
      <w:r w:rsidRPr="005E7052">
        <w:rPr>
          <w:rFonts w:ascii="Palatino Linotype" w:eastAsia="Palatino Linotype" w:hAnsi="Palatino Linotype" w:cs="Palatino Linotype"/>
          <w:b/>
          <w:i/>
          <w:sz w:val="22"/>
          <w:szCs w:val="22"/>
        </w:rPr>
        <w:t>La clasificación de la información se llevará a cabo en el momento en que:</w:t>
      </w:r>
    </w:p>
    <w:p w14:paraId="4F4AA16B"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w:t>
      </w:r>
    </w:p>
    <w:p w14:paraId="7D1F621B"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II.</w:t>
      </w:r>
      <w:r w:rsidRPr="005E7052">
        <w:rPr>
          <w:rFonts w:ascii="Palatino Linotype" w:eastAsia="Palatino Linotype" w:hAnsi="Palatino Linotype" w:cs="Palatino Linotype"/>
          <w:i/>
          <w:sz w:val="22"/>
          <w:szCs w:val="22"/>
        </w:rPr>
        <w:t xml:space="preserve"> Se determine mediante resolución de autoridad competente; o</w:t>
      </w:r>
    </w:p>
    <w:p w14:paraId="380396A7"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III</w:t>
      </w:r>
      <w:r w:rsidRPr="005E7052">
        <w:rPr>
          <w:rFonts w:ascii="Palatino Linotype" w:eastAsia="Palatino Linotype" w:hAnsi="Palatino Linotype" w:cs="Palatino Linotype"/>
          <w:i/>
          <w:sz w:val="22"/>
          <w:szCs w:val="22"/>
        </w:rPr>
        <w:t xml:space="preserve">. </w:t>
      </w:r>
      <w:r w:rsidRPr="005E7052">
        <w:rPr>
          <w:rFonts w:ascii="Palatino Linotype" w:eastAsia="Palatino Linotype" w:hAnsi="Palatino Linotype" w:cs="Palatino Linotype"/>
          <w:b/>
          <w:i/>
          <w:sz w:val="22"/>
          <w:szCs w:val="22"/>
        </w:rPr>
        <w:t>Se generen versiones públicas para dar cumplimiento a las obligaciones de transparencia previstas en esta Ley</w:t>
      </w:r>
      <w:r w:rsidRPr="005E7052">
        <w:rPr>
          <w:rFonts w:ascii="Palatino Linotype" w:eastAsia="Palatino Linotype" w:hAnsi="Palatino Linotype" w:cs="Palatino Linotype"/>
          <w:i/>
          <w:sz w:val="22"/>
          <w:szCs w:val="22"/>
        </w:rPr>
        <w:t>.”</w:t>
      </w:r>
    </w:p>
    <w:p w14:paraId="7CB74D6C" w14:textId="77777777" w:rsidR="00163A95" w:rsidRPr="005E7052" w:rsidRDefault="00063C0A">
      <w:pPr>
        <w:ind w:left="851" w:right="902"/>
        <w:jc w:val="center"/>
        <w:rPr>
          <w:rFonts w:ascii="Palatino Linotype" w:eastAsia="Palatino Linotype" w:hAnsi="Palatino Linotype" w:cs="Palatino Linotype"/>
          <w:b/>
          <w:i/>
          <w:sz w:val="22"/>
          <w:szCs w:val="22"/>
        </w:rPr>
      </w:pPr>
      <w:r w:rsidRPr="005E7052">
        <w:rPr>
          <w:rFonts w:ascii="Palatino Linotype" w:eastAsia="Palatino Linotype" w:hAnsi="Palatino Linotype" w:cs="Palatino Linotype"/>
          <w:b/>
          <w:i/>
          <w:sz w:val="22"/>
          <w:szCs w:val="22"/>
        </w:rPr>
        <w:t>Lineamientos Generales en materia de Clasificación y Desclasificación de la Información</w:t>
      </w:r>
    </w:p>
    <w:p w14:paraId="1F221063"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w:t>
      </w:r>
      <w:r w:rsidRPr="005E7052">
        <w:rPr>
          <w:rFonts w:ascii="Palatino Linotype" w:eastAsia="Palatino Linotype" w:hAnsi="Palatino Linotype" w:cs="Palatino Linotype"/>
          <w:b/>
          <w:i/>
          <w:sz w:val="22"/>
          <w:szCs w:val="22"/>
        </w:rPr>
        <w:t>Segundo.-</w:t>
      </w:r>
      <w:r w:rsidRPr="005E7052">
        <w:rPr>
          <w:rFonts w:ascii="Palatino Linotype" w:eastAsia="Palatino Linotype" w:hAnsi="Palatino Linotype" w:cs="Palatino Linotype"/>
          <w:i/>
          <w:sz w:val="22"/>
          <w:szCs w:val="22"/>
        </w:rPr>
        <w:t xml:space="preserve"> Para efectos de los presentes Lineamientos Generales, se entenderá por:</w:t>
      </w:r>
    </w:p>
    <w:p w14:paraId="78DB6C05"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XVIII.</w:t>
      </w:r>
      <w:r w:rsidRPr="005E7052">
        <w:rPr>
          <w:rFonts w:ascii="Palatino Linotype" w:eastAsia="Palatino Linotype" w:hAnsi="Palatino Linotype" w:cs="Palatino Linotype"/>
          <w:i/>
          <w:sz w:val="22"/>
          <w:szCs w:val="22"/>
        </w:rPr>
        <w:t xml:space="preserve"> </w:t>
      </w:r>
      <w:r w:rsidRPr="005E7052">
        <w:rPr>
          <w:rFonts w:ascii="Palatino Linotype" w:eastAsia="Palatino Linotype" w:hAnsi="Palatino Linotype" w:cs="Palatino Linotype"/>
          <w:b/>
          <w:i/>
          <w:sz w:val="22"/>
          <w:szCs w:val="22"/>
        </w:rPr>
        <w:t>Versión pública:</w:t>
      </w:r>
      <w:r w:rsidRPr="005E7052">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5E7052">
        <w:rPr>
          <w:rFonts w:ascii="Palatino Linotype" w:eastAsia="Palatino Linotype" w:hAnsi="Palatino Linotype" w:cs="Palatino Linotype"/>
          <w:b/>
          <w:i/>
          <w:sz w:val="22"/>
          <w:szCs w:val="22"/>
        </w:rPr>
        <w:t>fundando y motivando la</w:t>
      </w:r>
      <w:r w:rsidRPr="005E7052">
        <w:rPr>
          <w:rFonts w:ascii="Palatino Linotype" w:eastAsia="Palatino Linotype" w:hAnsi="Palatino Linotype" w:cs="Palatino Linotype"/>
          <w:i/>
          <w:sz w:val="22"/>
          <w:szCs w:val="22"/>
        </w:rPr>
        <w:t xml:space="preserve"> reserva o </w:t>
      </w:r>
      <w:r w:rsidRPr="005E7052">
        <w:rPr>
          <w:rFonts w:ascii="Palatino Linotype" w:eastAsia="Palatino Linotype" w:hAnsi="Palatino Linotype" w:cs="Palatino Linotype"/>
          <w:b/>
          <w:i/>
          <w:sz w:val="22"/>
          <w:szCs w:val="22"/>
        </w:rPr>
        <w:t>confidencialidad</w:t>
      </w:r>
      <w:r w:rsidRPr="005E7052">
        <w:rPr>
          <w:rFonts w:ascii="Palatino Linotype" w:eastAsia="Palatino Linotype" w:hAnsi="Palatino Linotype" w:cs="Palatino Linotype"/>
          <w:i/>
          <w:sz w:val="22"/>
          <w:szCs w:val="22"/>
        </w:rPr>
        <w:t>, a través de la resolución que para tal efecto emita el Comité de Transparencia.</w:t>
      </w:r>
    </w:p>
    <w:p w14:paraId="14CBF5A7"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Cuarto.</w:t>
      </w:r>
      <w:r w:rsidRPr="005E7052">
        <w:rPr>
          <w:rFonts w:ascii="Palatino Linotype" w:eastAsia="Palatino Linotype" w:hAnsi="Palatino Linotype" w:cs="Palatino Linotype"/>
          <w:i/>
          <w:sz w:val="22"/>
          <w:szCs w:val="22"/>
        </w:rPr>
        <w:t xml:space="preserve"> </w:t>
      </w:r>
      <w:r w:rsidRPr="005E7052">
        <w:rPr>
          <w:rFonts w:ascii="Palatino Linotype" w:eastAsia="Palatino Linotype" w:hAnsi="Palatino Linotype" w:cs="Palatino Linotype"/>
          <w:b/>
          <w:i/>
          <w:sz w:val="22"/>
          <w:szCs w:val="22"/>
        </w:rPr>
        <w:t>Para clasificar la información como</w:t>
      </w:r>
      <w:r w:rsidRPr="005E7052">
        <w:rPr>
          <w:rFonts w:ascii="Palatino Linotype" w:eastAsia="Palatino Linotype" w:hAnsi="Palatino Linotype" w:cs="Palatino Linotype"/>
          <w:i/>
          <w:sz w:val="22"/>
          <w:szCs w:val="22"/>
        </w:rPr>
        <w:t xml:space="preserve"> reservada o </w:t>
      </w:r>
      <w:r w:rsidRPr="005E7052">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5E7052">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F9BC8A1"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66CB4D6"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Quinto.</w:t>
      </w:r>
      <w:r w:rsidRPr="005E7052">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3624265"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Sexto.</w:t>
      </w:r>
      <w:r w:rsidRPr="005E7052">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w:t>
      </w:r>
      <w:r w:rsidRPr="005E7052">
        <w:rPr>
          <w:rFonts w:ascii="Palatino Linotype" w:eastAsia="Palatino Linotype" w:hAnsi="Palatino Linotype" w:cs="Palatino Linotype"/>
          <w:i/>
          <w:sz w:val="22"/>
          <w:szCs w:val="22"/>
        </w:rPr>
        <w:lastRenderedPageBreak/>
        <w:t>documentos antes de que se genere la información o cuando éstos no obren en sus archivos.</w:t>
      </w:r>
    </w:p>
    <w:p w14:paraId="7B99EF8F"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B883D1B"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Séptimo.</w:t>
      </w:r>
      <w:r w:rsidRPr="005E7052">
        <w:rPr>
          <w:rFonts w:ascii="Palatino Linotype" w:eastAsia="Palatino Linotype" w:hAnsi="Palatino Linotype" w:cs="Palatino Linotype"/>
          <w:i/>
          <w:sz w:val="22"/>
          <w:szCs w:val="22"/>
        </w:rPr>
        <w:t xml:space="preserve"> La clasificación de la información se llevará a cabo en el momento en que:</w:t>
      </w:r>
    </w:p>
    <w:p w14:paraId="149D0DE7"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I.</w:t>
      </w:r>
      <w:r w:rsidRPr="005E7052">
        <w:rPr>
          <w:rFonts w:ascii="Palatino Linotype" w:eastAsia="Palatino Linotype" w:hAnsi="Palatino Linotype" w:cs="Palatino Linotype"/>
          <w:i/>
          <w:sz w:val="22"/>
          <w:szCs w:val="22"/>
        </w:rPr>
        <w:t xml:space="preserve"> Se reciba una solicitud de acceso a la información;</w:t>
      </w:r>
    </w:p>
    <w:p w14:paraId="682B0945"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II.</w:t>
      </w:r>
      <w:r w:rsidRPr="005E7052">
        <w:rPr>
          <w:rFonts w:ascii="Palatino Linotype" w:eastAsia="Palatino Linotype" w:hAnsi="Palatino Linotype" w:cs="Palatino Linotype"/>
          <w:i/>
          <w:sz w:val="22"/>
          <w:szCs w:val="22"/>
        </w:rPr>
        <w:t xml:space="preserve"> Se determine mediante resolución de autoridad competente, o</w:t>
      </w:r>
    </w:p>
    <w:p w14:paraId="560F784D"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III.</w:t>
      </w:r>
      <w:r w:rsidRPr="005E7052">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A8712D1"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AE9A489"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Octavo.</w:t>
      </w:r>
      <w:r w:rsidRPr="005E7052">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059CFA0"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07ED4E9"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7CBAD9CA"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74210D9"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2C8D0F0E"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Noveno.</w:t>
      </w:r>
      <w:r w:rsidRPr="005E7052">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A8744BB"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Décimo.</w:t>
      </w:r>
      <w:r w:rsidRPr="005E7052">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264A00F"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14:paraId="195D4F65" w14:textId="77777777" w:rsidR="00163A95" w:rsidRPr="005E7052" w:rsidRDefault="00063C0A">
      <w:pPr>
        <w:ind w:left="851" w:right="902"/>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Décimo primero.</w:t>
      </w:r>
      <w:r w:rsidRPr="005E7052">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BBB978E" w14:textId="77777777" w:rsidR="00163A95" w:rsidRPr="005E7052" w:rsidRDefault="00163A95">
      <w:pPr>
        <w:ind w:left="851" w:right="902"/>
        <w:jc w:val="both"/>
        <w:rPr>
          <w:rFonts w:ascii="Palatino Linotype" w:eastAsia="Palatino Linotype" w:hAnsi="Palatino Linotype" w:cs="Palatino Linotype"/>
          <w:i/>
          <w:sz w:val="22"/>
          <w:szCs w:val="22"/>
        </w:rPr>
      </w:pPr>
    </w:p>
    <w:p w14:paraId="56B1EF76" w14:textId="77777777" w:rsidR="00163A95" w:rsidRPr="005E7052" w:rsidRDefault="00063C0A">
      <w:pPr>
        <w:ind w:left="850" w:right="901"/>
        <w:jc w:val="center"/>
        <w:rPr>
          <w:rFonts w:ascii="Palatino Linotype" w:eastAsia="Palatino Linotype" w:hAnsi="Palatino Linotype" w:cs="Palatino Linotype"/>
          <w:b/>
          <w:i/>
          <w:sz w:val="22"/>
          <w:szCs w:val="22"/>
        </w:rPr>
      </w:pPr>
      <w:r w:rsidRPr="005E7052">
        <w:rPr>
          <w:rFonts w:ascii="Palatino Linotype" w:eastAsia="Palatino Linotype" w:hAnsi="Palatino Linotype" w:cs="Palatino Linotype"/>
          <w:b/>
          <w:i/>
          <w:sz w:val="22"/>
          <w:szCs w:val="22"/>
        </w:rPr>
        <w:t>CAPÍTULO VIII</w:t>
      </w:r>
    </w:p>
    <w:p w14:paraId="033C69A6" w14:textId="77777777" w:rsidR="00163A95" w:rsidRPr="005E7052" w:rsidRDefault="00063C0A">
      <w:pPr>
        <w:ind w:left="850" w:right="901"/>
        <w:jc w:val="center"/>
        <w:rPr>
          <w:rFonts w:ascii="Palatino Linotype" w:eastAsia="Palatino Linotype" w:hAnsi="Palatino Linotype" w:cs="Palatino Linotype"/>
          <w:b/>
          <w:i/>
          <w:sz w:val="22"/>
          <w:szCs w:val="22"/>
        </w:rPr>
      </w:pPr>
      <w:r w:rsidRPr="005E7052">
        <w:rPr>
          <w:rFonts w:ascii="Palatino Linotype" w:eastAsia="Palatino Linotype" w:hAnsi="Palatino Linotype" w:cs="Palatino Linotype"/>
          <w:b/>
          <w:i/>
          <w:sz w:val="22"/>
          <w:szCs w:val="22"/>
        </w:rPr>
        <w:t>DE LA LEYENDA DE CLASIFICACIÓN</w:t>
      </w:r>
    </w:p>
    <w:p w14:paraId="3FADA85F" w14:textId="77777777" w:rsidR="00163A95" w:rsidRPr="005E7052" w:rsidRDefault="00063C0A">
      <w:pPr>
        <w:ind w:left="850" w:right="901"/>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 xml:space="preserve">Quincuagésimo. </w:t>
      </w:r>
      <w:r w:rsidRPr="005E7052">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5E7052">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04211EA8" w14:textId="77777777" w:rsidR="00163A95" w:rsidRPr="005E7052" w:rsidRDefault="00063C0A">
      <w:pPr>
        <w:ind w:left="850" w:right="901"/>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w:t>
      </w:r>
    </w:p>
    <w:p w14:paraId="05A1CADB" w14:textId="77777777" w:rsidR="00163A95" w:rsidRPr="005E7052" w:rsidRDefault="00063C0A">
      <w:pPr>
        <w:ind w:left="850" w:right="901"/>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b/>
          <w:i/>
          <w:sz w:val="22"/>
          <w:szCs w:val="22"/>
        </w:rPr>
        <w:t xml:space="preserve">Quincuagésimo tercero. </w:t>
      </w:r>
      <w:r w:rsidRPr="005E7052">
        <w:rPr>
          <w:rFonts w:ascii="Palatino Linotype" w:eastAsia="Palatino Linotype" w:hAnsi="Palatino Linotype" w:cs="Palatino Linotype"/>
          <w:b/>
          <w:i/>
          <w:sz w:val="22"/>
          <w:szCs w:val="22"/>
          <w:u w:val="single"/>
        </w:rPr>
        <w:t>El formato para señalar la clasificación parcial de un documento</w:t>
      </w:r>
      <w:r w:rsidRPr="005E7052">
        <w:rPr>
          <w:rFonts w:ascii="Palatino Linotype" w:eastAsia="Palatino Linotype" w:hAnsi="Palatino Linotype" w:cs="Palatino Linotype"/>
          <w:i/>
          <w:sz w:val="22"/>
          <w:szCs w:val="22"/>
        </w:rPr>
        <w:t>, es el siguiente:</w:t>
      </w:r>
    </w:p>
    <w:p w14:paraId="2AEFF366" w14:textId="77777777" w:rsidR="00163A95" w:rsidRPr="005E7052" w:rsidRDefault="00163A95">
      <w:pPr>
        <w:ind w:left="850" w:right="901"/>
        <w:jc w:val="both"/>
        <w:rPr>
          <w:rFonts w:ascii="Palatino Linotype" w:eastAsia="Palatino Linotype" w:hAnsi="Palatino Linotype" w:cs="Palatino Linotype"/>
          <w:i/>
          <w:sz w:val="22"/>
          <w:szCs w:val="22"/>
        </w:rPr>
      </w:pPr>
    </w:p>
    <w:tbl>
      <w:tblPr>
        <w:tblStyle w:val="a4"/>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163A95" w:rsidRPr="005E7052" w14:paraId="376F5BEE"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5259609A" w14:textId="77777777" w:rsidR="00163A95" w:rsidRPr="005E7052" w:rsidRDefault="00163A95">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9DBD7E6" w14:textId="77777777" w:rsidR="00163A95" w:rsidRPr="005E7052" w:rsidRDefault="00063C0A">
            <w:pPr>
              <w:jc w:val="center"/>
              <w:rPr>
                <w:rFonts w:ascii="Palatino Linotype" w:eastAsia="Palatino Linotype" w:hAnsi="Palatino Linotype" w:cs="Palatino Linotype"/>
                <w:b/>
                <w:i/>
              </w:rPr>
            </w:pPr>
            <w:r w:rsidRPr="005E7052">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11F6783C" w14:textId="77777777" w:rsidR="00163A95" w:rsidRPr="005E7052" w:rsidRDefault="00063C0A">
            <w:pPr>
              <w:jc w:val="center"/>
              <w:rPr>
                <w:rFonts w:ascii="Palatino Linotype" w:eastAsia="Palatino Linotype" w:hAnsi="Palatino Linotype" w:cs="Palatino Linotype"/>
                <w:b/>
                <w:i/>
              </w:rPr>
            </w:pPr>
            <w:r w:rsidRPr="005E7052">
              <w:rPr>
                <w:rFonts w:ascii="Palatino Linotype" w:eastAsia="Palatino Linotype" w:hAnsi="Palatino Linotype" w:cs="Palatino Linotype"/>
                <w:b/>
                <w:i/>
              </w:rPr>
              <w:t>Dónde:</w:t>
            </w:r>
          </w:p>
        </w:tc>
      </w:tr>
      <w:tr w:rsidR="00163A95" w:rsidRPr="005E7052" w14:paraId="76DBC5B9"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462693E6" w14:textId="77777777" w:rsidR="00163A95" w:rsidRPr="005E7052" w:rsidRDefault="00063C0A">
            <w:pPr>
              <w:jc w:val="center"/>
              <w:rPr>
                <w:rFonts w:ascii="Palatino Linotype" w:eastAsia="Palatino Linotype" w:hAnsi="Palatino Linotype" w:cs="Palatino Linotype"/>
                <w:b/>
                <w:i/>
              </w:rPr>
            </w:pPr>
            <w:r w:rsidRPr="005E7052">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5104C19C" w14:textId="77777777" w:rsidR="00163A95" w:rsidRPr="005E7052" w:rsidRDefault="00063C0A">
            <w:pPr>
              <w:jc w:val="center"/>
              <w:rPr>
                <w:rFonts w:ascii="Palatino Linotype" w:eastAsia="Palatino Linotype" w:hAnsi="Palatino Linotype" w:cs="Palatino Linotype"/>
                <w:i/>
              </w:rPr>
            </w:pPr>
            <w:r w:rsidRPr="005E7052">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3E845C75" w14:textId="77777777" w:rsidR="00163A95" w:rsidRPr="005E7052" w:rsidRDefault="00063C0A">
            <w:pPr>
              <w:jc w:val="both"/>
              <w:rPr>
                <w:rFonts w:ascii="Palatino Linotype" w:eastAsia="Palatino Linotype" w:hAnsi="Palatino Linotype" w:cs="Palatino Linotype"/>
                <w:i/>
              </w:rPr>
            </w:pPr>
            <w:r w:rsidRPr="005E7052">
              <w:rPr>
                <w:rFonts w:ascii="Palatino Linotype" w:eastAsia="Palatino Linotype" w:hAnsi="Palatino Linotype" w:cs="Palatino Linotype"/>
                <w:i/>
              </w:rPr>
              <w:t>Se anotará la fecha en la que el Comité de Transparencia confirmó la clasificación del documento, en su caso.</w:t>
            </w:r>
          </w:p>
        </w:tc>
      </w:tr>
      <w:tr w:rsidR="00163A95" w:rsidRPr="005E7052" w14:paraId="44D2D6F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83D4683" w14:textId="77777777" w:rsidR="00163A95" w:rsidRPr="005E7052" w:rsidRDefault="00163A9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1C6F69F" w14:textId="77777777" w:rsidR="00163A95" w:rsidRPr="005E7052" w:rsidRDefault="00063C0A">
            <w:pPr>
              <w:jc w:val="center"/>
              <w:rPr>
                <w:rFonts w:ascii="Palatino Linotype" w:eastAsia="Palatino Linotype" w:hAnsi="Palatino Linotype" w:cs="Palatino Linotype"/>
                <w:i/>
              </w:rPr>
            </w:pPr>
            <w:r w:rsidRPr="005E7052">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18EFDBE0" w14:textId="77777777" w:rsidR="00163A95" w:rsidRPr="005E7052" w:rsidRDefault="00063C0A">
            <w:pPr>
              <w:jc w:val="both"/>
              <w:rPr>
                <w:rFonts w:ascii="Palatino Linotype" w:eastAsia="Palatino Linotype" w:hAnsi="Palatino Linotype" w:cs="Palatino Linotype"/>
                <w:i/>
              </w:rPr>
            </w:pPr>
            <w:r w:rsidRPr="005E7052">
              <w:rPr>
                <w:rFonts w:ascii="Palatino Linotype" w:eastAsia="Palatino Linotype" w:hAnsi="Palatino Linotype" w:cs="Palatino Linotype"/>
                <w:i/>
              </w:rPr>
              <w:t>Se señalará el nombre del área del cual es titular quien clasifica.</w:t>
            </w:r>
          </w:p>
        </w:tc>
      </w:tr>
      <w:tr w:rsidR="00163A95" w:rsidRPr="005E7052" w14:paraId="12534F5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78EDE6F" w14:textId="77777777" w:rsidR="00163A95" w:rsidRPr="005E7052" w:rsidRDefault="00163A9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EF83471" w14:textId="77777777" w:rsidR="00163A95" w:rsidRPr="005E7052" w:rsidRDefault="00063C0A">
            <w:pPr>
              <w:jc w:val="center"/>
              <w:rPr>
                <w:rFonts w:ascii="Palatino Linotype" w:eastAsia="Palatino Linotype" w:hAnsi="Palatino Linotype" w:cs="Palatino Linotype"/>
                <w:i/>
              </w:rPr>
            </w:pPr>
            <w:r w:rsidRPr="005E7052">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4300D760" w14:textId="77777777" w:rsidR="00163A95" w:rsidRPr="005E7052" w:rsidRDefault="00063C0A">
            <w:pPr>
              <w:jc w:val="both"/>
              <w:rPr>
                <w:rFonts w:ascii="Palatino Linotype" w:eastAsia="Palatino Linotype" w:hAnsi="Palatino Linotype" w:cs="Palatino Linotype"/>
                <w:i/>
              </w:rPr>
            </w:pPr>
            <w:r w:rsidRPr="005E7052">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163A95" w:rsidRPr="005E7052" w14:paraId="32AB52C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116E7A4" w14:textId="77777777" w:rsidR="00163A95" w:rsidRPr="005E7052" w:rsidRDefault="00163A9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6C132CF" w14:textId="77777777" w:rsidR="00163A95" w:rsidRPr="005E7052" w:rsidRDefault="00063C0A">
            <w:pPr>
              <w:jc w:val="center"/>
              <w:rPr>
                <w:rFonts w:ascii="Palatino Linotype" w:eastAsia="Palatino Linotype" w:hAnsi="Palatino Linotype" w:cs="Palatino Linotype"/>
                <w:i/>
              </w:rPr>
            </w:pPr>
            <w:r w:rsidRPr="005E7052">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3CC6D377" w14:textId="77777777" w:rsidR="00163A95" w:rsidRPr="005E7052" w:rsidRDefault="00063C0A">
            <w:pPr>
              <w:jc w:val="both"/>
              <w:rPr>
                <w:rFonts w:ascii="Palatino Linotype" w:eastAsia="Palatino Linotype" w:hAnsi="Palatino Linotype" w:cs="Palatino Linotype"/>
                <w:i/>
              </w:rPr>
            </w:pPr>
            <w:r w:rsidRPr="005E7052">
              <w:rPr>
                <w:rFonts w:ascii="Palatino Linotype" w:eastAsia="Palatino Linotype" w:hAnsi="Palatino Linotype" w:cs="Palatino Linotype"/>
                <w:i/>
              </w:rPr>
              <w:t>Se anotará el número de años o meses por los que se mantendrá el documento o las partes del mismo como reservado.</w:t>
            </w:r>
          </w:p>
        </w:tc>
      </w:tr>
      <w:tr w:rsidR="00163A95" w:rsidRPr="005E7052" w14:paraId="4574AD07"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19347E6" w14:textId="77777777" w:rsidR="00163A95" w:rsidRPr="005E7052" w:rsidRDefault="00163A9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A3A37D1" w14:textId="77777777" w:rsidR="00163A95" w:rsidRPr="005E7052" w:rsidRDefault="00063C0A">
            <w:pPr>
              <w:jc w:val="center"/>
              <w:rPr>
                <w:rFonts w:ascii="Palatino Linotype" w:eastAsia="Palatino Linotype" w:hAnsi="Palatino Linotype" w:cs="Palatino Linotype"/>
                <w:i/>
              </w:rPr>
            </w:pPr>
            <w:r w:rsidRPr="005E7052">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667C311A" w14:textId="77777777" w:rsidR="00163A95" w:rsidRPr="005E7052" w:rsidRDefault="00063C0A">
            <w:pPr>
              <w:jc w:val="both"/>
              <w:rPr>
                <w:rFonts w:ascii="Palatino Linotype" w:eastAsia="Palatino Linotype" w:hAnsi="Palatino Linotype" w:cs="Palatino Linotype"/>
                <w:i/>
              </w:rPr>
            </w:pPr>
            <w:r w:rsidRPr="005E7052">
              <w:rPr>
                <w:rFonts w:ascii="Palatino Linotype" w:eastAsia="Palatino Linotype" w:hAnsi="Palatino Linotype" w:cs="Palatino Linotype"/>
                <w:i/>
              </w:rPr>
              <w:t>Se señalará el nombre del ordenamiento, el o los artículos, fracción(es), párrafo(s) con base en los cuales se sustente la reserva.</w:t>
            </w:r>
          </w:p>
        </w:tc>
      </w:tr>
      <w:tr w:rsidR="00163A95" w:rsidRPr="005E7052" w14:paraId="0F1BD98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81EC5AE" w14:textId="77777777" w:rsidR="00163A95" w:rsidRPr="005E7052" w:rsidRDefault="00163A9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F925969" w14:textId="77777777" w:rsidR="00163A95" w:rsidRPr="005E7052" w:rsidRDefault="00063C0A">
            <w:pPr>
              <w:jc w:val="center"/>
              <w:rPr>
                <w:rFonts w:ascii="Palatino Linotype" w:eastAsia="Palatino Linotype" w:hAnsi="Palatino Linotype" w:cs="Palatino Linotype"/>
                <w:i/>
              </w:rPr>
            </w:pPr>
            <w:r w:rsidRPr="005E7052">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6C7CE9A2" w14:textId="77777777" w:rsidR="00163A95" w:rsidRPr="005E7052" w:rsidRDefault="00063C0A">
            <w:pPr>
              <w:jc w:val="both"/>
              <w:rPr>
                <w:rFonts w:ascii="Palatino Linotype" w:eastAsia="Palatino Linotype" w:hAnsi="Palatino Linotype" w:cs="Palatino Linotype"/>
                <w:i/>
              </w:rPr>
            </w:pPr>
            <w:r w:rsidRPr="005E7052">
              <w:rPr>
                <w:rFonts w:ascii="Palatino Linotype" w:eastAsia="Palatino Linotype" w:hAnsi="Palatino Linotype" w:cs="Palatino Linotype"/>
                <w:i/>
              </w:rPr>
              <w:t xml:space="preserve">En caso de haber solicitado la ampliación del periodo de reserva originalmente establecido, se </w:t>
            </w:r>
            <w:r w:rsidRPr="005E7052">
              <w:rPr>
                <w:rFonts w:ascii="Palatino Linotype" w:eastAsia="Palatino Linotype" w:hAnsi="Palatino Linotype" w:cs="Palatino Linotype"/>
                <w:i/>
              </w:rPr>
              <w:lastRenderedPageBreak/>
              <w:t>deberá anotar el número de años o meses por los que se amplía la reserva.</w:t>
            </w:r>
          </w:p>
        </w:tc>
      </w:tr>
      <w:tr w:rsidR="00163A95" w:rsidRPr="005E7052" w14:paraId="25A9DBF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A75A6B4" w14:textId="77777777" w:rsidR="00163A95" w:rsidRPr="005E7052" w:rsidRDefault="00163A9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E890EDF" w14:textId="77777777" w:rsidR="00163A95" w:rsidRPr="005E7052" w:rsidRDefault="00063C0A">
            <w:pPr>
              <w:jc w:val="center"/>
              <w:rPr>
                <w:rFonts w:ascii="Palatino Linotype" w:eastAsia="Palatino Linotype" w:hAnsi="Palatino Linotype" w:cs="Palatino Linotype"/>
                <w:b/>
                <w:i/>
                <w:u w:val="single"/>
              </w:rPr>
            </w:pPr>
            <w:r w:rsidRPr="005E7052">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7B0C65C9" w14:textId="77777777" w:rsidR="00163A95" w:rsidRPr="005E7052" w:rsidRDefault="00063C0A">
            <w:pPr>
              <w:jc w:val="both"/>
              <w:rPr>
                <w:rFonts w:ascii="Palatino Linotype" w:eastAsia="Palatino Linotype" w:hAnsi="Palatino Linotype" w:cs="Palatino Linotype"/>
                <w:i/>
              </w:rPr>
            </w:pPr>
            <w:r w:rsidRPr="005E7052">
              <w:rPr>
                <w:rFonts w:ascii="Palatino Linotype" w:eastAsia="Palatino Linotype" w:hAnsi="Palatino Linotype" w:cs="Palatino Linotype"/>
                <w:i/>
              </w:rPr>
              <w:t xml:space="preserve">Se indicarán, en su caso, </w:t>
            </w:r>
            <w:r w:rsidRPr="005E7052">
              <w:rPr>
                <w:rFonts w:ascii="Palatino Linotype" w:eastAsia="Palatino Linotype" w:hAnsi="Palatino Linotype" w:cs="Palatino Linotype"/>
                <w:b/>
                <w:i/>
                <w:u w:val="single"/>
              </w:rPr>
              <w:t>las partes o páginas del documento que se clasifica como confidencial</w:t>
            </w:r>
            <w:r w:rsidRPr="005E7052">
              <w:rPr>
                <w:rFonts w:ascii="Palatino Linotype" w:eastAsia="Palatino Linotype" w:hAnsi="Palatino Linotype" w:cs="Palatino Linotype"/>
                <w:i/>
              </w:rPr>
              <w:t xml:space="preserve">. </w:t>
            </w:r>
            <w:r w:rsidRPr="005E7052">
              <w:rPr>
                <w:rFonts w:ascii="Palatino Linotype" w:eastAsia="Palatino Linotype" w:hAnsi="Palatino Linotype" w:cs="Palatino Linotype"/>
                <w:b/>
                <w:i/>
                <w:u w:val="single"/>
              </w:rPr>
              <w:t>Si el documento fuera confidencial en su totalidad, se anotarán todas las páginas que lo conforman</w:t>
            </w:r>
            <w:r w:rsidRPr="005E7052">
              <w:rPr>
                <w:rFonts w:ascii="Palatino Linotype" w:eastAsia="Palatino Linotype" w:hAnsi="Palatino Linotype" w:cs="Palatino Linotype"/>
                <w:i/>
              </w:rPr>
              <w:t>. Si el documento no contiene información confidencial, se tachará este apartado.</w:t>
            </w:r>
          </w:p>
        </w:tc>
      </w:tr>
      <w:tr w:rsidR="00163A95" w:rsidRPr="005E7052" w14:paraId="3F025F8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0693814" w14:textId="77777777" w:rsidR="00163A95" w:rsidRPr="005E7052" w:rsidRDefault="00163A9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F990F76" w14:textId="77777777" w:rsidR="00163A95" w:rsidRPr="005E7052" w:rsidRDefault="00063C0A">
            <w:pPr>
              <w:jc w:val="center"/>
              <w:rPr>
                <w:rFonts w:ascii="Palatino Linotype" w:eastAsia="Palatino Linotype" w:hAnsi="Palatino Linotype" w:cs="Palatino Linotype"/>
                <w:i/>
              </w:rPr>
            </w:pPr>
            <w:r w:rsidRPr="005E7052">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0DF3048D" w14:textId="77777777" w:rsidR="00163A95" w:rsidRPr="005E7052" w:rsidRDefault="00063C0A">
            <w:pPr>
              <w:jc w:val="both"/>
              <w:rPr>
                <w:rFonts w:ascii="Palatino Linotype" w:eastAsia="Palatino Linotype" w:hAnsi="Palatino Linotype" w:cs="Palatino Linotype"/>
                <w:i/>
              </w:rPr>
            </w:pPr>
            <w:r w:rsidRPr="005E7052">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163A95" w:rsidRPr="005E7052" w14:paraId="19F2456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9188541" w14:textId="77777777" w:rsidR="00163A95" w:rsidRPr="005E7052" w:rsidRDefault="00163A9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CBCF112" w14:textId="77777777" w:rsidR="00163A95" w:rsidRPr="005E7052" w:rsidRDefault="00063C0A">
            <w:pPr>
              <w:jc w:val="center"/>
              <w:rPr>
                <w:rFonts w:ascii="Palatino Linotype" w:eastAsia="Palatino Linotype" w:hAnsi="Palatino Linotype" w:cs="Palatino Linotype"/>
                <w:i/>
              </w:rPr>
            </w:pPr>
            <w:r w:rsidRPr="005E7052">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17790CF1" w14:textId="77777777" w:rsidR="00163A95" w:rsidRPr="005E7052" w:rsidRDefault="00063C0A">
            <w:pPr>
              <w:jc w:val="both"/>
              <w:rPr>
                <w:rFonts w:ascii="Palatino Linotype" w:eastAsia="Palatino Linotype" w:hAnsi="Palatino Linotype" w:cs="Palatino Linotype"/>
                <w:i/>
              </w:rPr>
            </w:pPr>
            <w:r w:rsidRPr="005E7052">
              <w:rPr>
                <w:rFonts w:ascii="Palatino Linotype" w:eastAsia="Palatino Linotype" w:hAnsi="Palatino Linotype" w:cs="Palatino Linotype"/>
                <w:i/>
              </w:rPr>
              <w:t>Rúbrica autógrafa de quien clasifica.</w:t>
            </w:r>
          </w:p>
        </w:tc>
      </w:tr>
      <w:tr w:rsidR="00163A95" w:rsidRPr="005E7052" w14:paraId="75C00D1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E5C6D2E" w14:textId="77777777" w:rsidR="00163A95" w:rsidRPr="005E7052" w:rsidRDefault="00163A9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AD580D6" w14:textId="77777777" w:rsidR="00163A95" w:rsidRPr="005E7052" w:rsidRDefault="00063C0A">
            <w:pPr>
              <w:jc w:val="center"/>
              <w:rPr>
                <w:rFonts w:ascii="Palatino Linotype" w:eastAsia="Palatino Linotype" w:hAnsi="Palatino Linotype" w:cs="Palatino Linotype"/>
                <w:i/>
              </w:rPr>
            </w:pPr>
            <w:r w:rsidRPr="005E7052">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2BBC66CA" w14:textId="77777777" w:rsidR="00163A95" w:rsidRPr="005E7052" w:rsidRDefault="00063C0A">
            <w:pPr>
              <w:jc w:val="both"/>
              <w:rPr>
                <w:rFonts w:ascii="Palatino Linotype" w:eastAsia="Palatino Linotype" w:hAnsi="Palatino Linotype" w:cs="Palatino Linotype"/>
                <w:i/>
              </w:rPr>
            </w:pPr>
            <w:r w:rsidRPr="005E7052">
              <w:rPr>
                <w:rFonts w:ascii="Palatino Linotype" w:eastAsia="Palatino Linotype" w:hAnsi="Palatino Linotype" w:cs="Palatino Linotype"/>
                <w:i/>
              </w:rPr>
              <w:t>Se anotará la fecha en que se desclasifica el documento.</w:t>
            </w:r>
          </w:p>
        </w:tc>
      </w:tr>
      <w:tr w:rsidR="00163A95" w:rsidRPr="005E7052" w14:paraId="02C8A9D4"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3C28CDC" w14:textId="77777777" w:rsidR="00163A95" w:rsidRPr="005E7052" w:rsidRDefault="00163A9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9A2B09C" w14:textId="77777777" w:rsidR="00163A95" w:rsidRPr="005E7052" w:rsidRDefault="00063C0A">
            <w:pPr>
              <w:jc w:val="center"/>
              <w:rPr>
                <w:rFonts w:ascii="Palatino Linotype" w:eastAsia="Palatino Linotype" w:hAnsi="Palatino Linotype" w:cs="Palatino Linotype"/>
                <w:i/>
              </w:rPr>
            </w:pPr>
            <w:r w:rsidRPr="005E7052">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315E1E99" w14:textId="77777777" w:rsidR="00163A95" w:rsidRPr="005E7052" w:rsidRDefault="00063C0A">
            <w:pPr>
              <w:rPr>
                <w:rFonts w:ascii="Palatino Linotype" w:eastAsia="Palatino Linotype" w:hAnsi="Palatino Linotype" w:cs="Palatino Linotype"/>
                <w:i/>
              </w:rPr>
            </w:pPr>
            <w:r w:rsidRPr="005E7052">
              <w:rPr>
                <w:rFonts w:ascii="Palatino Linotype" w:eastAsia="Palatino Linotype" w:hAnsi="Palatino Linotype" w:cs="Palatino Linotype"/>
                <w:i/>
              </w:rPr>
              <w:t>Rúbrica autógrafa de quien desclasifica.</w:t>
            </w:r>
          </w:p>
        </w:tc>
      </w:tr>
    </w:tbl>
    <w:p w14:paraId="6727E01D" w14:textId="77777777" w:rsidR="00163A95" w:rsidRPr="005E7052" w:rsidRDefault="00063C0A">
      <w:pPr>
        <w:ind w:left="709" w:right="709"/>
        <w:jc w:val="both"/>
        <w:rPr>
          <w:rFonts w:ascii="Palatino Linotype" w:eastAsia="Palatino Linotype" w:hAnsi="Palatino Linotype" w:cs="Palatino Linotype"/>
          <w:sz w:val="22"/>
          <w:szCs w:val="22"/>
        </w:rPr>
      </w:pPr>
      <w:r w:rsidRPr="005E7052">
        <w:rPr>
          <w:rFonts w:ascii="Palatino Linotype" w:eastAsia="Palatino Linotype" w:hAnsi="Palatino Linotype" w:cs="Palatino Linotype"/>
          <w:sz w:val="22"/>
          <w:szCs w:val="22"/>
        </w:rPr>
        <w:t>(Énfasis Añadido)</w:t>
      </w:r>
    </w:p>
    <w:p w14:paraId="7FCD97EB" w14:textId="77777777" w:rsidR="00163A95" w:rsidRPr="005E7052" w:rsidRDefault="00163A95">
      <w:pPr>
        <w:spacing w:line="360" w:lineRule="auto"/>
        <w:jc w:val="both"/>
        <w:rPr>
          <w:rFonts w:ascii="Palatino Linotype" w:eastAsia="Palatino Linotype" w:hAnsi="Palatino Linotype" w:cs="Palatino Linotype"/>
        </w:rPr>
      </w:pPr>
    </w:p>
    <w:p w14:paraId="0D4A0BFC" w14:textId="77777777"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Es importante referir que, </w:t>
      </w:r>
      <w:r w:rsidRPr="005E7052">
        <w:rPr>
          <w:rFonts w:ascii="Palatino Linotype" w:eastAsia="Palatino Linotype" w:hAnsi="Palatino Linotype" w:cs="Palatino Linotype"/>
          <w:b/>
        </w:rPr>
        <w:t>EL SUJETO OBLIGADO</w:t>
      </w:r>
      <w:r w:rsidRPr="005E7052">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5E7052">
        <w:rPr>
          <w:rFonts w:ascii="Palatino Linotype" w:eastAsia="Palatino Linotype" w:hAnsi="Palatino Linotype" w:cs="Palatino Linotype"/>
          <w:b/>
        </w:rPr>
        <w:t xml:space="preserve"> </w:t>
      </w:r>
      <w:r w:rsidRPr="005E7052">
        <w:rPr>
          <w:rFonts w:ascii="Palatino Linotype" w:eastAsia="Palatino Linotype" w:hAnsi="Palatino Linotype" w:cs="Palatino Linotype"/>
        </w:rPr>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w:t>
      </w:r>
      <w:r w:rsidRPr="005E7052">
        <w:rPr>
          <w:rFonts w:ascii="Palatino Linotype" w:eastAsia="Palatino Linotype" w:hAnsi="Palatino Linotype" w:cs="Palatino Linotype"/>
        </w:rPr>
        <w:lastRenderedPageBreak/>
        <w:t>manera puntual las razones de ello se estaría violentando desde un inicio el derecho de acceso a la información del solicitante.</w:t>
      </w:r>
    </w:p>
    <w:p w14:paraId="6CBA6E87" w14:textId="77777777" w:rsidR="00163A95" w:rsidRPr="005E7052" w:rsidRDefault="00163A95">
      <w:pPr>
        <w:spacing w:line="360" w:lineRule="auto"/>
        <w:jc w:val="both"/>
        <w:rPr>
          <w:rFonts w:ascii="Palatino Linotype" w:eastAsia="Palatino Linotype" w:hAnsi="Palatino Linotype" w:cs="Palatino Linotype"/>
        </w:rPr>
      </w:pPr>
    </w:p>
    <w:p w14:paraId="472F22C9" w14:textId="77777777" w:rsidR="00163A95" w:rsidRPr="005E7052" w:rsidRDefault="00063C0A">
      <w:pPr>
        <w:spacing w:line="360" w:lineRule="auto"/>
        <w:jc w:val="both"/>
        <w:rPr>
          <w:rFonts w:ascii="Palatino Linotype" w:eastAsia="Palatino Linotype" w:hAnsi="Palatino Linotype" w:cs="Palatino Linotype"/>
        </w:rPr>
      </w:pPr>
      <w:bookmarkStart w:id="9" w:name="_heading=h.lnxbz9" w:colFirst="0" w:colLast="0"/>
      <w:bookmarkEnd w:id="9"/>
      <w:r w:rsidRPr="005E7052">
        <w:rPr>
          <w:rFonts w:ascii="Palatino Linotype" w:eastAsia="Palatino Linotype" w:hAnsi="Palatino Linotype" w:cs="Palatino Linotype"/>
        </w:rPr>
        <w:t>Expuesto todo lo anterior</w:t>
      </w:r>
      <w:r w:rsidRPr="005E7052">
        <w:rPr>
          <w:rFonts w:ascii="Palatino Linotype" w:eastAsia="Palatino Linotype" w:hAnsi="Palatino Linotype" w:cs="Palatino Linotype"/>
          <w:b/>
        </w:rPr>
        <w:t xml:space="preserve">, </w:t>
      </w:r>
      <w:r w:rsidRPr="005E7052">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5E7052">
        <w:rPr>
          <w:rFonts w:ascii="Palatino Linotype" w:eastAsia="Palatino Linotype" w:hAnsi="Palatino Linotype" w:cs="Palatino Linotype"/>
          <w:b/>
        </w:rPr>
        <w:t>EL RECURRENTE</w:t>
      </w:r>
      <w:r w:rsidRPr="005E7052">
        <w:rPr>
          <w:rFonts w:ascii="Palatino Linotype" w:eastAsia="Palatino Linotype" w:hAnsi="Palatino Linotype" w:cs="Palatino Linotype"/>
        </w:rPr>
        <w:t xml:space="preserve"> resultan </w:t>
      </w:r>
      <w:r w:rsidRPr="005E7052">
        <w:rPr>
          <w:rFonts w:ascii="Palatino Linotype" w:eastAsia="Palatino Linotype" w:hAnsi="Palatino Linotype" w:cs="Palatino Linotype"/>
          <w:b/>
        </w:rPr>
        <w:t>fundadas</w:t>
      </w:r>
      <w:r w:rsidRPr="005E7052">
        <w:rPr>
          <w:rFonts w:ascii="Palatino Linotype" w:eastAsia="Palatino Linotype" w:hAnsi="Palatino Linotype" w:cs="Palatino Linotype"/>
        </w:rPr>
        <w:t xml:space="preserve"> y suficientes para </w:t>
      </w:r>
      <w:r w:rsidRPr="005E7052">
        <w:rPr>
          <w:rFonts w:ascii="Palatino Linotype" w:eastAsia="Palatino Linotype" w:hAnsi="Palatino Linotype" w:cs="Palatino Linotype"/>
          <w:b/>
        </w:rPr>
        <w:t xml:space="preserve">MODIFICAR </w:t>
      </w:r>
      <w:r w:rsidRPr="005E7052">
        <w:rPr>
          <w:rFonts w:ascii="Palatino Linotype" w:eastAsia="Palatino Linotype" w:hAnsi="Palatino Linotype" w:cs="Palatino Linotype"/>
        </w:rPr>
        <w:t xml:space="preserve">las respuestas del </w:t>
      </w:r>
      <w:r w:rsidRPr="005E7052">
        <w:rPr>
          <w:rFonts w:ascii="Palatino Linotype" w:eastAsia="Palatino Linotype" w:hAnsi="Palatino Linotype" w:cs="Palatino Linotype"/>
          <w:b/>
        </w:rPr>
        <w:t>SUJETO OBLIGADO</w:t>
      </w:r>
      <w:r w:rsidRPr="005E7052">
        <w:rPr>
          <w:rFonts w:ascii="Palatino Linotype" w:eastAsia="Palatino Linotype" w:hAnsi="Palatino Linotype" w:cs="Palatino Linotype"/>
        </w:rPr>
        <w:t xml:space="preserve"> y ordenarle haga entrega de la información descrita en el presente Considerando.</w:t>
      </w:r>
    </w:p>
    <w:p w14:paraId="765648AA" w14:textId="77777777" w:rsidR="00163A95" w:rsidRPr="005E7052" w:rsidRDefault="00163A95">
      <w:pPr>
        <w:widowControl w:val="0"/>
        <w:spacing w:line="360" w:lineRule="auto"/>
        <w:jc w:val="both"/>
        <w:rPr>
          <w:rFonts w:ascii="Palatino Linotype" w:eastAsia="Palatino Linotype" w:hAnsi="Palatino Linotype" w:cs="Palatino Linotype"/>
        </w:rPr>
      </w:pPr>
      <w:bookmarkStart w:id="10" w:name="_heading=h.35nkun2" w:colFirst="0" w:colLast="0"/>
      <w:bookmarkEnd w:id="10"/>
    </w:p>
    <w:p w14:paraId="672EA52E" w14:textId="77777777" w:rsidR="00163A95" w:rsidRPr="005E7052" w:rsidRDefault="00063C0A">
      <w:pPr>
        <w:widowControl w:val="0"/>
        <w:spacing w:line="360" w:lineRule="auto"/>
        <w:jc w:val="both"/>
        <w:rPr>
          <w:rFonts w:ascii="Palatino Linotype" w:eastAsia="Palatino Linotype" w:hAnsi="Palatino Linotype" w:cs="Palatino Linotype"/>
        </w:rPr>
      </w:pPr>
      <w:bookmarkStart w:id="11" w:name="_heading=h.21vzpdvwv04h" w:colFirst="0" w:colLast="0"/>
      <w:bookmarkEnd w:id="11"/>
      <w:r w:rsidRPr="005E7052">
        <w:rPr>
          <w:rFonts w:ascii="Palatino Linotype" w:eastAsia="Palatino Linotype" w:hAnsi="Palatino Linotype" w:cs="Palatino Linotype"/>
        </w:rPr>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38BEE1E8" w14:textId="77777777" w:rsidR="00163A95" w:rsidRPr="005E7052" w:rsidRDefault="00063C0A">
      <w:pPr>
        <w:spacing w:before="280" w:after="280" w:line="360" w:lineRule="auto"/>
        <w:jc w:val="center"/>
        <w:rPr>
          <w:rFonts w:ascii="Palatino Linotype" w:eastAsia="Palatino Linotype" w:hAnsi="Palatino Linotype" w:cs="Palatino Linotype"/>
          <w:b/>
          <w:sz w:val="28"/>
          <w:szCs w:val="28"/>
        </w:rPr>
      </w:pPr>
      <w:r w:rsidRPr="005E7052">
        <w:rPr>
          <w:rFonts w:ascii="Palatino Linotype" w:eastAsia="Palatino Linotype" w:hAnsi="Palatino Linotype" w:cs="Palatino Linotype"/>
          <w:b/>
          <w:sz w:val="28"/>
          <w:szCs w:val="28"/>
        </w:rPr>
        <w:t>R E S U E L V E</w:t>
      </w:r>
    </w:p>
    <w:p w14:paraId="0DED4FE2" w14:textId="77777777" w:rsidR="00163A95" w:rsidRPr="005E7052" w:rsidRDefault="00063C0A">
      <w:pPr>
        <w:spacing w:before="280" w:after="280"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b/>
          <w:sz w:val="28"/>
          <w:szCs w:val="28"/>
        </w:rPr>
        <w:t>PRIMERO</w:t>
      </w:r>
      <w:r w:rsidRPr="005E7052">
        <w:rPr>
          <w:rFonts w:ascii="Palatino Linotype" w:eastAsia="Palatino Linotype" w:hAnsi="Palatino Linotype" w:cs="Palatino Linotype"/>
        </w:rPr>
        <w:t xml:space="preserve">. Resultan </w:t>
      </w:r>
      <w:r w:rsidRPr="005E7052">
        <w:rPr>
          <w:rFonts w:ascii="Palatino Linotype" w:eastAsia="Palatino Linotype" w:hAnsi="Palatino Linotype" w:cs="Palatino Linotype"/>
          <w:b/>
        </w:rPr>
        <w:t>fundadas</w:t>
      </w:r>
      <w:r w:rsidRPr="005E7052">
        <w:rPr>
          <w:rFonts w:ascii="Palatino Linotype" w:eastAsia="Palatino Linotype" w:hAnsi="Palatino Linotype" w:cs="Palatino Linotype"/>
        </w:rPr>
        <w:t xml:space="preserve"> las razones o motivos de inconformidad planteadas por </w:t>
      </w:r>
      <w:r w:rsidRPr="005E7052">
        <w:rPr>
          <w:rFonts w:ascii="Palatino Linotype" w:eastAsia="Palatino Linotype" w:hAnsi="Palatino Linotype" w:cs="Palatino Linotype"/>
          <w:b/>
        </w:rPr>
        <w:t>EL RECURRENTE</w:t>
      </w:r>
      <w:r w:rsidRPr="005E7052">
        <w:rPr>
          <w:rFonts w:ascii="Palatino Linotype" w:eastAsia="Palatino Linotype" w:hAnsi="Palatino Linotype" w:cs="Palatino Linotype"/>
        </w:rPr>
        <w:t xml:space="preserve">, en términos del Considerando </w:t>
      </w:r>
      <w:r w:rsidRPr="005E7052">
        <w:rPr>
          <w:rFonts w:ascii="Palatino Linotype" w:eastAsia="Palatino Linotype" w:hAnsi="Palatino Linotype" w:cs="Palatino Linotype"/>
          <w:b/>
        </w:rPr>
        <w:t>QUINTO</w:t>
      </w:r>
      <w:r w:rsidRPr="005E7052">
        <w:rPr>
          <w:rFonts w:ascii="Palatino Linotype" w:eastAsia="Palatino Linotype" w:hAnsi="Palatino Linotype" w:cs="Palatino Linotype"/>
        </w:rPr>
        <w:t xml:space="preserve"> de la presente resolución.</w:t>
      </w:r>
    </w:p>
    <w:p w14:paraId="641E5955" w14:textId="77777777"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b/>
          <w:sz w:val="28"/>
          <w:szCs w:val="28"/>
        </w:rPr>
        <w:t>SEGUNDO</w:t>
      </w:r>
      <w:r w:rsidRPr="005E7052">
        <w:rPr>
          <w:rFonts w:ascii="Palatino Linotype" w:eastAsia="Palatino Linotype" w:hAnsi="Palatino Linotype" w:cs="Palatino Linotype"/>
        </w:rPr>
        <w:t xml:space="preserve">. Se </w:t>
      </w:r>
      <w:r w:rsidRPr="005E7052">
        <w:rPr>
          <w:rFonts w:ascii="Palatino Linotype" w:eastAsia="Palatino Linotype" w:hAnsi="Palatino Linotype" w:cs="Palatino Linotype"/>
          <w:b/>
        </w:rPr>
        <w:t xml:space="preserve">MODIFICA </w:t>
      </w:r>
      <w:r w:rsidRPr="005E7052">
        <w:rPr>
          <w:rFonts w:ascii="Palatino Linotype" w:eastAsia="Palatino Linotype" w:hAnsi="Palatino Linotype" w:cs="Palatino Linotype"/>
        </w:rPr>
        <w:t xml:space="preserve">la respuesta otorgada por </w:t>
      </w:r>
      <w:r w:rsidRPr="005E7052">
        <w:rPr>
          <w:rFonts w:ascii="Palatino Linotype" w:eastAsia="Palatino Linotype" w:hAnsi="Palatino Linotype" w:cs="Palatino Linotype"/>
          <w:b/>
        </w:rPr>
        <w:t>EL SUJETO OBLIGADO</w:t>
      </w:r>
      <w:r w:rsidRPr="005E7052">
        <w:rPr>
          <w:rFonts w:ascii="Palatino Linotype" w:eastAsia="Palatino Linotype" w:hAnsi="Palatino Linotype" w:cs="Palatino Linotype"/>
        </w:rPr>
        <w:t xml:space="preserve"> a la solicitud de información que dio origen al recurso de revisión </w:t>
      </w:r>
      <w:r w:rsidRPr="005E7052">
        <w:rPr>
          <w:rFonts w:ascii="Palatino Linotype" w:eastAsia="Palatino Linotype" w:hAnsi="Palatino Linotype" w:cs="Palatino Linotype"/>
          <w:b/>
        </w:rPr>
        <w:t>05842/INFOEM/IP/RR/2021</w:t>
      </w:r>
      <w:r w:rsidRPr="005E7052">
        <w:rPr>
          <w:rFonts w:ascii="Palatino Linotype" w:eastAsia="Palatino Linotype" w:hAnsi="Palatino Linotype" w:cs="Palatino Linotype"/>
          <w:b/>
          <w:sz w:val="22"/>
          <w:szCs w:val="22"/>
        </w:rPr>
        <w:t xml:space="preserve"> </w:t>
      </w:r>
      <w:r w:rsidRPr="005E7052">
        <w:rPr>
          <w:rFonts w:ascii="Palatino Linotype" w:eastAsia="Palatino Linotype" w:hAnsi="Palatino Linotype" w:cs="Palatino Linotype"/>
        </w:rPr>
        <w:t xml:space="preserve">y se le ordena en términos del Considerando </w:t>
      </w:r>
      <w:r w:rsidRPr="005E7052">
        <w:rPr>
          <w:rFonts w:ascii="Palatino Linotype" w:eastAsia="Palatino Linotype" w:hAnsi="Palatino Linotype" w:cs="Palatino Linotype"/>
          <w:b/>
        </w:rPr>
        <w:t>QUINTO</w:t>
      </w:r>
      <w:r w:rsidRPr="005E7052">
        <w:rPr>
          <w:rFonts w:ascii="Palatino Linotype" w:eastAsia="Palatino Linotype" w:hAnsi="Palatino Linotype" w:cs="Palatino Linotype"/>
        </w:rPr>
        <w:t xml:space="preserve"> de </w:t>
      </w:r>
      <w:r w:rsidRPr="005E7052">
        <w:rPr>
          <w:rFonts w:ascii="Palatino Linotype" w:eastAsia="Palatino Linotype" w:hAnsi="Palatino Linotype" w:cs="Palatino Linotype"/>
        </w:rPr>
        <w:lastRenderedPageBreak/>
        <w:t xml:space="preserve">la presente resolución, lleve a cabo una búsqueda razonable y exhaustiva por el periodo comprendido del 22 de octubre del 2020 al 22 de octubre de 2021 y entregue al </w:t>
      </w:r>
      <w:r w:rsidRPr="005E7052">
        <w:rPr>
          <w:rFonts w:ascii="Palatino Linotype" w:eastAsia="Palatino Linotype" w:hAnsi="Palatino Linotype" w:cs="Palatino Linotype"/>
          <w:b/>
        </w:rPr>
        <w:t>RECURRENTE</w:t>
      </w:r>
      <w:r w:rsidRPr="005E7052">
        <w:rPr>
          <w:rFonts w:ascii="Palatino Linotype" w:eastAsia="Palatino Linotype" w:hAnsi="Palatino Linotype" w:cs="Palatino Linotype"/>
        </w:rPr>
        <w:t xml:space="preserve"> vía </w:t>
      </w:r>
      <w:r w:rsidRPr="005E7052">
        <w:rPr>
          <w:rFonts w:ascii="Palatino Linotype" w:eastAsia="Palatino Linotype" w:hAnsi="Palatino Linotype" w:cs="Palatino Linotype"/>
          <w:b/>
        </w:rPr>
        <w:t>SAIMEX</w:t>
      </w:r>
      <w:r w:rsidRPr="005E7052">
        <w:rPr>
          <w:rFonts w:ascii="Palatino Linotype" w:eastAsia="Palatino Linotype" w:hAnsi="Palatino Linotype" w:cs="Palatino Linotype"/>
        </w:rPr>
        <w:t xml:space="preserve">, de ser procedente en </w:t>
      </w:r>
      <w:r w:rsidRPr="005E7052">
        <w:rPr>
          <w:rFonts w:ascii="Palatino Linotype" w:eastAsia="Palatino Linotype" w:hAnsi="Palatino Linotype" w:cs="Palatino Linotype"/>
          <w:b/>
        </w:rPr>
        <w:t>versión pública</w:t>
      </w:r>
      <w:r w:rsidRPr="005E7052">
        <w:rPr>
          <w:rFonts w:ascii="Palatino Linotype" w:eastAsia="Palatino Linotype" w:hAnsi="Palatino Linotype" w:cs="Palatino Linotype"/>
        </w:rPr>
        <w:t xml:space="preserve"> de lo siguiente:</w:t>
      </w:r>
    </w:p>
    <w:p w14:paraId="7B55EF9C" w14:textId="77777777" w:rsidR="00163A95" w:rsidRPr="005E7052" w:rsidRDefault="00163A95">
      <w:pPr>
        <w:spacing w:line="360" w:lineRule="auto"/>
        <w:jc w:val="both"/>
        <w:rPr>
          <w:rFonts w:ascii="Palatino Linotype" w:eastAsia="Palatino Linotype" w:hAnsi="Palatino Linotype" w:cs="Palatino Linotype"/>
          <w:sz w:val="12"/>
          <w:szCs w:val="12"/>
        </w:rPr>
      </w:pPr>
    </w:p>
    <w:p w14:paraId="2AD63CCB" w14:textId="77777777" w:rsidR="00163A95" w:rsidRPr="005E7052" w:rsidRDefault="00063C0A">
      <w:pPr>
        <w:numPr>
          <w:ilvl w:val="0"/>
          <w:numId w:val="1"/>
        </w:numPr>
        <w:ind w:right="899"/>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El soporte documental donde consten las medidas llevadas a cabo por el Ayuntamiento referentes al contrabando.</w:t>
      </w:r>
    </w:p>
    <w:p w14:paraId="77E6FACE" w14:textId="77777777" w:rsidR="00163A95" w:rsidRPr="005E7052" w:rsidRDefault="00063C0A">
      <w:pPr>
        <w:ind w:left="1440" w:right="899"/>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 xml:space="preserve"> </w:t>
      </w:r>
    </w:p>
    <w:p w14:paraId="7330A07A" w14:textId="77777777" w:rsidR="00163A95" w:rsidRPr="005E7052" w:rsidRDefault="00163A95">
      <w:pPr>
        <w:ind w:left="1440" w:right="899"/>
        <w:jc w:val="both"/>
        <w:rPr>
          <w:rFonts w:ascii="Palatino Linotype" w:eastAsia="Palatino Linotype" w:hAnsi="Palatino Linotype" w:cs="Palatino Linotype"/>
          <w:i/>
          <w:sz w:val="22"/>
          <w:szCs w:val="22"/>
        </w:rPr>
      </w:pPr>
    </w:p>
    <w:p w14:paraId="2B895B09" w14:textId="77777777" w:rsidR="00163A95" w:rsidRPr="005E7052" w:rsidRDefault="00063C0A">
      <w:pPr>
        <w:ind w:left="851" w:right="899"/>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 xml:space="preserve">Debiendo notificar al </w:t>
      </w:r>
      <w:r w:rsidRPr="005E7052">
        <w:rPr>
          <w:rFonts w:ascii="Palatino Linotype" w:eastAsia="Palatino Linotype" w:hAnsi="Palatino Linotype" w:cs="Palatino Linotype"/>
          <w:b/>
          <w:i/>
          <w:sz w:val="22"/>
          <w:szCs w:val="22"/>
        </w:rPr>
        <w:t>RECURRENTE</w:t>
      </w:r>
      <w:r w:rsidRPr="005E7052">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 de ser procedente.</w:t>
      </w:r>
    </w:p>
    <w:p w14:paraId="4F7645B4" w14:textId="77777777" w:rsidR="00163A95" w:rsidRPr="005E7052" w:rsidRDefault="00163A95">
      <w:pPr>
        <w:ind w:left="851" w:right="899"/>
        <w:jc w:val="both"/>
        <w:rPr>
          <w:rFonts w:ascii="Palatino Linotype" w:eastAsia="Palatino Linotype" w:hAnsi="Palatino Linotype" w:cs="Palatino Linotype"/>
          <w:i/>
          <w:sz w:val="22"/>
          <w:szCs w:val="22"/>
        </w:rPr>
      </w:pPr>
    </w:p>
    <w:p w14:paraId="075CF7A4" w14:textId="77777777" w:rsidR="00163A95" w:rsidRPr="005E7052" w:rsidRDefault="00063C0A">
      <w:pPr>
        <w:ind w:left="851" w:right="899"/>
        <w:jc w:val="both"/>
        <w:rPr>
          <w:rFonts w:ascii="Palatino Linotype" w:eastAsia="Palatino Linotype" w:hAnsi="Palatino Linotype" w:cs="Palatino Linotype"/>
          <w:i/>
          <w:sz w:val="22"/>
          <w:szCs w:val="22"/>
        </w:rPr>
      </w:pPr>
      <w:r w:rsidRPr="005E7052">
        <w:rPr>
          <w:rFonts w:ascii="Palatino Linotype" w:eastAsia="Palatino Linotype" w:hAnsi="Palatino Linotype" w:cs="Palatino Linotype"/>
          <w:i/>
          <w:sz w:val="22"/>
          <w:szCs w:val="22"/>
        </w:rPr>
        <w:t xml:space="preserve">En caso de no contar con la información que se ordena deberá hacérselo saber al </w:t>
      </w:r>
      <w:r w:rsidRPr="005E7052">
        <w:rPr>
          <w:rFonts w:ascii="Palatino Linotype" w:eastAsia="Palatino Linotype" w:hAnsi="Palatino Linotype" w:cs="Palatino Linotype"/>
          <w:b/>
          <w:i/>
          <w:sz w:val="22"/>
          <w:szCs w:val="22"/>
        </w:rPr>
        <w:t xml:space="preserve">RECURRENTE </w:t>
      </w:r>
      <w:r w:rsidRPr="005E7052">
        <w:rPr>
          <w:rFonts w:ascii="Palatino Linotype" w:eastAsia="Palatino Linotype" w:hAnsi="Palatino Linotype" w:cs="Palatino Linotype"/>
          <w:i/>
          <w:sz w:val="22"/>
          <w:szCs w:val="22"/>
        </w:rPr>
        <w:t xml:space="preserve">de forma fundada y motivada </w:t>
      </w:r>
    </w:p>
    <w:p w14:paraId="1494FB9D" w14:textId="77777777" w:rsidR="00163A95" w:rsidRPr="005E7052" w:rsidRDefault="00163A95">
      <w:pPr>
        <w:ind w:right="899"/>
        <w:jc w:val="both"/>
        <w:rPr>
          <w:rFonts w:ascii="Palatino Linotype" w:eastAsia="Palatino Linotype" w:hAnsi="Palatino Linotype" w:cs="Palatino Linotype"/>
          <w:i/>
        </w:rPr>
      </w:pPr>
    </w:p>
    <w:p w14:paraId="32856FE2" w14:textId="77777777" w:rsidR="00163A95" w:rsidRPr="005E7052" w:rsidRDefault="00163A95">
      <w:pPr>
        <w:ind w:left="851" w:right="899"/>
        <w:jc w:val="both"/>
        <w:rPr>
          <w:rFonts w:ascii="Palatino Linotype" w:eastAsia="Palatino Linotype" w:hAnsi="Palatino Linotype" w:cs="Palatino Linotype"/>
          <w:i/>
          <w:sz w:val="12"/>
          <w:szCs w:val="12"/>
        </w:rPr>
      </w:pPr>
    </w:p>
    <w:p w14:paraId="4421ED45" w14:textId="77777777" w:rsidR="00163A95" w:rsidRPr="005E7052" w:rsidRDefault="00063C0A">
      <w:pPr>
        <w:spacing w:before="280" w:after="280"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b/>
          <w:sz w:val="28"/>
          <w:szCs w:val="28"/>
        </w:rPr>
        <w:t>TERCERO</w:t>
      </w:r>
      <w:r w:rsidRPr="005E7052">
        <w:rPr>
          <w:rFonts w:ascii="Palatino Linotype" w:eastAsia="Palatino Linotype" w:hAnsi="Palatino Linotype" w:cs="Palatino Linotype"/>
        </w:rPr>
        <w:t xml:space="preserve">. </w:t>
      </w:r>
      <w:r w:rsidRPr="005E7052">
        <w:rPr>
          <w:rFonts w:ascii="Palatino Linotype" w:eastAsia="Palatino Linotype" w:hAnsi="Palatino Linotype" w:cs="Palatino Linotype"/>
          <w:b/>
        </w:rPr>
        <w:t>Notifíquese</w:t>
      </w:r>
      <w:r w:rsidRPr="005E7052">
        <w:rPr>
          <w:rFonts w:ascii="Palatino Linotype" w:eastAsia="Palatino Linotype" w:hAnsi="Palatino Linotype" w:cs="Palatino Linotype"/>
        </w:rPr>
        <w:t xml:space="preserve"> al Titular de la Unidad de Transparencia del </w:t>
      </w:r>
      <w:r w:rsidRPr="005E7052">
        <w:rPr>
          <w:rFonts w:ascii="Palatino Linotype" w:eastAsia="Palatino Linotype" w:hAnsi="Palatino Linotype" w:cs="Palatino Linotype"/>
          <w:b/>
        </w:rPr>
        <w:t xml:space="preserve">SUJETO OBLIGADO </w:t>
      </w:r>
      <w:r w:rsidRPr="005E7052">
        <w:rPr>
          <w:rFonts w:ascii="Palatino Linotype" w:eastAsia="Palatino Linotype" w:hAnsi="Palatino Linotype" w:cs="Palatino Linotype"/>
        </w:rPr>
        <w:t xml:space="preserve">vía </w:t>
      </w:r>
      <w:r w:rsidRPr="005E7052">
        <w:rPr>
          <w:rFonts w:ascii="Palatino Linotype" w:eastAsia="Palatino Linotype" w:hAnsi="Palatino Linotype" w:cs="Palatino Linotype"/>
          <w:b/>
        </w:rPr>
        <w:t>SAIMEX</w:t>
      </w:r>
      <w:r w:rsidRPr="005E7052">
        <w:rPr>
          <w:rFonts w:ascii="Palatino Linotype" w:eastAsia="Palatino Linotype" w:hAnsi="Palatino Linotype" w:cs="Palatino Linotype"/>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498446F" w14:textId="77777777" w:rsidR="00163A95" w:rsidRPr="005E7052" w:rsidRDefault="00063C0A">
      <w:pPr>
        <w:widowControl w:val="0"/>
        <w:tabs>
          <w:tab w:val="left" w:pos="1701"/>
        </w:tabs>
        <w:spacing w:before="240" w:after="280"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b/>
          <w:sz w:val="28"/>
          <w:szCs w:val="28"/>
        </w:rPr>
        <w:t>CUARTO</w:t>
      </w:r>
      <w:r w:rsidRPr="005E7052">
        <w:rPr>
          <w:rFonts w:ascii="Palatino Linotype" w:eastAsia="Palatino Linotype" w:hAnsi="Palatino Linotype" w:cs="Palatino Linotype"/>
        </w:rPr>
        <w:t xml:space="preserve">. </w:t>
      </w:r>
      <w:r w:rsidRPr="005E7052">
        <w:rPr>
          <w:rFonts w:ascii="Palatino Linotype" w:eastAsia="Palatino Linotype" w:hAnsi="Palatino Linotype" w:cs="Palatino Linotype"/>
          <w:b/>
        </w:rPr>
        <w:t>Notifíquese</w:t>
      </w:r>
      <w:r w:rsidRPr="005E7052">
        <w:rPr>
          <w:rFonts w:ascii="Palatino Linotype" w:eastAsia="Palatino Linotype" w:hAnsi="Palatino Linotype" w:cs="Palatino Linotype"/>
        </w:rPr>
        <w:t xml:space="preserve"> al </w:t>
      </w:r>
      <w:r w:rsidRPr="005E7052">
        <w:rPr>
          <w:rFonts w:ascii="Palatino Linotype" w:eastAsia="Palatino Linotype" w:hAnsi="Palatino Linotype" w:cs="Palatino Linotype"/>
          <w:b/>
        </w:rPr>
        <w:t>RECURRENTE</w:t>
      </w:r>
      <w:r w:rsidRPr="005E7052">
        <w:rPr>
          <w:rFonts w:ascii="Palatino Linotype" w:eastAsia="Palatino Linotype" w:hAnsi="Palatino Linotype" w:cs="Palatino Linotype"/>
        </w:rPr>
        <w:t xml:space="preserve"> vía Sistema de Acceso a la Información Mexiquense (</w:t>
      </w:r>
      <w:r w:rsidRPr="005E7052">
        <w:rPr>
          <w:rFonts w:ascii="Palatino Linotype" w:eastAsia="Palatino Linotype" w:hAnsi="Palatino Linotype" w:cs="Palatino Linotype"/>
          <w:b/>
        </w:rPr>
        <w:t>SAIMEX</w:t>
      </w:r>
      <w:r w:rsidRPr="005E7052">
        <w:rPr>
          <w:rFonts w:ascii="Palatino Linotype" w:eastAsia="Palatino Linotype" w:hAnsi="Palatino Linotype" w:cs="Palatino Linotype"/>
        </w:rPr>
        <w:t>), la presente resolución.</w:t>
      </w:r>
    </w:p>
    <w:p w14:paraId="40864465" w14:textId="77777777" w:rsidR="00163A95" w:rsidRPr="005E7052" w:rsidRDefault="00063C0A">
      <w:pPr>
        <w:widowControl w:val="0"/>
        <w:tabs>
          <w:tab w:val="left" w:pos="1701"/>
        </w:tabs>
        <w:spacing w:before="240" w:after="280"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b/>
          <w:sz w:val="28"/>
          <w:szCs w:val="28"/>
        </w:rPr>
        <w:t>QUINTO</w:t>
      </w:r>
      <w:r w:rsidRPr="005E7052">
        <w:rPr>
          <w:rFonts w:ascii="Palatino Linotype" w:eastAsia="Palatino Linotype" w:hAnsi="Palatino Linotype" w:cs="Palatino Linotype"/>
        </w:rPr>
        <w:t xml:space="preserve">. </w:t>
      </w:r>
      <w:r w:rsidRPr="005E7052">
        <w:rPr>
          <w:rFonts w:ascii="Palatino Linotype" w:eastAsia="Palatino Linotype" w:hAnsi="Palatino Linotype" w:cs="Palatino Linotype"/>
          <w:b/>
        </w:rPr>
        <w:t>Hágase</w:t>
      </w:r>
      <w:r w:rsidRPr="005E7052">
        <w:rPr>
          <w:rFonts w:ascii="Palatino Linotype" w:eastAsia="Palatino Linotype" w:hAnsi="Palatino Linotype" w:cs="Palatino Linotype"/>
        </w:rPr>
        <w:t xml:space="preserve"> </w:t>
      </w:r>
      <w:r w:rsidRPr="005E7052">
        <w:rPr>
          <w:rFonts w:ascii="Palatino Linotype" w:eastAsia="Palatino Linotype" w:hAnsi="Palatino Linotype" w:cs="Palatino Linotype"/>
          <w:b/>
        </w:rPr>
        <w:t>del conocimiento</w:t>
      </w:r>
      <w:r w:rsidRPr="005E7052">
        <w:rPr>
          <w:rFonts w:ascii="Palatino Linotype" w:eastAsia="Palatino Linotype" w:hAnsi="Palatino Linotype" w:cs="Palatino Linotype"/>
        </w:rPr>
        <w:t xml:space="preserve"> del </w:t>
      </w:r>
      <w:r w:rsidRPr="005E7052">
        <w:rPr>
          <w:rFonts w:ascii="Palatino Linotype" w:eastAsia="Palatino Linotype" w:hAnsi="Palatino Linotype" w:cs="Palatino Linotype"/>
          <w:b/>
        </w:rPr>
        <w:t>RECURRENTE</w:t>
      </w:r>
      <w:r w:rsidRPr="005E7052">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podrá impugnarla vía Juicio de Amparo </w:t>
      </w:r>
      <w:r w:rsidRPr="005E7052">
        <w:rPr>
          <w:rFonts w:ascii="Palatino Linotype" w:eastAsia="Palatino Linotype" w:hAnsi="Palatino Linotype" w:cs="Palatino Linotype"/>
        </w:rPr>
        <w:lastRenderedPageBreak/>
        <w:t>en los términos de las leyes aplicables.</w:t>
      </w:r>
    </w:p>
    <w:p w14:paraId="79FAAA02" w14:textId="77777777" w:rsidR="00163A95" w:rsidRPr="005E7052" w:rsidRDefault="00063C0A">
      <w:pPr>
        <w:widowControl w:val="0"/>
        <w:tabs>
          <w:tab w:val="left" w:pos="1701"/>
        </w:tabs>
        <w:spacing w:before="240" w:after="240" w:line="360" w:lineRule="auto"/>
        <w:ind w:right="49"/>
        <w:jc w:val="both"/>
        <w:rPr>
          <w:rFonts w:ascii="Palatino Linotype" w:eastAsia="Palatino Linotype" w:hAnsi="Palatino Linotype" w:cs="Palatino Linotype"/>
          <w:color w:val="222222"/>
        </w:rPr>
      </w:pPr>
      <w:r w:rsidRPr="005E7052">
        <w:rPr>
          <w:rFonts w:ascii="Palatino Linotype" w:eastAsia="Palatino Linotype" w:hAnsi="Palatino Linotype" w:cs="Palatino Linotype"/>
          <w:b/>
          <w:sz w:val="28"/>
          <w:szCs w:val="28"/>
        </w:rPr>
        <w:t>SEXTO</w:t>
      </w:r>
      <w:r w:rsidRPr="005E7052">
        <w:rPr>
          <w:rFonts w:ascii="Palatino Linotype" w:eastAsia="Palatino Linotype" w:hAnsi="Palatino Linotype" w:cs="Palatino Linotype"/>
        </w:rPr>
        <w:t xml:space="preserve">. </w:t>
      </w:r>
      <w:r w:rsidRPr="005E7052">
        <w:rPr>
          <w:rFonts w:ascii="Palatino Linotype" w:eastAsia="Palatino Linotype" w:hAnsi="Palatino Linotype" w:cs="Palatino Linotype"/>
          <w:color w:val="222222"/>
        </w:rPr>
        <w:t xml:space="preserve">De conformidad con el artículo 198 de la Ley de Transparencia y Acceso a la Información Pública del Estado de México y Municipios, de considerarlo procedente, </w:t>
      </w:r>
      <w:r w:rsidRPr="005E7052">
        <w:rPr>
          <w:rFonts w:ascii="Palatino Linotype" w:eastAsia="Palatino Linotype" w:hAnsi="Palatino Linotype" w:cs="Palatino Linotype"/>
          <w:b/>
          <w:color w:val="222222"/>
        </w:rPr>
        <w:t>EL SUJETO OBLIGADO</w:t>
      </w:r>
      <w:r w:rsidRPr="005E7052">
        <w:rPr>
          <w:rFonts w:ascii="Palatino Linotype" w:eastAsia="Palatino Linotype" w:hAnsi="Palatino Linotype" w:cs="Palatino Linotype"/>
          <w:color w:val="222222"/>
        </w:rPr>
        <w:t xml:space="preserve"> de manera fundada y motivada, podrá solicitar una ampliación de plazo para el cumplimiento de la presente resolución.</w:t>
      </w:r>
    </w:p>
    <w:p w14:paraId="20590E55" w14:textId="77777777" w:rsidR="00163A95" w:rsidRPr="005E7052" w:rsidRDefault="00163A95">
      <w:pPr>
        <w:spacing w:line="360" w:lineRule="auto"/>
        <w:jc w:val="both"/>
        <w:rPr>
          <w:rFonts w:ascii="Palatino Linotype" w:eastAsia="Palatino Linotype" w:hAnsi="Palatino Linotype" w:cs="Palatino Linotype"/>
          <w:sz w:val="28"/>
          <w:szCs w:val="28"/>
        </w:rPr>
      </w:pPr>
    </w:p>
    <w:p w14:paraId="1387933F" w14:textId="750659E3" w:rsidR="00163A95" w:rsidRPr="005E7052" w:rsidRDefault="00063C0A">
      <w:pPr>
        <w:spacing w:line="360" w:lineRule="auto"/>
        <w:jc w:val="both"/>
        <w:rPr>
          <w:rFonts w:ascii="Palatino Linotype" w:eastAsia="Palatino Linotype" w:hAnsi="Palatino Linotype" w:cs="Palatino Linotype"/>
        </w:rPr>
      </w:pPr>
      <w:r w:rsidRPr="005E705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CUARTA SESIÓN ORDINARIA CELEBRADA EL </w:t>
      </w:r>
      <w:r w:rsidR="00315B2B" w:rsidRPr="005E7052">
        <w:rPr>
          <w:rFonts w:ascii="Palatino Linotype" w:eastAsia="Palatino Linotype" w:hAnsi="Palatino Linotype" w:cs="Palatino Linotype"/>
        </w:rPr>
        <w:t>CUATRO</w:t>
      </w:r>
      <w:r w:rsidRPr="005E7052">
        <w:rPr>
          <w:rFonts w:ascii="Palatino Linotype" w:eastAsia="Palatino Linotype" w:hAnsi="Palatino Linotype" w:cs="Palatino Linotype"/>
        </w:rPr>
        <w:t xml:space="preserve"> DE FEBRERO DE DOS MIL VEINTIDÓS, ANTE EL SECRETARIO TÉCNICO DEL PLENO, ALEXIS TAPIA RAMÍREZ.</w:t>
      </w:r>
    </w:p>
    <w:p w14:paraId="53288C7C" w14:textId="77777777" w:rsidR="00163A95" w:rsidRDefault="00063C0A">
      <w:pPr>
        <w:jc w:val="both"/>
        <w:rPr>
          <w:rFonts w:ascii="Palatino Linotype" w:eastAsia="Palatino Linotype" w:hAnsi="Palatino Linotype" w:cs="Palatino Linotype"/>
          <w:sz w:val="20"/>
          <w:szCs w:val="20"/>
        </w:rPr>
      </w:pPr>
      <w:r w:rsidRPr="005E7052">
        <w:rPr>
          <w:rFonts w:ascii="Palatino Linotype" w:eastAsia="Palatino Linotype" w:hAnsi="Palatino Linotype" w:cs="Palatino Linotype"/>
          <w:sz w:val="20"/>
          <w:szCs w:val="20"/>
        </w:rPr>
        <w:t>JMV/CCR/BLA/DEMF/PMRE</w:t>
      </w:r>
    </w:p>
    <w:p w14:paraId="55A25E84" w14:textId="77777777" w:rsidR="00163A95" w:rsidRDefault="00063C0A">
      <w:pPr>
        <w:rPr>
          <w:rFonts w:ascii="Palatino Linotype" w:eastAsia="Palatino Linotype" w:hAnsi="Palatino Linotype" w:cs="Palatino Linotype"/>
          <w:sz w:val="20"/>
          <w:szCs w:val="20"/>
        </w:rPr>
      </w:pPr>
      <w:r>
        <w:br w:type="page"/>
      </w:r>
    </w:p>
    <w:p w14:paraId="5110D641" w14:textId="77777777" w:rsidR="00163A95" w:rsidRDefault="00163A95">
      <w:pPr>
        <w:spacing w:line="360" w:lineRule="auto"/>
        <w:jc w:val="both"/>
        <w:rPr>
          <w:rFonts w:ascii="Palatino Linotype" w:eastAsia="Palatino Linotype" w:hAnsi="Palatino Linotype" w:cs="Palatino Linotype"/>
          <w:b/>
          <w:sz w:val="28"/>
          <w:szCs w:val="28"/>
        </w:rPr>
      </w:pPr>
    </w:p>
    <w:p w14:paraId="13E758F5" w14:textId="623A1A94" w:rsidR="00163A95" w:rsidRDefault="00063C0A" w:rsidP="00A066B1">
      <w:pPr>
        <w:rPr>
          <w:rFonts w:ascii="Palatino Linotype" w:eastAsia="Palatino Linotype" w:hAnsi="Palatino Linotype" w:cs="Palatino Linotype"/>
        </w:rPr>
      </w:pPr>
      <w:r>
        <w:br w:type="page"/>
      </w:r>
    </w:p>
    <w:p w14:paraId="2D4C7417" w14:textId="77777777" w:rsidR="00163A95" w:rsidRDefault="00163A95">
      <w:pPr>
        <w:spacing w:line="360" w:lineRule="auto"/>
        <w:jc w:val="both"/>
        <w:rPr>
          <w:rFonts w:ascii="Palatino Linotype" w:eastAsia="Palatino Linotype" w:hAnsi="Palatino Linotype" w:cs="Palatino Linotype"/>
        </w:rPr>
      </w:pPr>
    </w:p>
    <w:p w14:paraId="690E5BF6" w14:textId="77777777" w:rsidR="00163A95" w:rsidRDefault="00163A95">
      <w:pPr>
        <w:spacing w:line="360" w:lineRule="auto"/>
        <w:jc w:val="both"/>
        <w:rPr>
          <w:rFonts w:ascii="Palatino Linotype" w:eastAsia="Palatino Linotype" w:hAnsi="Palatino Linotype" w:cs="Palatino Linotype"/>
        </w:rPr>
      </w:pPr>
    </w:p>
    <w:p w14:paraId="66EAE2C0" w14:textId="77777777" w:rsidR="00163A95" w:rsidRDefault="00163A95">
      <w:pPr>
        <w:spacing w:line="360" w:lineRule="auto"/>
        <w:jc w:val="both"/>
        <w:rPr>
          <w:rFonts w:ascii="Palatino Linotype" w:eastAsia="Palatino Linotype" w:hAnsi="Palatino Linotype" w:cs="Palatino Linotype"/>
        </w:rPr>
      </w:pPr>
    </w:p>
    <w:p w14:paraId="5C09DFA7" w14:textId="77777777" w:rsidR="00163A95" w:rsidRDefault="00163A95">
      <w:pPr>
        <w:spacing w:line="360" w:lineRule="auto"/>
        <w:jc w:val="both"/>
        <w:rPr>
          <w:rFonts w:ascii="Palatino Linotype" w:eastAsia="Palatino Linotype" w:hAnsi="Palatino Linotype" w:cs="Palatino Linotype"/>
        </w:rPr>
      </w:pPr>
    </w:p>
    <w:p w14:paraId="01D5E5D5" w14:textId="77777777" w:rsidR="00163A95" w:rsidRDefault="00163A95">
      <w:pPr>
        <w:spacing w:line="360" w:lineRule="auto"/>
        <w:jc w:val="both"/>
        <w:rPr>
          <w:rFonts w:ascii="Palatino Linotype" w:eastAsia="Palatino Linotype" w:hAnsi="Palatino Linotype" w:cs="Palatino Linotype"/>
        </w:rPr>
      </w:pPr>
    </w:p>
    <w:p w14:paraId="05DEDFE5" w14:textId="77777777" w:rsidR="00163A95" w:rsidRDefault="00163A95">
      <w:pPr>
        <w:spacing w:line="360" w:lineRule="auto"/>
        <w:jc w:val="both"/>
        <w:rPr>
          <w:rFonts w:ascii="Palatino Linotype" w:eastAsia="Palatino Linotype" w:hAnsi="Palatino Linotype" w:cs="Palatino Linotype"/>
        </w:rPr>
      </w:pPr>
    </w:p>
    <w:p w14:paraId="523FFA8E" w14:textId="77777777" w:rsidR="00163A95" w:rsidRDefault="00163A95">
      <w:pPr>
        <w:spacing w:line="360" w:lineRule="auto"/>
        <w:jc w:val="both"/>
        <w:rPr>
          <w:rFonts w:ascii="Palatino Linotype" w:eastAsia="Palatino Linotype" w:hAnsi="Palatino Linotype" w:cs="Palatino Linotype"/>
        </w:rPr>
      </w:pPr>
    </w:p>
    <w:p w14:paraId="7B7C0A6A" w14:textId="77777777" w:rsidR="00163A95" w:rsidRDefault="00163A95">
      <w:pPr>
        <w:spacing w:line="360" w:lineRule="auto"/>
        <w:jc w:val="both"/>
        <w:rPr>
          <w:rFonts w:ascii="Palatino Linotype" w:eastAsia="Palatino Linotype" w:hAnsi="Palatino Linotype" w:cs="Palatino Linotype"/>
        </w:rPr>
      </w:pPr>
    </w:p>
    <w:p w14:paraId="60A88A8E" w14:textId="77777777" w:rsidR="00163A95" w:rsidRDefault="00163A95">
      <w:pPr>
        <w:spacing w:line="360" w:lineRule="auto"/>
        <w:jc w:val="both"/>
        <w:rPr>
          <w:rFonts w:ascii="Palatino Linotype" w:eastAsia="Palatino Linotype" w:hAnsi="Palatino Linotype" w:cs="Palatino Linotype"/>
        </w:rPr>
      </w:pPr>
    </w:p>
    <w:p w14:paraId="3CD841C7" w14:textId="77777777" w:rsidR="00163A95" w:rsidRDefault="00163A95">
      <w:pPr>
        <w:spacing w:line="360" w:lineRule="auto"/>
        <w:jc w:val="both"/>
        <w:rPr>
          <w:rFonts w:ascii="Palatino Linotype" w:eastAsia="Palatino Linotype" w:hAnsi="Palatino Linotype" w:cs="Palatino Linotype"/>
        </w:rPr>
      </w:pPr>
    </w:p>
    <w:p w14:paraId="4F60411D" w14:textId="77777777" w:rsidR="00163A95" w:rsidRDefault="00163A95">
      <w:pPr>
        <w:spacing w:line="360" w:lineRule="auto"/>
        <w:jc w:val="both"/>
        <w:rPr>
          <w:rFonts w:ascii="Palatino Linotype" w:eastAsia="Palatino Linotype" w:hAnsi="Palatino Linotype" w:cs="Palatino Linotype"/>
        </w:rPr>
      </w:pPr>
    </w:p>
    <w:p w14:paraId="3AAEDCDD" w14:textId="77777777" w:rsidR="00163A95" w:rsidRDefault="00163A95">
      <w:pPr>
        <w:spacing w:line="360" w:lineRule="auto"/>
        <w:jc w:val="both"/>
        <w:rPr>
          <w:rFonts w:ascii="Palatino Linotype" w:eastAsia="Palatino Linotype" w:hAnsi="Palatino Linotype" w:cs="Palatino Linotype"/>
        </w:rPr>
      </w:pPr>
    </w:p>
    <w:p w14:paraId="615BD044" w14:textId="77777777" w:rsidR="00163A95" w:rsidRDefault="00163A95">
      <w:pPr>
        <w:spacing w:line="360" w:lineRule="auto"/>
        <w:jc w:val="both"/>
        <w:rPr>
          <w:rFonts w:ascii="Palatino Linotype" w:eastAsia="Palatino Linotype" w:hAnsi="Palatino Linotype" w:cs="Palatino Linotype"/>
        </w:rPr>
      </w:pPr>
    </w:p>
    <w:sectPr w:rsidR="00163A95">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283E3" w14:textId="77777777" w:rsidR="00046314" w:rsidRDefault="00046314">
      <w:r>
        <w:separator/>
      </w:r>
    </w:p>
  </w:endnote>
  <w:endnote w:type="continuationSeparator" w:id="0">
    <w:p w14:paraId="727EE3E9" w14:textId="77777777" w:rsidR="00046314" w:rsidRDefault="0004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71C96" w14:textId="77777777" w:rsidR="00163A95" w:rsidRDefault="00063C0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22F1B">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22F1B">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13075" w14:textId="77777777" w:rsidR="00163A95" w:rsidRDefault="00063C0A">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22F1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22F1B">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6856A" w14:textId="77777777" w:rsidR="00046314" w:rsidRDefault="00046314">
      <w:r>
        <w:separator/>
      </w:r>
    </w:p>
  </w:footnote>
  <w:footnote w:type="continuationSeparator" w:id="0">
    <w:p w14:paraId="341C4CC6" w14:textId="77777777" w:rsidR="00046314" w:rsidRDefault="00046314">
      <w:r>
        <w:continuationSeparator/>
      </w:r>
    </w:p>
  </w:footnote>
  <w:footnote w:id="1">
    <w:p w14:paraId="74D035AE" w14:textId="77777777" w:rsidR="00163A95" w:rsidRDefault="00063C0A">
      <w:pPr>
        <w:rPr>
          <w:sz w:val="20"/>
          <w:szCs w:val="20"/>
        </w:rPr>
      </w:pPr>
      <w:r>
        <w:rPr>
          <w:vertAlign w:val="superscript"/>
        </w:rPr>
        <w:footnoteRef/>
      </w:r>
      <w:r>
        <w:rPr>
          <w:sz w:val="20"/>
          <w:szCs w:val="20"/>
        </w:rPr>
        <w:t xml:space="preserve"> Información Pública de Oficio Mexiquense </w:t>
      </w:r>
    </w:p>
  </w:footnote>
  <w:footnote w:id="2">
    <w:p w14:paraId="72A85037" w14:textId="77777777" w:rsidR="00163A95" w:rsidRDefault="00063C0A">
      <w:pPr>
        <w:rPr>
          <w:rFonts w:ascii="Palatino Linotype" w:eastAsia="Palatino Linotype" w:hAnsi="Palatino Linotype" w:cs="Palatino Linotype"/>
          <w:sz w:val="20"/>
          <w:szCs w:val="20"/>
        </w:rPr>
      </w:pPr>
      <w:r>
        <w:rPr>
          <w:vertAlign w:val="superscript"/>
        </w:rPr>
        <w:footnoteRef/>
      </w:r>
      <w:r>
        <w:rPr>
          <w:rFonts w:ascii="Palatino Linotype" w:eastAsia="Palatino Linotype" w:hAnsi="Palatino Linotype" w:cs="Palatino Linotype"/>
          <w:sz w:val="20"/>
          <w:szCs w:val="20"/>
        </w:rPr>
        <w:t xml:space="preserve"> Instituto Nacional de Transparencia, Acceso a la Información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860B5" w14:textId="77777777" w:rsidR="00163A95" w:rsidRDefault="00F22F1B">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88C0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119DC" w14:textId="77777777" w:rsidR="00163A95" w:rsidRDefault="00F22F1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70414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4"/>
          <w10:wrap anchorx="margin" anchory="margin"/>
        </v:shape>
      </w:pict>
    </w:r>
  </w:p>
  <w:tbl>
    <w:tblPr>
      <w:tblStyle w:val="a5"/>
      <w:tblW w:w="9534" w:type="dxa"/>
      <w:tblInd w:w="-142" w:type="dxa"/>
      <w:tblLayout w:type="fixed"/>
      <w:tblLook w:val="0400" w:firstRow="0" w:lastRow="0" w:firstColumn="0" w:lastColumn="0" w:noHBand="0" w:noVBand="1"/>
    </w:tblPr>
    <w:tblGrid>
      <w:gridCol w:w="3261"/>
      <w:gridCol w:w="2551"/>
      <w:gridCol w:w="3722"/>
    </w:tblGrid>
    <w:tr w:rsidR="00163A95" w14:paraId="6FD88AAE" w14:textId="77777777">
      <w:tc>
        <w:tcPr>
          <w:tcW w:w="3261" w:type="dxa"/>
          <w:vMerge w:val="restart"/>
        </w:tcPr>
        <w:p w14:paraId="6CC9FA8A" w14:textId="77777777" w:rsidR="00163A95" w:rsidRDefault="00063C0A">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1344C9E3" wp14:editId="5101C688">
                <wp:extent cx="1692162" cy="852673"/>
                <wp:effectExtent l="0" t="0" r="0" b="0"/>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B9D765F" w14:textId="65F60420" w:rsidR="00163A95" w:rsidRDefault="00063C0A">
          <w:pPr>
            <w:rPr>
              <w:rFonts w:ascii="Palatino Linotype" w:eastAsia="Palatino Linotype" w:hAnsi="Palatino Linotype" w:cs="Palatino Linotype"/>
              <w:b/>
            </w:rPr>
          </w:pPr>
          <w:r>
            <w:rPr>
              <w:rFonts w:ascii="Palatino Linotype" w:eastAsia="Palatino Linotype" w:hAnsi="Palatino Linotype" w:cs="Palatino Linotype"/>
              <w:b/>
            </w:rPr>
            <w:t xml:space="preserve">Recurso de </w:t>
          </w:r>
          <w:r w:rsidR="00722B49">
            <w:rPr>
              <w:rFonts w:ascii="Palatino Linotype" w:eastAsia="Palatino Linotype" w:hAnsi="Palatino Linotype" w:cs="Palatino Linotype"/>
              <w:b/>
            </w:rPr>
            <w:t>R</w:t>
          </w:r>
          <w:r>
            <w:rPr>
              <w:rFonts w:ascii="Palatino Linotype" w:eastAsia="Palatino Linotype" w:hAnsi="Palatino Linotype" w:cs="Palatino Linotype"/>
              <w:b/>
            </w:rPr>
            <w:t>evisión:</w:t>
          </w:r>
        </w:p>
      </w:tc>
      <w:tc>
        <w:tcPr>
          <w:tcW w:w="3722" w:type="dxa"/>
          <w:shd w:val="clear" w:color="auto" w:fill="auto"/>
          <w:vAlign w:val="center"/>
        </w:tcPr>
        <w:p w14:paraId="02D2E645" w14:textId="26D7AB01" w:rsidR="00163A95" w:rsidRDefault="00063C0A">
          <w:pPr>
            <w:jc w:val="both"/>
            <w:rPr>
              <w:rFonts w:ascii="Palatino Linotype" w:eastAsia="Palatino Linotype" w:hAnsi="Palatino Linotype" w:cs="Palatino Linotype"/>
              <w:b/>
            </w:rPr>
          </w:pPr>
          <w:bookmarkStart w:id="12" w:name="_heading=h.44sinio" w:colFirst="0" w:colLast="0"/>
          <w:bookmarkEnd w:id="12"/>
          <w:r>
            <w:rPr>
              <w:rFonts w:ascii="Palatino Linotype" w:eastAsia="Palatino Linotype" w:hAnsi="Palatino Linotype" w:cs="Palatino Linotype"/>
              <w:b/>
            </w:rPr>
            <w:t>05842/INFOEM/IP/RR/</w:t>
          </w:r>
          <w:r w:rsidR="006D42A8">
            <w:rPr>
              <w:rFonts w:ascii="Palatino Linotype" w:eastAsia="Palatino Linotype" w:hAnsi="Palatino Linotype" w:cs="Palatino Linotype"/>
              <w:b/>
            </w:rPr>
            <w:t>2021</w:t>
          </w:r>
        </w:p>
      </w:tc>
    </w:tr>
    <w:tr w:rsidR="00163A95" w14:paraId="689E1E58" w14:textId="77777777">
      <w:tc>
        <w:tcPr>
          <w:tcW w:w="3261" w:type="dxa"/>
          <w:vMerge/>
        </w:tcPr>
        <w:p w14:paraId="614D1618" w14:textId="77777777" w:rsidR="00163A95" w:rsidRDefault="00163A9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555823D" w14:textId="77777777" w:rsidR="00163A95" w:rsidRDefault="00063C0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1C72511A" w14:textId="77777777" w:rsidR="00163A95" w:rsidRDefault="00063C0A">
          <w:pPr>
            <w:jc w:val="both"/>
            <w:rPr>
              <w:rFonts w:ascii="Palatino Linotype" w:eastAsia="Palatino Linotype" w:hAnsi="Palatino Linotype" w:cs="Palatino Linotype"/>
              <w:b/>
            </w:rPr>
          </w:pPr>
          <w:r>
            <w:rPr>
              <w:rFonts w:ascii="Palatino Linotype" w:eastAsia="Palatino Linotype" w:hAnsi="Palatino Linotype" w:cs="Palatino Linotype"/>
              <w:b/>
            </w:rPr>
            <w:t>Ayuntamiento de Chiconcuac</w:t>
          </w:r>
        </w:p>
      </w:tc>
    </w:tr>
    <w:tr w:rsidR="00163A95" w14:paraId="620B5AA9" w14:textId="77777777">
      <w:trPr>
        <w:trHeight w:val="228"/>
      </w:trPr>
      <w:tc>
        <w:tcPr>
          <w:tcW w:w="3261" w:type="dxa"/>
          <w:vMerge/>
        </w:tcPr>
        <w:p w14:paraId="14FF1640" w14:textId="77777777" w:rsidR="00163A95" w:rsidRDefault="00163A9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9054788" w14:textId="77777777" w:rsidR="00163A95" w:rsidRDefault="00063C0A">
          <w:pPr>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722" w:type="dxa"/>
          <w:shd w:val="clear" w:color="auto" w:fill="auto"/>
        </w:tcPr>
        <w:p w14:paraId="7A95DB4F" w14:textId="77777777" w:rsidR="00163A95" w:rsidRDefault="00063C0A">
          <w:pPr>
            <w:jc w:val="both"/>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68A1F410" w14:textId="77777777" w:rsidR="00163A95" w:rsidRDefault="00163A9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6936B" w14:textId="77777777" w:rsidR="00163A95" w:rsidRDefault="00F22F1B">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C2A2A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4"/>
          <w10:wrap anchorx="margin" anchory="margin"/>
        </v:shape>
      </w:pict>
    </w:r>
  </w:p>
  <w:tbl>
    <w:tblPr>
      <w:tblStyle w:val="a6"/>
      <w:tblW w:w="9900" w:type="dxa"/>
      <w:tblInd w:w="-833" w:type="dxa"/>
      <w:tblLayout w:type="fixed"/>
      <w:tblLook w:val="0400" w:firstRow="0" w:lastRow="0" w:firstColumn="0" w:lastColumn="0" w:noHBand="0" w:noVBand="1"/>
    </w:tblPr>
    <w:tblGrid>
      <w:gridCol w:w="3805"/>
      <w:gridCol w:w="3000"/>
      <w:gridCol w:w="3095"/>
    </w:tblGrid>
    <w:tr w:rsidR="00163A95" w14:paraId="323203B2" w14:textId="77777777">
      <w:tc>
        <w:tcPr>
          <w:tcW w:w="3805" w:type="dxa"/>
          <w:vMerge w:val="restart"/>
          <w:shd w:val="clear" w:color="auto" w:fill="auto"/>
        </w:tcPr>
        <w:p w14:paraId="31021749" w14:textId="77777777" w:rsidR="00163A95" w:rsidRDefault="00063C0A">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8B3C51B" wp14:editId="739D4E42">
                <wp:extent cx="1692162" cy="852673"/>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384413D3" w14:textId="0F691786" w:rsidR="00163A95" w:rsidRDefault="00063C0A">
          <w:pPr>
            <w:rPr>
              <w:rFonts w:ascii="Palatino Linotype" w:eastAsia="Palatino Linotype" w:hAnsi="Palatino Linotype" w:cs="Palatino Linotype"/>
              <w:b/>
            </w:rPr>
          </w:pPr>
          <w:r>
            <w:rPr>
              <w:rFonts w:ascii="Palatino Linotype" w:eastAsia="Palatino Linotype" w:hAnsi="Palatino Linotype" w:cs="Palatino Linotype"/>
              <w:b/>
            </w:rPr>
            <w:t xml:space="preserve">Recurso de </w:t>
          </w:r>
          <w:r w:rsidR="00722B49">
            <w:rPr>
              <w:rFonts w:ascii="Palatino Linotype" w:eastAsia="Palatino Linotype" w:hAnsi="Palatino Linotype" w:cs="Palatino Linotype"/>
              <w:b/>
            </w:rPr>
            <w:t>R</w:t>
          </w:r>
          <w:r>
            <w:rPr>
              <w:rFonts w:ascii="Palatino Linotype" w:eastAsia="Palatino Linotype" w:hAnsi="Palatino Linotype" w:cs="Palatino Linotype"/>
              <w:b/>
            </w:rPr>
            <w:t>evisión:</w:t>
          </w:r>
        </w:p>
      </w:tc>
      <w:tc>
        <w:tcPr>
          <w:tcW w:w="3095" w:type="dxa"/>
          <w:shd w:val="clear" w:color="auto" w:fill="auto"/>
          <w:vAlign w:val="center"/>
        </w:tcPr>
        <w:p w14:paraId="26B96A5C" w14:textId="77777777" w:rsidR="00163A95" w:rsidRDefault="00063C0A">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05842/INFOEM/IP/RR/2021 </w:t>
          </w:r>
        </w:p>
      </w:tc>
    </w:tr>
    <w:tr w:rsidR="00163A95" w14:paraId="40A9CA16" w14:textId="77777777">
      <w:tc>
        <w:tcPr>
          <w:tcW w:w="3805" w:type="dxa"/>
          <w:vMerge/>
          <w:shd w:val="clear" w:color="auto" w:fill="auto"/>
        </w:tcPr>
        <w:p w14:paraId="43C486F3" w14:textId="77777777" w:rsidR="00163A95" w:rsidRDefault="00163A9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579F676" w14:textId="77777777" w:rsidR="00163A95" w:rsidRDefault="00063C0A">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12F0F313" w14:textId="390CC12C" w:rsidR="00163A95" w:rsidRDefault="00F22F1B">
          <w:pPr>
            <w:jc w:val="both"/>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w:t>
          </w:r>
          <w:proofErr w:type="spellEnd"/>
        </w:p>
      </w:tc>
    </w:tr>
    <w:tr w:rsidR="00163A95" w14:paraId="3DBD9622" w14:textId="77777777">
      <w:trPr>
        <w:trHeight w:val="228"/>
      </w:trPr>
      <w:tc>
        <w:tcPr>
          <w:tcW w:w="3805" w:type="dxa"/>
          <w:vMerge/>
          <w:shd w:val="clear" w:color="auto" w:fill="auto"/>
        </w:tcPr>
        <w:p w14:paraId="4CBA91F2" w14:textId="77777777" w:rsidR="00163A95" w:rsidRDefault="00163A9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C7DD698" w14:textId="77777777" w:rsidR="00163A95" w:rsidRDefault="00063C0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729E4B59" w14:textId="77777777" w:rsidR="00163A95" w:rsidRDefault="00063C0A">
          <w:pPr>
            <w:jc w:val="both"/>
            <w:rPr>
              <w:rFonts w:ascii="Palatino Linotype" w:eastAsia="Palatino Linotype" w:hAnsi="Palatino Linotype" w:cs="Palatino Linotype"/>
              <w:b/>
            </w:rPr>
          </w:pPr>
          <w:r>
            <w:rPr>
              <w:rFonts w:ascii="Palatino Linotype" w:eastAsia="Palatino Linotype" w:hAnsi="Palatino Linotype" w:cs="Palatino Linotype"/>
              <w:b/>
            </w:rPr>
            <w:t>Ayuntamiento de Chiconcuac</w:t>
          </w:r>
        </w:p>
      </w:tc>
    </w:tr>
    <w:tr w:rsidR="00163A95" w14:paraId="55388DC6" w14:textId="77777777">
      <w:tc>
        <w:tcPr>
          <w:tcW w:w="3805" w:type="dxa"/>
          <w:vMerge/>
          <w:shd w:val="clear" w:color="auto" w:fill="auto"/>
        </w:tcPr>
        <w:p w14:paraId="2D35797C" w14:textId="77777777" w:rsidR="00163A95" w:rsidRDefault="00163A9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782496F" w14:textId="77777777" w:rsidR="00163A95" w:rsidRDefault="00063C0A">
          <w:pPr>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095" w:type="dxa"/>
          <w:shd w:val="clear" w:color="auto" w:fill="auto"/>
        </w:tcPr>
        <w:p w14:paraId="5C481ACA" w14:textId="77777777" w:rsidR="00163A95" w:rsidRDefault="00063C0A">
          <w:pPr>
            <w:jc w:val="both"/>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75A3CF53" w14:textId="77777777" w:rsidR="00163A95" w:rsidRDefault="00163A95">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DB68F1"/>
    <w:multiLevelType w:val="multilevel"/>
    <w:tmpl w:val="579E9D9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A95"/>
    <w:rsid w:val="00046314"/>
    <w:rsid w:val="00063C0A"/>
    <w:rsid w:val="00163A95"/>
    <w:rsid w:val="00315B2B"/>
    <w:rsid w:val="0045794E"/>
    <w:rsid w:val="00503F38"/>
    <w:rsid w:val="005E7052"/>
    <w:rsid w:val="005F2B1C"/>
    <w:rsid w:val="006D42A8"/>
    <w:rsid w:val="00722B49"/>
    <w:rsid w:val="00A066B1"/>
    <w:rsid w:val="00F22F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5F7013"/>
  <w15:docId w15:val="{59DBBB12-C1B3-4B6A-A842-F2D656DE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0">
    <w:basedOn w:val="TableNormal0"/>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4">
    <w:basedOn w:val="TableNormal0"/>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5">
    <w:basedOn w:val="TableNormal0"/>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6">
    <w:basedOn w:val="TableNormal0"/>
    <w:rPr>
      <w:rFonts w:ascii="Arial" w:eastAsia="Arial" w:hAnsi="Arial" w:cs="Arial"/>
      <w:sz w:val="22"/>
      <w:szCs w:val="22"/>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MeusnlWmlJ7t4tn8YcjtrW1Mew==">AMUW2mVJBbgVf1YBySxouqmfRdyrmIXViK6tCKhfPOApLtLzCUmS1zhH+/IHrde++kmyjdZGjzzVNQjQkxf3i5t8G33Kl/cqt67HWPF0OrLjGLWqDWkhtHEc0Nx+CWIpNbtNfV+Y8KhEw3DtSYjg7Bq3/YtA5SW2WPFvPrYRn6SalMSOoef7B/u9XMwmK8oi5ixp0oZZ5R5k0WQWn1r2nfCpnQW6Qe1tjmqEQBLxNCkE68Wu+aCRFjBj01QJ4mgHK0VhyUKn9t7RGRlsu0jEYm137Y5lyOlKQo3JShYCuzmGlKpXWEQ8q+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34</Pages>
  <Words>8606</Words>
  <Characters>47339</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9</cp:revision>
  <dcterms:created xsi:type="dcterms:W3CDTF">2022-01-26T10:25:00Z</dcterms:created>
  <dcterms:modified xsi:type="dcterms:W3CDTF">2022-03-04T04:40:00Z</dcterms:modified>
</cp:coreProperties>
</file>