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veintisiete de abril de dos mil veintidós. </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01129/INFOEM/IP/RR/2022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persona que no proporciona su nombre</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en l</w:t>
      </w:r>
      <w:r>
        <w:rPr>
          <w:rFonts w:ascii="Palatino Linotype" w:eastAsia="Palatino Linotype" w:hAnsi="Palatino Linotype" w:cs="Palatino Linotype"/>
        </w:rPr>
        <w:t xml:space="preserve">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DC511C" w:rsidRDefault="007D3F91">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t</w:t>
      </w:r>
      <w:r>
        <w:rPr>
          <w:rFonts w:ascii="Palatino Linotype" w:eastAsia="Palatino Linotype" w:hAnsi="Palatino Linotype" w:cs="Palatino Linotype"/>
        </w:rPr>
        <w:t xml:space="preserve">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00341/TOLUCA/IP/2022, </w:t>
      </w:r>
      <w:r>
        <w:rPr>
          <w:rFonts w:ascii="Palatino Linotype" w:eastAsia="Palatino Linotype" w:hAnsi="Palatino Linotype" w:cs="Palatino Linotype"/>
        </w:rPr>
        <w:t>mediante la cual requirió la información s</w:t>
      </w:r>
      <w:r>
        <w:rPr>
          <w:rFonts w:ascii="Palatino Linotype" w:eastAsia="Palatino Linotype" w:hAnsi="Palatino Linotype" w:cs="Palatino Linotype"/>
        </w:rPr>
        <w:t xml:space="preserve">iguiente: </w:t>
      </w:r>
    </w:p>
    <w:p w:rsidR="00DC511C" w:rsidRDefault="007D3F91">
      <w:pPr>
        <w:spacing w:before="240" w:after="240" w:line="276" w:lineRule="auto"/>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“Solicito de cada área incluyendo sindicaturas y regidurias, cada uno de los oficios emitidos a la dirección de administración por cuestion de roles de guardia con su soporte documental.Solicito la respuesta de la dirección de administración a c</w:t>
      </w:r>
      <w:r>
        <w:rPr>
          <w:rFonts w:ascii="Palatino Linotype" w:eastAsia="Palatino Linotype" w:hAnsi="Palatino Linotype" w:cs="Palatino Linotype"/>
          <w:i/>
          <w:sz w:val="22"/>
          <w:szCs w:val="22"/>
        </w:rPr>
        <w:t xml:space="preserve">ada uno de estos oficios. Toda la información se requiere de los años 2020 y 2021. Solicito cada uno de los oficios firmados por el titular del organismo de agua y saneamiento y del titular del dif municipal, de los años 2020 y 2021 y actuales.” </w:t>
      </w:r>
      <w:r>
        <w:rPr>
          <w:rFonts w:ascii="Palatino Linotype" w:eastAsia="Palatino Linotype" w:hAnsi="Palatino Linotype" w:cs="Palatino Linotype"/>
          <w:sz w:val="22"/>
          <w:szCs w:val="22"/>
        </w:rPr>
        <w:t>(Sic)</w:t>
      </w:r>
    </w:p>
    <w:p w:rsidR="00DC511C" w:rsidRDefault="007D3F91">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La p</w:t>
      </w:r>
      <w:r>
        <w:rPr>
          <w:rFonts w:ascii="Palatino Linotype" w:eastAsia="Palatino Linotype" w:hAnsi="Palatino Linotype" w:cs="Palatino Linotype"/>
        </w:rPr>
        <w:t xml:space="preserve">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DC511C" w:rsidRDefault="007D3F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2. Incompetencia parcial del 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veintisiete de enero de la presente anualidad</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incompetencia para ate</w:t>
      </w:r>
      <w:r>
        <w:rPr>
          <w:rFonts w:ascii="Palatino Linotype" w:eastAsia="Palatino Linotype" w:hAnsi="Palatino Linotype" w:cs="Palatino Linotype"/>
        </w:rPr>
        <w:t>nder parcialmente la solicitud en los términos siguientes</w:t>
      </w:r>
      <w:r>
        <w:rPr>
          <w:rFonts w:ascii="Palatino Linotype" w:eastAsia="Palatino Linotype" w:hAnsi="Palatino Linotype" w:cs="Palatino Linotype"/>
          <w:b/>
        </w:rPr>
        <w:t>:</w:t>
      </w:r>
    </w:p>
    <w:p w:rsidR="00DC511C" w:rsidRDefault="007D3F9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“...Con fundamento en el artículo 167 de la ley de Transparencia y Acceso a la Información Pública del Estado de México y Municipios, se orienta sobre el Sujeto Obligado que puede atender de maner</w:t>
      </w:r>
      <w:r>
        <w:rPr>
          <w:rFonts w:ascii="Palatino Linotype" w:eastAsia="Palatino Linotype" w:hAnsi="Palatino Linotype" w:cs="Palatino Linotype"/>
          <w:i/>
          <w:sz w:val="22"/>
          <w:szCs w:val="22"/>
        </w:rPr>
        <w:t>a parcial a su solicitud de información.,...” (Sic)</w:t>
      </w:r>
    </w:p>
    <w:p w:rsidR="00DC511C" w:rsidRDefault="007D3F9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anexó el archivo “</w:t>
      </w:r>
      <w:r>
        <w:rPr>
          <w:rFonts w:ascii="Palatino Linotype" w:eastAsia="Palatino Linotype" w:hAnsi="Palatino Linotype" w:cs="Palatino Linotype"/>
          <w:b/>
          <w:i/>
        </w:rPr>
        <w:t>Incompetencia Parcial_00341_2022.pdf</w:t>
      </w:r>
      <w:r>
        <w:rPr>
          <w:rFonts w:ascii="Palatino Linotype" w:eastAsia="Palatino Linotype" w:hAnsi="Palatino Linotype" w:cs="Palatino Linotype"/>
        </w:rPr>
        <w:t xml:space="preserve">”, que contiene el Acuerdo de Incompetencia Parcial de la Solicitud de Información Pública Número 00341/TOLUCA/IP/2022, mediante al cual fundan y motivan la razón por la cual carecen de competencia para proporcionar información relacionada con </w:t>
      </w:r>
      <w:r>
        <w:rPr>
          <w:rFonts w:ascii="Palatino Linotype" w:eastAsia="Palatino Linotype" w:hAnsi="Palatino Linotype" w:cs="Palatino Linotype"/>
          <w:i/>
        </w:rPr>
        <w:t>“…los oficio</w:t>
      </w:r>
      <w:r>
        <w:rPr>
          <w:rFonts w:ascii="Palatino Linotype" w:eastAsia="Palatino Linotype" w:hAnsi="Palatino Linotype" w:cs="Palatino Linotype"/>
          <w:i/>
        </w:rPr>
        <w:t>s firmados por el titular del organismo de agua y saneamiento y del titular del dif municipal, de los años 2020 y 2021 y actuales.” (Sic)</w:t>
      </w:r>
    </w:p>
    <w:p w:rsidR="00DC511C" w:rsidRDefault="007D3F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3.</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envió su respuesta a la solicitud d</w:t>
      </w:r>
      <w:r>
        <w:rPr>
          <w:rFonts w:ascii="Palatino Linotype" w:eastAsia="Palatino Linotype" w:hAnsi="Palatino Linotype" w:cs="Palatino Linotype"/>
        </w:rPr>
        <w:t xml:space="preserve">e acceso a la información a través de SAIMEX, sustancialmente en los términos siguientes:   </w:t>
      </w:r>
    </w:p>
    <w:p w:rsidR="00DC511C" w:rsidRDefault="007D3F9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w:t>
      </w:r>
      <w:r>
        <w:rPr>
          <w:rFonts w:ascii="Palatino Linotype" w:eastAsia="Palatino Linotype" w:hAnsi="Palatino Linotype" w:cs="Palatino Linotype"/>
          <w:i/>
          <w:sz w:val="22"/>
          <w:szCs w:val="22"/>
        </w:rPr>
        <w:t>cia y Acceso a la Información Pública del Estado de México y Municipios, le contestamos que:</w:t>
      </w:r>
    </w:p>
    <w:p w:rsidR="00DC511C" w:rsidRDefault="007D3F9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00341/TOLUCA/IP/2022, me permito adjuntar al presente la respuesta correspondiente. Sin más por el momento, le env</w:t>
      </w:r>
      <w:r>
        <w:rPr>
          <w:rFonts w:ascii="Palatino Linotype" w:eastAsia="Palatino Linotype" w:hAnsi="Palatino Linotype" w:cs="Palatino Linotype"/>
          <w:i/>
          <w:sz w:val="22"/>
          <w:szCs w:val="22"/>
        </w:rPr>
        <w:t>ío un cordial saludo.</w:t>
      </w:r>
    </w:p>
    <w:p w:rsidR="00DC511C" w:rsidRDefault="007D3F9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DC511C" w:rsidRDefault="007D3F9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 Norma Sofía Pérez Martínez” </w:t>
      </w:r>
      <w:r>
        <w:rPr>
          <w:rFonts w:ascii="Palatino Linotype" w:eastAsia="Palatino Linotype" w:hAnsi="Palatino Linotype" w:cs="Palatino Linotype"/>
          <w:sz w:val="22"/>
          <w:szCs w:val="22"/>
        </w:rPr>
        <w:t>(sic)</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DC511C" w:rsidRDefault="007D3F91">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RESPUESTA 341_055349.pdf”</w:t>
      </w:r>
      <w:r>
        <w:rPr>
          <w:rFonts w:ascii="Palatino Linotype" w:eastAsia="Palatino Linotype" w:hAnsi="Palatino Linotype" w:cs="Palatino Linotype"/>
          <w:i/>
        </w:rPr>
        <w:t xml:space="preserve">, </w:t>
      </w:r>
      <w:r>
        <w:rPr>
          <w:rFonts w:ascii="Palatino Linotype" w:eastAsia="Palatino Linotype" w:hAnsi="Palatino Linotype" w:cs="Palatino Linotype"/>
        </w:rPr>
        <w:t>que consiste en el escrito de fecha quince de febrero de dos mil veintidós, mediante el cual se hace del conocimiento de la particular lo siguiente:</w:t>
      </w:r>
    </w:p>
    <w:p w:rsidR="00DC511C" w:rsidRDefault="007D3F91">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Directora General de Administración, informó que fue aprobado por el Comité de Transparencia en la Quinc</w:t>
      </w:r>
      <w:r>
        <w:rPr>
          <w:rFonts w:ascii="Palatino Linotype" w:eastAsia="Palatino Linotype" w:hAnsi="Palatino Linotype" w:cs="Palatino Linotype"/>
          <w:color w:val="000000"/>
        </w:rPr>
        <w:t>uagésima Cuarta Sesión Extraordinaria, con el número de acuerdo AT/CT/04/2022, el cambio de modalidad a consulta directa, de la información solicitada y da a conocer la dirección y horarios de las oficinas a donde deberá acudir.</w:t>
      </w:r>
    </w:p>
    <w:p w:rsidR="00DC511C" w:rsidRDefault="007D3F91">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Primera Síndico adjunta evidencia.</w:t>
      </w:r>
    </w:p>
    <w:p w:rsidR="00DC511C" w:rsidRDefault="007D3F91">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Segunda Sindicatura informa que  la información solicitada para el año 2020 consta de 22 fojas y para el año 2021 de 48 fojas y da a conocer los costos por copias simples.</w:t>
      </w:r>
    </w:p>
    <w:p w:rsidR="00DC511C" w:rsidRDefault="007D3F91">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Bajo esa misma tesitura, el Octavo Regidor</w:t>
      </w:r>
      <w:r>
        <w:rPr>
          <w:rFonts w:ascii="Palatino Linotype" w:eastAsia="Palatino Linotype" w:hAnsi="Palatino Linotype" w:cs="Palatino Linotype"/>
          <w:color w:val="000000"/>
        </w:rPr>
        <w:t xml:space="preserve"> informa que la información solicitada consta de 10 fojas.</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Administracion 202120.pdf”, </w:t>
      </w:r>
      <w:r>
        <w:rPr>
          <w:rFonts w:ascii="Palatino Linotype" w:eastAsia="Palatino Linotype" w:hAnsi="Palatino Linotype" w:cs="Palatino Linotype"/>
        </w:rPr>
        <w:t>que contiene seis oficios suscritos por la Primera Síndico, mediante los cuales solicita exceptuar los registros de entrada y salida al personal adscrito.</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veintidós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en donde se </w:t>
      </w:r>
      <w:r>
        <w:rPr>
          <w:rFonts w:ascii="Palatino Linotype" w:eastAsia="Palatino Linotype" w:hAnsi="Palatino Linotype" w:cs="Palatino Linotype"/>
        </w:rPr>
        <w:t>manifestó de la siguiente manera:</w:t>
      </w:r>
    </w:p>
    <w:p w:rsidR="00DC511C" w:rsidRDefault="007D3F91">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Acto impugnado: </w:t>
      </w:r>
    </w:p>
    <w:p w:rsidR="00DC511C" w:rsidRDefault="007D3F91">
      <w:pPr>
        <w:tabs>
          <w:tab w:val="left" w:pos="2745"/>
        </w:tabs>
        <w:spacing w:before="240" w:after="240" w:line="360" w:lineRule="auto"/>
        <w:ind w:lef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sujeto obligado no entrega la información solicitada y me solicita realizar un pago de más de mil pesos por 70 hojas.” (sic)</w:t>
      </w: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DC511C" w:rsidRDefault="007D3F91">
      <w:pPr>
        <w:spacing w:line="360" w:lineRule="auto"/>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“El sujeto obligado no entrega la inf</w:t>
      </w:r>
      <w:r>
        <w:rPr>
          <w:rFonts w:ascii="Palatino Linotype" w:eastAsia="Palatino Linotype" w:hAnsi="Palatino Linotype" w:cs="Palatino Linotype"/>
          <w:i/>
          <w:sz w:val="22"/>
          <w:szCs w:val="22"/>
        </w:rPr>
        <w:t>ormación solicitada y me solicita realizar un pago de más de mil pesos por 70 hojas.” (sic)</w:t>
      </w:r>
    </w:p>
    <w:p w:rsidR="00DC511C" w:rsidRDefault="007D3F9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rsidR="00DC511C" w:rsidRDefault="007D3F9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de Transparencia y Acceso a la Información Públic</w:t>
      </w:r>
      <w:r>
        <w:rPr>
          <w:rFonts w:ascii="Palatino Linotype" w:eastAsia="Palatino Linotype" w:hAnsi="Palatino Linotype" w:cs="Palatino Linotype"/>
        </w:rPr>
        <w:t>a del Estado de México y Municipios vigente, el presente recurso de revisión se turnó por el sistema electrónico del Instituto de Transparencia, Acceso a la Información Pública y Protección de Datos Personales del Estado de México y Municipios, a la Comisi</w:t>
      </w:r>
      <w:r>
        <w:rPr>
          <w:rFonts w:ascii="Palatino Linotype" w:eastAsia="Palatino Linotype" w:hAnsi="Palatino Linotype" w:cs="Palatino Linotype"/>
        </w:rPr>
        <w:t xml:space="preserve">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veinticinco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w:t>
      </w:r>
      <w:r>
        <w:rPr>
          <w:rFonts w:ascii="Palatino Linotype" w:eastAsia="Palatino Linotype" w:hAnsi="Palatino Linotype" w:cs="Palatino Linotype"/>
        </w:rPr>
        <w:t xml:space="preserve">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DC511C" w:rsidRDefault="007D3F91">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nueve y</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diez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w:t>
      </w:r>
      <w:r>
        <w:rPr>
          <w:rFonts w:ascii="Palatino Linotype" w:eastAsia="Palatino Linotype" w:hAnsi="Palatino Linotype" w:cs="Palatino Linotype"/>
        </w:rPr>
        <w:t xml:space="preserve"> a través del SAIMEX, su informe justificado mediante </w:t>
      </w:r>
      <w:r>
        <w:rPr>
          <w:rFonts w:ascii="Palatino Linotype" w:eastAsia="Palatino Linotype" w:hAnsi="Palatino Linotype" w:cs="Palatino Linotype"/>
        </w:rPr>
        <w:lastRenderedPageBreak/>
        <w:t xml:space="preserve">el cual, con relación a los motivos de inconformidad alegados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ratificó en todas y cada una de sus partes la respuesta de inicio, señalando lo siguiente:</w:t>
      </w:r>
    </w:p>
    <w:p w:rsidR="00DC511C" w:rsidRDefault="007D3F91">
      <w:pPr>
        <w:spacing w:after="240" w:line="360" w:lineRule="auto"/>
        <w:jc w:val="center"/>
        <w:rPr>
          <w:rFonts w:ascii="Palatino Linotype" w:eastAsia="Palatino Linotype" w:hAnsi="Palatino Linotype" w:cs="Palatino Linotype"/>
        </w:rPr>
      </w:pPr>
      <w:r>
        <w:rPr>
          <w:noProof/>
          <w:lang w:val="es-MX"/>
        </w:rPr>
        <w:drawing>
          <wp:inline distT="0" distB="0" distL="0" distR="0">
            <wp:extent cx="4571752" cy="5174798"/>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60780" t="21158" r="7197" b="6795"/>
                    <a:stretch>
                      <a:fillRect/>
                    </a:stretch>
                  </pic:blipFill>
                  <pic:spPr>
                    <a:xfrm>
                      <a:off x="0" y="0"/>
                      <a:ext cx="4571752" cy="5174798"/>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800100</wp:posOffset>
                </wp:positionH>
                <wp:positionV relativeFrom="paragraph">
                  <wp:posOffset>1485900</wp:posOffset>
                </wp:positionV>
                <wp:extent cx="4219575" cy="1152525"/>
                <wp:effectExtent l="0" t="0" r="0" b="0"/>
                <wp:wrapNone/>
                <wp:docPr id="22" name="Rectángulo 22"/>
                <wp:cNvGraphicFramePr/>
                <a:graphic xmlns:a="http://schemas.openxmlformats.org/drawingml/2006/main">
                  <a:graphicData uri="http://schemas.microsoft.com/office/word/2010/wordprocessingShape">
                    <wps:wsp>
                      <wps:cNvSpPr/>
                      <wps:spPr>
                        <a:xfrm>
                          <a:off x="3255263" y="3222788"/>
                          <a:ext cx="4181475" cy="1114425"/>
                        </a:xfrm>
                        <a:prstGeom prst="rect">
                          <a:avLst/>
                        </a:prstGeom>
                        <a:noFill/>
                        <a:ln w="38100" cap="flat" cmpd="sng">
                          <a:solidFill>
                            <a:srgbClr val="FF0000"/>
                          </a:solidFill>
                          <a:prstDash val="solid"/>
                          <a:round/>
                          <a:headEnd type="none" w="sm" len="sm"/>
                          <a:tailEnd type="none" w="sm" len="sm"/>
                        </a:ln>
                      </wps:spPr>
                      <wps:txbx>
                        <w:txbxContent>
                          <w:p w:rsidR="00DC511C" w:rsidRDefault="00DC511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1485900</wp:posOffset>
                </wp:positionV>
                <wp:extent cx="4219575" cy="1152525"/>
                <wp:effectExtent b="0" l="0" r="0" t="0"/>
                <wp:wrapNone/>
                <wp:docPr id="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219575" cy="1152525"/>
                        </a:xfrm>
                        <a:prstGeom prst="rect"/>
                        <a:ln/>
                      </pic:spPr>
                    </pic:pic>
                  </a:graphicData>
                </a:graphic>
              </wp:anchor>
            </w:drawing>
          </mc:Fallback>
        </mc:AlternateContent>
      </w:r>
    </w:p>
    <w:p w:rsidR="00DC511C" w:rsidRDefault="007D3F91">
      <w:pPr>
        <w:spacing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4342869" cy="5783722"/>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1631" t="16121" r="8045" b="12076"/>
                    <a:stretch>
                      <a:fillRect/>
                    </a:stretch>
                  </pic:blipFill>
                  <pic:spPr>
                    <a:xfrm>
                      <a:off x="0" y="0"/>
                      <a:ext cx="4342869" cy="5783722"/>
                    </a:xfrm>
                    <a:prstGeom prst="rect">
                      <a:avLst/>
                    </a:prstGeom>
                    <a:ln/>
                  </pic:spPr>
                </pic:pic>
              </a:graphicData>
            </a:graphic>
          </wp:inline>
        </w:drawing>
      </w:r>
    </w:p>
    <w:p w:rsidR="00DC511C" w:rsidRDefault="007D3F9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adjunta el documento: </w:t>
      </w:r>
      <w:r>
        <w:rPr>
          <w:rFonts w:ascii="Palatino Linotype" w:eastAsia="Palatino Linotype" w:hAnsi="Palatino Linotype" w:cs="Palatino Linotype"/>
          <w:b/>
        </w:rPr>
        <w:t>“</w:t>
      </w:r>
      <w:r>
        <w:rPr>
          <w:rFonts w:ascii="Palatino Linotype" w:eastAsia="Palatino Linotype" w:hAnsi="Palatino Linotype" w:cs="Palatino Linotype"/>
          <w:b/>
          <w:i/>
        </w:rPr>
        <w:t>Quincuagésima Cuarta Extraordinaria 22.pdf”</w:t>
      </w:r>
      <w:r>
        <w:rPr>
          <w:rFonts w:ascii="Palatino Linotype" w:eastAsia="Palatino Linotype" w:hAnsi="Palatino Linotype" w:cs="Palatino Linotype"/>
          <w:i/>
        </w:rPr>
        <w:t xml:space="preserve">, </w:t>
      </w:r>
      <w:r>
        <w:rPr>
          <w:rFonts w:ascii="Palatino Linotype" w:eastAsia="Palatino Linotype" w:hAnsi="Palatino Linotype" w:cs="Palatino Linotype"/>
        </w:rPr>
        <w:t>que contiene el Acta de la Quincuagésima Cuarta Sesión Extraordinaria 2022 del Comité de Transparencia del Municipio de Toluca, mediante el que se destaca el cambio de moda</w:t>
      </w:r>
      <w:r>
        <w:rPr>
          <w:rFonts w:ascii="Palatino Linotype" w:eastAsia="Palatino Linotype" w:hAnsi="Palatino Linotype" w:cs="Palatino Linotype"/>
        </w:rPr>
        <w:t>lidad por consulta en sitio en parte de la información, argumentando lo siguiente:</w:t>
      </w:r>
    </w:p>
    <w:p w:rsidR="00DC511C" w:rsidRDefault="007D3F91">
      <w:pPr>
        <w:spacing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3923859" cy="1358392"/>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62198" t="19648" r="8749" b="62470"/>
                    <a:stretch>
                      <a:fillRect/>
                    </a:stretch>
                  </pic:blipFill>
                  <pic:spPr>
                    <a:xfrm>
                      <a:off x="0" y="0"/>
                      <a:ext cx="3923859" cy="1358392"/>
                    </a:xfrm>
                    <a:prstGeom prst="rect">
                      <a:avLst/>
                    </a:prstGeom>
                    <a:ln/>
                  </pic:spPr>
                </pic:pic>
              </a:graphicData>
            </a:graphic>
          </wp:inline>
        </w:drawing>
      </w:r>
    </w:p>
    <w:p w:rsidR="00DC511C" w:rsidRDefault="007D3F91">
      <w:pPr>
        <w:spacing w:after="240" w:line="360" w:lineRule="auto"/>
        <w:jc w:val="center"/>
        <w:rPr>
          <w:rFonts w:ascii="Palatino Linotype" w:eastAsia="Palatino Linotype" w:hAnsi="Palatino Linotype" w:cs="Palatino Linotype"/>
        </w:rPr>
      </w:pPr>
      <w:r>
        <w:rPr>
          <w:noProof/>
          <w:lang w:val="es-MX"/>
        </w:rPr>
        <w:drawing>
          <wp:inline distT="0" distB="0" distL="0" distR="0">
            <wp:extent cx="4330915" cy="239583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62198" t="62750" r="8749" b="5517"/>
                    <a:stretch>
                      <a:fillRect/>
                    </a:stretch>
                  </pic:blipFill>
                  <pic:spPr>
                    <a:xfrm>
                      <a:off x="0" y="0"/>
                      <a:ext cx="4330915" cy="2395835"/>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927100</wp:posOffset>
                </wp:positionH>
                <wp:positionV relativeFrom="paragraph">
                  <wp:posOffset>812800</wp:posOffset>
                </wp:positionV>
                <wp:extent cx="3973995" cy="1556661"/>
                <wp:effectExtent l="0" t="0" r="0" b="0"/>
                <wp:wrapNone/>
                <wp:docPr id="21" name="Rectángulo 21"/>
                <wp:cNvGraphicFramePr/>
                <a:graphic xmlns:a="http://schemas.openxmlformats.org/drawingml/2006/main">
                  <a:graphicData uri="http://schemas.microsoft.com/office/word/2010/wordprocessingShape">
                    <wps:wsp>
                      <wps:cNvSpPr/>
                      <wps:spPr>
                        <a:xfrm>
                          <a:off x="3378053" y="3020720"/>
                          <a:ext cx="3935895" cy="1518561"/>
                        </a:xfrm>
                        <a:prstGeom prst="rect">
                          <a:avLst/>
                        </a:prstGeom>
                        <a:noFill/>
                        <a:ln w="38100" cap="flat" cmpd="sng">
                          <a:solidFill>
                            <a:srgbClr val="FF0000"/>
                          </a:solidFill>
                          <a:prstDash val="solid"/>
                          <a:round/>
                          <a:headEnd type="none" w="sm" len="sm"/>
                          <a:tailEnd type="none" w="sm" len="sm"/>
                        </a:ln>
                      </wps:spPr>
                      <wps:txbx>
                        <w:txbxContent>
                          <w:p w:rsidR="00DC511C" w:rsidRDefault="00DC511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812800</wp:posOffset>
                </wp:positionV>
                <wp:extent cx="3973995" cy="1556661"/>
                <wp:effectExtent b="0" l="0" r="0" t="0"/>
                <wp:wrapNone/>
                <wp:docPr id="2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973995" cy="1556661"/>
                        </a:xfrm>
                        <a:prstGeom prst="rect"/>
                        <a:ln/>
                      </pic:spPr>
                    </pic:pic>
                  </a:graphicData>
                </a:graphic>
              </wp:anchor>
            </w:drawing>
          </mc:Fallback>
        </mc:AlternateContent>
      </w:r>
    </w:p>
    <w:p w:rsidR="00DC511C" w:rsidRDefault="007D3F91">
      <w:pPr>
        <w:spacing w:after="240" w:line="360" w:lineRule="auto"/>
        <w:jc w:val="center"/>
        <w:rPr>
          <w:rFonts w:ascii="Palatino Linotype" w:eastAsia="Palatino Linotype" w:hAnsi="Palatino Linotype" w:cs="Palatino Linotype"/>
        </w:rPr>
      </w:pPr>
      <w:r>
        <w:rPr>
          <w:noProof/>
          <w:lang w:val="es-MX"/>
        </w:rPr>
        <w:drawing>
          <wp:inline distT="0" distB="0" distL="0" distR="0">
            <wp:extent cx="3711965" cy="2078274"/>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64919" t="21413" r="8752" b="52379"/>
                    <a:stretch>
                      <a:fillRect/>
                    </a:stretch>
                  </pic:blipFill>
                  <pic:spPr>
                    <a:xfrm>
                      <a:off x="0" y="0"/>
                      <a:ext cx="3711965" cy="2078274"/>
                    </a:xfrm>
                    <a:prstGeom prst="rect">
                      <a:avLst/>
                    </a:prstGeom>
                    <a:ln/>
                  </pic:spPr>
                </pic:pic>
              </a:graphicData>
            </a:graphic>
          </wp:inline>
        </w:drawing>
      </w:r>
    </w:p>
    <w:p w:rsidR="00DC511C" w:rsidRDefault="007D3F9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sidR="00B43415">
        <w:rPr>
          <w:rFonts w:ascii="Palatino Linotype" w:eastAsia="Palatino Linotype" w:hAnsi="Palatino Linotype" w:cs="Palatino Linotype"/>
          <w:b/>
        </w:rPr>
        <w:t>RECURRENTE</w:t>
      </w:r>
      <w:r w:rsidR="00B43415">
        <w:rPr>
          <w:rFonts w:ascii="Palatino Linotype" w:eastAsia="Palatino Linotype" w:hAnsi="Palatino Linotype" w:cs="Palatino Linotype"/>
        </w:rPr>
        <w:t xml:space="preserve"> a</w:t>
      </w:r>
      <w:bookmarkStart w:id="3" w:name="_GoBack"/>
      <w:bookmarkEnd w:id="3"/>
      <w:r>
        <w:rPr>
          <w:rFonts w:ascii="Palatino Linotype" w:eastAsia="Palatino Linotype" w:hAnsi="Palatino Linotype" w:cs="Palatino Linotype"/>
        </w:rPr>
        <w:t xml:space="preserve"> efecto de que manifestara lo que a su derecho estimara </w:t>
      </w:r>
      <w:r>
        <w:rPr>
          <w:rFonts w:ascii="Palatino Linotype" w:eastAsia="Palatino Linotype" w:hAnsi="Palatino Linotype" w:cs="Palatino Linotype"/>
        </w:rPr>
        <w:lastRenderedPageBreak/>
        <w:t>conveniente, sin</w:t>
      </w:r>
      <w:r>
        <w:rPr>
          <w:rFonts w:ascii="Palatino Linotype" w:eastAsia="Palatino Linotype" w:hAnsi="Palatino Linotype" w:cs="Palatino Linotype"/>
        </w:rPr>
        <w:t xml:space="preserve"> embargo, fue omisa en ejercer dicha prerrogativa en el plazo establecido para tal efecto.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expediente</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DC511C" w:rsidRDefault="007D3F91">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w:t>
      </w:r>
      <w:r>
        <w:rPr>
          <w:rFonts w:ascii="Palatino Linotype" w:eastAsia="Palatino Linotype" w:hAnsi="Palatino Linotype" w:cs="Palatino Linotype"/>
          <w:b/>
        </w:rPr>
        <w:t>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color w:val="000000"/>
        </w:rPr>
        <w:t>veinte de abril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w:t>
      </w:r>
      <w:r>
        <w:rPr>
          <w:rFonts w:ascii="Palatino Linotype" w:eastAsia="Palatino Linotype" w:hAnsi="Palatino Linotype" w:cs="Palatino Linotype"/>
        </w:rPr>
        <w:t>erminó mediante el acuerdo respectivo, ampliar por quince días hábiles adicionales el plazo para emitir la presente resolución a fin de realizar un mejor estudio del asunto.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w:t>
      </w:r>
      <w:r>
        <w:rPr>
          <w:rFonts w:ascii="Palatino Linotype" w:eastAsia="Palatino Linotype" w:hAnsi="Palatino Linotype" w:cs="Palatino Linotype"/>
        </w:rPr>
        <w:t xml:space="preserve">diligencia pendiente de desahogo, se emite la Resolución que conforme a Derecho proceda, de acuerdo con los siguientes: </w:t>
      </w:r>
    </w:p>
    <w:p w:rsidR="00DC511C" w:rsidRDefault="007D3F91">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DC511C" w:rsidRDefault="00DC511C">
      <w:pPr>
        <w:widowControl w:val="0"/>
        <w:spacing w:line="360" w:lineRule="auto"/>
        <w:jc w:val="center"/>
        <w:rPr>
          <w:rFonts w:ascii="Palatino Linotype" w:eastAsia="Palatino Linotype" w:hAnsi="Palatino Linotype" w:cs="Palatino Linotype"/>
          <w:b/>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rPr>
        <w:t xml:space="preserve">puesto en los artículos 6, apartado A de la Constitución Política de los Estados Unidos Mexicanos; 5 párrafos trigésimo, </w:t>
      </w:r>
      <w:r>
        <w:rPr>
          <w:rFonts w:ascii="Palatino Linotype" w:eastAsia="Palatino Linotype" w:hAnsi="Palatino Linotype" w:cs="Palatino Linotype"/>
        </w:rPr>
        <w:lastRenderedPageBreak/>
        <w:t xml:space="preserve">trigésimo primero y trigésimo segundo fracciones IV y V de la Constitución Política del Estado Libre y Soberano de México; 2, fracción </w:t>
      </w:r>
      <w:r>
        <w:rPr>
          <w:rFonts w:ascii="Palatino Linotype" w:eastAsia="Palatino Linotype" w:hAnsi="Palatino Linotype" w:cs="Palatino Linotype"/>
        </w:rPr>
        <w:t xml:space="preserve">II; 29, 36 fracciones I y II; 176, 178, 181, 185, fracción I, 186 y 188 de la Ley Transparencia y Acceso a la Información Pública del Estado de México y Municipios; 9, fracciones I y XXIV y 11 del Reglamento Interior del Instituto de Transparencia, Acceso </w:t>
      </w:r>
      <w:r>
        <w:rPr>
          <w:rFonts w:ascii="Palatino Linotype" w:eastAsia="Palatino Linotype" w:hAnsi="Palatino Linotype" w:cs="Palatino Linotype"/>
        </w:rPr>
        <w:t>a la Información Pública y Protección de Datos Personales del Estado de México y Municipios.</w:t>
      </w:r>
    </w:p>
    <w:p w:rsidR="00DC511C" w:rsidRDefault="007D3F91">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w:t>
      </w:r>
      <w:r>
        <w:rPr>
          <w:rFonts w:ascii="Palatino Linotype" w:eastAsia="Palatino Linotype" w:hAnsi="Palatino Linotype" w:cs="Palatino Linotype"/>
        </w:rPr>
        <w:t>ibilidad que debe reunir el recurso de revisión interpuesto, previstos en los artículos 178 y 180 de la Ley de Transparencia y Acceso a la Información Pública del Estado de México y Municipios.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w:t>
      </w:r>
      <w:r>
        <w:rPr>
          <w:rFonts w:ascii="Palatino Linotype" w:eastAsia="Palatino Linotype" w:hAnsi="Palatino Linotype" w:cs="Palatino Linotype"/>
        </w:rPr>
        <w:t xml:space="preserve">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quince de febrero de dos</w:t>
      </w:r>
      <w:r>
        <w:rPr>
          <w:rFonts w:ascii="Palatino Linotype" w:eastAsia="Palatino Linotype" w:hAnsi="Palatino Linotype" w:cs="Palatino Linotype"/>
          <w:b/>
        </w:rPr>
        <w:t xml:space="preserve">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veintidós de febrero de dos mil veintidós</w:t>
      </w:r>
      <w:r>
        <w:rPr>
          <w:rFonts w:ascii="Palatino Linotype" w:eastAsia="Palatino Linotype" w:hAnsi="Palatino Linotype" w:cs="Palatino Linotype"/>
        </w:rPr>
        <w:t>, esto es, al quinto día hábil en que tuvo conocimiento de la respuesta impugnada.</w:t>
      </w:r>
    </w:p>
    <w:p w:rsidR="00DC511C" w:rsidRDefault="007D3F91">
      <w:pPr>
        <w:spacing w:before="240" w:after="240" w:line="360" w:lineRule="auto"/>
        <w:jc w:val="both"/>
        <w:rPr>
          <w:rFonts w:ascii="Palatino Linotype" w:eastAsia="Palatino Linotype" w:hAnsi="Palatino Linotype" w:cs="Palatino Linotype"/>
        </w:rPr>
      </w:pPr>
      <w:bookmarkStart w:id="5" w:name="_heading=h.3znysh7" w:colFirst="0" w:colLast="0"/>
      <w:bookmarkEnd w:id="5"/>
      <w:r>
        <w:rPr>
          <w:rFonts w:ascii="Palatino Linotype" w:eastAsia="Palatino Linotype" w:hAnsi="Palatino Linotype" w:cs="Palatino Linotype"/>
        </w:rPr>
        <w:t>En este senti</w:t>
      </w:r>
      <w:r>
        <w:rPr>
          <w:rFonts w:ascii="Palatino Linotype" w:eastAsia="Palatino Linotype" w:hAnsi="Palatino Linotype" w:cs="Palatino Linotype"/>
        </w:rPr>
        <w:t xml:space="preserve">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w:t>
      </w:r>
      <w:r>
        <w:rPr>
          <w:rFonts w:ascii="Palatino Linotype" w:eastAsia="Palatino Linotype" w:hAnsi="Palatino Linotype" w:cs="Palatino Linotype"/>
        </w:rPr>
        <w:t>es temporales previstos las disposiciones legales referidas.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w:t>
      </w:r>
      <w:r>
        <w:rPr>
          <w:rFonts w:ascii="Palatino Linotype" w:eastAsia="Palatino Linotype" w:hAnsi="Palatino Linotype" w:cs="Palatino Linotype"/>
        </w:rPr>
        <w:t>entos formales precisados por el artículo 180 de la Ley de Transparencia y Acceso a la Información Pública del Estado de México y Municipios, en atención a que fue presentado mediante el formato visible en el SAIMEX.</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sustentar lo anterior, es d</w:t>
      </w:r>
      <w:r>
        <w:rPr>
          <w:rFonts w:ascii="Palatino Linotype" w:eastAsia="Palatino Linotype" w:hAnsi="Palatino Linotype" w:cs="Palatino Linotype"/>
        </w:rPr>
        <w:t xml:space="preserve">e suma importancia mencionar que si bien parte no proporcionó nombre o seudónimo como se advierte en el detalle de seguimiento del SAIMEX, sin embargo, el no proporcionar un nombre no es motivo para archivar la solicitud de acceso a la información pública </w:t>
      </w:r>
      <w:r>
        <w:rPr>
          <w:rFonts w:ascii="Palatino Linotype" w:eastAsia="Palatino Linotype" w:hAnsi="Palatino Linotype" w:cs="Palatino Linotype"/>
        </w:rPr>
        <w:t>como concluida, conforme a lo previsto en el artículo 155, penúltimo párrafo de la Ley de Transparencia y Acceso a la Información Pública del Estado de México y Municipios que establece lo siguiente:</w:t>
      </w:r>
    </w:p>
    <w:p w:rsidR="00DC511C" w:rsidRDefault="007D3F9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"Las solicitudes anónimas, con nombre incompleto o seudó</w:t>
      </w:r>
      <w:r>
        <w:rPr>
          <w:rFonts w:ascii="Palatino Linotype" w:eastAsia="Palatino Linotype" w:hAnsi="Palatino Linotype" w:cs="Palatino Linotype"/>
          <w:i/>
        </w:rPr>
        <w:t>nimo serán procedentes para su trámite por parte del sujeto obligado ante quien se presente. No podrá requerirse información adicional con motivo del nombre proporcionado por el solicitante."</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w:t>
      </w:r>
      <w:r>
        <w:rPr>
          <w:rFonts w:ascii="Palatino Linotype" w:eastAsia="Palatino Linotype" w:hAnsi="Palatino Linotype" w:cs="Palatino Linotype"/>
        </w:rPr>
        <w:t>ncia local citado, en su último párrafo establece que cuando el recurso se interponga de manera electrónica, no será indispensable que contenga determinados requisitos, entre ellos, el nombre de la parte Recurrente, por lo que, en el presente caso, al habe</w:t>
      </w:r>
      <w:r>
        <w:rPr>
          <w:rFonts w:ascii="Palatino Linotype" w:eastAsia="Palatino Linotype" w:hAnsi="Palatino Linotype" w:cs="Palatino Linotype"/>
        </w:rPr>
        <w:t>r sido presentado el recurso de revisión vía SAIMEX, dicho requisito resulta innecesario.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VIII y X del ordenamiento legal citado, que a la letra dice: </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w:t>
      </w:r>
      <w:r>
        <w:rPr>
          <w:rFonts w:ascii="Palatino Linotype" w:eastAsia="Palatino Linotype" w:hAnsi="Palatino Linotype" w:cs="Palatino Linotype"/>
          <w:b/>
          <w:i/>
          <w:sz w:val="22"/>
          <w:szCs w:val="22"/>
        </w:rPr>
        <w:t>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C511C" w:rsidRDefault="007D3F91">
      <w:pPr>
        <w:spacing w:before="120" w:after="120"/>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DC511C" w:rsidRDefault="007D3F9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w:t>
      </w:r>
      <w:r>
        <w:rPr>
          <w:rFonts w:ascii="Palatino Linotype" w:eastAsia="Palatino Linotype" w:hAnsi="Palatino Linotype" w:cs="Palatino Linotype"/>
          <w:i/>
          <w:sz w:val="22"/>
          <w:szCs w:val="22"/>
        </w:rPr>
        <w:t>La notificación, entrega o puesta a di</w:t>
      </w:r>
      <w:r>
        <w:rPr>
          <w:rFonts w:ascii="Palatino Linotype" w:eastAsia="Palatino Linotype" w:hAnsi="Palatino Linotype" w:cs="Palatino Linotype"/>
          <w:i/>
          <w:sz w:val="22"/>
          <w:szCs w:val="22"/>
        </w:rPr>
        <w:t>sposición de información en una modalidad o formato distinto al solicitado;</w:t>
      </w:r>
    </w:p>
    <w:p w:rsidR="00DC511C" w:rsidRDefault="007D3F9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DC511C" w:rsidRDefault="007D3F9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Los costos o tiempos de entrega de la información</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DC511C" w:rsidRDefault="007D3F9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w:t>
      </w:r>
      <w:r>
        <w:rPr>
          <w:rFonts w:ascii="Palatino Linotype" w:eastAsia="Palatino Linotype" w:hAnsi="Palatino Linotype" w:cs="Palatino Linotype"/>
          <w:b/>
        </w:rPr>
        <w:t xml:space="preserve">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DC511C" w:rsidRDefault="007D3F91">
      <w:pPr>
        <w:spacing w:before="240" w:after="240" w:line="360" w:lineRule="auto"/>
        <w:jc w:val="both"/>
        <w:rPr>
          <w:rFonts w:ascii="Palatino Linotype" w:eastAsia="Palatino Linotype" w:hAnsi="Palatino Linotype" w:cs="Palatino Linotype"/>
          <w:b/>
        </w:rPr>
      </w:pPr>
      <w:bookmarkStart w:id="6" w:name="_heading=h.2et92p0" w:colFirst="0" w:colLast="0"/>
      <w:bookmarkEnd w:id="6"/>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Antes de entrar al a</w:t>
      </w:r>
      <w:r>
        <w:rPr>
          <w:rFonts w:ascii="Palatino Linotype" w:eastAsia="Palatino Linotype" w:hAnsi="Palatino Linotype" w:cs="Palatino Linotype"/>
        </w:rPr>
        <w:t xml:space="preserve">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w:t>
      </w:r>
      <w:r>
        <w:rPr>
          <w:rFonts w:ascii="Palatino Linotype" w:eastAsia="Palatino Linotype" w:hAnsi="Palatino Linotype" w:cs="Palatino Linotype"/>
        </w:rPr>
        <w:t>reserva alguna sobre lo que nos interesa, adoptando dichas disposiciones al Derecho Interno, específicamente a nivel Constitucional, tal y como lo prevén los arábigos 1 párrafos primero, segundo y tercero y 6 apartado A fracciones I, II, III, IV, V, VI y V</w:t>
      </w:r>
      <w:r>
        <w:rPr>
          <w:rFonts w:ascii="Palatino Linotype" w:eastAsia="Palatino Linotype" w:hAnsi="Palatino Linotype" w:cs="Palatino Linotype"/>
        </w:rPr>
        <w:t>II que a la letra señalan:</w:t>
      </w:r>
    </w:p>
    <w:p w:rsidR="00DC511C" w:rsidRDefault="007D3F9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w:t>
      </w:r>
      <w:r>
        <w:rPr>
          <w:rFonts w:ascii="Palatino Linotype" w:eastAsia="Palatino Linotype" w:hAnsi="Palatino Linotype" w:cs="Palatino Linotype"/>
          <w:i/>
          <w:sz w:val="22"/>
          <w:szCs w:val="22"/>
        </w:rPr>
        <w:lastRenderedPageBreak/>
        <w:t>de las garantías</w:t>
      </w:r>
      <w:r>
        <w:rPr>
          <w:rFonts w:ascii="Palatino Linotype" w:eastAsia="Palatino Linotype" w:hAnsi="Palatino Linotype" w:cs="Palatino Linotype"/>
          <w:i/>
          <w:sz w:val="22"/>
          <w:szCs w:val="22"/>
        </w:rPr>
        <w:t xml:space="preserve"> para su protección, cuyo ejercicio no podrá restringirse ni suspenderse, salvo en los casos y bajo las condiciones que esta Constitución establece.</w:t>
      </w:r>
    </w:p>
    <w:p w:rsidR="00DC511C" w:rsidRDefault="007D3F9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w:t>
      </w:r>
      <w:r>
        <w:rPr>
          <w:rFonts w:ascii="Palatino Linotype" w:eastAsia="Palatino Linotype" w:hAnsi="Palatino Linotype" w:cs="Palatino Linotype"/>
          <w:b/>
          <w:i/>
          <w:sz w:val="22"/>
          <w:szCs w:val="22"/>
        </w:rPr>
        <w:t xml:space="preserve"> tratados internacionales de la materia favoreciendo en todo tiempo a las personas la protección más amplia.</w:t>
      </w:r>
    </w:p>
    <w:p w:rsidR="00DC511C" w:rsidRDefault="007D3F9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w:t>
      </w:r>
      <w:r>
        <w:rPr>
          <w:rFonts w:ascii="Palatino Linotype" w:eastAsia="Palatino Linotype" w:hAnsi="Palatino Linotype" w:cs="Palatino Linotype"/>
          <w:b/>
          <w:i/>
          <w:sz w:val="22"/>
          <w:szCs w:val="22"/>
          <w:u w:val="single"/>
        </w:rPr>
        <w:t>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C511C" w:rsidRDefault="007D3F9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w:t>
      </w:r>
    </w:p>
    <w:p w:rsidR="00DC511C" w:rsidRDefault="007D3F9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DC511C" w:rsidRDefault="007D3F9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órganos autónomos, partidos políticos, fideicomisos y fondos públicos, así como de cualquier persona física, moral o sindi</w:t>
      </w:r>
      <w:r>
        <w:rPr>
          <w:rFonts w:ascii="Palatino Linotype" w:eastAsia="Palatino Linotype" w:hAnsi="Palatino Linotype" w:cs="Palatino Linotype"/>
          <w:i/>
          <w:sz w:val="22"/>
          <w:szCs w:val="22"/>
        </w:rPr>
        <w:t xml:space="preserve">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w:t>
      </w:r>
      <w:r>
        <w:rPr>
          <w:rFonts w:ascii="Palatino Linotype" w:eastAsia="Palatino Linotype" w:hAnsi="Palatino Linotype" w:cs="Palatino Linotype"/>
          <w:i/>
          <w:sz w:val="22"/>
          <w:szCs w:val="22"/>
        </w:rPr>
        <w:t xml:space="preserve"> En la interpretación de este derecho deberá prevalecer el principio de máxima publicidad. Los sujetos obligados deberán documentar todo acto que derive del ejercicio de sus facultades, competencias o funciones, la ley determinará los supuestos específicos</w:t>
      </w:r>
      <w:r>
        <w:rPr>
          <w:rFonts w:ascii="Palatino Linotype" w:eastAsia="Palatino Linotype" w:hAnsi="Palatino Linotype" w:cs="Palatino Linotype"/>
          <w:i/>
          <w:sz w:val="22"/>
          <w:szCs w:val="22"/>
        </w:rPr>
        <w:t xml:space="preserve"> bajo los cuales procederá la declaración de inexistencia de la información.</w:t>
      </w:r>
    </w:p>
    <w:p w:rsidR="00DC511C" w:rsidRDefault="007D3F91">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w:t>
      </w:r>
      <w:r>
        <w:rPr>
          <w:rFonts w:ascii="Palatino Linotype" w:eastAsia="Palatino Linotype" w:hAnsi="Palatino Linotype" w:cs="Palatino Linotype"/>
          <w:i/>
          <w:sz w:val="22"/>
          <w:szCs w:val="22"/>
        </w:rPr>
        <w:t>mientos de revisión expeditos que se sustanciarán ante los organismos autónomos especializados e imparciales que establece esta Constitución.</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w:t>
      </w:r>
      <w:r>
        <w:rPr>
          <w:rFonts w:ascii="Palatino Linotype" w:eastAsia="Palatino Linotype" w:hAnsi="Palatino Linotype" w:cs="Palatino Linotype"/>
          <w:i/>
          <w:sz w:val="22"/>
          <w:szCs w:val="22"/>
        </w:rPr>
        <w:t xml:space="preserve"> través de los medios electrónicos disponibles, la información completa y actualizada sobre el ejercicio de los recursos públicos y los indicadores que permitan rendir cuenta del cumplimiento de sus objetivos y de los resultados obtenidos.</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w:t>
      </w:r>
      <w:r>
        <w:rPr>
          <w:rFonts w:ascii="Palatino Linotype" w:eastAsia="Palatino Linotype" w:hAnsi="Palatino Linotype" w:cs="Palatino Linotype"/>
          <w:i/>
          <w:sz w:val="22"/>
          <w:szCs w:val="22"/>
        </w:rPr>
        <w:t>eterminarán la manera en que los sujetos obligados deberán hacer pública la información relativa a los recursos públicos que entreguen a personas físicas o morales.</w:t>
      </w:r>
    </w:p>
    <w:p w:rsidR="00DC511C" w:rsidRDefault="007D3F9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w:t>
      </w:r>
      <w:r>
        <w:rPr>
          <w:rFonts w:ascii="Palatino Linotype" w:eastAsia="Palatino Linotype" w:hAnsi="Palatino Linotype" w:cs="Palatino Linotype"/>
          <w:i/>
          <w:sz w:val="22"/>
          <w:szCs w:val="22"/>
        </w:rPr>
        <w:t>rá sancionada en los términos que dispongan las leyes. [...]</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w:t>
      </w:r>
      <w:r>
        <w:rPr>
          <w:rFonts w:ascii="Palatino Linotype" w:eastAsia="Palatino Linotype" w:hAnsi="Palatino Linotype" w:cs="Palatino Linotype"/>
        </w:rPr>
        <w:t xml:space="preserve">esión de los Sujetos Obligados, como así también lo señala la Ley de Transparencia y Acceso a la Información Pública del Estado de México y Municipios en su artículo 4, que toda la información generada, obtenida, adquirida, transformada, administrada o en </w:t>
      </w:r>
      <w:r>
        <w:rPr>
          <w:rFonts w:ascii="Palatino Linotype" w:eastAsia="Palatino Linotype" w:hAnsi="Palatino Linotype" w:cs="Palatino Linotype"/>
        </w:rPr>
        <w:t>posesión de los sujetos obligados, es pública y accesible, de manera permanente a cualquier persona, privilegiando el principio de máxima publicidad, como así lo establece dicha determinación, que a continuación se trascribe para un mejor entendimiento:</w:t>
      </w:r>
    </w:p>
    <w:p w:rsidR="00DC511C" w:rsidRDefault="007D3F9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sz w:val="22"/>
          <w:szCs w:val="22"/>
        </w:rPr>
        <w:t>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C511C" w:rsidRDefault="007D3F91">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w:t>
      </w:r>
      <w:r>
        <w:rPr>
          <w:rFonts w:ascii="Palatino Linotype" w:eastAsia="Palatino Linotype" w:hAnsi="Palatino Linotype" w:cs="Palatino Linotype"/>
          <w:b/>
          <w:i/>
          <w:sz w:val="22"/>
          <w:szCs w:val="22"/>
        </w:rPr>
        <w:t xml:space="preserve">formación generada, obtenida, adquirida, transformada, administrada o en posesión de los sujetos obligados es pública y accesible de manera permanente a cualquier persona, en los términos y condiciones que se establezcan en los tratados internacionales de </w:t>
      </w:r>
      <w:r>
        <w:rPr>
          <w:rFonts w:ascii="Palatino Linotype" w:eastAsia="Palatino Linotype" w:hAnsi="Palatino Linotype" w:cs="Palatino Linotype"/>
          <w:b/>
          <w:i/>
          <w:sz w:val="22"/>
          <w:szCs w:val="22"/>
        </w:rPr>
        <w:t xml:space="preserve">los que el Estado mexicano sea parte, en la Ley General, la presente Ley y demás disposiciones de la materia, privilegiando el principio de máxima publicidad de la información. Solo podrá ser clasificada excepcionalmente Ley de Transparencia y Acceso a la </w:t>
      </w:r>
      <w:r>
        <w:rPr>
          <w:rFonts w:ascii="Palatino Linotype" w:eastAsia="Palatino Linotype" w:hAnsi="Palatino Linotype" w:cs="Palatino Linotype"/>
          <w:b/>
          <w:i/>
          <w:sz w:val="22"/>
          <w:szCs w:val="22"/>
        </w:rPr>
        <w:t>Información Pública del Estado de México y Municipios 29 como reservada temporalmente por razones de interés público, en los términos de las causas legítimas y estrictamente necesarias previstas por esta Ley.</w:t>
      </w:r>
    </w:p>
    <w:p w:rsidR="00DC511C" w:rsidRDefault="007D3F9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deben poner en práctica, </w:t>
      </w:r>
      <w:r>
        <w:rPr>
          <w:rFonts w:ascii="Palatino Linotype" w:eastAsia="Palatino Linotype" w:hAnsi="Palatino Linotype" w:cs="Palatino Linotype"/>
          <w:i/>
          <w:sz w:val="22"/>
          <w:szCs w:val="22"/>
        </w:rPr>
        <w:t>políticas y programas de acceso a la información que se apeguen a criterios de publicidad, veracidad, oportunidad, precisión y suficiencia en beneficio de los solicitantes.”(Sic)</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w:t>
      </w:r>
      <w:r>
        <w:rPr>
          <w:rFonts w:ascii="Palatino Linotype" w:eastAsia="Palatino Linotype" w:hAnsi="Palatino Linotype" w:cs="Palatino Linotype"/>
        </w:rPr>
        <w:t xml:space="preserve">o deber de atender las solicitudes de acceso a la información pública que se les hagan de su conocimiento y proporcionar la información pública que obren en su poder como así lo establece el artículo 12 de la Ley de Transparencia y Acceso a la Información </w:t>
      </w:r>
      <w:r>
        <w:rPr>
          <w:rFonts w:ascii="Palatino Linotype" w:eastAsia="Palatino Linotype" w:hAnsi="Palatino Linotype" w:cs="Palatino Linotype"/>
        </w:rPr>
        <w:t>Pública del Estado de México y Municipios, el cual a la letra dice:</w:t>
      </w:r>
    </w:p>
    <w:p w:rsidR="00DC511C" w:rsidRDefault="007D3F9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w:t>
      </w:r>
      <w:r>
        <w:rPr>
          <w:rFonts w:ascii="Palatino Linotype" w:eastAsia="Palatino Linotype" w:hAnsi="Palatino Linotype" w:cs="Palatino Linotype"/>
          <w:i/>
          <w:sz w:val="22"/>
          <w:szCs w:val="22"/>
        </w:rPr>
        <w:t xml:space="preserve">icas aplicables. </w:t>
      </w:r>
    </w:p>
    <w:p w:rsidR="00DC511C" w:rsidRDefault="007D3F9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La obligación de proporcionar información no comprende el procesamiento de la misma, </w:t>
      </w:r>
      <w:r>
        <w:rPr>
          <w:rFonts w:ascii="Palatino Linotype" w:eastAsia="Palatino Linotype" w:hAnsi="Palatino Linotype" w:cs="Palatino Linotype"/>
          <w:i/>
          <w:sz w:val="22"/>
          <w:szCs w:val="22"/>
        </w:rPr>
        <w:lastRenderedPageBreak/>
        <w:t>ni el presentarla conforme al interés del solicitante; no estarán obligados a generarla, resumirla, efectuar cálculos o practicar investigaciones.” (Sic)</w:t>
      </w:r>
    </w:p>
    <w:p w:rsidR="00DC511C" w:rsidRDefault="007D3F9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w:t>
      </w:r>
      <w:r>
        <w:rPr>
          <w:rFonts w:ascii="Palatino Linotype" w:eastAsia="Palatino Linotype" w:hAnsi="Palatino Linotype" w:cs="Palatino Linotype"/>
          <w:color w:val="000000"/>
        </w:rPr>
        <w:t>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w:t>
      </w:r>
      <w:r>
        <w:rPr>
          <w:rFonts w:ascii="Palatino Linotype" w:eastAsia="Palatino Linotype" w:hAnsi="Palatino Linotype" w:cs="Palatino Linotype"/>
        </w:rPr>
        <w:t>ece el criterio 03/17 emitido por el Instituto Nacional de Transparencia, Acceso a la Información Pública y Protección de Datos Personales, el cual señala lo siguiente:</w:t>
      </w:r>
    </w:p>
    <w:p w:rsidR="00DC511C" w:rsidRDefault="007D3F9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DC511C" w:rsidRDefault="007D3F9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“NO EXISTE OBLIGACIÓN DE ELABORAR DOCUMENTOS AD HOC PARA ATENDER LAS SOLICITUDES </w:t>
      </w:r>
      <w:r>
        <w:rPr>
          <w:rFonts w:ascii="Palatino Linotype" w:eastAsia="Palatino Linotype" w:hAnsi="Palatino Linotype" w:cs="Palatino Linotype"/>
          <w:b/>
          <w:i/>
          <w:sz w:val="22"/>
          <w:szCs w:val="22"/>
        </w:rPr>
        <w:t>DE ACCESO A LA INFORMACIÓN.</w:t>
      </w:r>
    </w:p>
    <w:p w:rsidR="00DC511C" w:rsidRDefault="007D3F9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w:t>
      </w:r>
      <w:r>
        <w:rPr>
          <w:rFonts w:ascii="Palatino Linotype" w:eastAsia="Palatino Linotype" w:hAnsi="Palatino Linotype" w:cs="Palatino Linotype"/>
          <w:i/>
          <w:sz w:val="22"/>
          <w:szCs w:val="22"/>
        </w:rPr>
        <w:t>r acceso a los documentos que se encuentren en sus archivos o que estén obligados a documentar, de acuerdo con sus facultades, competencias o funciones, conforme a Las características físicas de la información o del lugar donde se encuentre. Por lo anterio</w:t>
      </w:r>
      <w:r>
        <w:rPr>
          <w:rFonts w:ascii="Palatino Linotype" w:eastAsia="Palatino Linotype" w:hAnsi="Palatino Linotype" w:cs="Palatino Linotype"/>
          <w:i/>
          <w:sz w:val="22"/>
          <w:szCs w:val="22"/>
        </w:rPr>
        <w:t>r, los sujetos obligados deben garantizar el derecho de acceso a la información del particular, proporcionando la información con la que cuentan en el formato en que la misma obre en sus archivos; sin necesidad de elaborar documentos ad hoc para atender la</w:t>
      </w:r>
      <w:r>
        <w:rPr>
          <w:rFonts w:ascii="Palatino Linotype" w:eastAsia="Palatino Linotype" w:hAnsi="Palatino Linotype" w:cs="Palatino Linotype"/>
          <w:i/>
          <w:sz w:val="22"/>
          <w:szCs w:val="22"/>
        </w:rPr>
        <w:t>s solicitudes de información."(Sic)</w:t>
      </w:r>
    </w:p>
    <w:p w:rsidR="00DC511C" w:rsidRDefault="007D3F9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w:t>
      </w:r>
      <w:r>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w:t>
      </w:r>
      <w:r>
        <w:rPr>
          <w:rFonts w:ascii="Palatino Linotype" w:eastAsia="Palatino Linotype" w:hAnsi="Palatino Linotype" w:cs="Palatino Linotype"/>
          <w:color w:val="000000"/>
        </w:rPr>
        <w:t>lica.</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w:t>
      </w:r>
      <w:r>
        <w:rPr>
          <w:rFonts w:ascii="Palatino Linotype" w:eastAsia="Palatino Linotype" w:hAnsi="Palatino Linotype" w:cs="Palatino Linotype"/>
        </w:rPr>
        <w:t xml:space="preserve">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w:t>
      </w:r>
      <w:r>
        <w:rPr>
          <w:rFonts w:ascii="Palatino Linotype" w:eastAsia="Palatino Linotype" w:hAnsi="Palatino Linotype" w:cs="Palatino Linotype"/>
        </w:rPr>
        <w:t xml:space="preserve">directivas, directrices, circulares, contratos, convenios, instructivos, notas, memorandos, estadísticas o bien, cualquier otro registro que documente el ejercicio de las facultades, funciones y competencias de los Sujetos Obligados; los que, podrán estar </w:t>
      </w:r>
      <w:r>
        <w:rPr>
          <w:rFonts w:ascii="Palatino Linotype" w:eastAsia="Palatino Linotype" w:hAnsi="Palatino Linotype" w:cs="Palatino Linotype"/>
        </w:rPr>
        <w:t xml:space="preserve">en cualquier medio, sea escrito, impreso, sonoro, visual, electrónico, informático u holográfico de conformidad con el artículo 3, fracción XI de la Ley de la materia, el cual señala lo siguiente: </w:t>
      </w:r>
    </w:p>
    <w:p w:rsidR="00DC511C" w:rsidRDefault="007D3F9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w:t>
      </w:r>
      <w:r>
        <w:rPr>
          <w:rFonts w:ascii="Palatino Linotype" w:eastAsia="Palatino Linotype" w:hAnsi="Palatino Linotype" w:cs="Palatino Linotype"/>
          <w:i/>
          <w:sz w:val="22"/>
          <w:szCs w:val="22"/>
        </w:rPr>
        <w:t>erá por:</w:t>
      </w:r>
    </w:p>
    <w:p w:rsidR="00DC511C" w:rsidRDefault="007D3F9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w:t>
      </w:r>
      <w:r>
        <w:rPr>
          <w:rFonts w:ascii="Palatino Linotype" w:eastAsia="Palatino Linotype" w:hAnsi="Palatino Linotype" w:cs="Palatino Linotype"/>
          <w:i/>
          <w:color w:val="000000"/>
          <w:sz w:val="22"/>
          <w:szCs w:val="22"/>
        </w:rPr>
        <w:t>io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color w:val="000000"/>
          <w:sz w:val="22"/>
          <w:szCs w:val="22"/>
        </w:rPr>
        <w:t>,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w:t>
      </w:r>
      <w:r>
        <w:rPr>
          <w:rFonts w:ascii="Palatino Linotype" w:eastAsia="Palatino Linotype" w:hAnsi="Palatino Linotype" w:cs="Palatino Linotype"/>
        </w:rPr>
        <w:t xml:space="preserve"> publicado en el Periódico Oficial del Gobierno del Estado Libre y Soberano de México “Gaceta del Gobierno”, el diecinueve de octubre de dos mil once, cuyo rubro y texto refieren lo siguiente:</w:t>
      </w:r>
    </w:p>
    <w:p w:rsidR="00DC511C" w:rsidRDefault="007D3F9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DC511C" w:rsidRDefault="007D3F9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w:t>
      </w:r>
      <w:r>
        <w:rPr>
          <w:rFonts w:ascii="Palatino Linotype" w:eastAsia="Palatino Linotype" w:hAnsi="Palatino Linotype" w:cs="Palatino Linotype"/>
          <w:b/>
          <w:i/>
          <w:sz w:val="22"/>
          <w:szCs w:val="22"/>
        </w:rPr>
        <w:t>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w:t>
      </w:r>
      <w:r>
        <w:rPr>
          <w:rFonts w:ascii="Palatino Linotype" w:eastAsia="Palatino Linotype" w:hAnsi="Palatino Linotype" w:cs="Palatino Linotype"/>
          <w:i/>
          <w:sz w:val="22"/>
          <w:szCs w:val="22"/>
        </w:rPr>
        <w:t>, el acceso a los archivos, registros y documentos públicos, administrados, generados o en posesión de los órganos u organismos públicos, en virtud del ejercicio de sus funciones de derecho público, sin importar su fuente, soporte o fecha de elaboración.</w:t>
      </w:r>
    </w:p>
    <w:p w:rsidR="00DC511C" w:rsidRDefault="007D3F9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w:t>
      </w:r>
      <w:r>
        <w:rPr>
          <w:rFonts w:ascii="Palatino Linotype" w:eastAsia="Palatino Linotype" w:hAnsi="Palatino Linotype" w:cs="Palatino Linotype"/>
          <w:i/>
          <w:sz w:val="22"/>
          <w:szCs w:val="22"/>
        </w:rPr>
        <w:t>n consecuencia el acceso a la información se refiere a que se cumplan cualquiera de los siguientes tres supuestos:</w:t>
      </w:r>
    </w:p>
    <w:p w:rsidR="00DC511C" w:rsidRDefault="007D3F91">
      <w:pPr>
        <w:numPr>
          <w:ilvl w:val="0"/>
          <w:numId w:val="6"/>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w:t>
      </w:r>
      <w:r>
        <w:rPr>
          <w:rFonts w:ascii="Palatino Linotype" w:eastAsia="Palatino Linotype" w:hAnsi="Palatino Linotype" w:cs="Palatino Linotype"/>
          <w:i/>
          <w:color w:val="000000"/>
          <w:sz w:val="22"/>
          <w:szCs w:val="22"/>
        </w:rPr>
        <w:t xml:space="preserve"> Sujetos Obligados;</w:t>
      </w:r>
    </w:p>
    <w:p w:rsidR="00DC511C" w:rsidRDefault="007D3F91">
      <w:pPr>
        <w:numPr>
          <w:ilvl w:val="0"/>
          <w:numId w:val="6"/>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DC511C" w:rsidRDefault="007D3F91">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w:t>
      </w:r>
      <w:r>
        <w:rPr>
          <w:rFonts w:ascii="Palatino Linotype" w:eastAsia="Palatino Linotype" w:hAnsi="Palatino Linotype" w:cs="Palatino Linotype"/>
          <w:b/>
          <w:i/>
          <w:sz w:val="22"/>
          <w:szCs w:val="22"/>
        </w:rPr>
        <w:t>ntal, que en ejercicio de las atribuciones conferidas, se encuentre en posesión de los Sujetos Obligados.” (Sic)</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w:t>
      </w:r>
      <w:r>
        <w:rPr>
          <w:rFonts w:ascii="Palatino Linotype" w:eastAsia="Palatino Linotype" w:hAnsi="Palatino Linotype" w:cs="Palatino Linotype"/>
        </w:rPr>
        <w:t>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w:t>
      </w:r>
      <w:r>
        <w:rPr>
          <w:rFonts w:ascii="Palatino Linotype" w:eastAsia="Palatino Linotype" w:hAnsi="Palatino Linotype" w:cs="Palatino Linotype"/>
        </w:rPr>
        <w:t>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DC511C" w:rsidRDefault="007D3F91">
      <w:pPr>
        <w:numPr>
          <w:ilvl w:val="0"/>
          <w:numId w:val="7"/>
        </w:numPr>
        <w:pBdr>
          <w:top w:val="nil"/>
          <w:left w:val="nil"/>
          <w:bottom w:val="nil"/>
          <w:right w:val="nil"/>
          <w:between w:val="nil"/>
        </w:pBdr>
        <w:spacing w:before="240" w:line="360" w:lineRule="auto"/>
        <w:ind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de cada área incluyendo sindicaturas y regidurías: los oficios emit</w:t>
      </w:r>
      <w:r>
        <w:rPr>
          <w:rFonts w:ascii="Palatino Linotype" w:eastAsia="Palatino Linotype" w:hAnsi="Palatino Linotype" w:cs="Palatino Linotype"/>
          <w:i/>
          <w:color w:val="000000"/>
        </w:rPr>
        <w:t>idos a la dirección de administración por cuestion de roles de guardia con su soporte documental.</w:t>
      </w:r>
    </w:p>
    <w:p w:rsidR="00DC511C" w:rsidRDefault="007D3F91">
      <w:pPr>
        <w:numPr>
          <w:ilvl w:val="0"/>
          <w:numId w:val="7"/>
        </w:numPr>
        <w:pBdr>
          <w:top w:val="nil"/>
          <w:left w:val="nil"/>
          <w:bottom w:val="nil"/>
          <w:right w:val="nil"/>
          <w:between w:val="nil"/>
        </w:pBdr>
        <w:spacing w:line="360" w:lineRule="auto"/>
        <w:ind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la respuesta de la dirección de administración a cada uno de estos oficios. Toda la información se requiere de los años 2020 y 2021. </w:t>
      </w:r>
    </w:p>
    <w:p w:rsidR="00DC511C" w:rsidRDefault="007D3F91">
      <w:pPr>
        <w:numPr>
          <w:ilvl w:val="0"/>
          <w:numId w:val="7"/>
        </w:numPr>
        <w:pBdr>
          <w:top w:val="nil"/>
          <w:left w:val="nil"/>
          <w:bottom w:val="nil"/>
          <w:right w:val="nil"/>
          <w:between w:val="nil"/>
        </w:pBdr>
        <w:spacing w:after="240" w:line="360" w:lineRule="auto"/>
        <w:ind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Solicito cada u</w:t>
      </w:r>
      <w:r>
        <w:rPr>
          <w:rFonts w:ascii="Palatino Linotype" w:eastAsia="Palatino Linotype" w:hAnsi="Palatino Linotype" w:cs="Palatino Linotype"/>
          <w:i/>
          <w:color w:val="000000"/>
        </w:rPr>
        <w:t>no de los oficios firmados por el titular del organismo de agua y saneamiento y del titular del dif municipal, de los años 2020 y 2021 y actuales.” (Sic)</w:t>
      </w:r>
    </w:p>
    <w:p w:rsidR="00DC511C" w:rsidRDefault="007D3F9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Del último punto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declaró incompetencia.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Unidad de Transparencia, hizo del conocimiento del particular los pronunciamientos vertidos por los servidores públicos habilitados, quienes se manifestaron en los siguientes términos:</w:t>
      </w:r>
    </w:p>
    <w:p w:rsidR="00DC511C" w:rsidRDefault="007D3F91">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Direc</w:t>
      </w:r>
      <w:r>
        <w:rPr>
          <w:rFonts w:ascii="Palatino Linotype" w:eastAsia="Palatino Linotype" w:hAnsi="Palatino Linotype" w:cs="Palatino Linotype"/>
          <w:color w:val="000000"/>
        </w:rPr>
        <w:t>tora General de Administración, informó que fue aprobado por el Comité de Transparencia en la Quincuagésima Cuarta Sesión Extraordinaria, con el número de acuerdo AT/CT/04/2022, el cambio de modalidad a consulta directa, de la información solicitada y da a</w:t>
      </w:r>
      <w:r>
        <w:rPr>
          <w:rFonts w:ascii="Palatino Linotype" w:eastAsia="Palatino Linotype" w:hAnsi="Palatino Linotype" w:cs="Palatino Linotype"/>
          <w:color w:val="000000"/>
        </w:rPr>
        <w:t xml:space="preserve"> conocer la dirección y horarios de las oficinas a donde deberá acudir.</w:t>
      </w:r>
    </w:p>
    <w:p w:rsidR="00DC511C" w:rsidRDefault="007D3F91">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Primera Síndico adjunta evidencia.</w:t>
      </w:r>
    </w:p>
    <w:p w:rsidR="00DC511C" w:rsidRDefault="007D3F91">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Segunda Sindicatura informa que la información solicitada para el año 2020 consta de 22 fojas y para el año 2021 de 48 fojas y da a conocer los</w:t>
      </w:r>
      <w:r>
        <w:rPr>
          <w:rFonts w:ascii="Palatino Linotype" w:eastAsia="Palatino Linotype" w:hAnsi="Palatino Linotype" w:cs="Palatino Linotype"/>
          <w:color w:val="000000"/>
        </w:rPr>
        <w:t xml:space="preserve"> costos por copias simples.</w:t>
      </w:r>
    </w:p>
    <w:p w:rsidR="00DC511C" w:rsidRDefault="007D3F91">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Bajo esa misma tesitura, el Octavo Regidor informa que la información solicitada consta de 10 fojas y su costo.</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documento</w:t>
      </w:r>
      <w:r>
        <w:rPr>
          <w:rFonts w:ascii="Palatino Linotype" w:eastAsia="Palatino Linotype" w:hAnsi="Palatino Linotype" w:cs="Palatino Linotype"/>
          <w:b/>
          <w:i/>
        </w:rPr>
        <w:t>:</w:t>
      </w:r>
      <w:r>
        <w:rPr>
          <w:rFonts w:ascii="Palatino Linotype" w:eastAsia="Palatino Linotype" w:hAnsi="Palatino Linotype" w:cs="Palatino Linotype"/>
          <w:i/>
        </w:rPr>
        <w:t xml:space="preserve"> “</w:t>
      </w:r>
      <w:r>
        <w:rPr>
          <w:rFonts w:ascii="Palatino Linotype" w:eastAsia="Palatino Linotype" w:hAnsi="Palatino Linotype" w:cs="Palatino Linotype"/>
          <w:b/>
          <w:i/>
        </w:rPr>
        <w:t>Administracion 202120.pdf”,</w:t>
      </w:r>
      <w:r>
        <w:rPr>
          <w:rFonts w:ascii="Palatino Linotype" w:eastAsia="Palatino Linotype" w:hAnsi="Palatino Linotype" w:cs="Palatino Linotype"/>
          <w:i/>
        </w:rPr>
        <w:t xml:space="preserve"> </w:t>
      </w:r>
      <w:r>
        <w:rPr>
          <w:rFonts w:ascii="Palatino Linotype" w:eastAsia="Palatino Linotype" w:hAnsi="Palatino Linotype" w:cs="Palatino Linotype"/>
        </w:rPr>
        <w:t>que contiene seis oficios suscritos por la Primera Síndico, mediante los cuales solicita exceptuar los registros de entrada y salida al personal adscrito.</w:t>
      </w:r>
    </w:p>
    <w:p w:rsidR="00DC511C" w:rsidRDefault="007D3F9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Conocida la respuesta por la particular, al no estar conforme con los términos de la misma, presentó </w:t>
      </w:r>
      <w:r>
        <w:rPr>
          <w:rFonts w:ascii="Palatino Linotype" w:eastAsia="Palatino Linotype" w:hAnsi="Palatino Linotype" w:cs="Palatino Linotype"/>
        </w:rPr>
        <w:t xml:space="preserve">el recurso de revisión que nos ocupa, mediante el cual señaló como motivo de inconformidad literalmente lo siguiente: </w:t>
      </w:r>
      <w:r>
        <w:rPr>
          <w:rFonts w:ascii="Palatino Linotype" w:eastAsia="Palatino Linotype" w:hAnsi="Palatino Linotype" w:cs="Palatino Linotype"/>
          <w:i/>
        </w:rPr>
        <w:t>““</w:t>
      </w:r>
      <w:r>
        <w:rPr>
          <w:rFonts w:ascii="Palatino Linotype" w:eastAsia="Palatino Linotype" w:hAnsi="Palatino Linotype" w:cs="Palatino Linotype"/>
          <w:b/>
          <w:i/>
          <w:u w:val="single"/>
        </w:rPr>
        <w:t>El sujeto obligado no entrega la información solicitada y me solicita realizar un pago de más de mil pesos por 70 hojas.”</w:t>
      </w:r>
      <w:r>
        <w:rPr>
          <w:rFonts w:ascii="Palatino Linotype" w:eastAsia="Palatino Linotype" w:hAnsi="Palatino Linotype" w:cs="Palatino Linotype"/>
        </w:rPr>
        <w:t xml:space="preserve"> (sic)</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w:t>
      </w:r>
      <w:r>
        <w:rPr>
          <w:rFonts w:ascii="Palatino Linotype" w:eastAsia="Palatino Linotype" w:hAnsi="Palatino Linotype" w:cs="Palatino Linotype"/>
        </w:rPr>
        <w:t>orden de ideas, la parte de la respuesta que no fue impugnada debe declararse consentida, toda vez que, al no haber realizado manifestaciones de inconformidad al respecto, no pueden producirse efectos jurídicos tendentes a revocar, confirmar o modificar el</w:t>
      </w:r>
      <w:r>
        <w:rPr>
          <w:rFonts w:ascii="Palatino Linotype" w:eastAsia="Palatino Linotype" w:hAnsi="Palatino Linotype" w:cs="Palatino Linotype"/>
        </w:rPr>
        <w:t xml:space="preserve">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rsidR="00DC511C" w:rsidRDefault="007D3F9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éste</w:t>
      </w:r>
      <w:r>
        <w:rPr>
          <w:rFonts w:ascii="Palatino Linotype" w:eastAsia="Palatino Linotype" w:hAnsi="Palatino Linotype" w:cs="Palatino Linotype"/>
        </w:rPr>
        <w:t xml:space="preserve"> no expresa Razón o Motivo de Inconformidad en contra de todos los rubros solicitados, dichos rubros deben declararse atendidos, pues se entiende que la parte Recurrente ésta conforme con la información entregada al no contravenir la misma. Sirve de Apoyo </w:t>
      </w:r>
      <w:r>
        <w:rPr>
          <w:rFonts w:ascii="Palatino Linotype" w:eastAsia="Palatino Linotype" w:hAnsi="Palatino Linotype" w:cs="Palatino Linotype"/>
        </w:rPr>
        <w:t>a lo anterior, por analogía la Tesis Jurisprudencial Número 3ª./J.7/91, Publicada en el Semanario Judicial de la Federación y su Gaceta bajo el número de registro 174,177, que establece lo siguiente:</w:t>
      </w:r>
    </w:p>
    <w:p w:rsidR="00DC511C" w:rsidRDefault="007D3F91">
      <w:pPr>
        <w:spacing w:before="240" w:after="36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“REVISIÓN EN AMPARO. LOS RESOLUTIVOS NO COMBATIDOS DEBEN</w:t>
      </w:r>
      <w:r>
        <w:rPr>
          <w:rFonts w:ascii="Palatino Linotype" w:eastAsia="Palatino Linotype" w:hAnsi="Palatino Linotype" w:cs="Palatino Linotype"/>
          <w:b/>
          <w:i/>
          <w:sz w:val="22"/>
          <w:szCs w:val="22"/>
        </w:rPr>
        <w:t xml:space="preserve">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w:t>
      </w:r>
      <w:r>
        <w:rPr>
          <w:rFonts w:ascii="Palatino Linotype" w:eastAsia="Palatino Linotype" w:hAnsi="Palatino Linotype" w:cs="Palatino Linotype"/>
          <w:i/>
          <w:sz w:val="22"/>
          <w:szCs w:val="22"/>
        </w:rPr>
        <w:t xml:space="preserve">e que la materia de la revisión comprende a todos </w:t>
      </w:r>
      <w:r>
        <w:rPr>
          <w:rFonts w:ascii="Palatino Linotype" w:eastAsia="Palatino Linotype" w:hAnsi="Palatino Linotype" w:cs="Palatino Linotype"/>
          <w:i/>
          <w:sz w:val="22"/>
          <w:szCs w:val="22"/>
        </w:rPr>
        <w:lastRenderedPageBreak/>
        <w:t xml:space="preserve">los resolutivos que afectan a la recurrente, deben declararse firmes aquéllos en contra de los cuales no se formuló agravio y dicha declaración de firmeza debe reflejarse en la parte considerativa y en los </w:t>
      </w:r>
      <w:r>
        <w:rPr>
          <w:rFonts w:ascii="Palatino Linotype" w:eastAsia="Palatino Linotype" w:hAnsi="Palatino Linotype" w:cs="Palatino Linotype"/>
          <w:i/>
          <w:sz w:val="22"/>
          <w:szCs w:val="22"/>
        </w:rPr>
        <w:t>resolutivos debe confirmarse la sentencia recurrida en la parte correspondiente.”</w:t>
      </w:r>
    </w:p>
    <w:p w:rsidR="00DC511C" w:rsidRDefault="007D3F91">
      <w:pPr>
        <w:spacing w:before="240" w:after="240" w:line="360" w:lineRule="auto"/>
        <w:jc w:val="both"/>
        <w:rPr>
          <w:rFonts w:ascii="Palatino Linotype" w:eastAsia="Palatino Linotype" w:hAnsi="Palatino Linotype" w:cs="Palatino Linotype"/>
        </w:rPr>
      </w:pPr>
      <w:bookmarkStart w:id="7" w:name="_heading=h.17dp8vu" w:colFirst="0" w:colLast="0"/>
      <w:bookmarkEnd w:id="7"/>
      <w:r>
        <w:rPr>
          <w:rFonts w:ascii="Palatino Linotype" w:eastAsia="Palatino Linotype" w:hAnsi="Palatino Linotype" w:cs="Palatino Linotype"/>
        </w:rPr>
        <w:t xml:space="preserve">Consecuentemente, se insiste, ante la falta de impugnación eficaz, la respuesta entregada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declararse consentida por el particular.</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w:t>
      </w:r>
      <w:r>
        <w:rPr>
          <w:rFonts w:ascii="Palatino Linotype" w:eastAsia="Palatino Linotype" w:hAnsi="Palatino Linotype" w:cs="Palatino Linotype"/>
        </w:rPr>
        <w:t xml:space="preserve"> sustenta con lo plasmado en el criterio 01-20 emitido por el Instituto Nacional de Transparencia, Acceso a la Información, y Protección de Datos Personales (INAI), que lleva por rubro y texto los siguientes: </w:t>
      </w:r>
    </w:p>
    <w:p w:rsidR="00DC511C" w:rsidRDefault="007D3F91">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 xml:space="preserve">Actos consentidos tácitamente. Improcedencia de su análisis. </w:t>
      </w:r>
      <w:r>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w:t>
      </w:r>
      <w:r>
        <w:rPr>
          <w:rFonts w:ascii="Palatino Linotype" w:eastAsia="Palatino Linotype" w:hAnsi="Palatino Linotype" w:cs="Palatino Linotype"/>
          <w:i/>
          <w:color w:val="000000"/>
          <w:sz w:val="22"/>
          <w:szCs w:val="22"/>
        </w:rPr>
        <w:t>rte del estudio de fondo de la resolución que emite el Instituto.”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w:t>
      </w:r>
      <w:r>
        <w:rPr>
          <w:rFonts w:ascii="Palatino Linotype" w:eastAsia="Palatino Linotype" w:hAnsi="Palatino Linotype" w:cs="Palatino Linotype"/>
        </w:rPr>
        <w:t>ntegró el expediente y se puso a disposición de las partes para que, en un plazo máximo de siete días hábiles, manifestaran lo que a su derecho resultara conveniente.</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su informe justifi</w:t>
      </w:r>
      <w:r>
        <w:rPr>
          <w:rFonts w:ascii="Palatino Linotype" w:eastAsia="Palatino Linotype" w:hAnsi="Palatino Linotype" w:cs="Palatino Linotype"/>
        </w:rPr>
        <w:t>cado, mediante el cual, ratificó en lo sustancial la respuesta proporcionada en primera instancia.</w:t>
      </w:r>
    </w:p>
    <w:p w:rsidR="00DC511C" w:rsidRDefault="007D3F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dado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 reconocido expresamente que cuenta con la información que colmaría la solicitud interpuesta por la parte </w:t>
      </w:r>
      <w:r>
        <w:rPr>
          <w:rFonts w:ascii="Palatino Linotype" w:eastAsia="Palatino Linotype" w:hAnsi="Palatino Linotype" w:cs="Palatino Linotype"/>
          <w:b/>
        </w:rPr>
        <w:t>RECURRENT</w:t>
      </w:r>
      <w:r>
        <w:rPr>
          <w:rFonts w:ascii="Palatino Linotype" w:eastAsia="Palatino Linotype" w:hAnsi="Palatino Linotype" w:cs="Palatino Linotype"/>
          <w:b/>
        </w:rPr>
        <w:t>E</w:t>
      </w:r>
      <w:r>
        <w:rPr>
          <w:rFonts w:ascii="Palatino Linotype" w:eastAsia="Palatino Linotype" w:hAnsi="Palatino Linotype" w:cs="Palatino Linotype"/>
        </w:rPr>
        <w:t>, a nada práctico nos llevaría el estudio de la fuente obligacional, en razón de que dicho análisis se efectúa con la finalidad de determinar si los Sujetos Obligados generan, administran o poseen la información que les fue requerida, de manera que, en el</w:t>
      </w:r>
      <w:r>
        <w:rPr>
          <w:rFonts w:ascii="Palatino Linotype" w:eastAsia="Palatino Linotype" w:hAnsi="Palatino Linotype" w:cs="Palatino Linotype"/>
        </w:rPr>
        <w:t xml:space="preserve"> presente caso, privilegiando los principios de máxima publicidad, certeza jurídica, y gratuidad de la información pública, lo procedente es verificar si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resulta ser suficiente para colmar con el derecho al acces</w:t>
      </w:r>
      <w:r>
        <w:rPr>
          <w:rFonts w:ascii="Palatino Linotype" w:eastAsia="Palatino Linotype" w:hAnsi="Palatino Linotype" w:cs="Palatino Linotype"/>
        </w:rPr>
        <w:t xml:space="preserve">o a la información de la particular. </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y del análisis de las constancias que integran el expediente en que se actúa, así como de la materia sobre la que versa la solicitud de acceso a la información pública, se advierte que las razones o mo</w:t>
      </w:r>
      <w:r>
        <w:rPr>
          <w:rFonts w:ascii="Palatino Linotype" w:eastAsia="Palatino Linotype" w:hAnsi="Palatino Linotype" w:cs="Palatino Linotype"/>
        </w:rPr>
        <w:t xml:space="preserve">tivos de inconformidad devienen fundados, 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proporcionó la totalidad de la información que le fue requerida, a pesar de haber reconocido, de manera expresa, que cuenta con ella, por tal motivo el derecho de acceso de la </w:t>
      </w:r>
      <w:r>
        <w:rPr>
          <w:rFonts w:ascii="Palatino Linotype" w:eastAsia="Palatino Linotype" w:hAnsi="Palatino Linotype" w:cs="Palatino Linotype"/>
        </w:rPr>
        <w:t xml:space="preserve">parte </w:t>
      </w:r>
      <w:r>
        <w:rPr>
          <w:rFonts w:ascii="Palatino Linotype" w:eastAsia="Palatino Linotype" w:hAnsi="Palatino Linotype" w:cs="Palatino Linotype"/>
        </w:rPr>
        <w:br/>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ha quedado colmado, toda vez que se condicionó la entrega de dicha información tanto a consulta directa, como a la realización de un pago por concepto de derechos para la expedición de copias simples bajo el argumento de que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t xml:space="preserve">OBLIGADO </w:t>
      </w:r>
      <w:r>
        <w:rPr>
          <w:rFonts w:ascii="Palatino Linotype" w:eastAsia="Palatino Linotype" w:hAnsi="Palatino Linotype" w:cs="Palatino Linotype"/>
        </w:rPr>
        <w:t>no cuenta con la obligatoriedad para tener la digitalización de los documentos requeridos, lo que implica que se tengan que realizar acciones para poder entregar la información que se solicita y que rebasa su capacidad.</w:t>
      </w:r>
    </w:p>
    <w:p w:rsidR="00DC511C" w:rsidRDefault="00DC511C">
      <w:pPr>
        <w:spacing w:before="240" w:after="240" w:line="360" w:lineRule="auto"/>
        <w:jc w:val="both"/>
        <w:rPr>
          <w:rFonts w:ascii="Palatino Linotype" w:eastAsia="Palatino Linotype" w:hAnsi="Palatino Linotype" w:cs="Palatino Linotype"/>
        </w:rPr>
      </w:pPr>
    </w:p>
    <w:p w:rsidR="00DC511C" w:rsidRDefault="007D3F91">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Pago por copias simples.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respecto </w:t>
      </w:r>
      <w:r>
        <w:rPr>
          <w:rFonts w:ascii="Palatino Linotype" w:eastAsia="Palatino Linotype" w:hAnsi="Palatino Linotype" w:cs="Palatino Linotype"/>
          <w:b/>
          <w:u w:val="single"/>
        </w:rPr>
        <w:t>al pago requerido</w:t>
      </w:r>
      <w:r>
        <w:rPr>
          <w:rFonts w:ascii="Palatino Linotype" w:eastAsia="Palatino Linotype" w:hAnsi="Palatino Linotype" w:cs="Palatino Linotype"/>
        </w:rPr>
        <w:t xml:space="preserve"> debemos partir de la premisa de que el ejercicio del derecho de acceso a la información, conlleva la observancia de  principios rectores que consisten en las bases, fundamentos o los parámetros fundamentales que p</w:t>
      </w:r>
      <w:r>
        <w:rPr>
          <w:rFonts w:ascii="Palatino Linotype" w:eastAsia="Palatino Linotype" w:hAnsi="Palatino Linotype" w:cs="Palatino Linotype"/>
        </w:rPr>
        <w:t>ermitan el ejercicio de la garantía que posee toda persona para atraerse de información, informar y ser informada, estableciéndose de manera genérica, los principios de acceso universal, de máxima publicidad, de</w:t>
      </w:r>
      <w:r>
        <w:rPr>
          <w:rFonts w:ascii="Palatino Linotype" w:eastAsia="Palatino Linotype" w:hAnsi="Palatino Linotype" w:cs="Palatino Linotype"/>
          <w:b/>
          <w:i/>
        </w:rPr>
        <w:t xml:space="preserve"> gratuidad</w:t>
      </w:r>
      <w:r>
        <w:rPr>
          <w:rFonts w:ascii="Palatino Linotype" w:eastAsia="Palatino Linotype" w:hAnsi="Palatino Linotype" w:cs="Palatino Linotype"/>
        </w:rPr>
        <w:t>, de certeza, de celeridad, de obje</w:t>
      </w:r>
      <w:r>
        <w:rPr>
          <w:rFonts w:ascii="Palatino Linotype" w:eastAsia="Palatino Linotype" w:hAnsi="Palatino Linotype" w:cs="Palatino Linotype"/>
        </w:rPr>
        <w:t>tividad,  entre otros.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w:t>
      </w:r>
      <w:r>
        <w:rPr>
          <w:rFonts w:ascii="Palatino Linotype" w:eastAsia="Palatino Linotype" w:hAnsi="Palatino Linotype" w:cs="Palatino Linotype"/>
        </w:rPr>
        <w:t>ómica de las personas, no constituya un obstáculo para el ejercicio de acceso a la información, o bien y en virtud de la modalidad de acceso a la información solicitada, su costo represente una barrera fácilmente franqueable.</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este principio, se</w:t>
      </w:r>
      <w:r>
        <w:rPr>
          <w:rFonts w:ascii="Palatino Linotype" w:eastAsia="Palatino Linotype" w:hAnsi="Palatino Linotype" w:cs="Palatino Linotype"/>
        </w:rPr>
        <w:t xml:space="preserv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b/>
          <w:i/>
        </w:rPr>
        <w:t xml:space="preserve">reproducción </w:t>
      </w:r>
      <w:r>
        <w:rPr>
          <w:rFonts w:ascii="Palatino Linotype" w:eastAsia="Palatino Linotype" w:hAnsi="Palatino Linotype" w:cs="Palatino Linotype"/>
        </w:rPr>
        <w:t>de la</w:t>
      </w:r>
      <w:r>
        <w:rPr>
          <w:rFonts w:ascii="Palatino Linotype" w:eastAsia="Palatino Linotype" w:hAnsi="Palatino Linotype" w:cs="Palatino Linotype"/>
        </w:rPr>
        <w:t xml:space="preserve"> información, y en su caso del costo de </w:t>
      </w:r>
      <w:r>
        <w:rPr>
          <w:rFonts w:ascii="Palatino Linotype" w:eastAsia="Palatino Linotype" w:hAnsi="Palatino Linotype" w:cs="Palatino Linotype"/>
          <w:b/>
          <w:i/>
        </w:rPr>
        <w:t>envío</w:t>
      </w:r>
      <w:r>
        <w:rPr>
          <w:rFonts w:ascii="Palatino Linotype" w:eastAsia="Palatino Linotype" w:hAnsi="Palatino Linotype" w:cs="Palatino Linotype"/>
        </w:rPr>
        <w:t>, finalmente, conlleva implícitamente un esfuerzo por parte de los Sujetos Obligados para reducir los costos de entrega de la información.</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lo anterior, nuestra Carta Magna, así como la Constitución Polí</w:t>
      </w:r>
      <w:r>
        <w:rPr>
          <w:rFonts w:ascii="Palatino Linotype" w:eastAsia="Palatino Linotype" w:hAnsi="Palatino Linotype" w:cs="Palatino Linotype"/>
        </w:rPr>
        <w:t>tica de nuestro Estado, contemplan el ejercicio del derecho de acceso a la información bajo el principio de gratuidad, garantizando la protección a un derecho fundamental que tienen dimensión social, al ser un condicionante necesario para el funcionamiento</w:t>
      </w:r>
      <w:r>
        <w:rPr>
          <w:rFonts w:ascii="Palatino Linotype" w:eastAsia="Palatino Linotype" w:hAnsi="Palatino Linotype" w:cs="Palatino Linotype"/>
        </w:rPr>
        <w:t xml:space="preserve"> de una sociedad democrática, por lo que cualquier afectación a éste exige una justificación y jamás puede tener efectos recaudatorios, al menos que la reproducción de la información sea en fotocopias, respaldos informativos, entre otros.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l</w:t>
      </w:r>
      <w:r>
        <w:rPr>
          <w:rFonts w:ascii="Palatino Linotype" w:eastAsia="Palatino Linotype" w:hAnsi="Palatino Linotype" w:cs="Palatino Linotype"/>
        </w:rPr>
        <w:t>a Ley de Transparencia y Acceso a la Información Pública del Estado de México y Municipios, que tiene entre sus objetivos el de proveer lo necesario para garantizar a toda persona el derecho de acceso a la información pública, a través de procedimientos se</w:t>
      </w:r>
      <w:r>
        <w:rPr>
          <w:rFonts w:ascii="Palatino Linotype" w:eastAsia="Palatino Linotype" w:hAnsi="Palatino Linotype" w:cs="Palatino Linotype"/>
        </w:rPr>
        <w:t xml:space="preserve">ncillos, expeditos, oportunos y </w:t>
      </w:r>
      <w:r>
        <w:rPr>
          <w:rFonts w:ascii="Palatino Linotype" w:eastAsia="Palatino Linotype" w:hAnsi="Palatino Linotype" w:cs="Palatino Linotype"/>
          <w:b/>
          <w:i/>
        </w:rPr>
        <w:t>gratuitos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refiere en los artículos 17 y 150, que la búsqueda y acceso a la información es gratuita y </w:t>
      </w:r>
      <w:r>
        <w:rPr>
          <w:rFonts w:ascii="Palatino Linotype" w:eastAsia="Palatino Linotype" w:hAnsi="Palatino Linotype" w:cs="Palatino Linotype"/>
          <w:b/>
          <w:i/>
        </w:rPr>
        <w:t>sólo se cubrirá en su caso, los gastos de reproducción</w:t>
      </w:r>
      <w:r>
        <w:rPr>
          <w:rFonts w:ascii="Palatino Linotype" w:eastAsia="Palatino Linotype" w:hAnsi="Palatino Linotype" w:cs="Palatino Linotype"/>
        </w:rPr>
        <w:t xml:space="preserve">, </w:t>
      </w:r>
      <w:r>
        <w:rPr>
          <w:rFonts w:ascii="Palatino Linotype" w:eastAsia="Palatino Linotype" w:hAnsi="Palatino Linotype" w:cs="Palatino Linotype"/>
          <w:b/>
          <w:i/>
          <w:u w:val="single"/>
        </w:rPr>
        <w:t>por la modalidad de entrega solicitada</w:t>
      </w:r>
      <w:r>
        <w:rPr>
          <w:rFonts w:ascii="Palatino Linotype" w:eastAsia="Palatino Linotype" w:hAnsi="Palatino Linotype" w:cs="Palatino Linotype"/>
          <w:u w:val="single"/>
        </w:rPr>
        <w:t xml:space="preserve">, </w:t>
      </w:r>
      <w:r>
        <w:rPr>
          <w:rFonts w:ascii="Palatino Linotype" w:eastAsia="Palatino Linotype" w:hAnsi="Palatino Linotype" w:cs="Palatino Linotype"/>
          <w:b/>
          <w:i/>
          <w:u w:val="single"/>
        </w:rPr>
        <w:t>o por el envió</w:t>
      </w:r>
      <w:r>
        <w:rPr>
          <w:rFonts w:ascii="Palatino Linotype" w:eastAsia="Palatino Linotype" w:hAnsi="Palatino Linotype" w:cs="Palatino Linotype"/>
          <w:u w:val="single"/>
        </w:rPr>
        <w:t xml:space="preserve"> </w:t>
      </w:r>
      <w:r>
        <w:rPr>
          <w:rFonts w:ascii="Palatino Linotype" w:eastAsia="Palatino Linotype" w:hAnsi="Palatino Linotype" w:cs="Palatino Linotype"/>
        </w:rPr>
        <w:t>de conform</w:t>
      </w:r>
      <w:r>
        <w:rPr>
          <w:rFonts w:ascii="Palatino Linotype" w:eastAsia="Palatino Linotype" w:hAnsi="Palatino Linotype" w:cs="Palatino Linotype"/>
        </w:rPr>
        <w:t xml:space="preserve">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rPr>
        <w:t xml:space="preserve">se rige por los principios de simplicidad, rapidez, </w:t>
      </w:r>
      <w:r>
        <w:rPr>
          <w:rFonts w:ascii="Palatino Linotype" w:eastAsia="Palatino Linotype" w:hAnsi="Palatino Linotype" w:cs="Palatino Linotype"/>
          <w:i/>
        </w:rPr>
        <w:t>gratuidad,</w:t>
      </w:r>
      <w:r>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w:t>
      </w:r>
      <w:r>
        <w:rPr>
          <w:rFonts w:ascii="Palatino Linotype" w:eastAsia="Palatino Linotype" w:hAnsi="Palatino Linotype" w:cs="Palatino Linotype"/>
        </w:rPr>
        <w:t xml:space="preserve"> los ciudadanos son participes de las acciones realizadas por los entes públicos, lo que favorece la rendición de cuentas.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w:t>
      </w:r>
      <w:r>
        <w:rPr>
          <w:rFonts w:ascii="Palatino Linotype" w:eastAsia="Palatino Linotype" w:hAnsi="Palatino Linotype" w:cs="Palatino Linotype"/>
        </w:rPr>
        <w:lastRenderedPageBreak/>
        <w:t>con el principio de gratuidad y solamente en casos excepcionales se procederá al cobro para</w:t>
      </w:r>
      <w:r>
        <w:rPr>
          <w:rFonts w:ascii="Palatino Linotype" w:eastAsia="Palatino Linotype" w:hAnsi="Palatino Linotype" w:cs="Palatino Linotype"/>
        </w:rPr>
        <w:t xml:space="preserve"> la entrega de la información, lo cual ocurrirá  </w:t>
      </w:r>
      <w:r>
        <w:rPr>
          <w:rFonts w:ascii="Palatino Linotype" w:eastAsia="Palatino Linotype" w:hAnsi="Palatino Linotype" w:cs="Palatino Linotype"/>
          <w:b/>
          <w:i/>
        </w:rPr>
        <w:t>en caso de que se tenga que generar un gasto por la reproducción, por el envío, o por la modalidad de entrega solicitada,</w:t>
      </w:r>
      <w:r>
        <w:rPr>
          <w:rFonts w:ascii="Palatino Linotype" w:eastAsia="Palatino Linotype" w:hAnsi="Palatino Linotype" w:cs="Palatino Linotype"/>
        </w:rPr>
        <w:t xml:space="preserve"> supuestos que encuadran con lo  establecido en los artículos 9 fracción III, 17, 165,</w:t>
      </w:r>
      <w:r>
        <w:rPr>
          <w:rFonts w:ascii="Palatino Linotype" w:eastAsia="Palatino Linotype" w:hAnsi="Palatino Linotype" w:cs="Palatino Linotype"/>
        </w:rPr>
        <w:t xml:space="preserve"> 174, 175 de la Ley de Acceso a la Información Pública del Estado de México y Municipios, así como el artículo 4.22 de su Reglamento.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en el caso concreto, dichos preceptos son interpretados en perjuicio de la solicitante, como se explica enseg</w:t>
      </w:r>
      <w:r>
        <w:rPr>
          <w:rFonts w:ascii="Palatino Linotype" w:eastAsia="Palatino Linotype" w:hAnsi="Palatino Linotype" w:cs="Palatino Linotype"/>
        </w:rPr>
        <w:t xml:space="preserve">uida, para lo cual es necesario hacer referencia a los mismos en su parte conducente: </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rsidR="00DC511C" w:rsidRDefault="007D3F91">
      <w:pPr>
        <w:spacing w:before="120" w:after="12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Gratuidad: </w:t>
      </w:r>
      <w:r>
        <w:rPr>
          <w:rFonts w:ascii="Palatino Linotype" w:eastAsia="Palatino Linotype" w:hAnsi="Palatino Linotype" w:cs="Palatino Linotype"/>
          <w:i/>
          <w:sz w:val="22"/>
          <w:szCs w:val="22"/>
        </w:rPr>
        <w:t xml:space="preserve">Consiste en que el acceso a la información pública no genera costo alguno para los solicitantes, </w:t>
      </w:r>
      <w:r>
        <w:rPr>
          <w:rFonts w:ascii="Palatino Linotype" w:eastAsia="Palatino Linotype" w:hAnsi="Palatino Linotype" w:cs="Palatino Linotype"/>
          <w:b/>
          <w:i/>
          <w:sz w:val="22"/>
          <w:szCs w:val="22"/>
        </w:rPr>
        <w:t xml:space="preserve">sólo podrá requerirse el cobro correspondiente a la modalidad de reproducción y entrega solicitada </w:t>
      </w:r>
      <w:r>
        <w:rPr>
          <w:rFonts w:ascii="Palatino Linotype" w:eastAsia="Palatino Linotype" w:hAnsi="Palatino Linotype" w:cs="Palatino Linotype"/>
          <w:i/>
          <w:sz w:val="22"/>
          <w:szCs w:val="22"/>
        </w:rPr>
        <w:t>conforme a lo establecido en la presente Ley y demás disposi</w:t>
      </w:r>
      <w:r>
        <w:rPr>
          <w:rFonts w:ascii="Palatino Linotype" w:eastAsia="Palatino Linotype" w:hAnsi="Palatino Linotype" w:cs="Palatino Linotype"/>
          <w:i/>
          <w:sz w:val="22"/>
          <w:szCs w:val="22"/>
        </w:rPr>
        <w:t>ciones jurídicas aplicables;</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 </w:t>
      </w:r>
      <w:r>
        <w:rPr>
          <w:rFonts w:ascii="Palatino Linotype" w:eastAsia="Palatino Linotype" w:hAnsi="Palatino Linotype" w:cs="Palatino Linotype"/>
          <w:i/>
          <w:sz w:val="22"/>
          <w:szCs w:val="22"/>
        </w:rPr>
        <w:t xml:space="preserve">La búsqueda y acceso a la información es gratuita y </w:t>
      </w:r>
      <w:r>
        <w:rPr>
          <w:rFonts w:ascii="Palatino Linotype" w:eastAsia="Palatino Linotype" w:hAnsi="Palatino Linotype" w:cs="Palatino Linotype"/>
          <w:b/>
          <w:i/>
          <w:sz w:val="22"/>
          <w:szCs w:val="22"/>
        </w:rPr>
        <w:t>solo se cubrirán los gastos de reproducción, o por la modalidad de entrega solicitada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 por el envío</w:t>
      </w:r>
      <w:r>
        <w:rPr>
          <w:rFonts w:ascii="Palatino Linotype" w:eastAsia="Palatino Linotype" w:hAnsi="Palatino Linotype" w:cs="Palatino Linotype"/>
          <w:i/>
          <w:sz w:val="22"/>
          <w:szCs w:val="22"/>
        </w:rPr>
        <w:t>, que en su caso se genere, de conformidad con los</w:t>
      </w:r>
      <w:r>
        <w:rPr>
          <w:rFonts w:ascii="Palatino Linotype" w:eastAsia="Palatino Linotype" w:hAnsi="Palatino Linotype" w:cs="Palatino Linotype"/>
          <w:i/>
          <w:sz w:val="22"/>
          <w:szCs w:val="22"/>
        </w:rPr>
        <w:t xml:space="preserve"> derechos, productos y aprovechamientos establecidos en la legislación aplicable, sin que exceda de los límites establecidos en la presente Ley.</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 …</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información que se entregue en versión pública, </w:t>
      </w:r>
      <w:r>
        <w:rPr>
          <w:rFonts w:ascii="Palatino Linotype" w:eastAsia="Palatino Linotype" w:hAnsi="Palatino Linotype" w:cs="Palatino Linotype"/>
          <w:b/>
          <w:i/>
          <w:sz w:val="22"/>
          <w:szCs w:val="22"/>
        </w:rPr>
        <w:t>cuya modalidad de reproducción o envío t</w:t>
      </w:r>
      <w:r>
        <w:rPr>
          <w:rFonts w:ascii="Palatino Linotype" w:eastAsia="Palatino Linotype" w:hAnsi="Palatino Linotype" w:cs="Palatino Linotype"/>
          <w:b/>
          <w:i/>
          <w:sz w:val="22"/>
          <w:szCs w:val="22"/>
        </w:rPr>
        <w:t xml:space="preserve">enga un costo, </w:t>
      </w:r>
      <w:r>
        <w:rPr>
          <w:rFonts w:ascii="Palatino Linotype" w:eastAsia="Palatino Linotype" w:hAnsi="Palatino Linotype" w:cs="Palatino Linotype"/>
          <w:i/>
          <w:sz w:val="22"/>
          <w:szCs w:val="22"/>
        </w:rPr>
        <w:t>procederá una vez que se acredite el pago respectivo. No puede entenderse como reproducción la elaboración de la misma.</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174. En caso de existir costos para obtener la información</w:t>
      </w:r>
      <w:r>
        <w:rPr>
          <w:rFonts w:ascii="Palatino Linotype" w:eastAsia="Palatino Linotype" w:hAnsi="Palatino Linotype" w:cs="Palatino Linotype"/>
          <w:i/>
          <w:sz w:val="22"/>
          <w:szCs w:val="22"/>
        </w:rPr>
        <w:t xml:space="preserve"> deberán cubrirse de manera previa a la entrega 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no podrán ser superiores a la suma de</w:t>
      </w:r>
      <w:r>
        <w:rPr>
          <w:rFonts w:ascii="Palatino Linotype" w:eastAsia="Palatino Linotype" w:hAnsi="Palatino Linotype" w:cs="Palatino Linotype"/>
          <w:i/>
          <w:sz w:val="22"/>
          <w:szCs w:val="22"/>
        </w:rPr>
        <w:t>:</w:t>
      </w:r>
    </w:p>
    <w:p w:rsidR="00DC511C" w:rsidRDefault="00DC511C">
      <w:pPr>
        <w:spacing w:before="120" w:after="120"/>
        <w:ind w:left="851" w:right="902"/>
        <w:jc w:val="both"/>
        <w:rPr>
          <w:rFonts w:ascii="Palatino Linotype" w:eastAsia="Palatino Linotype" w:hAnsi="Palatino Linotype" w:cs="Palatino Linotype"/>
          <w:i/>
          <w:sz w:val="22"/>
          <w:szCs w:val="22"/>
        </w:rPr>
      </w:pP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los materiales utilizados en la reproducción</w:t>
      </w:r>
      <w:r>
        <w:rPr>
          <w:rFonts w:ascii="Palatino Linotype" w:eastAsia="Palatino Linotype" w:hAnsi="Palatino Linotype" w:cs="Palatino Linotype"/>
          <w:i/>
          <w:sz w:val="22"/>
          <w:szCs w:val="22"/>
        </w:rPr>
        <w:t xml:space="preserve"> de la información;</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envío</w:t>
      </w:r>
      <w:r>
        <w:rPr>
          <w:rFonts w:ascii="Palatino Linotype" w:eastAsia="Palatino Linotype" w:hAnsi="Palatino Linotype" w:cs="Palatino Linotype"/>
          <w:i/>
          <w:sz w:val="22"/>
          <w:szCs w:val="22"/>
        </w:rPr>
        <w:t>, en su caso; y</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pago de la certificación de los documentos</w:t>
      </w:r>
      <w:r>
        <w:rPr>
          <w:rFonts w:ascii="Palatino Linotype" w:eastAsia="Palatino Linotype" w:hAnsi="Palatino Linotype" w:cs="Palatino Linotype"/>
          <w:i/>
          <w:sz w:val="22"/>
          <w:szCs w:val="22"/>
        </w:rPr>
        <w:t>, cuando proceda.</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cuotas de los derechos apli</w:t>
      </w:r>
      <w:r>
        <w:rPr>
          <w:rFonts w:ascii="Palatino Linotype" w:eastAsia="Palatino Linotype" w:hAnsi="Palatino Linotype" w:cs="Palatino Linotype"/>
          <w:i/>
          <w:sz w:val="22"/>
          <w:szCs w:val="22"/>
        </w:rPr>
        <w:t xml:space="preserve">cables deberán establecerse, en su caso, en el </w:t>
      </w:r>
      <w:r>
        <w:rPr>
          <w:rFonts w:ascii="Palatino Linotype" w:eastAsia="Palatino Linotype" w:hAnsi="Palatino Linotype" w:cs="Palatino Linotype"/>
          <w:b/>
          <w:i/>
          <w:sz w:val="22"/>
          <w:szCs w:val="22"/>
        </w:rPr>
        <w:t>Código Financiero del Estado de México y Municipios</w:t>
      </w:r>
      <w:r>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175. </w:t>
      </w: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ningún ca</w:t>
      </w:r>
      <w:r>
        <w:rPr>
          <w:rFonts w:ascii="Palatino Linotype" w:eastAsia="Palatino Linotype" w:hAnsi="Palatino Linotype" w:cs="Palatino Linotype"/>
          <w:i/>
          <w:sz w:val="22"/>
          <w:szCs w:val="22"/>
        </w:rPr>
        <w:t>so, el pago de derechos deberá exceder el</w:t>
      </w:r>
      <w:r>
        <w:rPr>
          <w:rFonts w:ascii="Palatino Linotype" w:eastAsia="Palatino Linotype" w:hAnsi="Palatino Linotype" w:cs="Palatino Linotype"/>
          <w:b/>
          <w:i/>
          <w:sz w:val="22"/>
          <w:szCs w:val="22"/>
        </w:rPr>
        <w:t xml:space="preserve"> costo de reproducción de la información en el material solicitado</w:t>
      </w:r>
      <w:r>
        <w:rPr>
          <w:rFonts w:ascii="Palatino Linotype" w:eastAsia="Palatino Linotype" w:hAnsi="Palatino Linotype" w:cs="Palatino Linotype"/>
          <w:i/>
          <w:sz w:val="22"/>
          <w:szCs w:val="22"/>
        </w:rPr>
        <w:t>.”</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4.22</w:t>
      </w:r>
      <w:r>
        <w:rPr>
          <w:rFonts w:ascii="Palatino Linotype" w:eastAsia="Palatino Linotype" w:hAnsi="Palatino Linotype" w:cs="Palatino Linotype"/>
          <w:i/>
          <w:sz w:val="22"/>
          <w:szCs w:val="22"/>
        </w:rPr>
        <w:t>.- Cuando los solicitantes requieran de los sujetos obligados la expedición de copias simples, certificadas o en cualquier otro medi</w:t>
      </w:r>
      <w:r>
        <w:rPr>
          <w:rFonts w:ascii="Palatino Linotype" w:eastAsia="Palatino Linotype" w:hAnsi="Palatino Linotype" w:cs="Palatino Linotype"/>
          <w:i/>
          <w:sz w:val="22"/>
          <w:szCs w:val="22"/>
        </w:rPr>
        <w:t>o físico que contenga la información solicitada, y que pueda ser reproducida por tener los elementos necesarios para ello, o bien, que por disposiciones legales aplicables puedan ser materia de su reproducción, deberán acreditar previamente el pago por con</w:t>
      </w:r>
      <w:r>
        <w:rPr>
          <w:rFonts w:ascii="Palatino Linotype" w:eastAsia="Palatino Linotype" w:hAnsi="Palatino Linotype" w:cs="Palatino Linotype"/>
          <w:i/>
          <w:sz w:val="22"/>
          <w:szCs w:val="22"/>
        </w:rPr>
        <w:t>cepto de derechos, productos o aprovechamientos establecidos en el Código Financiero del Estado de México y Municipios, y demás normatividad aplicable. Los términos y plazos para que los sujetos obligados cumplan con las obligaciones correspondientes, se c</w:t>
      </w:r>
      <w:r>
        <w:rPr>
          <w:rFonts w:ascii="Palatino Linotype" w:eastAsia="Palatino Linotype" w:hAnsi="Palatino Linotype" w:cs="Palatino Linotype"/>
          <w:i/>
          <w:sz w:val="22"/>
          <w:szCs w:val="22"/>
        </w:rPr>
        <w:t>ontarán a partir del día en que se acredite debidamente el pago, ante las unidades de información.”</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efecto, de los preceptos citados se desprende que Ley de la Materia estableció el cobró de derechos para la entrega de la información, con el objeto de que se cubran los costos de los materiales utilizados en la reproducción de la información, el costo </w:t>
      </w:r>
      <w:r>
        <w:rPr>
          <w:rFonts w:ascii="Palatino Linotype" w:eastAsia="Palatino Linotype" w:hAnsi="Palatino Linotype" w:cs="Palatino Linotype"/>
        </w:rPr>
        <w:t>por el envió de la misma o el pago por la certificación; sin embargo, en el caso que nos ocupa, no se estima que se actualice alguno de los supuestos previstos en la norma</w:t>
      </w:r>
      <w:r>
        <w:rPr>
          <w:rFonts w:ascii="Palatino Linotype" w:eastAsia="Palatino Linotype" w:hAnsi="Palatino Linotype" w:cs="Palatino Linotype"/>
          <w:b/>
        </w:rPr>
        <w:t>, toda vez que la solicitante requirió la información a través del sistema SAIMEX</w:t>
      </w:r>
      <w:r>
        <w:rPr>
          <w:rFonts w:ascii="Palatino Linotype" w:eastAsia="Palatino Linotype" w:hAnsi="Palatino Linotype" w:cs="Palatino Linotype"/>
        </w:rPr>
        <w:t xml:space="preserve">, por lo tanto no se le está requiriendo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w:t>
      </w:r>
      <w:r>
        <w:rPr>
          <w:rFonts w:ascii="Palatino Linotype" w:eastAsia="Palatino Linotype" w:hAnsi="Palatino Linotype" w:cs="Palatino Linotype"/>
        </w:rPr>
        <w:t xml:space="preserve">labras, con la finalidad de satisfacer la solicitud, </w:t>
      </w:r>
      <w:r>
        <w:rPr>
          <w:rFonts w:ascii="Palatino Linotype" w:eastAsia="Palatino Linotype" w:hAnsi="Palatino Linotype" w:cs="Palatino Linotype"/>
          <w:b/>
        </w:rPr>
        <w:t>no es necesario que el SUJETO OBLIGADO realice una reproducción física de la información que conserva en sus archivos,</w:t>
      </w:r>
      <w:r>
        <w:rPr>
          <w:rFonts w:ascii="Palatino Linotype" w:eastAsia="Palatino Linotype" w:hAnsi="Palatino Linotype" w:cs="Palatino Linotype"/>
        </w:rPr>
        <w:t xml:space="preserve"> más bien implicaría realizar una digitalización o escaneo de aquellos documentos que</w:t>
      </w:r>
      <w:r>
        <w:rPr>
          <w:rFonts w:ascii="Palatino Linotype" w:eastAsia="Palatino Linotype" w:hAnsi="Palatino Linotype" w:cs="Palatino Linotype"/>
        </w:rPr>
        <w:t xml:space="preserve"> por su naturaleza se encuentran en un medio físico.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necesario precisar que la digitalización o escaneo de la información, no conlleva la utilización de materiales que le generen un costo, como podría serlo por ejemplo hojas de papel para la emisión</w:t>
      </w:r>
      <w:r>
        <w:rPr>
          <w:rFonts w:ascii="Palatino Linotype" w:eastAsia="Palatino Linotype" w:hAnsi="Palatino Linotype" w:cs="Palatino Linotype"/>
        </w:rPr>
        <w:t xml:space="preserve"> de copias; de igual manera, tampoco se actualiza el cobro por certificación, ya que la parte solicitante no requirió la entrega en dicha modalidad, así tampoco se genera un gasto por el envió de la información, ya que una de la finalidades de la utilizaci</w:t>
      </w:r>
      <w:r>
        <w:rPr>
          <w:rFonts w:ascii="Palatino Linotype" w:eastAsia="Palatino Linotype" w:hAnsi="Palatino Linotype" w:cs="Palatino Linotype"/>
        </w:rPr>
        <w:t xml:space="preserve">ón del sistema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es evitar la generación de gastos tanto para los solicitantes como para los Sujetos Obligados, pues se trata de un sistema electrónico que para acceder al mismo no necesita recurso alguno, sino solamente la conexión a un sistema de in</w:t>
      </w:r>
      <w:r>
        <w:rPr>
          <w:rFonts w:ascii="Palatino Linotype" w:eastAsia="Palatino Linotype" w:hAnsi="Palatino Linotype" w:cs="Palatino Linotype"/>
        </w:rPr>
        <w:t>ternet.</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Aunado a lo anterior, la exposición de motivos de la Ley de Transparencia y Acceso a la Información Pública del Estado de México y Municipios señala que se adoptará una ruta regida por el principio de progresividad en la materia, que implique que h</w:t>
      </w:r>
      <w:r>
        <w:rPr>
          <w:rFonts w:ascii="Palatino Linotype" w:eastAsia="Palatino Linotype" w:hAnsi="Palatino Linotype" w:cs="Palatino Linotype"/>
        </w:rPr>
        <w:t>aya una plena interconectividad entre las plataformas estatales existentes, las cuales deberán acoplarse a la plataforma nacional, lo que implica, en un primer momento utilizar la información digitalizada por la propia función del gobierno y en datos abier</w:t>
      </w:r>
      <w:r>
        <w:rPr>
          <w:rFonts w:ascii="Palatino Linotype" w:eastAsia="Palatino Linotype" w:hAnsi="Palatino Linotype" w:cs="Palatino Linotype"/>
        </w:rPr>
        <w:t xml:space="preserve">tos, a su vez que en el artículo 24 fracción XXIII dispone como obligación de los entes públicos, la de procurar la digitalización de toda la información pública en su poder, mientras que diverso 175 prevé que la información que deban publicar los Sujetos </w:t>
      </w:r>
      <w:r>
        <w:rPr>
          <w:rFonts w:ascii="Palatino Linotype" w:eastAsia="Palatino Linotype" w:hAnsi="Palatino Linotype" w:cs="Palatino Linotype"/>
        </w:rPr>
        <w:t xml:space="preserve">Obligados en términos de la Ley o deba ser generada de manera electrónica, según lo dispongan las disposiciones legales o administrativas no podrán tener </w:t>
      </w:r>
      <w:r>
        <w:rPr>
          <w:rFonts w:ascii="Palatino Linotype" w:eastAsia="Palatino Linotype" w:hAnsi="Palatino Linotype" w:cs="Palatino Linotype"/>
          <w:b/>
        </w:rPr>
        <w:t xml:space="preserve">ningún costo, </w:t>
      </w:r>
      <w:r>
        <w:rPr>
          <w:rFonts w:ascii="Palatino Linotype" w:eastAsia="Palatino Linotype" w:hAnsi="Palatino Linotype" w:cs="Palatino Linotype"/>
        </w:rPr>
        <w:t>incluyendo aquella que se hubiera digitalizado previamente por cualquier motivo, y aún m</w:t>
      </w:r>
      <w:r>
        <w:rPr>
          <w:rFonts w:ascii="Palatino Linotype" w:eastAsia="Palatino Linotype" w:hAnsi="Palatino Linotype" w:cs="Palatino Linotype"/>
        </w:rPr>
        <w:t>enos en aquellos casos en que la modalidad de entrega sea por medio de la plataforma o vía electrónica.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no existe argumento jurídico que autorice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requerir un pago para entregar la información vía SAIMEX, debido a que dicho s</w:t>
      </w:r>
      <w:r>
        <w:rPr>
          <w:rFonts w:ascii="Palatino Linotype" w:eastAsia="Palatino Linotype" w:hAnsi="Palatino Linotype" w:cs="Palatino Linotype"/>
        </w:rPr>
        <w:t>istema fue creado para facilitar el registro y atención de las solicitudes de información, y es su obligación trasladar la información de un soporte físico a uno electrónico y cuidar que los medios electrónicos o impresos en los que conste tanto informació</w:t>
      </w:r>
      <w:r>
        <w:rPr>
          <w:rFonts w:ascii="Palatino Linotype" w:eastAsia="Palatino Linotype" w:hAnsi="Palatino Linotype" w:cs="Palatino Linotype"/>
        </w:rPr>
        <w:t>n pública, como confidencial y reservada se entreguen en versión pública en los casos que eso resulte necesario.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Pensar lo contrario, sería tanto como reconocer que la utilización del sistema SAIMEX, transgrede o limita el derecho de acceso a la informació</w:t>
      </w:r>
      <w:r>
        <w:rPr>
          <w:rFonts w:ascii="Palatino Linotype" w:eastAsia="Palatino Linotype" w:hAnsi="Palatino Linotype" w:cs="Palatino Linotype"/>
        </w:rPr>
        <w:t xml:space="preserve">n pública de los solicitantes, ya que de requerir la entrega de la información a la cual desean acceder </w:t>
      </w:r>
      <w:r>
        <w:rPr>
          <w:rFonts w:ascii="Palatino Linotype" w:eastAsia="Palatino Linotype" w:hAnsi="Palatino Linotype" w:cs="Palatino Linotype"/>
        </w:rPr>
        <w:lastRenderedPageBreak/>
        <w:t>a través del mismo, implica la obligación de pagar por la atención a su derecho, cuando se trate de información que no se encuentre contemplada en las o</w:t>
      </w:r>
      <w:r>
        <w:rPr>
          <w:rFonts w:ascii="Palatino Linotype" w:eastAsia="Palatino Linotype" w:hAnsi="Palatino Linotype" w:cs="Palatino Linotype"/>
        </w:rPr>
        <w:t>bligaciones de transparencia comunes y específicas para los Sujetos Obligados, ya que respecto de cierta información no existe la obligación de tenerla digitalizada.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esta óptica, el derecho del particular de acceder a los documentos que obran en poses</w:t>
      </w:r>
      <w:r>
        <w:rPr>
          <w:rFonts w:ascii="Palatino Linotype" w:eastAsia="Palatino Linotype" w:hAnsi="Palatino Linotype" w:cs="Palatino Linotype"/>
        </w:rPr>
        <w:t xml:space="preserve">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encuentra limitado, en virtud de que no le fue proporcionada la información solicitada, </w:t>
      </w:r>
      <w:r>
        <w:rPr>
          <w:rFonts w:ascii="Palatino Linotype" w:eastAsia="Palatino Linotype" w:hAnsi="Palatino Linotype" w:cs="Palatino Linotype"/>
          <w:color w:val="000000"/>
        </w:rPr>
        <w:t>incumpliendo así lo previsto en el artículo 4</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color w:val="000000"/>
        </w:rPr>
        <w:t xml:space="preserve"> de la Ley de la Materia</w:t>
      </w:r>
      <w:r>
        <w:rPr>
          <w:rFonts w:ascii="Palatino Linotype" w:eastAsia="Palatino Linotype" w:hAnsi="Palatino Linotype" w:cs="Palatino Linotype"/>
        </w:rPr>
        <w:t>; apegándose en todo momento al principio de máxima publicidad consagra</w:t>
      </w:r>
      <w:r>
        <w:rPr>
          <w:rFonts w:ascii="Palatino Linotype" w:eastAsia="Palatino Linotype" w:hAnsi="Palatino Linotype" w:cs="Palatino Linotype"/>
        </w:rPr>
        <w:t xml:space="preserve">do en la Constitución Política de los Estados Unidos Mexicanos, en la Constitución Política del Estado Libre y Soberano de México y demás relativos y aplicables en la Materia, al establecer que toda información en posesión de cualquier autoridad, entidad, </w:t>
      </w:r>
      <w:r>
        <w:rPr>
          <w:rFonts w:ascii="Palatino Linotype" w:eastAsia="Palatino Linotype" w:hAnsi="Palatino Linotype" w:cs="Palatino Linotype"/>
        </w:rPr>
        <w:t xml:space="preserve">órgano y organismo federal, estatal y municipal, es pública y solo podrá ser reservada temporalmente por razones de interés público en los términos que fijen las leyes; y al reconocerse como un derecho fundamental es que todo Sujeto Obligado debe ceñir su </w:t>
      </w:r>
      <w:r>
        <w:rPr>
          <w:rFonts w:ascii="Palatino Linotype" w:eastAsia="Palatino Linotype" w:hAnsi="Palatino Linotype" w:cs="Palatino Linotype"/>
        </w:rPr>
        <w:t>actuar a la conservación patrimonial de sus archivos documentales y posteriormente el acceso de la información pública, buscando la disponibilidad de los mismos.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bajo los argumentos expuestos,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de manera </w:t>
      </w:r>
      <w:r>
        <w:rPr>
          <w:rFonts w:ascii="Palatino Linotype" w:eastAsia="Palatino Linotype" w:hAnsi="Palatino Linotype" w:cs="Palatino Linotype"/>
        </w:rPr>
        <w:t>expresa que no está obligado a atener digitalizados los documentos requeridos, lo que implicaría que se tengan que realizar acciones para poder entregar la información, se presume que cuenta con los medios para poder llevar a cabo la referida digitalizació</w:t>
      </w:r>
      <w:r>
        <w:rPr>
          <w:rFonts w:ascii="Palatino Linotype" w:eastAsia="Palatino Linotype" w:hAnsi="Palatino Linotype" w:cs="Palatino Linotype"/>
        </w:rPr>
        <w:t>n y posteriormente realizar la versión pública, de ser el caso, -</w:t>
      </w:r>
      <w:r>
        <w:rPr>
          <w:rFonts w:ascii="Palatino Linotype" w:eastAsia="Palatino Linotype" w:hAnsi="Palatino Linotype" w:cs="Palatino Linotype"/>
          <w:sz w:val="22"/>
          <w:szCs w:val="22"/>
        </w:rPr>
        <w:t>mediante algún software o algún programa, sin que deba necesariamente reproducir la información en formato físico-</w:t>
      </w:r>
      <w:r>
        <w:rPr>
          <w:rFonts w:ascii="Palatino Linotype" w:eastAsia="Palatino Linotype" w:hAnsi="Palatino Linotype" w:cs="Palatino Linotype"/>
        </w:rPr>
        <w:t xml:space="preserve">, para estar en condiciones de  atender la solicitud, este Organismo Garante </w:t>
      </w:r>
      <w:r>
        <w:rPr>
          <w:rFonts w:ascii="Palatino Linotype" w:eastAsia="Palatino Linotype" w:hAnsi="Palatino Linotype" w:cs="Palatino Linotype"/>
        </w:rPr>
        <w:t>estima procedente ordenar la entrega de dicho soporte documental, mediante el sistema SAIMEX, sin costo para la solicitante, en los términos del considerando siguiente.</w:t>
      </w:r>
    </w:p>
    <w:p w:rsidR="00DC511C" w:rsidRDefault="007D3F91">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Cambio de modalidad</w:t>
      </w:r>
    </w:p>
    <w:p w:rsidR="00DC511C" w:rsidRDefault="007D3F9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w:t>
      </w:r>
      <w:r>
        <w:rPr>
          <w:rFonts w:ascii="Palatino Linotype" w:eastAsia="Palatino Linotype" w:hAnsi="Palatino Linotype" w:cs="Palatino Linotype"/>
          <w:b/>
          <w:u w:val="single"/>
        </w:rPr>
        <w:t>respecto al cambio de modalidad a consulta directa</w:t>
      </w:r>
      <w:r>
        <w:rPr>
          <w:rFonts w:ascii="Palatino Linotype" w:eastAsia="Palatino Linotype" w:hAnsi="Palatino Linotype" w:cs="Palatino Linotype"/>
        </w:rPr>
        <w:t xml:space="preserve"> c</w:t>
      </w:r>
      <w:r>
        <w:rPr>
          <w:rFonts w:ascii="Palatino Linotype" w:eastAsia="Palatino Linotype" w:hAnsi="Palatino Linotype" w:cs="Palatino Linotype"/>
        </w:rPr>
        <w:t xml:space="preserve">onviene mencionar que </w:t>
      </w:r>
      <w:r>
        <w:rPr>
          <w:rFonts w:ascii="Palatino Linotype" w:eastAsia="Palatino Linotype" w:hAnsi="Palatino Linotype" w:cs="Palatino Linotype"/>
          <w:color w:val="000000"/>
        </w:rPr>
        <w:t>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w:t>
      </w:r>
      <w:r>
        <w:rPr>
          <w:rFonts w:ascii="Palatino Linotype" w:eastAsia="Palatino Linotype" w:hAnsi="Palatino Linotype" w:cs="Palatino Linotype"/>
        </w:rPr>
        <w:t>er otro medio, incluidos los electrónicos.</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w:t>
      </w:r>
      <w:r>
        <w:rPr>
          <w:rFonts w:ascii="Palatino Linotype" w:eastAsia="Palatino Linotype" w:hAnsi="Palatino Linotype" w:cs="Palatino Linotype"/>
          <w:b/>
        </w:rPr>
        <w:t xml:space="preserve">ase las capacidades técnicas, administrativas y humanas del Sujeto Obligado para cumplir con la </w:t>
      </w:r>
      <w:r>
        <w:rPr>
          <w:rFonts w:ascii="Palatino Linotype" w:eastAsia="Palatino Linotype" w:hAnsi="Palatino Linotype" w:cs="Palatino Linotype"/>
          <w:b/>
        </w:rPr>
        <w:lastRenderedPageBreak/>
        <w:t>solicitud, se podrá poner a disposición del solicitante la información en consulta directa.</w:t>
      </w:r>
    </w:p>
    <w:p w:rsidR="00DC511C" w:rsidRDefault="00DC511C">
      <w:pPr>
        <w:spacing w:line="360" w:lineRule="auto"/>
        <w:jc w:val="both"/>
        <w:rPr>
          <w:rFonts w:ascii="Palatino Linotype" w:eastAsia="Palatino Linotype" w:hAnsi="Palatino Linotype" w:cs="Palatino Linotype"/>
          <w:b/>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el artículo 164 de dicho ordenamiento jurídi</w:t>
      </w:r>
      <w:r>
        <w:rPr>
          <w:rFonts w:ascii="Palatino Linotype" w:eastAsia="Palatino Linotype" w:hAnsi="Palatino Linotype" w:cs="Palatino Linotype"/>
        </w:rPr>
        <w:t xml:space="preserve">co, prevé que el acceso se dará en la modalidad de entrega y, en su caso, de envío elegidos por al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w:t>
      </w:r>
      <w:r>
        <w:rPr>
          <w:rFonts w:ascii="Palatino Linotype" w:eastAsia="Palatino Linotype" w:hAnsi="Palatino Linotype" w:cs="Palatino Linotype"/>
          <w:b/>
        </w:rPr>
        <w:t>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conforme al artículo 174 de la Ley de la materia, indica que los costos de reproducción y, en su caso, de envío para la obtención de la información</w:t>
      </w:r>
      <w:r>
        <w:rPr>
          <w:rFonts w:ascii="Palatino Linotype" w:eastAsia="Palatino Linotype" w:hAnsi="Palatino Linotype" w:cs="Palatino Linotype"/>
        </w:rPr>
        <w:t xml:space="preserve">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w:t>
      </w:r>
      <w:r>
        <w:rPr>
          <w:rFonts w:ascii="Palatino Linotype" w:eastAsia="Palatino Linotype" w:hAnsi="Palatino Linotype" w:cs="Palatino Linotype"/>
          <w:b/>
        </w:rPr>
        <w: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w:t>
      </w:r>
      <w:r>
        <w:rPr>
          <w:rFonts w:ascii="Palatino Linotype" w:eastAsia="Palatino Linotype" w:hAnsi="Palatino Linotype" w:cs="Palatino Linotype"/>
          <w:b/>
        </w:rPr>
        <w:t xml:space="preserve"> procede, en caso de que se acredite la imposibilidad de atenderla.</w:t>
      </w:r>
      <w:r>
        <w:rPr>
          <w:rFonts w:ascii="Palatino Linotype" w:eastAsia="Palatino Linotype" w:hAnsi="Palatino Linotype" w:cs="Palatino Linotype"/>
        </w:rPr>
        <w:t xml:space="preserve"> </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w:t>
      </w:r>
      <w:r>
        <w:rPr>
          <w:rFonts w:ascii="Palatino Linotype" w:eastAsia="Palatino Linotype" w:hAnsi="Palatino Linotype" w:cs="Palatino Linotype"/>
        </w:rPr>
        <w:t xml:space="preserve">as de la Unidad de Transparencia; lo anterior, es robustecido con el Criterio 08/17, emitido por el Pleno del Instituto Nacional de </w:t>
      </w:r>
      <w:r>
        <w:rPr>
          <w:rFonts w:ascii="Palatino Linotype" w:eastAsia="Palatino Linotype" w:hAnsi="Palatino Linotype" w:cs="Palatino Linotype"/>
        </w:rPr>
        <w:lastRenderedPageBreak/>
        <w:t>Transparencia, Acceso a la Información y Protección de Datos Personales, el cual establece lo siguiente:</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w:t>
      </w:r>
      <w:r>
        <w:rPr>
          <w:rFonts w:ascii="Palatino Linotype" w:eastAsia="Palatino Linotype" w:hAnsi="Palatino Linotype" w:cs="Palatino Linotype"/>
          <w:i/>
          <w:sz w:val="20"/>
          <w:szCs w:val="20"/>
        </w:rPr>
        <w:t>ral de Transparencia y Acceso a la Información Pública, cuando no sea posible atender la modalidad elegida, la obligación de acceso a la información se tendrá por cumplida cuando el sujeto obligado: a) justifique el impedimento para atender la misma y b) s</w:t>
      </w:r>
      <w:r>
        <w:rPr>
          <w:rFonts w:ascii="Palatino Linotype" w:eastAsia="Palatino Linotype" w:hAnsi="Palatino Linotype" w:cs="Palatino Linotype"/>
          <w:i/>
          <w:sz w:val="20"/>
          <w:szCs w:val="20"/>
        </w:rPr>
        <w:t>e notifique al particular la disposición de la información en todas las modalidades que permita el documento de que se trate, procurando reducir, en todo momento, los costos de entrega.”</w:t>
      </w:r>
    </w:p>
    <w:p w:rsidR="00DC511C" w:rsidRDefault="00DC511C">
      <w:pPr>
        <w:spacing w:line="360" w:lineRule="auto"/>
        <w:jc w:val="both"/>
        <w:rPr>
          <w:rFonts w:ascii="Palatino Linotype" w:eastAsia="Palatino Linotype" w:hAnsi="Palatino Linotype" w:cs="Palatino Linotype"/>
          <w:sz w:val="22"/>
          <w:szCs w:val="22"/>
        </w:rPr>
      </w:pPr>
    </w:p>
    <w:p w:rsidR="00DC511C" w:rsidRDefault="007D3F9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Del citado criterio, se desprende que cuando no sea posible atener l</w:t>
      </w:r>
      <w:r>
        <w:rPr>
          <w:rFonts w:ascii="Palatino Linotype" w:eastAsia="Palatino Linotype" w:hAnsi="Palatino Linotype" w:cs="Palatino Linotype"/>
        </w:rPr>
        <w:t xml:space="preserve">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w:t>
      </w:r>
      <w:r>
        <w:rPr>
          <w:rFonts w:ascii="Palatino Linotype" w:eastAsia="Palatino Linotype" w:hAnsi="Palatino Linotype" w:cs="Palatino Linotype"/>
          <w:b/>
        </w:rPr>
        <w:t>das las modalidades que lo permitan, procurando reducir los costos de entrega.</w:t>
      </w:r>
    </w:p>
    <w:p w:rsidR="00DC511C" w:rsidRDefault="00DC511C">
      <w:pPr>
        <w:spacing w:line="360" w:lineRule="auto"/>
        <w:jc w:val="both"/>
        <w:rPr>
          <w:rFonts w:ascii="Palatino Linotype" w:eastAsia="Palatino Linotype" w:hAnsi="Palatino Linotype" w:cs="Palatino Linotype"/>
          <w:b/>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aportó elementos suficientes para validar el cambio de modalidad solicitado.</w:t>
      </w:r>
    </w:p>
    <w:p w:rsidR="00DC511C" w:rsidRDefault="00DC511C">
      <w:pPr>
        <w:spacing w:line="360" w:lineRule="auto"/>
        <w:jc w:val="both"/>
        <w:rPr>
          <w:rFonts w:ascii="Palatino Linotype" w:eastAsia="Palatino Linotype" w:hAnsi="Palatino Linotype" w:cs="Palatino Linotype"/>
          <w:b/>
        </w:rPr>
      </w:pPr>
    </w:p>
    <w:p w:rsidR="00DC511C" w:rsidRDefault="007D3F9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w:t>
      </w:r>
      <w:r>
        <w:rPr>
          <w:rFonts w:ascii="Palatino Linotype" w:eastAsia="Palatino Linotype" w:hAnsi="Palatino Linotype" w:cs="Palatino Linotype"/>
        </w:rPr>
        <w:t>y General de Transparencia y Acceso a la Información Pública Comentada” (pág. 401), cuando los sujetos obligados ofrezcan como modalidad de entrega de la información, consulta directa, estos deberán fundar y motivar las razones por las cuales no es posible</w:t>
      </w:r>
      <w:r>
        <w:rPr>
          <w:rFonts w:ascii="Palatino Linotype" w:eastAsia="Palatino Linotype" w:hAnsi="Palatino Linotype" w:cs="Palatino Linotype"/>
        </w:rPr>
        <w:t xml:space="preserve"> otorgar el acceso a los documentos de otra forma; además que se deberá explicar de manera detallada </w:t>
      </w:r>
      <w:r>
        <w:rPr>
          <w:rFonts w:ascii="Palatino Linotype" w:eastAsia="Palatino Linotype" w:hAnsi="Palatino Linotype" w:cs="Palatino Linotype"/>
        </w:rPr>
        <w:lastRenderedPageBreak/>
        <w:t>lo siguiente:</w:t>
      </w:r>
    </w:p>
    <w:p w:rsidR="00DC511C" w:rsidRDefault="00DC511C">
      <w:pPr>
        <w:spacing w:line="360" w:lineRule="auto"/>
        <w:jc w:val="both"/>
        <w:rPr>
          <w:rFonts w:ascii="Palatino Linotype" w:eastAsia="Palatino Linotype" w:hAnsi="Palatino Linotype" w:cs="Palatino Linotype"/>
        </w:rPr>
      </w:pPr>
    </w:p>
    <w:p w:rsidR="00DC511C" w:rsidRDefault="007D3F9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rsidR="00DC511C" w:rsidRDefault="00DC511C">
      <w:pPr>
        <w:spacing w:line="360" w:lineRule="auto"/>
        <w:ind w:left="720"/>
        <w:jc w:val="both"/>
        <w:rPr>
          <w:rFonts w:ascii="Palatino Linotype" w:eastAsia="Palatino Linotype" w:hAnsi="Palatino Linotype" w:cs="Palatino Linotype"/>
        </w:rPr>
      </w:pPr>
    </w:p>
    <w:p w:rsidR="00DC511C" w:rsidRDefault="007D3F9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w:t>
      </w:r>
      <w:r>
        <w:rPr>
          <w:rFonts w:ascii="Palatino Linotype" w:eastAsia="Palatino Linotype" w:hAnsi="Palatino Linotype" w:cs="Palatino Linotype"/>
        </w:rPr>
        <w:t>ga al Sujeto Obligado para dar respuesta, en la modalidad elegida a la solicitud de información, no le es suficiente, y</w:t>
      </w:r>
    </w:p>
    <w:p w:rsidR="00DC511C" w:rsidRDefault="00DC511C">
      <w:pPr>
        <w:spacing w:line="360" w:lineRule="auto"/>
        <w:ind w:left="720"/>
        <w:rPr>
          <w:rFonts w:ascii="Palatino Linotype" w:eastAsia="Palatino Linotype" w:hAnsi="Palatino Linotype" w:cs="Palatino Linotype"/>
        </w:rPr>
      </w:pPr>
    </w:p>
    <w:p w:rsidR="00DC511C" w:rsidRDefault="007D3F91">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rsidR="00DC511C" w:rsidRDefault="00DC511C">
      <w:pPr>
        <w:spacing w:line="360" w:lineRule="auto"/>
        <w:ind w:right="-28"/>
        <w:jc w:val="both"/>
        <w:rPr>
          <w:rFonts w:ascii="Palatino Linotype" w:eastAsia="Palatino Linotype" w:hAnsi="Palatino Linotype" w:cs="Palatino Linotype"/>
          <w:color w:val="000000"/>
        </w:rPr>
      </w:pPr>
    </w:p>
    <w:p w:rsidR="00DC511C" w:rsidRDefault="007D3F91">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Ahora bien, los servidores públicos habilitados, precisaron que ponía a disposición de la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documentación peticionada en consulta directa, porque: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u w:val="single"/>
        </w:rPr>
        <w:t>sobrepasa las capacidades técnicas y humanas</w:t>
      </w:r>
      <w:r>
        <w:rPr>
          <w:rFonts w:ascii="Palatino Linotype" w:eastAsia="Palatino Linotype" w:hAnsi="Palatino Linotype" w:cs="Palatino Linotype"/>
          <w:i/>
          <w:color w:val="000000"/>
        </w:rPr>
        <w:t>, puesto que, como se puede apreciar, requier</w:t>
      </w:r>
      <w:r>
        <w:rPr>
          <w:rFonts w:ascii="Palatino Linotype" w:eastAsia="Palatino Linotype" w:hAnsi="Palatino Linotype" w:cs="Palatino Linotype"/>
          <w:i/>
          <w:color w:val="000000"/>
        </w:rPr>
        <w:t>e cada uno de los oficios emitidos a la dirección de administración por cuestión de roles de guardia con su soporte documental y las respuestas de la dirección de administración a cada uno de los oficios que refiere, del año 2020 y 2021, es importante come</w:t>
      </w:r>
      <w:r>
        <w:rPr>
          <w:rFonts w:ascii="Palatino Linotype" w:eastAsia="Palatino Linotype" w:hAnsi="Palatino Linotype" w:cs="Palatino Linotype"/>
          <w:i/>
          <w:color w:val="000000"/>
        </w:rPr>
        <w:t xml:space="preserve">ntar que los oficios que se reciben y por consiguiente que se remiten desde esta Dirección son bastantes, y no se encuentran digitalizados, por lo que se tendrían que localizar, digitalizar y posteriormente revisar cada uno de ellos, para llevar a cabo un </w:t>
      </w:r>
      <w:r>
        <w:rPr>
          <w:rFonts w:ascii="Palatino Linotype" w:eastAsia="Palatino Linotype" w:hAnsi="Palatino Linotype" w:cs="Palatino Linotype"/>
          <w:i/>
          <w:color w:val="000000"/>
        </w:rPr>
        <w:t xml:space="preserve">análisis de cada uno, verificando que correspondan al asunto de los roles de guardias, lo que implicaría como mínimo asignar a 2 servidores públicos exclusivamente a esa tarea, tardando </w:t>
      </w:r>
      <w:r>
        <w:rPr>
          <w:rFonts w:ascii="Palatino Linotype" w:eastAsia="Palatino Linotype" w:hAnsi="Palatino Linotype" w:cs="Palatino Linotype"/>
          <w:i/>
          <w:color w:val="000000"/>
        </w:rPr>
        <w:lastRenderedPageBreak/>
        <w:t>aproximadamente 20 días hábiles dedicándose las 8 horas diarias de lun</w:t>
      </w:r>
      <w:r>
        <w:rPr>
          <w:rFonts w:ascii="Palatino Linotype" w:eastAsia="Palatino Linotype" w:hAnsi="Palatino Linotype" w:cs="Palatino Linotype"/>
          <w:i/>
          <w:color w:val="000000"/>
        </w:rPr>
        <w:t xml:space="preserve">es a viernes para llevar a cabo la localización, digitalización y análisis. </w:t>
      </w:r>
    </w:p>
    <w:p w:rsidR="00DC511C" w:rsidRDefault="007D3F91">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Es importante comentar que no se cuenta con personal, ni herramientas de trabajo como computadoras y escáner suficientes para llevar a cabo dicha labor. </w:t>
      </w:r>
    </w:p>
    <w:p w:rsidR="00DC511C" w:rsidRDefault="007D3F91">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Si bien se pudiera pensar</w:t>
      </w:r>
      <w:r>
        <w:rPr>
          <w:rFonts w:ascii="Palatino Linotype" w:eastAsia="Palatino Linotype" w:hAnsi="Palatino Linotype" w:cs="Palatino Linotype"/>
          <w:i/>
          <w:color w:val="000000"/>
        </w:rPr>
        <w:t xml:space="preserve"> que no es mucha la información que hay que proporcionar al ciudadano, lo que más nos impacta es la cantidad de personal asignado y equipo para efectuar dicha tarea, puesto que solo contamos con una persona para realizar dicha labor, ya que no podemos dist</w:t>
      </w:r>
      <w:r>
        <w:rPr>
          <w:rFonts w:ascii="Palatino Linotype" w:eastAsia="Palatino Linotype" w:hAnsi="Palatino Linotype" w:cs="Palatino Linotype"/>
          <w:i/>
          <w:color w:val="000000"/>
        </w:rPr>
        <w:t xml:space="preserve">raer al personal de otras áreas para atender la solicitud del ciudadano en virtud que dejarían desprotegidas sus áreas correspondientes, ocasionando un retraso significativo en sus labores. </w:t>
      </w:r>
    </w:p>
    <w:p w:rsidR="00DC511C" w:rsidRDefault="007D3F91">
      <w:pPr>
        <w:spacing w:line="360" w:lineRule="auto"/>
        <w:ind w:right="-28"/>
        <w:jc w:val="both"/>
        <w:rPr>
          <w:rFonts w:ascii="Palatino Linotype" w:eastAsia="Palatino Linotype" w:hAnsi="Palatino Linotype" w:cs="Palatino Linotype"/>
          <w:i/>
          <w:strike/>
          <w:color w:val="FF0000"/>
        </w:rPr>
      </w:pPr>
      <w:r>
        <w:rPr>
          <w:rFonts w:ascii="Palatino Linotype" w:eastAsia="Palatino Linotype" w:hAnsi="Palatino Linotype" w:cs="Palatino Linotype"/>
          <w:i/>
          <w:color w:val="000000"/>
        </w:rPr>
        <w:t>No omito comentar que, la labor que realizaría la persona destina</w:t>
      </w:r>
      <w:r>
        <w:rPr>
          <w:rFonts w:ascii="Palatino Linotype" w:eastAsia="Palatino Linotype" w:hAnsi="Palatino Linotype" w:cs="Palatino Linotype"/>
          <w:i/>
          <w:color w:val="000000"/>
        </w:rPr>
        <w:t xml:space="preserve">da a localizar, digitalizar y analizar los oficios solicitados en el segundo párrafo del presente oficio, es únicamente para cumplir la petición de un ciudadano en una solicitud de información, siendo ésta misma persona quien atiende las demás solicitudes </w:t>
      </w:r>
      <w:r>
        <w:rPr>
          <w:rFonts w:ascii="Palatino Linotype" w:eastAsia="Palatino Linotype" w:hAnsi="Palatino Linotype" w:cs="Palatino Linotype"/>
          <w:i/>
          <w:color w:val="000000"/>
        </w:rPr>
        <w:t>de información que diariamente llegan a esta Dirección General de Administración solicitando información de recibos de nóminas, datos laborales de servidores públicos, contratos, etc. teniendo a la fecha de la elaboración del presente oficio aproximadament</w:t>
      </w:r>
      <w:r>
        <w:rPr>
          <w:rFonts w:ascii="Palatino Linotype" w:eastAsia="Palatino Linotype" w:hAnsi="Palatino Linotype" w:cs="Palatino Linotype"/>
          <w:i/>
          <w:color w:val="000000"/>
        </w:rPr>
        <w:t>e 171 solicitudes de información por atender.”</w:t>
      </w:r>
      <w:r>
        <w:rPr>
          <w:rFonts w:ascii="Palatino Linotype" w:eastAsia="Palatino Linotype" w:hAnsi="Palatino Linotype" w:cs="Palatino Linotype"/>
          <w:color w:val="000000"/>
        </w:rPr>
        <w:t xml:space="preserve"> (Sic)</w:t>
      </w:r>
    </w:p>
    <w:p w:rsidR="00DC511C" w:rsidRDefault="00DC511C">
      <w:pPr>
        <w:spacing w:line="360" w:lineRule="auto"/>
        <w:ind w:right="-28"/>
        <w:jc w:val="both"/>
        <w:rPr>
          <w:rFonts w:ascii="Palatino Linotype" w:eastAsia="Palatino Linotype" w:hAnsi="Palatino Linotype" w:cs="Palatino Linotype"/>
          <w:color w:val="000000"/>
        </w:rPr>
      </w:pPr>
    </w:p>
    <w:p w:rsidR="00DC511C" w:rsidRDefault="007D3F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Instituto considera que si bien, las áreas señalaron que la información </w:t>
      </w:r>
      <w:r>
        <w:rPr>
          <w:rFonts w:ascii="Palatino Linotype" w:eastAsia="Palatino Linotype" w:hAnsi="Palatino Linotype" w:cs="Palatino Linotype"/>
        </w:rPr>
        <w:t xml:space="preserve">sobrepasaba las capacidades técnicas y humanas, </w:t>
      </w:r>
      <w:r>
        <w:rPr>
          <w:rFonts w:ascii="Palatino Linotype" w:eastAsia="Palatino Linotype" w:hAnsi="Palatino Linotype" w:cs="Palatino Linotype"/>
          <w:color w:val="000000"/>
        </w:rPr>
        <w:t>no precisaron la siguiente circunstancia:</w:t>
      </w:r>
    </w:p>
    <w:p w:rsidR="00DC511C" w:rsidRDefault="00DC511C">
      <w:pPr>
        <w:spacing w:line="360" w:lineRule="auto"/>
        <w:jc w:val="both"/>
        <w:rPr>
          <w:rFonts w:ascii="Palatino Linotype" w:eastAsia="Palatino Linotype" w:hAnsi="Palatino Linotype" w:cs="Palatino Linotype"/>
          <w:color w:val="000000"/>
        </w:rPr>
      </w:pPr>
    </w:p>
    <w:p w:rsidR="00DC511C" w:rsidRDefault="00DC511C">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rsidR="00DC511C" w:rsidRDefault="007D3F9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número de hojas o peso aproximado de la información solicitada, del cual se pudiera conocer cuántos documentos había generado y recibido las áreas, o bien, cuando menos un aproximado.</w:t>
      </w:r>
    </w:p>
    <w:p w:rsidR="00DC511C" w:rsidRDefault="00DC511C">
      <w:pPr>
        <w:spacing w:line="360" w:lineRule="auto"/>
        <w:rPr>
          <w:rFonts w:ascii="Palatino Linotype" w:eastAsia="Palatino Linotype" w:hAnsi="Palatino Linotype" w:cs="Palatino Linotype"/>
          <w:color w:val="000000"/>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tampoco acreditó que lo peticionado implicaba un análisis, p</w:t>
      </w:r>
      <w:r>
        <w:rPr>
          <w:rFonts w:ascii="Palatino Linotype" w:eastAsia="Palatino Linotype" w:hAnsi="Palatino Linotype" w:cs="Palatino Linotype"/>
        </w:rPr>
        <w:t xml:space="preserve">rocesamiento o estudio de documentos cuya reproducción sobrepasará las capacidades técnicas, administrativas y humanas del </w:t>
      </w:r>
      <w:r>
        <w:rPr>
          <w:rFonts w:ascii="Palatino Linotype" w:eastAsia="Palatino Linotype" w:hAnsi="Palatino Linotype" w:cs="Palatino Linotype"/>
          <w:b/>
        </w:rPr>
        <w:t>SUJETO OBLIGADO</w:t>
      </w:r>
      <w:r>
        <w:rPr>
          <w:rFonts w:ascii="Palatino Linotype" w:eastAsia="Palatino Linotype" w:hAnsi="Palatino Linotype" w:cs="Palatino Linotype"/>
        </w:rPr>
        <w:t>, pues como se refirió, no se precisó el número de personas que se encontraban en las áreas, ni número de hojas aproxi</w:t>
      </w:r>
      <w:r>
        <w:rPr>
          <w:rFonts w:ascii="Palatino Linotype" w:eastAsia="Palatino Linotype" w:hAnsi="Palatino Linotype" w:cs="Palatino Linotype"/>
        </w:rPr>
        <w:t>madas de lo solicitado, o bien, si lo peticionado, se encontraba en uno o varios expedientes; esto es, no proporcionó los elementos suficientes para acreditar el cambio de modalidad, pues la justificación se basó únicamente en que sobrepasaba las capacidad</w:t>
      </w:r>
      <w:r>
        <w:rPr>
          <w:rFonts w:ascii="Palatino Linotype" w:eastAsia="Palatino Linotype" w:hAnsi="Palatino Linotype" w:cs="Palatino Linotype"/>
        </w:rPr>
        <w:t>es humanas y técnicas, sin acreditar su dicho.</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lo anterior, es de señalar que el Órgano Garante Nacional, a través de diversas resoluciones de los Recursos de Inconformidad, entre las cuales se encuentran el RIA 136/20, RIA 140/20, RIA 153/20 RIA 237/20, RIA 257/20, RIA 258/20, entre otros, ha co</w:t>
      </w:r>
      <w:r>
        <w:rPr>
          <w:rFonts w:ascii="Palatino Linotype" w:eastAsia="Palatino Linotype" w:hAnsi="Palatino Linotype" w:cs="Palatino Linotype"/>
        </w:rPr>
        <w:t>nsiderado que no resultaba suficiente justificar una imposibilidad técnica y humana para acreditar un cambio de modalidad, sino que era necesario demostrar otros impedimentos, como la cantidad y formato de la documentación, que fuera de imposible reproducc</w:t>
      </w:r>
      <w:r>
        <w:rPr>
          <w:rFonts w:ascii="Palatino Linotype" w:eastAsia="Palatino Linotype" w:hAnsi="Palatino Linotype" w:cs="Palatino Linotype"/>
        </w:rPr>
        <w:t>ión en el medio elegido por los solicitantes, que la información ameritara el cruce de información en los sistemas de datos, entre otros. Además, precisan que no se debe ceñir el cambio de modalidad, directamente a consulta directa, sino que los sujetos ob</w:t>
      </w:r>
      <w:r>
        <w:rPr>
          <w:rFonts w:ascii="Palatino Linotype" w:eastAsia="Palatino Linotype" w:hAnsi="Palatino Linotype" w:cs="Palatino Linotype"/>
        </w:rPr>
        <w:t xml:space="preserve">ligados, deben de buscar la posibilidad de </w:t>
      </w:r>
      <w:r>
        <w:rPr>
          <w:rFonts w:ascii="Palatino Linotype" w:eastAsia="Palatino Linotype" w:hAnsi="Palatino Linotype" w:cs="Palatino Linotype"/>
        </w:rPr>
        <w:lastRenderedPageBreak/>
        <w:t xml:space="preserve">proporcionarla en las otras formas que establecen en la Ley, ya sean electrónicas o físicas. </w:t>
      </w:r>
    </w:p>
    <w:p w:rsidR="00DC511C" w:rsidRDefault="00DC511C">
      <w:pPr>
        <w:spacing w:line="360" w:lineRule="auto"/>
        <w:jc w:val="both"/>
        <w:rPr>
          <w:rFonts w:ascii="Palatino Linotype" w:eastAsia="Palatino Linotype" w:hAnsi="Palatino Linotype" w:cs="Palatino Linotype"/>
        </w:rPr>
      </w:pPr>
    </w:p>
    <w:p w:rsidR="00DC511C" w:rsidRDefault="007D3F91">
      <w:pPr>
        <w:spacing w:line="360" w:lineRule="auto"/>
        <w:jc w:val="both"/>
        <w:rPr>
          <w:rFonts w:ascii="Palatino Linotype" w:eastAsia="Palatino Linotype" w:hAnsi="Palatino Linotype" w:cs="Palatino Linotype"/>
          <w:b/>
        </w:rPr>
      </w:pPr>
      <w:bookmarkStart w:id="8" w:name="_heading=h.3rdcrjn" w:colFirst="0" w:colLast="0"/>
      <w:bookmarkEnd w:id="8"/>
      <w:r>
        <w:rPr>
          <w:rFonts w:ascii="Palatino Linotype" w:eastAsia="Palatino Linotype" w:hAnsi="Palatino Linotype" w:cs="Palatino Linotype"/>
        </w:rPr>
        <w:t xml:space="preserve">Por lo anterior,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no acreditó la imposibilidad humana, técnica y administrativa, es</w:t>
      </w:r>
      <w:r>
        <w:rPr>
          <w:rFonts w:ascii="Palatino Linotype" w:eastAsia="Palatino Linotype" w:hAnsi="Palatino Linotype" w:cs="Palatino Linotype"/>
        </w:rPr>
        <w:t xml:space="preserve">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rPr>
        <w:t>FUNDADOS</w:t>
      </w:r>
      <w:r>
        <w:rPr>
          <w:rFonts w:ascii="Palatino Linotype" w:eastAsia="Palatino Linotype" w:hAnsi="Palatino Linotype" w:cs="Palatino Linotype"/>
        </w:rPr>
        <w:t>; situación que se robustece, con</w:t>
      </w:r>
      <w:r>
        <w:rPr>
          <w:rFonts w:ascii="Palatino Linotype" w:eastAsia="Palatino Linotype" w:hAnsi="Palatino Linotype" w:cs="Palatino Linotype"/>
        </w:rPr>
        <w:t xml:space="preserve"> el hecho de que tampoco vio la posibilidad de poner a disposición la información, en el resto de modalidades establecidas en la Ley de la materia.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Finalmente, debe señalarse que de ser el caso en que los documentos que vayan a ser</w:t>
      </w:r>
      <w:r>
        <w:rPr>
          <w:rFonts w:ascii="Palatino Linotype" w:eastAsia="Palatino Linotype" w:hAnsi="Palatino Linotype" w:cs="Palatino Linotype"/>
        </w:rPr>
        <w:t xml:space="preserve"> entregados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w:t>
      </w:r>
      <w:r>
        <w:rPr>
          <w:rFonts w:ascii="Palatino Linotype" w:eastAsia="Palatino Linotype" w:hAnsi="Palatino Linotype" w:cs="Palatino Linotype"/>
        </w:rPr>
        <w:t>o a la información pública del recurrente sin menoscabo al derecho a la protección de los datos personales de terceros.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w:t>
      </w:r>
      <w:r>
        <w:rPr>
          <w:rFonts w:ascii="Palatino Linotype" w:eastAsia="Palatino Linotype" w:hAnsi="Palatino Linotype" w:cs="Palatino Linotype"/>
        </w:rPr>
        <w:t>1, 132 fracciones II y III, y 143 fracción I de la Ley de Transparencia y Acceso a la Información Pública del Estado de México y Municipios que establecen:</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w:t>
      </w:r>
      <w:r>
        <w:rPr>
          <w:rFonts w:ascii="Palatino Linotype" w:eastAsia="Palatino Linotype" w:hAnsi="Palatino Linotype" w:cs="Palatino Linotype"/>
          <w:i/>
          <w:sz w:val="22"/>
          <w:szCs w:val="22"/>
        </w:rPr>
        <w:t>ial;</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w:t>
      </w:r>
      <w:r>
        <w:rPr>
          <w:rFonts w:ascii="Palatino Linotype" w:eastAsia="Palatino Linotype" w:hAnsi="Palatino Linotype" w:cs="Palatino Linotype"/>
          <w:i/>
          <w:sz w:val="22"/>
          <w:szCs w:val="22"/>
        </w:rPr>
        <w:t>ligados cuando no involucren el ejercicio de recursos públicos;</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w:t>
      </w:r>
      <w:r>
        <w:rPr>
          <w:rFonts w:ascii="Palatino Linotype" w:eastAsia="Palatino Linotype" w:hAnsi="Palatino Linotype" w:cs="Palatino Linotype"/>
          <w:i/>
          <w:sz w:val="22"/>
          <w:szCs w:val="22"/>
        </w:rPr>
        <w:t>ión pública será restringido excepcionalmente, cuando ésta sea clasificada como reservada o confidencial.</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w:t>
      </w:r>
      <w:r>
        <w:rPr>
          <w:rFonts w:ascii="Palatino Linotype" w:eastAsia="Palatino Linotype" w:hAnsi="Palatino Linotype" w:cs="Palatino Linotype"/>
          <w:i/>
          <w:sz w:val="22"/>
          <w:szCs w:val="22"/>
        </w:rPr>
        <w:t xml:space="preserve"> determine mediante resolución de autoridad competente; o</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w:t>
      </w:r>
      <w:r>
        <w:rPr>
          <w:rFonts w:ascii="Palatino Linotype" w:eastAsia="Palatino Linotype" w:hAnsi="Palatino Linotype" w:cs="Palatino Linotype"/>
          <w:i/>
          <w:sz w:val="22"/>
          <w:szCs w:val="22"/>
        </w:rPr>
        <w:t>ctiva identificada o identificable;</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w:t>
      </w:r>
      <w:r>
        <w:rPr>
          <w:rFonts w:ascii="Palatino Linotype" w:eastAsia="Palatino Linotype" w:hAnsi="Palatino Linotype" w:cs="Palatino Linotype"/>
          <w:i/>
          <w:sz w:val="22"/>
          <w:szCs w:val="22"/>
        </w:rPr>
        <w:t>io de recursos públicos; y</w:t>
      </w:r>
    </w:p>
    <w:p w:rsidR="00DC511C" w:rsidRDefault="007D3F9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información confidencial no estará sujeta a temporalidad alguna y sólo podrán tener </w:t>
      </w:r>
      <w:r>
        <w:rPr>
          <w:rFonts w:ascii="Palatino Linotype" w:eastAsia="Palatino Linotype" w:hAnsi="Palatino Linotype" w:cs="Palatino Linotype"/>
          <w:i/>
          <w:sz w:val="22"/>
          <w:szCs w:val="22"/>
        </w:rPr>
        <w:t>acceso a ella los titulares de la misma, sus representantes y los servidores públicos facultados para ello.</w:t>
      </w:r>
    </w:p>
    <w:p w:rsidR="00DC511C" w:rsidRDefault="007D3F9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w:t>
      </w:r>
      <w:r>
        <w:rPr>
          <w:rFonts w:ascii="Palatino Linotype" w:eastAsia="Palatino Linotype" w:hAnsi="Palatino Linotype" w:cs="Palatino Linotype"/>
          <w:i/>
          <w:sz w:val="22"/>
          <w:szCs w:val="22"/>
        </w:rPr>
        <w:t>derada por la presente ley como información pública.”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w:t>
      </w:r>
      <w:r>
        <w:rPr>
          <w:rFonts w:ascii="Palatino Linotype" w:eastAsia="Palatino Linotype" w:hAnsi="Palatino Linotype" w:cs="Palatino Linotype"/>
        </w:rPr>
        <w:t>Nacional de Transparencia, Acceso a la Información Pública y Protección de Datos Personales, publicados en el Diario Oficial de la Federación el día quince de abril de dos mil dieciséis, tienen por objeto establecer los criterios con base en los cuales los</w:t>
      </w:r>
      <w:r>
        <w:rPr>
          <w:rFonts w:ascii="Palatino Linotype" w:eastAsia="Palatino Linotype" w:hAnsi="Palatino Linotype" w:cs="Palatino Linotype"/>
        </w:rPr>
        <w:t xml:space="preserve"> sujetos obligados clasificarán como reservada o confidencial la información que posean, desclasificarán y generarán, en su caso, versiones públicas de expedientes o documentos que contengan partes o secciones clasificadas.</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w:t>
      </w:r>
      <w:r>
        <w:rPr>
          <w:rFonts w:ascii="Palatino Linotype" w:eastAsia="Palatino Linotype" w:hAnsi="Palatino Linotype" w:cs="Palatino Linotype"/>
        </w:rPr>
        <w:t>sa, los Lineamientos Quincuagésimo sexto, Quincuagésimo séptimo y Quincuagésimo octavo, establecen lo siguiente:</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w:t>
      </w:r>
      <w:r>
        <w:rPr>
          <w:rFonts w:ascii="Palatino Linotype" w:eastAsia="Palatino Linotype" w:hAnsi="Palatino Linotype" w:cs="Palatino Linotype"/>
          <w:i/>
          <w:sz w:val="22"/>
          <w:szCs w:val="22"/>
        </w:rPr>
        <w:t xml:space="preserve"> por los sujetos obligados, previo pago de los costos de reproducción, a través de sus áreas y deberá ser aprobada por su Comité de Transparencia</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Se considera, en principio, como información pública y no podrá omitirse de las version</w:t>
      </w:r>
      <w:r>
        <w:rPr>
          <w:rFonts w:ascii="Palatino Linotype" w:eastAsia="Palatino Linotype" w:hAnsi="Palatino Linotype" w:cs="Palatino Linotype"/>
          <w:i/>
          <w:sz w:val="22"/>
          <w:szCs w:val="22"/>
        </w:rPr>
        <w:t xml:space="preserve">es públicas la siguiente: </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DC511C" w:rsidRDefault="007D3F91">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w:t>
      </w:r>
      <w:r>
        <w:rPr>
          <w:rFonts w:ascii="Palatino Linotype" w:eastAsia="Palatino Linotype" w:hAnsi="Palatino Linotype" w:cs="Palatino Linotype"/>
          <w:i/>
          <w:sz w:val="22"/>
          <w:szCs w:val="22"/>
        </w:rPr>
        <w:t>oridad concluidos de los sujetos obligados, así como el ejercicio de las facultades o actividades de los servidores públicos, de manera que se pueda valorar el desempeño de los mismos.</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 anterior, siempre y cuando no se acredite alguna causal de clasifica</w:t>
      </w:r>
      <w:r>
        <w:rPr>
          <w:rFonts w:ascii="Palatino Linotype" w:eastAsia="Palatino Linotype" w:hAnsi="Palatino Linotype" w:cs="Palatino Linotype"/>
          <w:i/>
          <w:sz w:val="22"/>
          <w:szCs w:val="22"/>
        </w:rPr>
        <w:t xml:space="preserve">ción, prevista en las leyes o en los tratados internaciones suscritos por el Estado mexicano. </w:t>
      </w:r>
    </w:p>
    <w:p w:rsidR="00DC511C" w:rsidRDefault="007D3F9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w:t>
      </w:r>
      <w:r>
        <w:rPr>
          <w:rFonts w:ascii="Palatino Linotype" w:eastAsia="Palatino Linotype" w:hAnsi="Palatino Linotype" w:cs="Palatino Linotype"/>
          <w:i/>
          <w:sz w:val="22"/>
          <w:szCs w:val="22"/>
        </w:rPr>
        <w:t>a recuperación o visualización de la misma.”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w:t>
      </w:r>
      <w:r>
        <w:rPr>
          <w:rFonts w:ascii="Palatino Linotype" w:eastAsia="Palatino Linotype" w:hAnsi="Palatino Linotype" w:cs="Palatino Linotype"/>
        </w:rPr>
        <w:t xml:space="preserve">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w:t>
      </w:r>
      <w:r>
        <w:rPr>
          <w:rFonts w:ascii="Palatino Linotype" w:eastAsia="Palatino Linotype" w:hAnsi="Palatino Linotype" w:cs="Palatino Linotype"/>
        </w:rPr>
        <w:t xml:space="preserve">, sino más bien una documentación ilegible, incompleta o tachada; ya que el no justificar las causas o motivos por las que no se aprecian determinados datos -ya sea porque se testan o suprimen- deja al solicitante en estado de incertidumbre, al no conocer </w:t>
      </w:r>
      <w:r>
        <w:rPr>
          <w:rFonts w:ascii="Palatino Linotype" w:eastAsia="Palatino Linotype" w:hAnsi="Palatino Linotype" w:cs="Palatino Linotype"/>
        </w:rPr>
        <w:t>o comprender porque no aparecen en la documentación respectiva.</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p w:rsidR="00DC511C" w:rsidRDefault="00DC511C">
      <w:pPr>
        <w:spacing w:before="240" w:after="240" w:line="360" w:lineRule="auto"/>
        <w:jc w:val="both"/>
        <w:rPr>
          <w:rFonts w:ascii="Palatino Linotype" w:eastAsia="Palatino Linotype" w:hAnsi="Palatino Linotype" w:cs="Palatino Linotype"/>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DC511C" w:rsidTr="00DC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DC511C" w:rsidRDefault="007D3F9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Parcial</w:t>
            </w:r>
          </w:p>
        </w:tc>
        <w:tc>
          <w:tcPr>
            <w:tcW w:w="4414" w:type="dxa"/>
            <w:gridSpan w:val="2"/>
          </w:tcPr>
          <w:p w:rsidR="00DC511C" w:rsidRDefault="007D3F9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rsidR="00DC511C" w:rsidRDefault="007D3F9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DC511C" w:rsidRDefault="007D3F9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DC511C" w:rsidRDefault="007D3F9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DC511C" w:rsidTr="00DC511C">
        <w:tc>
          <w:tcPr>
            <w:cnfStyle w:val="001000000000" w:firstRow="0" w:lastRow="0" w:firstColumn="1" w:lastColumn="0" w:oddVBand="0" w:evenVBand="0" w:oddHBand="0" w:evenHBand="0" w:firstRowFirstColumn="0" w:firstRowLastColumn="0" w:lastRowFirstColumn="0" w:lastRowLastColumn="0"/>
            <w:tcW w:w="8828" w:type="dxa"/>
            <w:gridSpan w:val="4"/>
          </w:tcPr>
          <w:p w:rsidR="00DC511C" w:rsidRDefault="007D3F9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w:t>
            </w:r>
            <w:r>
              <w:rPr>
                <w:rFonts w:ascii="Palatino Linotype" w:eastAsia="Palatino Linotype" w:hAnsi="Palatino Linotype" w:cs="Palatino Linotype"/>
                <w:sz w:val="12"/>
                <w:szCs w:val="12"/>
              </w:rPr>
              <w:t>fica.</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sz w:val="12"/>
                <w:szCs w:val="12"/>
              </w:rPr>
              <w:t>ste apartado.</w:t>
            </w: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el número de años </w:t>
            </w:r>
            <w:r>
              <w:rPr>
                <w:rFonts w:ascii="Palatino Linotype" w:eastAsia="Palatino Linotype" w:hAnsi="Palatino Linotype" w:cs="Palatino Linotype"/>
                <w:sz w:val="12"/>
                <w:szCs w:val="12"/>
              </w:rPr>
              <w:t>o meses por los que se mantendrá el documento o las partes del mismo como reservado. Si el expediente no es reservado, sino confidencial, deberá tacharse este apartado.</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w:t>
            </w:r>
            <w:r>
              <w:rPr>
                <w:rFonts w:ascii="Palatino Linotype" w:eastAsia="Palatino Linotype" w:hAnsi="Palatino Linotype" w:cs="Palatino Linotype"/>
                <w:sz w:val="12"/>
                <w:szCs w:val="12"/>
              </w:rPr>
              <w:t>o de reserva originalmente establecido, se deberá anotar el número de años o meses por los que se amplía la reserva.</w:t>
            </w: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w:t>
            </w:r>
            <w:r>
              <w:rPr>
                <w:rFonts w:ascii="Palatino Linotype" w:eastAsia="Palatino Linotype" w:hAnsi="Palatino Linotype" w:cs="Palatino Linotype"/>
                <w:sz w:val="12"/>
                <w:szCs w:val="12"/>
              </w:rPr>
              <w:t>uales se sustenta la reserva.</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w:t>
            </w:r>
            <w:r>
              <w:rPr>
                <w:rFonts w:ascii="Palatino Linotype" w:eastAsia="Palatino Linotype" w:hAnsi="Palatino Linotype" w:cs="Palatino Linotype"/>
                <w:sz w:val="12"/>
                <w:szCs w:val="12"/>
              </w:rPr>
              <w:t xml:space="preserve"> no contiene información confidencial, se tachará este apartado.</w:t>
            </w: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de haber solicitado la ampliación del periodo de reserva originalmente establecido, se deberá anotar el número de años o meses por los que se amplía </w:t>
            </w:r>
            <w:r>
              <w:rPr>
                <w:rFonts w:ascii="Palatino Linotype" w:eastAsia="Palatino Linotype" w:hAnsi="Palatino Linotype" w:cs="Palatino Linotype"/>
                <w:sz w:val="12"/>
                <w:szCs w:val="12"/>
              </w:rPr>
              <w:t>la reserva.</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w:t>
            </w:r>
            <w:r>
              <w:rPr>
                <w:rFonts w:ascii="Palatino Linotype" w:eastAsia="Palatino Linotype" w:hAnsi="Palatino Linotype" w:cs="Palatino Linotype"/>
                <w:sz w:val="12"/>
                <w:szCs w:val="12"/>
              </w:rPr>
              <w:t xml:space="preserve"> fecha en que se desclasifica el documento.</w:t>
            </w: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7D3F9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w:t>
            </w:r>
            <w:r>
              <w:rPr>
                <w:rFonts w:ascii="Palatino Linotype" w:eastAsia="Palatino Linotype" w:hAnsi="Palatino Linotype" w:cs="Palatino Linotype"/>
                <w:sz w:val="12"/>
                <w:szCs w:val="12"/>
              </w:rPr>
              <w:t>ca.</w:t>
            </w:r>
          </w:p>
        </w:tc>
      </w:tr>
      <w:tr w:rsidR="00DC511C" w:rsidTr="00DC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C511C" w:rsidRDefault="00DC511C">
            <w:pPr>
              <w:jc w:val="both"/>
              <w:rPr>
                <w:rFonts w:ascii="Palatino Linotype" w:eastAsia="Palatino Linotype" w:hAnsi="Palatino Linotype" w:cs="Palatino Linotype"/>
                <w:sz w:val="12"/>
                <w:szCs w:val="12"/>
              </w:rPr>
            </w:pPr>
          </w:p>
        </w:tc>
        <w:tc>
          <w:tcPr>
            <w:tcW w:w="3421" w:type="dxa"/>
          </w:tcPr>
          <w:p w:rsidR="00DC511C" w:rsidRDefault="00DC511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DC511C" w:rsidRDefault="007D3F9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DC511C" w:rsidTr="00DC511C">
        <w:tc>
          <w:tcPr>
            <w:cnfStyle w:val="001000000000" w:firstRow="0" w:lastRow="0" w:firstColumn="1" w:lastColumn="0" w:oddVBand="0" w:evenVBand="0" w:oddHBand="0" w:evenHBand="0" w:firstRowFirstColumn="0" w:firstRowLastColumn="0" w:lastRowFirstColumn="0" w:lastRowLastColumn="0"/>
            <w:tcW w:w="993" w:type="dxa"/>
          </w:tcPr>
          <w:p w:rsidR="00DC511C" w:rsidRDefault="00DC511C">
            <w:pPr>
              <w:jc w:val="both"/>
              <w:rPr>
                <w:rFonts w:ascii="Palatino Linotype" w:eastAsia="Palatino Linotype" w:hAnsi="Palatino Linotype" w:cs="Palatino Linotype"/>
                <w:sz w:val="12"/>
                <w:szCs w:val="12"/>
              </w:rPr>
            </w:pPr>
          </w:p>
        </w:tc>
        <w:tc>
          <w:tcPr>
            <w:tcW w:w="3421" w:type="dxa"/>
          </w:tcPr>
          <w:p w:rsidR="00DC511C" w:rsidRDefault="00DC511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DC511C" w:rsidRDefault="007D3F9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DC511C" w:rsidRDefault="00DC511C"/>
    <w:p w:rsidR="00DC511C" w:rsidRDefault="007D3F9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w:t>
      </w:r>
      <w:r>
        <w:rPr>
          <w:rFonts w:ascii="Palatino Linotype" w:eastAsia="Palatino Linotype" w:hAnsi="Palatino Linotype" w:cs="Palatino Linotype"/>
          <w:color w:val="000000"/>
        </w:rPr>
        <w:t xml:space="preserve"> I y II; 176, 178, 181, 185 y 186 fracción II de la Ley de Transparencia y Acceso a la Información Pública del Estado de México y Municipios, este Pleno:</w:t>
      </w:r>
    </w:p>
    <w:p w:rsidR="00DC511C" w:rsidRDefault="00DC51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DC511C" w:rsidRDefault="00DC51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DC511C" w:rsidRDefault="00DC511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p>
    <w:p w:rsidR="00DC511C" w:rsidRDefault="007D3F9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DC511C" w:rsidRDefault="007D3F91">
      <w:pPr>
        <w:spacing w:before="240" w:after="240" w:line="360" w:lineRule="auto"/>
        <w:jc w:val="both"/>
        <w:rPr>
          <w:rFonts w:ascii="Palatino Linotype" w:eastAsia="Palatino Linotype" w:hAnsi="Palatino Linotype" w:cs="Palatino Linotype"/>
          <w:b/>
        </w:rPr>
      </w:pPr>
      <w:bookmarkStart w:id="9" w:name="_heading=h.3dy6vkm" w:colFirst="0" w:colLast="0"/>
      <w:bookmarkEnd w:id="9"/>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01129/INFOEM/IP/RR/2022,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w:t>
      </w:r>
      <w:r>
        <w:rPr>
          <w:rFonts w:ascii="Palatino Linotype" w:eastAsia="Palatino Linotype" w:hAnsi="Palatino Linotype" w:cs="Palatino Linotype"/>
          <w:b/>
        </w:rPr>
        <w:t>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vía SAIMEX, en versión pública de ser procedente, de lo siguiente:</w:t>
      </w:r>
    </w:p>
    <w:p w:rsidR="00DC511C" w:rsidRDefault="007D3F91">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bookmarkStart w:id="10" w:name="_heading=h.26in1rg" w:colFirst="0" w:colLast="0"/>
      <w:bookmarkEnd w:id="10"/>
      <w:r>
        <w:rPr>
          <w:rFonts w:ascii="Palatino Linotype" w:eastAsia="Palatino Linotype" w:hAnsi="Palatino Linotype" w:cs="Palatino Linotype"/>
          <w:color w:val="000000"/>
        </w:rPr>
        <w:t>Oficios emitidos a la Dirección de Administración por cuestión de roles de guardia co</w:t>
      </w:r>
      <w:r>
        <w:rPr>
          <w:rFonts w:ascii="Palatino Linotype" w:eastAsia="Palatino Linotype" w:hAnsi="Palatino Linotype" w:cs="Palatino Linotype"/>
          <w:color w:val="000000"/>
        </w:rPr>
        <w:t>n su soporte documental, y la respuesta de cada uno de estos oficios, del periodo de 2020 y 2021.</w:t>
      </w:r>
    </w:p>
    <w:p w:rsidR="00DC511C" w:rsidRDefault="007D3F91">
      <w:pPr>
        <w:spacing w:before="280" w:after="280"/>
        <w:ind w:left="36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w:t>
      </w:r>
      <w:r>
        <w:rPr>
          <w:rFonts w:ascii="Palatino Linotype" w:eastAsia="Palatino Linotype" w:hAnsi="Palatino Linotype" w:cs="Palatino Linotype"/>
          <w:i/>
          <w:sz w:val="22"/>
          <w:szCs w:val="22"/>
        </w:rPr>
        <w:t>e se supriman o eliminen de los soportes documentales objeto de las versiones públicas que se formulen y se pongan a disposición de la parte RECURRENTE, mismo que igualmente hará de su conocimiento.</w:t>
      </w:r>
    </w:p>
    <w:p w:rsidR="00DC511C" w:rsidRDefault="007D3F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a la Titular de la Unid</w:t>
      </w:r>
      <w:r>
        <w:rPr>
          <w:rFonts w:ascii="Palatino Linotype" w:eastAsia="Palatino Linotype" w:hAnsi="Palatino Linotype" w:cs="Palatino Linotype"/>
        </w:rPr>
        <w:t xml:space="preserve">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w:t>
      </w:r>
      <w:r>
        <w:rPr>
          <w:rFonts w:ascii="Palatino Linotype" w:eastAsia="Palatino Linotype" w:hAnsi="Palatino Linotype" w:cs="Palatino Linotype"/>
        </w:rPr>
        <w:t>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DC511C" w:rsidRDefault="007D3F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conformidad con el artículo 198 de la Ley de Transparencia y Acceso a la Información Pú</w:t>
      </w:r>
      <w:r>
        <w:rPr>
          <w:rFonts w:ascii="Palatino Linotype" w:eastAsia="Palatino Linotype" w:hAnsi="Palatino Linotype" w:cs="Palatino Linotype"/>
        </w:rPr>
        <w:t xml:space="preserve">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DC511C" w:rsidRDefault="007D3F91">
      <w:pPr>
        <w:spacing w:before="240" w:after="240" w:line="360" w:lineRule="auto"/>
        <w:jc w:val="both"/>
        <w:rPr>
          <w:rFonts w:ascii="Palatino Linotype" w:eastAsia="Palatino Linotype" w:hAnsi="Palatino Linotype" w:cs="Palatino Linotype"/>
        </w:rPr>
      </w:pPr>
      <w:bookmarkStart w:id="11" w:name="_heading=h.4d34og8" w:colFirst="0" w:colLast="0"/>
      <w:bookmarkEnd w:id="11"/>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w:t>
      </w:r>
      <w:r>
        <w:rPr>
          <w:rFonts w:ascii="Palatino Linotype" w:eastAsia="Palatino Linotype" w:hAnsi="Palatino Linotype" w:cs="Palatino Linotype"/>
          <w:b/>
        </w:rPr>
        <w:t>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w:t>
      </w:r>
      <w:r>
        <w:rPr>
          <w:rFonts w:ascii="Palatino Linotype" w:eastAsia="Palatino Linotype" w:hAnsi="Palatino Linotype" w:cs="Palatino Linotype"/>
        </w:rPr>
        <w:t>ugnarla vía Juicio de Amparo en los términos de las leyes aplicables.</w:t>
      </w:r>
    </w:p>
    <w:p w:rsidR="00DC511C" w:rsidRDefault="007D3F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w:t>
      </w:r>
      <w:r>
        <w:rPr>
          <w:rFonts w:ascii="Palatino Linotype" w:eastAsia="Palatino Linotype" w:hAnsi="Palatino Linotype" w:cs="Palatino Linotype"/>
        </w:rPr>
        <w:t>FORMADO POR LOS COMISIONADOS JOSÉ MARTÍNEZ VILCHIS, MARÍA DEL ROSARIO MEJÍA AYALA, SHARON CRISTINA MORALES MARTÍNEZ, LUIS GUSTAVO PARRA NORIEGA Y GUADALUPE RAMÍREZ PEÑA; EN LA DÉCIMO QUINTA SESIÓN ORDINARIA CELEBRADA EL VEINTISIETE DE ABRIL DE DOS MIL VEIN</w:t>
      </w:r>
      <w:r>
        <w:rPr>
          <w:rFonts w:ascii="Palatino Linotype" w:eastAsia="Palatino Linotype" w:hAnsi="Palatino Linotype" w:cs="Palatino Linotype"/>
        </w:rPr>
        <w:t>TIDÓS, ANTE EL SECRETARIO TÉCNICO DEL PLENO ALEXIS TAPIA RAMÍREZ.</w:t>
      </w:r>
    </w:p>
    <w:p w:rsidR="00DC511C" w:rsidRDefault="00DC511C">
      <w:pPr>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p w:rsidR="00DC511C" w:rsidRDefault="00DC511C">
      <w:pPr>
        <w:spacing w:line="360" w:lineRule="auto"/>
        <w:jc w:val="both"/>
        <w:rPr>
          <w:rFonts w:ascii="Palatino Linotype" w:eastAsia="Palatino Linotype" w:hAnsi="Palatino Linotype" w:cs="Palatino Linotype"/>
        </w:rPr>
      </w:pPr>
    </w:p>
    <w:sectPr w:rsidR="00DC511C">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F91" w:rsidRDefault="007D3F91">
      <w:r>
        <w:separator/>
      </w:r>
    </w:p>
  </w:endnote>
  <w:endnote w:type="continuationSeparator" w:id="0">
    <w:p w:rsidR="007D3F91" w:rsidRDefault="007D3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1C" w:rsidRDefault="007D3F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B43415">
      <w:rPr>
        <w:rFonts w:ascii="Palatino Linotype" w:eastAsia="Palatino Linotype" w:hAnsi="Palatino Linotype" w:cs="Palatino Linotype"/>
        <w:b/>
        <w:color w:val="000000"/>
        <w:sz w:val="20"/>
        <w:szCs w:val="20"/>
      </w:rPr>
      <w:fldChar w:fldCharType="separate"/>
    </w:r>
    <w:r w:rsidR="00B43415">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B43415">
      <w:rPr>
        <w:rFonts w:ascii="Palatino Linotype" w:eastAsia="Palatino Linotype" w:hAnsi="Palatino Linotype" w:cs="Palatino Linotype"/>
        <w:b/>
        <w:color w:val="000000"/>
        <w:sz w:val="20"/>
        <w:szCs w:val="20"/>
      </w:rPr>
      <w:fldChar w:fldCharType="separate"/>
    </w:r>
    <w:r w:rsidR="00B4341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DC511C" w:rsidRDefault="00DC511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1C" w:rsidRDefault="007D3F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B43415">
      <w:rPr>
        <w:rFonts w:ascii="Palatino Linotype" w:eastAsia="Palatino Linotype" w:hAnsi="Palatino Linotype" w:cs="Palatino Linotype"/>
        <w:b/>
        <w:color w:val="000000"/>
        <w:sz w:val="20"/>
        <w:szCs w:val="20"/>
      </w:rPr>
      <w:fldChar w:fldCharType="separate"/>
    </w:r>
    <w:r w:rsidR="00B4341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B43415">
      <w:rPr>
        <w:rFonts w:ascii="Palatino Linotype" w:eastAsia="Palatino Linotype" w:hAnsi="Palatino Linotype" w:cs="Palatino Linotype"/>
        <w:b/>
        <w:color w:val="000000"/>
        <w:sz w:val="20"/>
        <w:szCs w:val="20"/>
      </w:rPr>
      <w:fldChar w:fldCharType="separate"/>
    </w:r>
    <w:r w:rsidR="00B4341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DC511C" w:rsidRDefault="00DC511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F91" w:rsidRDefault="007D3F91">
      <w:r>
        <w:separator/>
      </w:r>
    </w:p>
  </w:footnote>
  <w:footnote w:type="continuationSeparator" w:id="0">
    <w:p w:rsidR="007D3F91" w:rsidRDefault="007D3F91">
      <w:r>
        <w:continuationSeparator/>
      </w:r>
    </w:p>
  </w:footnote>
  <w:footnote w:id="1">
    <w:p w:rsidR="00DC511C" w:rsidRDefault="007D3F9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DC511C" w:rsidRDefault="007D3F9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 w:id="3">
    <w:p w:rsidR="00DC511C" w:rsidRDefault="007D3F9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DC511C" w:rsidRDefault="007D3F9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II. Admitido el recurso de revisión, la o el Comisionado ponente deberá </w:t>
      </w:r>
      <w:r>
        <w:rPr>
          <w:rFonts w:ascii="Palatino Linotype" w:eastAsia="Palatino Linotype" w:hAnsi="Palatino Linotype" w:cs="Palatino Linotype"/>
          <w:color w:val="000000"/>
          <w:sz w:val="16"/>
          <w:szCs w:val="16"/>
        </w:rPr>
        <w:t>integrar un expediente y ponerlo a disposición de las partes, para que, en un plazo máximo de siete días hábiles, manifiesten lo que a su derecho convenga;”</w:t>
      </w:r>
    </w:p>
  </w:footnote>
  <w:footnote w:id="4">
    <w:p w:rsidR="00DC511C" w:rsidRDefault="007D3F9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w:t>
      </w:r>
      <w:r>
        <w:rPr>
          <w:rFonts w:ascii="Palatino Linotype" w:eastAsia="Palatino Linotype" w:hAnsi="Palatino Linotype" w:cs="Palatino Linotype"/>
          <w:color w:val="000000"/>
          <w:sz w:val="16"/>
          <w:szCs w:val="16"/>
        </w:rPr>
        <w:t xml:space="preserve">as para buscar, difundir, investigar, recabar, recibir y solicitar información pública, sin necesidad de acreditar personalidad ni interés jurídico. </w:t>
      </w:r>
    </w:p>
    <w:p w:rsidR="00DC511C" w:rsidRDefault="007D3F9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Toda la información generada, obtenida, adquirida, transformada, administrada o en posesión de los sujetos</w:t>
      </w:r>
      <w:r>
        <w:rPr>
          <w:rFonts w:ascii="Palatino Linotype" w:eastAsia="Palatino Linotype" w:hAnsi="Palatino Linotype" w:cs="Palatino Linotype"/>
          <w:color w:val="000000"/>
          <w:sz w:val="16"/>
          <w:szCs w:val="16"/>
        </w:rPr>
        <w:t xml:space="preserve"> obligados es pública y accesible de manera permanente a cualquier persona, en los términos y condiciones que se establezcan en los tratados internacionales de los que el Estado mexicano sea parte, en la Ley General, la presente Ley y demás disposiciones d</w:t>
      </w:r>
      <w:r>
        <w:rPr>
          <w:rFonts w:ascii="Palatino Linotype" w:eastAsia="Palatino Linotype" w:hAnsi="Palatino Linotype" w:cs="Palatino Linotype"/>
          <w:color w:val="000000"/>
          <w:sz w:val="16"/>
          <w:szCs w:val="16"/>
        </w:rPr>
        <w:t>e la materia, privilegiando el principio de máxima publicidad de la información. Solo podrá ser clasificada excepcionalmente como reservada temporalmente por razones de interés público, en los términos de las causas legítimas y estrictamente necesarias pre</w:t>
      </w:r>
      <w:r>
        <w:rPr>
          <w:rFonts w:ascii="Palatino Linotype" w:eastAsia="Palatino Linotype" w:hAnsi="Palatino Linotype" w:cs="Palatino Linotype"/>
          <w:color w:val="000000"/>
          <w:sz w:val="16"/>
          <w:szCs w:val="16"/>
        </w:rPr>
        <w:t xml:space="preserve">vistas por esta Ley. </w:t>
      </w:r>
    </w:p>
    <w:p w:rsidR="00DC511C" w:rsidRDefault="007D3F9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1C" w:rsidRDefault="007D3F9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DC511C">
      <w:tc>
        <w:tcPr>
          <w:tcW w:w="2489" w:type="dxa"/>
          <w:shd w:val="clear" w:color="auto" w:fill="auto"/>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C511C" w:rsidRDefault="007D3F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01129/INFOEM/IP/RR/2022</w:t>
          </w:r>
        </w:p>
      </w:tc>
    </w:tr>
    <w:tr w:rsidR="00DC511C">
      <w:trPr>
        <w:trHeight w:val="228"/>
      </w:trPr>
      <w:tc>
        <w:tcPr>
          <w:tcW w:w="2489" w:type="dxa"/>
          <w:shd w:val="clear" w:color="auto" w:fill="auto"/>
          <w:vAlign w:val="center"/>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C511C" w:rsidRDefault="007D3F9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DC511C">
      <w:tc>
        <w:tcPr>
          <w:tcW w:w="2489" w:type="dxa"/>
          <w:shd w:val="clear" w:color="auto" w:fill="auto"/>
          <w:vAlign w:val="center"/>
        </w:tcPr>
        <w:p w:rsidR="00DC511C" w:rsidRDefault="007D3F9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C511C" w:rsidRDefault="007D3F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511C" w:rsidRDefault="007D3F9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1C" w:rsidRDefault="00DC51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DC511C">
      <w:tc>
        <w:tcPr>
          <w:tcW w:w="2551" w:type="dxa"/>
          <w:shd w:val="clear" w:color="auto" w:fill="auto"/>
          <w:vAlign w:val="center"/>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DC511C" w:rsidRDefault="007D3F9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01129/INFOEM/IP/RR/2022</w:t>
          </w:r>
        </w:p>
      </w:tc>
    </w:tr>
    <w:tr w:rsidR="00DC511C">
      <w:trPr>
        <w:trHeight w:val="130"/>
      </w:trPr>
      <w:tc>
        <w:tcPr>
          <w:tcW w:w="2551" w:type="dxa"/>
          <w:shd w:val="clear" w:color="auto" w:fill="auto"/>
          <w:vAlign w:val="center"/>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DC511C" w:rsidRDefault="00DC511C">
          <w:pPr>
            <w:ind w:left="-45"/>
            <w:jc w:val="both"/>
            <w:rPr>
              <w:rFonts w:ascii="Palatino Linotype" w:eastAsia="Palatino Linotype" w:hAnsi="Palatino Linotype" w:cs="Palatino Linotype"/>
              <w:b/>
              <w:sz w:val="22"/>
              <w:szCs w:val="22"/>
            </w:rPr>
          </w:pPr>
        </w:p>
      </w:tc>
    </w:tr>
    <w:tr w:rsidR="00DC511C">
      <w:trPr>
        <w:trHeight w:val="228"/>
      </w:trPr>
      <w:tc>
        <w:tcPr>
          <w:tcW w:w="2551" w:type="dxa"/>
          <w:shd w:val="clear" w:color="auto" w:fill="auto"/>
          <w:vAlign w:val="center"/>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DC511C" w:rsidRDefault="007D3F9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DC511C">
      <w:tc>
        <w:tcPr>
          <w:tcW w:w="2551" w:type="dxa"/>
          <w:shd w:val="clear" w:color="auto" w:fill="auto"/>
          <w:vAlign w:val="center"/>
        </w:tcPr>
        <w:p w:rsidR="00DC511C" w:rsidRDefault="007D3F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DC511C" w:rsidRDefault="007D3F9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511C" w:rsidRDefault="007D3F9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6A07"/>
    <w:multiLevelType w:val="multilevel"/>
    <w:tmpl w:val="C588720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01F97"/>
    <w:multiLevelType w:val="multilevel"/>
    <w:tmpl w:val="4BBA98F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1881504A"/>
    <w:multiLevelType w:val="multilevel"/>
    <w:tmpl w:val="FED82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1A51BD"/>
    <w:multiLevelType w:val="multilevel"/>
    <w:tmpl w:val="3032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524506"/>
    <w:multiLevelType w:val="multilevel"/>
    <w:tmpl w:val="5C3A8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227023"/>
    <w:multiLevelType w:val="multilevel"/>
    <w:tmpl w:val="8FC87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D12581"/>
    <w:multiLevelType w:val="multilevel"/>
    <w:tmpl w:val="DB001F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11C"/>
    <w:rsid w:val="007D3F91"/>
    <w:rsid w:val="00B43415"/>
    <w:rsid w:val="00DC5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2D1D0-4B52-43EF-A903-1F4EC2BD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GhYCc3RDlrPSeJQKbK9zMa+JKg==">AMUW2mVTQi/Qdu+ye+ltBUyW8vhL/KTSTcHGxzKYq0nrtK391UmR/eLEA9ayveeNARDdt39pzq6eQh8bvq0wHcWPpGHKsCy3+W2jxIyzXf9J/k0ur6S1zCNr2AOiKtLsD543SPpLTOj7vjgiWeekrPaZueAep21aIulrCiTpjqZVPNJeSjMarSaILFVhDyMH45bHfPMG8OZKK14QO0zbBHhMB++USHVrEiAMKMhPo5DSfPjAYu+TNCw1kjOKFaLpIsCXClZBHzrGfyKY12mbE5tbY1q5B2Vv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10284</Words>
  <Characters>56566</Characters>
  <Application>Microsoft Office Word</Application>
  <DocSecurity>0</DocSecurity>
  <Lines>471</Lines>
  <Paragraphs>133</Paragraphs>
  <ScaleCrop>false</ScaleCrop>
  <Company>Hewlett-Packard Company</Company>
  <LinksUpToDate>false</LinksUpToDate>
  <CharactersWithSpaces>66717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3</cp:revision>
  <dcterms:created xsi:type="dcterms:W3CDTF">2022-04-21T04:09:00Z</dcterms:created>
  <dcterms:modified xsi:type="dcterms:W3CDTF">2022-05-09T18:50:00Z</dcterms:modified>
</cp:coreProperties>
</file>