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seis de julio del dos mil veintidós.</w:t>
      </w: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03834/INFOEM/IP/RR/2022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que no proporcionó nombre o seudónimo</w:t>
      </w:r>
      <w:r>
        <w:rPr>
          <w:rFonts w:ascii="Palatino Linotype" w:eastAsia="Palatino Linotype" w:hAnsi="Palatino Linotype" w:cs="Palatino Linotype"/>
        </w:rPr>
        <w:t xml:space="preserve">, a quien se le denominada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 xml:space="preserve">00091/SF/IP/2022, </w:t>
      </w:r>
      <w:r>
        <w:rPr>
          <w:rFonts w:ascii="Palatino Linotype" w:eastAsia="Palatino Linotype" w:hAnsi="Palatino Linotype" w:cs="Palatino Linotype"/>
        </w:rPr>
        <w:t xml:space="preserve">por parte </w:t>
      </w:r>
      <w:r>
        <w:rPr>
          <w:rFonts w:ascii="Palatino Linotype" w:eastAsia="Palatino Linotype" w:hAnsi="Palatino Linotype" w:cs="Palatino Linotype"/>
          <w:b/>
        </w:rPr>
        <w:t xml:space="preserve">de la Secretaría de Finanzas,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FC4A57" w:rsidRDefault="001930F3">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cuatro de marzo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FC4A57" w:rsidRDefault="001930F3">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“Deseo conocer el nombre de todos los servidores públicos que laboran en las oficinas administrativas de Atlacomulco que participan en la expedición de licencias para conducir ,también requiero el nombre y funciones de aquellos que estén contratados mediante subrogación o que estén contratados por un tercero pero realicen funciones de servicio público Deseo conocer las funciones en particular de Alejandro piña alva quien labora en dichas oficinas (Atlacomulco)expidiendo licencias de de conducir” (Sic)</w:t>
      </w: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nueve de marzo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FC4A57" w:rsidRDefault="001930F3">
      <w:pPr>
        <w:spacing w:before="240"/>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“Sobre el particular, sírvase encontrar en archivo adjunto copia del Acuerdo de Incompetencia de fecha 07 de marzo de 2022, mediante el cual se detalla incompetencia de este Sujeto Obligado</w:t>
      </w:r>
    </w:p>
    <w:p w:rsidR="00FC4A57" w:rsidRDefault="001930F3">
      <w:pPr>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ATENTAMENTE</w:t>
      </w:r>
    </w:p>
    <w:p w:rsidR="00FC4A57" w:rsidRDefault="001930F3">
      <w:pPr>
        <w:ind w:left="851" w:right="902"/>
        <w:jc w:val="both"/>
        <w:rPr>
          <w:rFonts w:ascii="Palatino Linotype" w:eastAsia="Palatino Linotype" w:hAnsi="Palatino Linotype" w:cs="Palatino Linotype"/>
          <w:i/>
          <w:color w:val="000000"/>
        </w:rPr>
      </w:pPr>
      <w:r>
        <w:rPr>
          <w:rFonts w:ascii="Verdana" w:eastAsia="Verdana" w:hAnsi="Verdana" w:cs="Verdana"/>
          <w:color w:val="000000"/>
          <w:sz w:val="18"/>
          <w:szCs w:val="18"/>
        </w:rPr>
        <w:t>L</w:t>
      </w:r>
      <w:r>
        <w:rPr>
          <w:rFonts w:ascii="Palatino Linotype" w:eastAsia="Palatino Linotype" w:hAnsi="Palatino Linotype" w:cs="Palatino Linotype"/>
          <w:i/>
          <w:color w:val="000000"/>
        </w:rPr>
        <w:t>ic. Rodolfo Esteban Rivadeneyra Hernández” (Sic)</w:t>
      </w:r>
    </w:p>
    <w:p w:rsidR="00FC4A57" w:rsidRDefault="00FC4A57">
      <w:pPr>
        <w:ind w:right="902"/>
        <w:jc w:val="both"/>
        <w:rPr>
          <w:rFonts w:ascii="Palatino Linotype" w:eastAsia="Palatino Linotype" w:hAnsi="Palatino Linotype" w:cs="Palatino Linotype"/>
          <w:i/>
          <w:color w:val="000000"/>
        </w:rPr>
      </w:pPr>
    </w:p>
    <w:p w:rsidR="00FC4A57" w:rsidRDefault="001930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el archivo electrónico denominado “</w:t>
      </w:r>
      <w:hyperlink r:id="rId8">
        <w:r>
          <w:rPr>
            <w:rFonts w:ascii="Palatino Linotype" w:eastAsia="Palatino Linotype" w:hAnsi="Palatino Linotype" w:cs="Palatino Linotype"/>
          </w:rPr>
          <w:t>Acdo. Incompetencia 91.pdf</w:t>
        </w:r>
      </w:hyperlink>
      <w:r>
        <w:rPr>
          <w:rFonts w:ascii="Palatino Linotype" w:eastAsia="Palatino Linotype" w:hAnsi="Palatino Linotype" w:cs="Palatino Linotype"/>
        </w:rPr>
        <w:t>”; el cual contiene el acuerdo de incompetencia de la Secretaría de Finanzas para conocer de la información solicita, conforme se observa a continuación:</w:t>
      </w:r>
    </w:p>
    <w:p w:rsidR="00FC4A57" w:rsidRDefault="00FC4A57">
      <w:pPr>
        <w:spacing w:line="360" w:lineRule="auto"/>
        <w:jc w:val="both"/>
      </w:pPr>
    </w:p>
    <w:p w:rsidR="00FC4A57" w:rsidRDefault="001930F3">
      <w:pPr>
        <w:spacing w:line="360" w:lineRule="auto"/>
        <w:jc w:val="both"/>
        <w:rPr>
          <w:rFonts w:ascii="Palatino Linotype" w:eastAsia="Palatino Linotype" w:hAnsi="Palatino Linotype" w:cs="Palatino Linotype"/>
        </w:rPr>
      </w:pPr>
      <w:r>
        <w:rPr>
          <w:noProof/>
          <w:lang w:val="en-US" w:eastAsia="en-US"/>
        </w:rPr>
        <w:drawing>
          <wp:inline distT="0" distB="0" distL="0" distR="0">
            <wp:extent cx="5512247" cy="3496482"/>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43538" t="16923" r="19706"/>
                    <a:stretch>
                      <a:fillRect/>
                    </a:stretch>
                  </pic:blipFill>
                  <pic:spPr>
                    <a:xfrm>
                      <a:off x="0" y="0"/>
                      <a:ext cx="5512247" cy="3496482"/>
                    </a:xfrm>
                    <a:prstGeom prst="rect">
                      <a:avLst/>
                    </a:prstGeom>
                    <a:ln/>
                  </pic:spPr>
                </pic:pic>
              </a:graphicData>
            </a:graphic>
          </wp:inline>
        </w:drawing>
      </w:r>
    </w:p>
    <w:p w:rsidR="00FC4A57" w:rsidRDefault="00FC4A57">
      <w:pPr>
        <w:spacing w:line="360" w:lineRule="auto"/>
        <w:jc w:val="both"/>
        <w:rPr>
          <w:rFonts w:ascii="Palatino Linotype" w:eastAsia="Palatino Linotype" w:hAnsi="Palatino Linotype" w:cs="Palatino Linotype"/>
          <w:b/>
        </w:rPr>
      </w:pPr>
    </w:p>
    <w:p w:rsidR="00FC4A57" w:rsidRDefault="001930F3">
      <w:pPr>
        <w:spacing w:line="360" w:lineRule="auto"/>
        <w:jc w:val="both"/>
        <w:rPr>
          <w:rFonts w:ascii="Palatino Linotype" w:eastAsia="Palatino Linotype" w:hAnsi="Palatino Linotype" w:cs="Palatino Linotype"/>
          <w:b/>
        </w:rPr>
      </w:pPr>
      <w:r>
        <w:rPr>
          <w:noProof/>
          <w:lang w:val="en-US" w:eastAsia="en-US"/>
        </w:rPr>
        <w:lastRenderedPageBreak/>
        <w:drawing>
          <wp:inline distT="0" distB="0" distL="0" distR="0">
            <wp:extent cx="5589695" cy="3699922"/>
            <wp:effectExtent l="0" t="0" r="0" 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40941" t="18779" r="21384" b="2818"/>
                    <a:stretch>
                      <a:fillRect/>
                    </a:stretch>
                  </pic:blipFill>
                  <pic:spPr>
                    <a:xfrm>
                      <a:off x="0" y="0"/>
                      <a:ext cx="5589695" cy="3699922"/>
                    </a:xfrm>
                    <a:prstGeom prst="rect">
                      <a:avLst/>
                    </a:prstGeom>
                    <a:ln/>
                  </pic:spPr>
                </pic:pic>
              </a:graphicData>
            </a:graphic>
          </wp:inline>
        </w:drawing>
      </w:r>
    </w:p>
    <w:p w:rsidR="00FC4A57" w:rsidRDefault="00FC4A57">
      <w:pPr>
        <w:spacing w:line="360" w:lineRule="auto"/>
        <w:jc w:val="both"/>
        <w:rPr>
          <w:rFonts w:ascii="Palatino Linotype" w:eastAsia="Palatino Linotype" w:hAnsi="Palatino Linotype" w:cs="Palatino Linotype"/>
          <w:b/>
        </w:rPr>
      </w:pPr>
    </w:p>
    <w:p w:rsidR="00FC4A57" w:rsidRDefault="001930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la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once de marzo del dos mil veintidós, a través del cual expresó lo siguiente:</w:t>
      </w:r>
    </w:p>
    <w:p w:rsidR="00FC4A57" w:rsidRDefault="00FC4A57">
      <w:pPr>
        <w:spacing w:line="360" w:lineRule="auto"/>
        <w:jc w:val="both"/>
        <w:rPr>
          <w:rFonts w:ascii="Palatino Linotype" w:eastAsia="Palatino Linotype" w:hAnsi="Palatino Linotype" w:cs="Palatino Linotype"/>
        </w:rPr>
      </w:pPr>
    </w:p>
    <w:p w:rsidR="00FC4A57" w:rsidRDefault="001930F3">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FC4A57" w:rsidRDefault="001930F3">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 respuesta del sujeto obligado al declararse incompetente teniendo conocimiento de la información” (Sic)</w:t>
      </w:r>
    </w:p>
    <w:p w:rsidR="00FC4A57" w:rsidRDefault="001930F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FC4A57" w:rsidRDefault="001930F3">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 respuesta del sujeto obligado” (Sic)</w:t>
      </w:r>
    </w:p>
    <w:p w:rsidR="00FC4A57" w:rsidRDefault="001930F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03834/INFOEM/IP/RR/2022 </w:t>
      </w:r>
      <w:r>
        <w:rPr>
          <w:rFonts w:ascii="Palatino Linotype" w:eastAsia="Palatino Linotype" w:hAnsi="Palatino Linotype" w:cs="Palatino Linotype"/>
        </w:rPr>
        <w:t>se turnó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el sistema electrónico del </w:t>
      </w:r>
      <w:r>
        <w:rPr>
          <w:rFonts w:ascii="Palatino Linotype" w:eastAsia="Palatino Linotype" w:hAnsi="Palatino Linotype" w:cs="Palatino Linotype"/>
        </w:rPr>
        <w:lastRenderedPageBreak/>
        <w:t xml:space="preserve">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FC4A57" w:rsidRDefault="00FC4A57">
      <w:pPr>
        <w:spacing w:line="360" w:lineRule="auto"/>
        <w:jc w:val="both"/>
        <w:rPr>
          <w:rFonts w:ascii="Palatino Linotype" w:eastAsia="Palatino Linotype" w:hAnsi="Palatino Linotype" w:cs="Palatino Linotype"/>
        </w:rPr>
      </w:pPr>
    </w:p>
    <w:p w:rsidR="00FC4A57" w:rsidRDefault="001930F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dieciséis de marzo del dos mil veintidós,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FC4A57" w:rsidRDefault="001930F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De las constancias que integran el expediente en que se actúan se advierte que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fue omiso en ofrecer sus alegatos.</w:t>
      </w:r>
    </w:p>
    <w:p w:rsidR="00FC4A57" w:rsidRDefault="001930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veinticuatro de marzo del dos mil veintidós, remite en el apartado de manifestaciones del SAIMEX el archivo electrónico denominado: “</w:t>
      </w:r>
      <w:hyperlink r:id="rId11">
        <w:r>
          <w:rPr>
            <w:rFonts w:ascii="Palatino Linotype" w:eastAsia="Palatino Linotype" w:hAnsi="Palatino Linotype" w:cs="Palatino Linotype"/>
          </w:rPr>
          <w:t>RR 03834-2022 Informe Justificado.pdf</w:t>
        </w:r>
      </w:hyperlink>
      <w:r>
        <w:rPr>
          <w:rFonts w:ascii="Palatino Linotype" w:eastAsia="Palatino Linotype" w:hAnsi="Palatino Linotype" w:cs="Palatino Linotype"/>
        </w:rPr>
        <w:t xml:space="preserve"> ”, el cual contiene el informe justificado de la Secretaría de Finanzas, a través del cual ratificó su respuesta inicial, como se observa a continuación:</w:t>
      </w:r>
    </w:p>
    <w:p w:rsidR="00FC4A57" w:rsidRDefault="001930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noProof/>
          <w:lang w:val="en-US" w:eastAsia="en-US"/>
        </w:rPr>
        <mc:AlternateContent>
          <mc:Choice Requires="wpg">
            <w:drawing>
              <wp:anchor distT="0" distB="0" distL="114300" distR="114300" simplePos="0" relativeHeight="251658240" behindDoc="0" locked="0" layoutInCell="1" hidden="0" allowOverlap="1">
                <wp:simplePos x="0" y="0"/>
                <wp:positionH relativeFrom="column">
                  <wp:posOffset>101601</wp:posOffset>
                </wp:positionH>
                <wp:positionV relativeFrom="paragraph">
                  <wp:posOffset>38100</wp:posOffset>
                </wp:positionV>
                <wp:extent cx="5512765" cy="1833220"/>
                <wp:effectExtent l="0" t="0" r="0" b="0"/>
                <wp:wrapNone/>
                <wp:docPr id="46" name=""/>
                <wp:cNvGraphicFramePr/>
                <a:graphic xmlns:a="http://schemas.openxmlformats.org/drawingml/2006/main">
                  <a:graphicData uri="http://schemas.microsoft.com/office/word/2010/wordprocessingShape">
                    <wps:wsp>
                      <wps:cNvCnPr/>
                      <wps:spPr>
                        <a:xfrm>
                          <a:off x="2599143" y="2872915"/>
                          <a:ext cx="5493715" cy="181417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101601</wp:posOffset>
                </wp:positionH>
                <wp:positionV relativeFrom="paragraph">
                  <wp:posOffset>38100</wp:posOffset>
                </wp:positionV>
                <wp:extent cx="5512765" cy="1833220"/>
                <wp:effectExtent b="0" l="0" r="0" t="0"/>
                <wp:wrapNone/>
                <wp:docPr id="46"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5512765" cy="1833220"/>
                        </a:xfrm>
                        <a:prstGeom prst="rect"/>
                        <a:ln/>
                      </pic:spPr>
                    </pic:pic>
                  </a:graphicData>
                </a:graphic>
              </wp:anchor>
            </w:drawing>
          </mc:Fallback>
        </mc:AlternateContent>
      </w:r>
    </w:p>
    <w:p w:rsidR="00FC4A57" w:rsidRDefault="00FC4A57">
      <w:pPr>
        <w:spacing w:line="360" w:lineRule="auto"/>
        <w:jc w:val="both"/>
        <w:rPr>
          <w:rFonts w:ascii="Palatino Linotype" w:eastAsia="Palatino Linotype" w:hAnsi="Palatino Linotype" w:cs="Palatino Linotype"/>
        </w:rPr>
      </w:pPr>
    </w:p>
    <w:p w:rsidR="00FC4A57" w:rsidRDefault="00FC4A57">
      <w:pPr>
        <w:spacing w:line="360" w:lineRule="auto"/>
        <w:jc w:val="both"/>
        <w:rPr>
          <w:rFonts w:ascii="Palatino Linotype" w:eastAsia="Palatino Linotype" w:hAnsi="Palatino Linotype" w:cs="Palatino Linotype"/>
        </w:rPr>
      </w:pPr>
    </w:p>
    <w:p w:rsidR="00FC4A57" w:rsidRDefault="00FC4A57">
      <w:pPr>
        <w:spacing w:line="360" w:lineRule="auto"/>
        <w:jc w:val="both"/>
        <w:rPr>
          <w:rFonts w:ascii="Palatino Linotype" w:eastAsia="Palatino Linotype" w:hAnsi="Palatino Linotype" w:cs="Palatino Linotype"/>
        </w:rPr>
      </w:pPr>
    </w:p>
    <w:p w:rsidR="00FC4A57" w:rsidRDefault="00FC4A57">
      <w:pPr>
        <w:spacing w:line="360" w:lineRule="auto"/>
        <w:jc w:val="both"/>
        <w:rPr>
          <w:rFonts w:ascii="Palatino Linotype" w:eastAsia="Palatino Linotype" w:hAnsi="Palatino Linotype" w:cs="Palatino Linotype"/>
        </w:rPr>
      </w:pPr>
    </w:p>
    <w:p w:rsidR="00FC4A57" w:rsidRDefault="00FC4A57">
      <w:pPr>
        <w:spacing w:line="360" w:lineRule="auto"/>
        <w:jc w:val="both"/>
        <w:rPr>
          <w:rFonts w:ascii="Palatino Linotype" w:eastAsia="Palatino Linotype" w:hAnsi="Palatino Linotype" w:cs="Palatino Linotype"/>
        </w:rPr>
      </w:pPr>
    </w:p>
    <w:p w:rsidR="00FC4A57" w:rsidRDefault="001930F3">
      <w:pPr>
        <w:spacing w:line="360" w:lineRule="auto"/>
        <w:jc w:val="both"/>
      </w:pPr>
      <w:r>
        <w:rPr>
          <w:noProof/>
          <w:lang w:val="en-US" w:eastAsia="en-US"/>
        </w:rPr>
        <w:lastRenderedPageBreak/>
        <w:drawing>
          <wp:inline distT="0" distB="0" distL="0" distR="0">
            <wp:extent cx="5466302" cy="3766729"/>
            <wp:effectExtent l="0" t="0" r="0" b="0"/>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41582" t="16461" r="21530"/>
                    <a:stretch>
                      <a:fillRect/>
                    </a:stretch>
                  </pic:blipFill>
                  <pic:spPr>
                    <a:xfrm>
                      <a:off x="0" y="0"/>
                      <a:ext cx="5466302" cy="3766729"/>
                    </a:xfrm>
                    <a:prstGeom prst="rect">
                      <a:avLst/>
                    </a:prstGeom>
                    <a:ln/>
                  </pic:spPr>
                </pic:pic>
              </a:graphicData>
            </a:graphic>
          </wp:inline>
        </w:drawing>
      </w:r>
    </w:p>
    <w:p w:rsidR="00FC4A57" w:rsidRDefault="00FC4A57">
      <w:pPr>
        <w:spacing w:line="360" w:lineRule="auto"/>
        <w:jc w:val="both"/>
      </w:pPr>
    </w:p>
    <w:p w:rsidR="00FC4A57" w:rsidRDefault="001930F3">
      <w:pPr>
        <w:spacing w:line="360" w:lineRule="auto"/>
        <w:jc w:val="both"/>
      </w:pPr>
      <w:r>
        <w:rPr>
          <w:noProof/>
          <w:lang w:val="en-US" w:eastAsia="en-US"/>
        </w:rPr>
        <w:drawing>
          <wp:inline distT="0" distB="0" distL="0" distR="0">
            <wp:extent cx="5606570" cy="3104897"/>
            <wp:effectExtent l="0" t="0" r="0" b="0"/>
            <wp:docPr id="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41456" t="22952" r="20998" b="4452"/>
                    <a:stretch>
                      <a:fillRect/>
                    </a:stretch>
                  </pic:blipFill>
                  <pic:spPr>
                    <a:xfrm>
                      <a:off x="0" y="0"/>
                      <a:ext cx="5606570" cy="3104897"/>
                    </a:xfrm>
                    <a:prstGeom prst="rect">
                      <a:avLst/>
                    </a:prstGeom>
                    <a:ln/>
                  </pic:spPr>
                </pic:pic>
              </a:graphicData>
            </a:graphic>
          </wp:inline>
        </w:drawing>
      </w:r>
    </w:p>
    <w:p w:rsidR="00FC4A57" w:rsidRDefault="00FC4A57">
      <w:pPr>
        <w:spacing w:line="360" w:lineRule="auto"/>
        <w:jc w:val="both"/>
      </w:pPr>
    </w:p>
    <w:p w:rsidR="00FC4A57" w:rsidRDefault="00FC4A57">
      <w:pPr>
        <w:spacing w:line="360" w:lineRule="auto"/>
        <w:jc w:val="both"/>
      </w:pPr>
    </w:p>
    <w:p w:rsidR="00FC4A57" w:rsidRDefault="001930F3">
      <w:pPr>
        <w:spacing w:line="360" w:lineRule="auto"/>
        <w:jc w:val="both"/>
      </w:pPr>
      <w:r>
        <w:rPr>
          <w:noProof/>
          <w:lang w:val="en-US" w:eastAsia="en-US"/>
        </w:rPr>
        <w:lastRenderedPageBreak/>
        <w:drawing>
          <wp:inline distT="0" distB="0" distL="0" distR="0">
            <wp:extent cx="5549344" cy="3442696"/>
            <wp:effectExtent l="0" t="0" r="0" b="0"/>
            <wp:docPr id="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41588" t="22953" r="21651" b="4917"/>
                    <a:stretch>
                      <a:fillRect/>
                    </a:stretch>
                  </pic:blipFill>
                  <pic:spPr>
                    <a:xfrm>
                      <a:off x="0" y="0"/>
                      <a:ext cx="5549344" cy="3442696"/>
                    </a:xfrm>
                    <a:prstGeom prst="rect">
                      <a:avLst/>
                    </a:prstGeom>
                    <a:ln/>
                  </pic:spPr>
                </pic:pic>
              </a:graphicData>
            </a:graphic>
          </wp:inline>
        </w:drawing>
      </w:r>
    </w:p>
    <w:p w:rsidR="00FC4A57" w:rsidRDefault="00FC4A57">
      <w:pPr>
        <w:spacing w:line="360" w:lineRule="auto"/>
        <w:jc w:val="both"/>
      </w:pPr>
    </w:p>
    <w:p w:rsidR="00FC4A57" w:rsidRDefault="001930F3">
      <w:pPr>
        <w:spacing w:line="360" w:lineRule="auto"/>
        <w:jc w:val="both"/>
      </w:pPr>
      <w:r>
        <w:rPr>
          <w:noProof/>
          <w:lang w:val="en-US" w:eastAsia="en-US"/>
        </w:rPr>
        <w:drawing>
          <wp:inline distT="0" distB="0" distL="0" distR="0">
            <wp:extent cx="5416054" cy="3539972"/>
            <wp:effectExtent l="0" t="0" r="0" 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41591" t="24111" r="20989" b="6996"/>
                    <a:stretch>
                      <a:fillRect/>
                    </a:stretch>
                  </pic:blipFill>
                  <pic:spPr>
                    <a:xfrm>
                      <a:off x="0" y="0"/>
                      <a:ext cx="5416054" cy="3539972"/>
                    </a:xfrm>
                    <a:prstGeom prst="rect">
                      <a:avLst/>
                    </a:prstGeom>
                    <a:ln/>
                  </pic:spPr>
                </pic:pic>
              </a:graphicData>
            </a:graphic>
          </wp:inline>
        </w:drawing>
      </w:r>
    </w:p>
    <w:p w:rsidR="00FC4A57" w:rsidRDefault="00FC4A57">
      <w:pPr>
        <w:spacing w:line="360" w:lineRule="auto"/>
        <w:jc w:val="both"/>
      </w:pPr>
    </w:p>
    <w:p w:rsidR="00FC4A57" w:rsidRDefault="001930F3">
      <w:pPr>
        <w:spacing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lastRenderedPageBreak/>
        <w:t xml:space="preserve">El cual se determinó poner a la vista por las aportaciones novedosas que hizo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efecto de reforzar la incompetencia, en términos de la fracción III del artículo 185 de la Ley de Transparencia y Acceso a la Información Pública del Estado de México y Municipios.</w:t>
      </w:r>
    </w:p>
    <w:p w:rsidR="00FC4A57" w:rsidRDefault="00FC4A57">
      <w:pPr>
        <w:spacing w:line="360" w:lineRule="auto"/>
        <w:jc w:val="both"/>
        <w:rPr>
          <w:rFonts w:ascii="Palatino Linotype" w:eastAsia="Palatino Linotype" w:hAnsi="Palatino Linotype" w:cs="Palatino Linotype"/>
          <w:b/>
        </w:rPr>
      </w:pPr>
    </w:p>
    <w:p w:rsidR="00FC4A57" w:rsidRDefault="001930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En fecha veintisiete de junio del dos mil veintidós, este Instituto con fundamento en el artículo 181, párrafo tercero, de la Ley de Transparencia y Acceso a la Información Pública del Estado de México y Municipios.</w:t>
      </w:r>
    </w:p>
    <w:p w:rsidR="001930F3" w:rsidRDefault="001930F3">
      <w:pPr>
        <w:spacing w:line="360" w:lineRule="auto"/>
        <w:jc w:val="both"/>
        <w:rPr>
          <w:rFonts w:ascii="Palatino Linotype" w:eastAsia="Palatino Linotype" w:hAnsi="Palatino Linotype" w:cs="Palatino Linotype"/>
        </w:rPr>
      </w:pPr>
    </w:p>
    <w:p w:rsidR="001930F3" w:rsidRPr="00445709" w:rsidRDefault="001930F3" w:rsidP="001930F3">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1930F3" w:rsidRPr="00445709" w:rsidRDefault="001930F3" w:rsidP="001930F3">
      <w:pPr>
        <w:spacing w:line="360" w:lineRule="auto"/>
        <w:jc w:val="both"/>
        <w:rPr>
          <w:rFonts w:ascii="Palatino Linotype" w:eastAsia="Palatino Linotype" w:hAnsi="Palatino Linotype" w:cs="Palatino Linotype"/>
        </w:rPr>
      </w:pPr>
    </w:p>
    <w:p w:rsidR="001930F3" w:rsidRPr="00445709" w:rsidRDefault="001930F3" w:rsidP="001930F3">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1930F3" w:rsidRPr="00445709" w:rsidRDefault="001930F3" w:rsidP="001930F3">
      <w:pPr>
        <w:spacing w:line="360" w:lineRule="auto"/>
        <w:jc w:val="both"/>
        <w:rPr>
          <w:rFonts w:ascii="Palatino Linotype" w:eastAsia="Palatino Linotype" w:hAnsi="Palatino Linotype" w:cs="Palatino Linotype"/>
        </w:rPr>
      </w:pPr>
    </w:p>
    <w:p w:rsidR="001930F3" w:rsidRPr="00445709" w:rsidRDefault="001930F3" w:rsidP="001930F3">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1930F3" w:rsidRPr="00445709" w:rsidRDefault="001930F3" w:rsidP="001930F3">
      <w:pPr>
        <w:spacing w:line="360" w:lineRule="auto"/>
        <w:jc w:val="both"/>
        <w:rPr>
          <w:rFonts w:ascii="Palatino Linotype" w:eastAsia="Palatino Linotype" w:hAnsi="Palatino Linotype" w:cs="Palatino Linotype"/>
        </w:rPr>
      </w:pPr>
    </w:p>
    <w:p w:rsidR="001930F3" w:rsidRPr="00445709" w:rsidRDefault="001930F3" w:rsidP="001930F3">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1930F3" w:rsidRPr="00445709" w:rsidRDefault="001930F3" w:rsidP="001930F3">
      <w:pPr>
        <w:spacing w:line="360" w:lineRule="auto"/>
        <w:jc w:val="both"/>
        <w:rPr>
          <w:rFonts w:ascii="Palatino Linotype" w:eastAsia="Palatino Linotype" w:hAnsi="Palatino Linotype" w:cs="Palatino Linotype"/>
        </w:rPr>
      </w:pPr>
    </w:p>
    <w:p w:rsidR="001930F3" w:rsidRPr="00445709" w:rsidRDefault="001930F3" w:rsidP="001930F3">
      <w:pPr>
        <w:spacing w:line="360" w:lineRule="auto"/>
        <w:jc w:val="both"/>
        <w:rPr>
          <w:rFonts w:ascii="Palatino Linotype" w:eastAsia="Palatino Linotype" w:hAnsi="Palatino Linotype" w:cs="Palatino Linotype"/>
          <w:strike/>
          <w:color w:val="FF0000"/>
        </w:rPr>
      </w:pPr>
      <w:r w:rsidRPr="0044570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1930F3" w:rsidRPr="00445709" w:rsidRDefault="001930F3" w:rsidP="001930F3">
      <w:pPr>
        <w:spacing w:line="360" w:lineRule="auto"/>
        <w:jc w:val="both"/>
        <w:rPr>
          <w:rFonts w:ascii="Palatino Linotype" w:eastAsia="Palatino Linotype" w:hAnsi="Palatino Linotype" w:cs="Palatino Linotype"/>
        </w:rPr>
      </w:pPr>
    </w:p>
    <w:p w:rsidR="001930F3" w:rsidRPr="00445709" w:rsidRDefault="001930F3" w:rsidP="001930F3">
      <w:pPr>
        <w:numPr>
          <w:ilvl w:val="0"/>
          <w:numId w:val="7"/>
        </w:num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1930F3" w:rsidRPr="00445709" w:rsidRDefault="001930F3" w:rsidP="001930F3">
      <w:pPr>
        <w:spacing w:line="360" w:lineRule="auto"/>
        <w:ind w:left="927"/>
        <w:jc w:val="both"/>
        <w:rPr>
          <w:rFonts w:ascii="Palatino Linotype" w:eastAsia="Palatino Linotype" w:hAnsi="Palatino Linotype" w:cs="Palatino Linotype"/>
        </w:rPr>
      </w:pPr>
    </w:p>
    <w:p w:rsidR="001930F3" w:rsidRPr="00445709" w:rsidRDefault="001930F3" w:rsidP="001930F3">
      <w:pPr>
        <w:numPr>
          <w:ilvl w:val="0"/>
          <w:numId w:val="7"/>
        </w:num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Actividad Procesal del interesado. Acciones u omisiones del interesado.</w:t>
      </w:r>
    </w:p>
    <w:p w:rsidR="001930F3" w:rsidRPr="00445709" w:rsidRDefault="001930F3" w:rsidP="001930F3">
      <w:pPr>
        <w:spacing w:line="360" w:lineRule="auto"/>
        <w:jc w:val="both"/>
        <w:rPr>
          <w:rFonts w:ascii="Palatino Linotype" w:eastAsia="Palatino Linotype" w:hAnsi="Palatino Linotype" w:cs="Palatino Linotype"/>
        </w:rPr>
      </w:pPr>
    </w:p>
    <w:p w:rsidR="001930F3" w:rsidRPr="00445709" w:rsidRDefault="001930F3" w:rsidP="001930F3">
      <w:pPr>
        <w:numPr>
          <w:ilvl w:val="0"/>
          <w:numId w:val="7"/>
        </w:num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Conducta de la Autoridad: Las Acciones u omisiones realizadas en el procedimiento. Así como si la autoridad actuó con la debida diligencia.</w:t>
      </w:r>
    </w:p>
    <w:p w:rsidR="001930F3" w:rsidRPr="00445709" w:rsidRDefault="001930F3" w:rsidP="001930F3">
      <w:pPr>
        <w:spacing w:line="360" w:lineRule="auto"/>
        <w:ind w:left="708"/>
        <w:rPr>
          <w:rFonts w:ascii="Palatino Linotype" w:eastAsia="Palatino Linotype" w:hAnsi="Palatino Linotype" w:cs="Palatino Linotype"/>
        </w:rPr>
      </w:pPr>
    </w:p>
    <w:p w:rsidR="001930F3" w:rsidRPr="00445709" w:rsidRDefault="001930F3" w:rsidP="001930F3">
      <w:pPr>
        <w:spacing w:line="360" w:lineRule="auto"/>
        <w:ind w:left="567"/>
        <w:jc w:val="both"/>
        <w:rPr>
          <w:rFonts w:ascii="Palatino Linotype" w:eastAsia="Palatino Linotype" w:hAnsi="Palatino Linotype" w:cs="Palatino Linotype"/>
        </w:rPr>
      </w:pPr>
      <w:r w:rsidRPr="00445709">
        <w:rPr>
          <w:rFonts w:ascii="Palatino Linotype" w:eastAsia="Palatino Linotype" w:hAnsi="Palatino Linotype" w:cs="Palatino Linotype"/>
        </w:rPr>
        <w:t>d) La afectación generada en la situación jurídica de la persona involucrada en el proceso: Violación a sus derechos humanos.</w:t>
      </w:r>
    </w:p>
    <w:p w:rsidR="001930F3" w:rsidRPr="00445709" w:rsidRDefault="001930F3" w:rsidP="001930F3">
      <w:pPr>
        <w:spacing w:line="360" w:lineRule="auto"/>
        <w:jc w:val="both"/>
        <w:rPr>
          <w:rFonts w:ascii="Palatino Linotype" w:eastAsia="Palatino Linotype" w:hAnsi="Palatino Linotype" w:cs="Palatino Linotype"/>
        </w:rPr>
      </w:pPr>
    </w:p>
    <w:p w:rsidR="001930F3" w:rsidRPr="00445709" w:rsidRDefault="001930F3" w:rsidP="001930F3">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1930F3" w:rsidRPr="00445709" w:rsidRDefault="001930F3" w:rsidP="001930F3">
      <w:pPr>
        <w:spacing w:line="360" w:lineRule="auto"/>
        <w:jc w:val="both"/>
        <w:rPr>
          <w:rFonts w:ascii="Palatino Linotype" w:eastAsia="Palatino Linotype" w:hAnsi="Palatino Linotype" w:cs="Palatino Linotype"/>
        </w:rPr>
      </w:pPr>
    </w:p>
    <w:p w:rsidR="001930F3" w:rsidRPr="00445709" w:rsidRDefault="001930F3" w:rsidP="001930F3">
      <w:pPr>
        <w:spacing w:line="360" w:lineRule="auto"/>
        <w:jc w:val="both"/>
        <w:rPr>
          <w:rFonts w:ascii="Palatino Linotype" w:eastAsia="Palatino Linotype" w:hAnsi="Palatino Linotype" w:cs="Palatino Linotype"/>
          <w:b/>
        </w:rPr>
      </w:pPr>
      <w:r w:rsidRPr="0044570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4570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45709">
        <w:rPr>
          <w:rFonts w:ascii="Palatino Linotype" w:eastAsia="Palatino Linotype" w:hAnsi="Palatino Linotype" w:cs="Palatino Linotype"/>
        </w:rPr>
        <w:t>, visible en la Gaceta del Seminario Judicial de la Federación con el registro digital 205635.</w:t>
      </w:r>
    </w:p>
    <w:p w:rsidR="001930F3" w:rsidRPr="00445709" w:rsidRDefault="001930F3" w:rsidP="001930F3">
      <w:pPr>
        <w:spacing w:line="360" w:lineRule="auto"/>
        <w:jc w:val="both"/>
        <w:rPr>
          <w:rFonts w:ascii="Palatino Linotype" w:eastAsia="Palatino Linotype" w:hAnsi="Palatino Linotype" w:cs="Palatino Linotype"/>
        </w:rPr>
      </w:pPr>
    </w:p>
    <w:p w:rsidR="001930F3" w:rsidRPr="00445709" w:rsidRDefault="001930F3" w:rsidP="001930F3">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445709">
        <w:rPr>
          <w:rFonts w:ascii="Palatino Linotype" w:eastAsia="Palatino Linotype" w:hAnsi="Palatino Linotype" w:cs="Palatino Linotype"/>
        </w:rPr>
        <w:lastRenderedPageBreak/>
        <w:t>los términos legales previamente establecidos por la Ley, por tratarse de causas de fuerza mayor.</w:t>
      </w:r>
    </w:p>
    <w:p w:rsidR="001930F3" w:rsidRPr="00445709" w:rsidRDefault="001930F3" w:rsidP="001930F3">
      <w:pPr>
        <w:spacing w:line="360" w:lineRule="auto"/>
        <w:jc w:val="both"/>
        <w:rPr>
          <w:rFonts w:ascii="Palatino Linotype" w:eastAsia="Palatino Linotype" w:hAnsi="Palatino Linotype" w:cs="Palatino Linotype"/>
        </w:rPr>
      </w:pPr>
    </w:p>
    <w:p w:rsidR="001930F3" w:rsidRPr="00445709" w:rsidRDefault="001930F3" w:rsidP="001930F3">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1930F3" w:rsidRPr="00445709" w:rsidRDefault="001930F3" w:rsidP="001930F3">
      <w:pPr>
        <w:spacing w:line="360" w:lineRule="auto"/>
        <w:jc w:val="both"/>
        <w:rPr>
          <w:rFonts w:ascii="Palatino Linotype" w:eastAsia="Palatino Linotype" w:hAnsi="Palatino Linotype" w:cs="Palatino Linotype"/>
        </w:rPr>
      </w:pPr>
    </w:p>
    <w:p w:rsidR="001930F3" w:rsidRPr="00445709" w:rsidRDefault="001930F3" w:rsidP="001930F3">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 xml:space="preserve"> </w:t>
      </w:r>
      <w:r w:rsidRPr="00445709">
        <w:rPr>
          <w:rFonts w:ascii="Palatino Linotype" w:eastAsia="Palatino Linotype" w:hAnsi="Palatino Linotype" w:cs="Palatino Linotype"/>
          <w:i/>
        </w:rPr>
        <w:t>“PLAZO RAZONABLE PARA RESOLVER. DIMENSIÓN Y EFECTOS DE ESTE CONCEPTO CUANDO SE ADUCE EXCESIVA CARGA DE TRABAJO.”</w:t>
      </w:r>
      <w:r w:rsidRPr="00445709">
        <w:rPr>
          <w:rFonts w:ascii="Palatino Linotype" w:eastAsia="Palatino Linotype" w:hAnsi="Palatino Linotype" w:cs="Palatino Linotype"/>
        </w:rPr>
        <w:t xml:space="preserve"> consultable en el Seminario Judicial de la Federación y su gaceta, con el registro digital 2002351.</w:t>
      </w:r>
    </w:p>
    <w:p w:rsidR="001930F3" w:rsidRPr="00445709" w:rsidRDefault="001930F3" w:rsidP="001930F3">
      <w:pPr>
        <w:spacing w:line="360" w:lineRule="auto"/>
        <w:jc w:val="both"/>
        <w:rPr>
          <w:rFonts w:ascii="Palatino Linotype" w:eastAsia="Palatino Linotype" w:hAnsi="Palatino Linotype" w:cs="Palatino Linotype"/>
          <w:b/>
        </w:rPr>
      </w:pPr>
    </w:p>
    <w:p w:rsidR="001930F3" w:rsidRPr="00445709" w:rsidRDefault="001930F3" w:rsidP="001930F3">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i/>
        </w:rPr>
        <w:t>“PLAZO RAZONABLE PARA RESOLVER. CONCEPTO Y ELEMENTOS QUE LO INTEGRAN A LA LUZ DEL DERECHO INTERNACIONAL DE LOS DERECHOS HUMANOS.”</w:t>
      </w:r>
      <w:r w:rsidRPr="00445709">
        <w:rPr>
          <w:rFonts w:ascii="Palatino Linotype" w:eastAsia="Palatino Linotype" w:hAnsi="Palatino Linotype" w:cs="Palatino Linotype"/>
        </w:rPr>
        <w:t>, visible en el Seminario Judicial de la Federación y su gaceta, con el registro digital 2002350.</w:t>
      </w:r>
    </w:p>
    <w:p w:rsidR="001930F3" w:rsidRPr="00445709" w:rsidRDefault="001930F3" w:rsidP="001930F3">
      <w:pPr>
        <w:spacing w:line="360" w:lineRule="auto"/>
        <w:jc w:val="both"/>
        <w:rPr>
          <w:rFonts w:ascii="Palatino Linotype" w:eastAsia="Palatino Linotype" w:hAnsi="Palatino Linotype" w:cs="Palatino Linotype"/>
        </w:rPr>
      </w:pPr>
    </w:p>
    <w:p w:rsidR="001930F3" w:rsidRPr="00445709" w:rsidRDefault="001930F3" w:rsidP="001930F3">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1930F3" w:rsidRDefault="001930F3">
      <w:pPr>
        <w:spacing w:line="360" w:lineRule="auto"/>
        <w:jc w:val="both"/>
        <w:rPr>
          <w:rFonts w:ascii="Palatino Linotype" w:eastAsia="Palatino Linotype" w:hAnsi="Palatino Linotype" w:cs="Palatino Linotype"/>
          <w:b/>
        </w:rPr>
      </w:pPr>
    </w:p>
    <w:p w:rsidR="00FC4A57" w:rsidRDefault="001930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En fecha veintisiete de junio del dos mil veintidós la Comisionada ponente determinó el cierre de instrucción en términos de la fracción VI del artículo 185 de la Ley de Transparencia y Acceso a la Información Pública del Estado de México y Municipios.</w:t>
      </w: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rsidR="00FC4A57" w:rsidRDefault="001930F3">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w:t>
      </w:r>
      <w:r>
        <w:rPr>
          <w:rFonts w:ascii="Palatino Linotype" w:eastAsia="Palatino Linotype" w:hAnsi="Palatino Linotype" w:cs="Palatino Linotype"/>
          <w:b/>
          <w:color w:val="000000"/>
        </w:rPr>
        <w:tab/>
        <w:t>C O N S I D E R A N D O:</w:t>
      </w:r>
    </w:p>
    <w:p w:rsidR="00FC4A57" w:rsidRDefault="001930F3">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w:t>
      </w:r>
      <w:r>
        <w:rPr>
          <w:rFonts w:ascii="Palatino Linotype" w:eastAsia="Palatino Linotype" w:hAnsi="Palatino Linotype" w:cs="Palatino Linotype"/>
          <w:b/>
          <w:highlight w:val="white"/>
        </w:rPr>
        <w:t>RECURRENTE</w:t>
      </w:r>
      <w:r>
        <w:rPr>
          <w:rFonts w:ascii="Palatino Linotype" w:eastAsia="Palatino Linotype" w:hAnsi="Palatino Linotype" w:cs="Palatino Linotype"/>
          <w:highlight w:val="whit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la solicitante en fecha nueve de marzo del año dos mil veintidós y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presentó su recurso de revisión el once de marzo del mismo año, esto es al segundo </w:t>
      </w:r>
      <w:r>
        <w:rPr>
          <w:rFonts w:ascii="Palatino Linotype" w:eastAsia="Palatino Linotype" w:hAnsi="Palatino Linotype" w:cs="Palatino Linotype"/>
        </w:rPr>
        <w:lastRenderedPageBreak/>
        <w:t>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FC4A57" w:rsidRDefault="001930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Al mismo tiempo, tras la revisión del formato de interposición del recurso</w:t>
      </w:r>
      <w:r>
        <w:rPr>
          <w:rFonts w:ascii="Palatino Linotype" w:eastAsia="Palatino Linotype" w:hAnsi="Palatino Linotype" w:cs="Palatino Linotype"/>
        </w:rPr>
        <w:t xml:space="preserve">,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no proporcionó su nombre</w:t>
      </w:r>
      <w:r>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FC4A57" w:rsidRDefault="00FC4A57">
      <w:pPr>
        <w:ind w:left="567" w:right="474"/>
        <w:jc w:val="both"/>
        <w:rPr>
          <w:rFonts w:ascii="Palatino Linotype" w:eastAsia="Palatino Linotype" w:hAnsi="Palatino Linotype" w:cs="Palatino Linotype"/>
          <w:i/>
        </w:rPr>
      </w:pPr>
    </w:p>
    <w:p w:rsidR="00FC4A57" w:rsidRDefault="001930F3">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rsidR="00FC4A57" w:rsidRDefault="00FC4A57">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FC4A57" w:rsidRDefault="001930F3">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también,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Pr>
          <w:rFonts w:ascii="Palatino Linotype" w:eastAsia="Palatino Linotype" w:hAnsi="Palatino Linotype" w:cs="Palatino Linotype"/>
          <w:b/>
          <w:color w:val="000000"/>
        </w:rPr>
        <w:t>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w:t>
      </w:r>
    </w:p>
    <w:p w:rsidR="00FC4A57" w:rsidRDefault="00FC4A57">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FC4A57" w:rsidRDefault="001930F3">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revisión, según lo aducido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su acto impugnado como en sus motivos de inconformidad, de acuerdo al artículo 179 fracción IV de la Ley de Transparencia y Acceso a la Información Pública del Estado de México y Municipios; que a la letra dice:</w:t>
      </w:r>
    </w:p>
    <w:p w:rsidR="00FC4A57" w:rsidRDefault="00FC4A57">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FC4A57" w:rsidRDefault="001930F3">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FC4A57" w:rsidRDefault="001930F3">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4A57" w:rsidRDefault="001930F3">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IV. La declaración de incompetencia por el sujeto obligado;…” (Sic)</w:t>
      </w:r>
    </w:p>
    <w:p w:rsidR="00FC4A57" w:rsidRDefault="00FC4A57">
      <w:pPr>
        <w:pBdr>
          <w:top w:val="nil"/>
          <w:left w:val="nil"/>
          <w:bottom w:val="nil"/>
          <w:right w:val="nil"/>
          <w:between w:val="nil"/>
        </w:pBdr>
        <w:spacing w:after="240" w:line="360" w:lineRule="auto"/>
        <w:ind w:right="-91"/>
        <w:jc w:val="both"/>
        <w:rPr>
          <w:rFonts w:ascii="Palatino Linotype" w:eastAsia="Palatino Linotype" w:hAnsi="Palatino Linotype" w:cs="Palatino Linotype"/>
          <w:b/>
          <w:i/>
          <w:color w:val="000000"/>
          <w:sz w:val="22"/>
          <w:szCs w:val="22"/>
        </w:rPr>
      </w:pPr>
    </w:p>
    <w:p w:rsidR="00FC4A57" w:rsidRDefault="001930F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Materia de Revisión</w:t>
      </w:r>
      <w:r>
        <w:rPr>
          <w:rFonts w:ascii="Palatino Linotype" w:eastAsia="Palatino Linotype" w:hAnsi="Palatino Linotype" w:cs="Palatino Linotype"/>
        </w:rPr>
        <w:t xml:space="preserve">: 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Del análisis de la solicitud de información motivo del recurso de revisión que ahora se resuelve, se advierte que el particular requirió a la Secretaría de Finanzas, de los servidores públicos que laboran en las oficinas administrativas de Atlacomulco que participan en la expedición de licencias para conducir, lo siguiente:</w:t>
      </w:r>
    </w:p>
    <w:p w:rsidR="00FC4A57" w:rsidRDefault="001930F3">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nombre</w:t>
      </w:r>
    </w:p>
    <w:p w:rsidR="00FC4A57" w:rsidRDefault="001930F3">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nombre y funciones de aquellos que estén contratados mediante subrogación o q</w:t>
      </w:r>
      <w:r>
        <w:rPr>
          <w:rFonts w:ascii="Palatino Linotype" w:eastAsia="Palatino Linotype" w:hAnsi="Palatino Linotype" w:cs="Palatino Linotype"/>
          <w:b/>
          <w:color w:val="000000"/>
          <w:sz w:val="22"/>
          <w:szCs w:val="22"/>
          <w:u w:val="single"/>
        </w:rPr>
        <w:t xml:space="preserve">ue estén contratados por un tercero, </w:t>
      </w:r>
      <w:r>
        <w:rPr>
          <w:rFonts w:ascii="Palatino Linotype" w:eastAsia="Palatino Linotype" w:hAnsi="Palatino Linotype" w:cs="Palatino Linotype"/>
          <w:color w:val="000000"/>
          <w:sz w:val="22"/>
          <w:szCs w:val="22"/>
        </w:rPr>
        <w:t>pero realicen funciones de servicio público.</w:t>
      </w:r>
    </w:p>
    <w:p w:rsidR="00FC4A57" w:rsidRDefault="001930F3">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funciones en particular de Alejandro Piña Alva quien labora en dichas oficinas (Atlacomulco) expidiendo licencias de conducir.</w:t>
      </w: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su parte el Sujeto Obligado, a través del archivo electrónico denominado “</w:t>
      </w:r>
      <w:hyperlink r:id="rId17">
        <w:r>
          <w:rPr>
            <w:rFonts w:ascii="Palatino Linotype" w:eastAsia="Palatino Linotype" w:hAnsi="Palatino Linotype" w:cs="Palatino Linotype"/>
          </w:rPr>
          <w:t>Acdo. Incompetencia 91.pdf</w:t>
        </w:r>
      </w:hyperlink>
      <w:r>
        <w:rPr>
          <w:rFonts w:ascii="Palatino Linotype" w:eastAsia="Palatino Linotype" w:hAnsi="Palatino Linotype" w:cs="Palatino Linotype"/>
        </w:rPr>
        <w:t xml:space="preserve">””, se declaró incompetente para conocer de la información solicitada, en razón de que señaló que la información no es generada por la Secretaría de Finanzas y quien pudiere tener la información es la Secretaría de Movilidad del Estado de México, en términos de los fundamentos legales y motivos que puntualizó en la misma respuesta. </w:t>
      </w: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Inconforme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con la respuesta, interpuso el Recurso de Revisión que se resuelve, en lo medular por la incompetencia hecha valer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Una vez notificado el recurso de revisión al Sujeto Obligado, este remitió su informe justificado en donde reiteró su incompetencia para conocer de la información requerida.</w:t>
      </w: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fundados para modificar o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en razón de las consideraciones de derecho que a continuación se exponen:</w:t>
      </w: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w:t>
      </w:r>
      <w:r>
        <w:rPr>
          <w:rFonts w:ascii="Palatino Linotype" w:eastAsia="Palatino Linotype" w:hAnsi="Palatino Linotype" w:cs="Palatino Linotype"/>
          <w:color w:val="000000"/>
        </w:rPr>
        <w:lastRenderedPageBreak/>
        <w:t xml:space="preserve">privilegiando el principio de máxima publicidad, como así lo establece dicha determinación, que a continuación se </w:t>
      </w:r>
      <w:r>
        <w:rPr>
          <w:rFonts w:ascii="Palatino Linotype" w:eastAsia="Palatino Linotype" w:hAnsi="Palatino Linotype" w:cs="Palatino Linotype"/>
        </w:rPr>
        <w:t>transcribe</w:t>
      </w:r>
      <w:r>
        <w:rPr>
          <w:rFonts w:ascii="Palatino Linotype" w:eastAsia="Palatino Linotype" w:hAnsi="Palatino Linotype" w:cs="Palatino Linotype"/>
          <w:color w:val="000000"/>
        </w:rPr>
        <w:t xml:space="preserve"> para un mejor entendimiento:</w:t>
      </w:r>
    </w:p>
    <w:p w:rsidR="00FC4A57" w:rsidRDefault="001930F3">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FC4A57" w:rsidRDefault="001930F3">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FC4A57" w:rsidRDefault="001930F3">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FC4A57" w:rsidRDefault="00FC4A57">
      <w:pPr>
        <w:ind w:left="709" w:right="760"/>
        <w:jc w:val="both"/>
        <w:rPr>
          <w:rFonts w:ascii="Palatino Linotype" w:eastAsia="Palatino Linotype" w:hAnsi="Palatino Linotype" w:cs="Palatino Linotype"/>
          <w:i/>
        </w:rPr>
      </w:pP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FC4A57" w:rsidRDefault="001930F3">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FC4A57" w:rsidRDefault="001930F3">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Pr>
          <w:rFonts w:ascii="Palatino Linotype" w:eastAsia="Palatino Linotype" w:hAnsi="Palatino Linotype" w:cs="Palatino Linotype"/>
          <w:b/>
          <w:i/>
          <w:sz w:val="22"/>
          <w:szCs w:val="22"/>
        </w:rPr>
        <w:lastRenderedPageBreak/>
        <w:t>obligados a generarla, resumirla, efectuar cálculos o practicar investigaciones.” (Sic)</w:t>
      </w:r>
    </w:p>
    <w:p w:rsidR="00FC4A57" w:rsidRDefault="00FC4A57">
      <w:pPr>
        <w:spacing w:line="360" w:lineRule="auto"/>
        <w:ind w:right="-93"/>
        <w:jc w:val="both"/>
        <w:rPr>
          <w:rFonts w:ascii="Palatino Linotype" w:eastAsia="Palatino Linotype" w:hAnsi="Palatino Linotype" w:cs="Palatino Linotype"/>
          <w:color w:val="000000"/>
        </w:rPr>
      </w:pPr>
    </w:p>
    <w:p w:rsidR="00FC4A57" w:rsidRDefault="001930F3">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FC4A57" w:rsidRDefault="001930F3">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FC4A57" w:rsidRDefault="00FC4A57">
      <w:pPr>
        <w:ind w:left="851" w:right="850"/>
        <w:jc w:val="both"/>
        <w:rPr>
          <w:rFonts w:ascii="Palatino Linotype" w:eastAsia="Palatino Linotype" w:hAnsi="Palatino Linotype" w:cs="Palatino Linotype"/>
          <w:color w:val="000000"/>
        </w:rPr>
      </w:pPr>
    </w:p>
    <w:p w:rsidR="00FC4A57" w:rsidRDefault="001930F3">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FC4A57" w:rsidRDefault="001930F3">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FC4A57" w:rsidRDefault="001930F3">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FC4A57" w:rsidRDefault="001930F3">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FC4A57" w:rsidRDefault="001930F3">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
    <w:p w:rsidR="00FC4A57" w:rsidRDefault="00FC4A57">
      <w:pPr>
        <w:spacing w:line="360" w:lineRule="auto"/>
        <w:jc w:val="both"/>
        <w:rPr>
          <w:rFonts w:ascii="Palatino Linotype" w:eastAsia="Palatino Linotype" w:hAnsi="Palatino Linotype" w:cs="Palatino Linotype"/>
        </w:rPr>
      </w:pPr>
    </w:p>
    <w:p w:rsidR="00FC4A57" w:rsidRDefault="001930F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FC4A57" w:rsidRDefault="00FC4A57">
      <w:pPr>
        <w:spacing w:line="360" w:lineRule="auto"/>
        <w:jc w:val="both"/>
        <w:rPr>
          <w:rFonts w:ascii="Palatino Linotype" w:eastAsia="Palatino Linotype" w:hAnsi="Palatino Linotype" w:cs="Palatino Linotype"/>
          <w:color w:val="000000"/>
        </w:rPr>
      </w:pPr>
    </w:p>
    <w:p w:rsidR="00FC4A57" w:rsidRDefault="001930F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FC4A57" w:rsidRDefault="00FC4A57">
      <w:pPr>
        <w:spacing w:line="360" w:lineRule="auto"/>
        <w:ind w:right="49"/>
        <w:jc w:val="both"/>
        <w:rPr>
          <w:rFonts w:ascii="Palatino Linotype" w:eastAsia="Palatino Linotype" w:hAnsi="Palatino Linotype" w:cs="Palatino Linotype"/>
        </w:rPr>
      </w:pPr>
    </w:p>
    <w:p w:rsidR="00FC4A57" w:rsidRDefault="001930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FC4A57" w:rsidRDefault="00FC4A57">
      <w:pPr>
        <w:ind w:left="851" w:right="899"/>
        <w:jc w:val="both"/>
        <w:rPr>
          <w:rFonts w:ascii="Palatino Linotype" w:eastAsia="Palatino Linotype" w:hAnsi="Palatino Linotype" w:cs="Palatino Linotype"/>
          <w:i/>
          <w:sz w:val="22"/>
          <w:szCs w:val="22"/>
        </w:rPr>
      </w:pPr>
    </w:p>
    <w:p w:rsidR="00FC4A57" w:rsidRDefault="001930F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FC4A57" w:rsidRDefault="001930F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FC4A57" w:rsidRDefault="001930F3">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FC4A57" w:rsidRDefault="00FC4A57">
      <w:pPr>
        <w:ind w:left="851" w:right="899"/>
        <w:jc w:val="both"/>
        <w:rPr>
          <w:rFonts w:ascii="Palatino Linotype" w:eastAsia="Palatino Linotype" w:hAnsi="Palatino Linotype" w:cs="Palatino Linotype"/>
          <w:sz w:val="22"/>
          <w:szCs w:val="22"/>
        </w:rPr>
      </w:pPr>
    </w:p>
    <w:p w:rsidR="00FC4A57" w:rsidRDefault="001930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FC4A57" w:rsidRDefault="00FC4A57">
      <w:pPr>
        <w:ind w:left="851" w:right="899"/>
        <w:jc w:val="both"/>
        <w:rPr>
          <w:rFonts w:ascii="Palatino Linotype" w:eastAsia="Palatino Linotype" w:hAnsi="Palatino Linotype" w:cs="Palatino Linotype"/>
        </w:rPr>
      </w:pPr>
    </w:p>
    <w:p w:rsidR="00FC4A57" w:rsidRDefault="001930F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FC4A57" w:rsidRDefault="001930F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C4A57" w:rsidRDefault="001930F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FC4A57" w:rsidRDefault="001930F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FC4A57" w:rsidRDefault="001930F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FC4A57" w:rsidRDefault="001930F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rsidR="00FC4A57" w:rsidRDefault="00FC4A57">
      <w:pPr>
        <w:spacing w:line="360" w:lineRule="auto"/>
        <w:ind w:right="-93"/>
        <w:jc w:val="both"/>
        <w:rPr>
          <w:rFonts w:ascii="Palatino Linotype" w:eastAsia="Palatino Linotype" w:hAnsi="Palatino Linotype" w:cs="Palatino Linotype"/>
          <w:color w:val="000000"/>
        </w:rPr>
      </w:pPr>
    </w:p>
    <w:p w:rsidR="00FC4A57" w:rsidRDefault="001930F3">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En virtud de lo anterior</w:t>
      </w:r>
      <w:r>
        <w:rPr>
          <w:rFonts w:ascii="Palatino Linotype" w:eastAsia="Palatino Linotype" w:hAnsi="Palatino Linotype" w:cs="Palatino Linotype"/>
        </w:rPr>
        <w:t>, se determina que la información emitida por el Sujeto Obligado en su respuesta, no cumple con lo establecido por los artículos 4, 12 y 24 último párrafo de la Ley de Transparencia y Acceso a la Información Pública del Estado de México y Municipios, conforme a lo siguiente:</w:t>
      </w:r>
    </w:p>
    <w:p w:rsidR="00FC4A57" w:rsidRDefault="00FC4A57">
      <w:pPr>
        <w:spacing w:line="360" w:lineRule="auto"/>
        <w:ind w:right="-93"/>
        <w:jc w:val="both"/>
        <w:rPr>
          <w:rFonts w:ascii="Palatino Linotype" w:eastAsia="Palatino Linotype" w:hAnsi="Palatino Linotype" w:cs="Palatino Linotype"/>
        </w:rPr>
      </w:pPr>
    </w:p>
    <w:p w:rsidR="00FC4A57" w:rsidRDefault="00FC4A57">
      <w:pPr>
        <w:spacing w:line="360" w:lineRule="auto"/>
        <w:ind w:right="-93"/>
        <w:jc w:val="both"/>
        <w:rPr>
          <w:rFonts w:ascii="Palatino Linotype" w:eastAsia="Palatino Linotype" w:hAnsi="Palatino Linotype" w:cs="Palatino Linotype"/>
        </w:rPr>
      </w:pP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un análisis de las atribuciones de cada una de las áreas que conforman al </w:t>
      </w:r>
      <w:r>
        <w:rPr>
          <w:rFonts w:ascii="Palatino Linotype" w:eastAsia="Palatino Linotype" w:hAnsi="Palatino Linotype" w:cs="Palatino Linotype"/>
          <w:b/>
        </w:rPr>
        <w:t>SUJETO OBLIGADO</w:t>
      </w:r>
      <w:r>
        <w:rPr>
          <w:rFonts w:ascii="Palatino Linotype" w:eastAsia="Palatino Linotype" w:hAnsi="Palatino Linotype" w:cs="Palatino Linotype"/>
        </w:rPr>
        <w:t>, de acuerdo a los señalado por la Ley Orgánica de la Administración Pública del Estado de México, Reglamento Interior y Manual General de Organización de la Secretaría de Finanzas, se advierte que si conoce de la información solicitada, conforme a los siguientes preceptos legales:</w:t>
      </w:r>
    </w:p>
    <w:p w:rsidR="00FC4A57" w:rsidRDefault="001930F3">
      <w:pPr>
        <w:spacing w:before="240"/>
        <w:ind w:firstLine="56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Ley Orgánica de la Administración Pública del Estado de México</w:t>
      </w:r>
    </w:p>
    <w:p w:rsidR="00FC4A57" w:rsidRDefault="001930F3">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19.- Para el estudio, planeación y despacho de los asuntos, en los diversos ramos de la Administración Pública del Estado, auxiliarán al Titular del Ejecutivo, las siguientes dependencias:</w:t>
      </w:r>
    </w:p>
    <w:p w:rsidR="00FC4A57" w:rsidRDefault="001930F3">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4A57" w:rsidRDefault="001930F3">
      <w:pPr>
        <w:ind w:left="567"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u w:val="single"/>
        </w:rPr>
        <w:t>III. Secretaría de Finanzas;</w:t>
      </w:r>
    </w:p>
    <w:p w:rsidR="00FC4A57" w:rsidRDefault="001930F3">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4A57" w:rsidRDefault="001930F3">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23. La Secretaría de Finanzas, es la encargada de la planeación, programación, presupuestación y evaluación de las actividades del Poder Ejecutivo, de la administración financiera y tributaria de la hacienda pública del Estado y de prestar el apoyo administrativo y tecnológico que requieran las dependencias del Poder Ejecutivo del Estado.</w:t>
      </w:r>
    </w:p>
    <w:p w:rsidR="00FC4A57" w:rsidRDefault="00FC4A57">
      <w:pPr>
        <w:ind w:left="567" w:right="851"/>
        <w:jc w:val="both"/>
        <w:rPr>
          <w:rFonts w:ascii="Palatino Linotype" w:eastAsia="Palatino Linotype" w:hAnsi="Palatino Linotype" w:cs="Palatino Linotype"/>
          <w:i/>
          <w:sz w:val="22"/>
          <w:szCs w:val="22"/>
        </w:rPr>
      </w:pPr>
    </w:p>
    <w:p w:rsidR="00FC4A57" w:rsidRDefault="001930F3">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24.- A la Secretaría de Finanzas, corresponde el despacho de los siguientes asuntos:</w:t>
      </w:r>
    </w:p>
    <w:p w:rsidR="00FC4A57" w:rsidRDefault="001930F3">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4A57" w:rsidRDefault="001930F3">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XXXIII. Vigilar el cumplimiento de las disposiciones legales que rijan las relaciones entre el Gobierno del Estado y los servidores públicos;</w:t>
      </w:r>
    </w:p>
    <w:p w:rsidR="00FC4A57" w:rsidRDefault="00FC4A57">
      <w:pPr>
        <w:ind w:left="567" w:right="851"/>
        <w:jc w:val="both"/>
        <w:rPr>
          <w:rFonts w:ascii="Palatino Linotype" w:eastAsia="Palatino Linotype" w:hAnsi="Palatino Linotype" w:cs="Palatino Linotype"/>
          <w:i/>
          <w:sz w:val="22"/>
          <w:szCs w:val="22"/>
        </w:rPr>
      </w:pPr>
    </w:p>
    <w:p w:rsidR="00FC4A57" w:rsidRDefault="001930F3">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XXXIV. Seleccionar, contratar, capacitar y controlar al personal del Poder Ejecutivo del Estado;</w:t>
      </w:r>
    </w:p>
    <w:p w:rsidR="00FC4A57" w:rsidRDefault="00FC4A57">
      <w:pPr>
        <w:ind w:left="567" w:right="851"/>
        <w:jc w:val="both"/>
        <w:rPr>
          <w:rFonts w:ascii="Palatino Linotype" w:eastAsia="Palatino Linotype" w:hAnsi="Palatino Linotype" w:cs="Palatino Linotype"/>
          <w:i/>
          <w:sz w:val="22"/>
          <w:szCs w:val="22"/>
        </w:rPr>
      </w:pPr>
    </w:p>
    <w:p w:rsidR="00FC4A57" w:rsidRDefault="001930F3">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XXXV. Tramitar los nombramientos, remociones, renuncias, licencias y jubilaciones de los funcionarios y trabajadores del Poder Ejecutivo del Estado;</w:t>
      </w:r>
    </w:p>
    <w:p w:rsidR="00FC4A57" w:rsidRDefault="00FC4A57">
      <w:pPr>
        <w:ind w:left="567" w:right="851"/>
        <w:jc w:val="both"/>
        <w:rPr>
          <w:rFonts w:ascii="Palatino Linotype" w:eastAsia="Palatino Linotype" w:hAnsi="Palatino Linotype" w:cs="Palatino Linotype"/>
          <w:i/>
          <w:sz w:val="22"/>
          <w:szCs w:val="22"/>
        </w:rPr>
      </w:pPr>
    </w:p>
    <w:p w:rsidR="00FC4A57" w:rsidRDefault="001930F3">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XXXVI. Mantener al corriente el escalafón de los trabajadores al servicio del Gobierno del Estado;”</w:t>
      </w:r>
    </w:p>
    <w:p w:rsidR="00FC4A57" w:rsidRDefault="00FC4A57">
      <w:pPr>
        <w:ind w:left="567" w:right="851"/>
        <w:jc w:val="both"/>
        <w:rPr>
          <w:rFonts w:ascii="Palatino Linotype" w:eastAsia="Palatino Linotype" w:hAnsi="Palatino Linotype" w:cs="Palatino Linotype"/>
          <w:i/>
          <w:sz w:val="22"/>
          <w:szCs w:val="22"/>
        </w:rPr>
      </w:pPr>
    </w:p>
    <w:p w:rsidR="00FC4A57" w:rsidRDefault="001930F3">
      <w:pPr>
        <w:ind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Reglamento Interior de la Secretaría de Finanzas</w:t>
      </w:r>
    </w:p>
    <w:p w:rsidR="00FC4A57" w:rsidRDefault="00FC4A57">
      <w:pPr>
        <w:ind w:right="851"/>
        <w:jc w:val="both"/>
        <w:rPr>
          <w:rFonts w:ascii="Palatino Linotype" w:eastAsia="Palatino Linotype" w:hAnsi="Palatino Linotype" w:cs="Palatino Linotype"/>
          <w:sz w:val="22"/>
          <w:szCs w:val="22"/>
        </w:rPr>
      </w:pPr>
    </w:p>
    <w:p w:rsidR="00FC4A57" w:rsidRDefault="001930F3">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29.- Corresponde al Subsecretario de Administración el ejercicio de las siguientes atribuciones:</w:t>
      </w:r>
    </w:p>
    <w:p w:rsidR="00FC4A57" w:rsidRDefault="001930F3">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4A57" w:rsidRDefault="001930F3">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 Autorizar la creación de plazas de personal que soliciten las dependencias y los organismos auxiliares, en términos de lo establecido en la normativa aplicable, y conforme a los lineamientos que, en su caso, establezca el Secretario. </w:t>
      </w:r>
    </w:p>
    <w:p w:rsidR="00FC4A57" w:rsidRDefault="001930F3">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4A57" w:rsidRDefault="001930F3">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Autorizar la estrategia y las acciones que orienten la política salarial, las remuneraciones al personal, las prestaciones socioeconómicas, el proceso escalafonario, la gestión del capital humano, y los asuntos laborales del Poder Ejecutivo del Gobierno del Estado.</w:t>
      </w:r>
    </w:p>
    <w:p w:rsidR="00FC4A57" w:rsidRDefault="00FC4A57">
      <w:pPr>
        <w:ind w:left="567" w:right="851"/>
        <w:jc w:val="both"/>
        <w:rPr>
          <w:rFonts w:ascii="Palatino Linotype" w:eastAsia="Palatino Linotype" w:hAnsi="Palatino Linotype" w:cs="Palatino Linotype"/>
          <w:i/>
          <w:sz w:val="22"/>
          <w:szCs w:val="22"/>
        </w:rPr>
      </w:pPr>
    </w:p>
    <w:p w:rsidR="00FC4A57" w:rsidRDefault="001930F3">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30.- Quedan adscritas a la Subsecretaría de Administración:</w:t>
      </w:r>
    </w:p>
    <w:p w:rsidR="00FC4A57" w:rsidRDefault="00FC4A57">
      <w:pPr>
        <w:ind w:left="567" w:right="851"/>
        <w:jc w:val="both"/>
        <w:rPr>
          <w:rFonts w:ascii="Palatino Linotype" w:eastAsia="Palatino Linotype" w:hAnsi="Palatino Linotype" w:cs="Palatino Linotype"/>
          <w:i/>
          <w:sz w:val="22"/>
          <w:szCs w:val="22"/>
        </w:rPr>
      </w:pPr>
    </w:p>
    <w:p w:rsidR="00FC4A57" w:rsidRDefault="001930F3">
      <w:pPr>
        <w:numPr>
          <w:ilvl w:val="0"/>
          <w:numId w:val="4"/>
        </w:numPr>
        <w:pBdr>
          <w:top w:val="nil"/>
          <w:left w:val="nil"/>
          <w:bottom w:val="nil"/>
          <w:right w:val="nil"/>
          <w:between w:val="nil"/>
        </w:pBdr>
        <w:ind w:left="567" w:right="851"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Dirección General de Personal.</w:t>
      </w:r>
    </w:p>
    <w:p w:rsidR="00FC4A57" w:rsidRDefault="001930F3">
      <w:pPr>
        <w:ind w:left="426"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31.- Corresponde a la Dirección General de Personal:</w:t>
      </w:r>
    </w:p>
    <w:p w:rsidR="00FC4A57" w:rsidRDefault="001930F3">
      <w:pPr>
        <w:ind w:left="426"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4A57" w:rsidRDefault="001930F3">
      <w:pPr>
        <w:ind w:left="426"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u w:val="single"/>
        </w:rPr>
        <w:t>VII. Aplicar las disposiciones que norman la remuneración y prestaciones que deban otorgarse a los servidores públicos del Poder Ejecutivo del Gobierno del Estado, en concordancia con las estructuras orgánico funcionales y los catálogos de puestos aprobados.</w:t>
      </w:r>
    </w:p>
    <w:p w:rsidR="00FC4A57" w:rsidRDefault="001930F3">
      <w:pPr>
        <w:ind w:left="426"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4A57" w:rsidRDefault="001930F3">
      <w:pPr>
        <w:ind w:left="426"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 Coordinar acciones con la Dirección General de Recaudación para que, en forma oportuna, se entreguen los documentos de percepciones a los servidores públicos del Poder Ejecutivo del Estado, cuando esta dirección actúe como centro de pago.</w:t>
      </w:r>
    </w:p>
    <w:p w:rsidR="00FC4A57" w:rsidRDefault="00FC4A57">
      <w:pPr>
        <w:ind w:left="426" w:right="851"/>
        <w:jc w:val="both"/>
        <w:rPr>
          <w:rFonts w:ascii="Palatino Linotype" w:eastAsia="Palatino Linotype" w:hAnsi="Palatino Linotype" w:cs="Palatino Linotype"/>
          <w:i/>
          <w:sz w:val="22"/>
          <w:szCs w:val="22"/>
        </w:rPr>
      </w:pPr>
    </w:p>
    <w:p w:rsidR="00FC4A57" w:rsidRDefault="001930F3">
      <w:pPr>
        <w:ind w:left="426"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XIII. Formular y mantener actualizados los catálogos de puestos y los tabuladores de sueldos del Poder Ejecutivo del Gobierno del Estado.</w:t>
      </w:r>
    </w:p>
    <w:p w:rsidR="00FC4A57" w:rsidRDefault="00FC4A57">
      <w:pPr>
        <w:ind w:left="426" w:right="851"/>
        <w:jc w:val="both"/>
        <w:rPr>
          <w:rFonts w:ascii="Palatino Linotype" w:eastAsia="Palatino Linotype" w:hAnsi="Palatino Linotype" w:cs="Palatino Linotype"/>
          <w:i/>
          <w:sz w:val="22"/>
          <w:szCs w:val="22"/>
        </w:rPr>
      </w:pPr>
    </w:p>
    <w:p w:rsidR="00FC4A57" w:rsidRDefault="001930F3">
      <w:pPr>
        <w:ind w:right="85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Manual General de Organización de la Secretaría de Finanzas</w:t>
      </w:r>
    </w:p>
    <w:p w:rsidR="00FC4A57" w:rsidRDefault="00FC4A57">
      <w:pPr>
        <w:ind w:right="851"/>
        <w:jc w:val="center"/>
        <w:rPr>
          <w:rFonts w:ascii="Palatino Linotype" w:eastAsia="Palatino Linotype" w:hAnsi="Palatino Linotype" w:cs="Palatino Linotype"/>
          <w:sz w:val="22"/>
          <w:szCs w:val="22"/>
        </w:rPr>
      </w:pPr>
    </w:p>
    <w:p w:rsidR="00FC4A57" w:rsidRDefault="001930F3">
      <w:pPr>
        <w:ind w:left="426"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20706004000000L DIRECCIÓN GENERAL DE PERSONAL </w:t>
      </w:r>
    </w:p>
    <w:p w:rsidR="00FC4A57" w:rsidRDefault="00FC4A57">
      <w:pPr>
        <w:ind w:left="426" w:right="851"/>
        <w:jc w:val="both"/>
        <w:rPr>
          <w:rFonts w:ascii="Palatino Linotype" w:eastAsia="Palatino Linotype" w:hAnsi="Palatino Linotype" w:cs="Palatino Linotype"/>
          <w:sz w:val="22"/>
          <w:szCs w:val="22"/>
        </w:rPr>
      </w:pPr>
    </w:p>
    <w:p w:rsidR="00FC4A57" w:rsidRDefault="001930F3">
      <w:pPr>
        <w:ind w:left="426"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 xml:space="preserve">OBJETIVO: </w:t>
      </w:r>
      <w:r>
        <w:rPr>
          <w:rFonts w:ascii="Palatino Linotype" w:eastAsia="Palatino Linotype" w:hAnsi="Palatino Linotype" w:cs="Palatino Linotype"/>
          <w:i/>
          <w:sz w:val="22"/>
          <w:szCs w:val="22"/>
        </w:rPr>
        <w:t>Coordinar y normar las actividades orientadas al cumplimiento de las metas establecidas en materia de desarrollo y administración de personal, a través de la operación eficaz del Sistema Integral de Personal.</w:t>
      </w:r>
    </w:p>
    <w:p w:rsidR="00FC4A57" w:rsidRDefault="001930F3">
      <w:pPr>
        <w:ind w:left="426"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p>
    <w:p w:rsidR="00FC4A57" w:rsidRDefault="001930F3">
      <w:pPr>
        <w:numPr>
          <w:ilvl w:val="0"/>
          <w:numId w:val="5"/>
        </w:numPr>
        <w:pBdr>
          <w:top w:val="nil"/>
          <w:left w:val="nil"/>
          <w:bottom w:val="nil"/>
          <w:right w:val="nil"/>
          <w:between w:val="nil"/>
        </w:pBdr>
        <w:ind w:left="567" w:right="992"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Dar cumplimiento a las disposiciones que normen la remuneración de las y los servidores públicos, de conformidad con las estructuras orgánico funcionales y los catálogos de puestos aprobados.</w:t>
      </w:r>
    </w:p>
    <w:p w:rsidR="00FC4A57" w:rsidRDefault="001930F3">
      <w:pPr>
        <w:pBdr>
          <w:top w:val="nil"/>
          <w:left w:val="nil"/>
          <w:bottom w:val="nil"/>
          <w:right w:val="nil"/>
          <w:between w:val="nil"/>
        </w:pBdr>
        <w:ind w:left="567" w:right="99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4A57" w:rsidRDefault="001930F3">
      <w:pPr>
        <w:numPr>
          <w:ilvl w:val="0"/>
          <w:numId w:val="5"/>
        </w:numPr>
        <w:pBdr>
          <w:top w:val="nil"/>
          <w:left w:val="nil"/>
          <w:bottom w:val="nil"/>
          <w:right w:val="nil"/>
          <w:between w:val="nil"/>
        </w:pBdr>
        <w:ind w:left="567" w:right="992"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Entregar las remuneraciones a las y los servidores públicos de las dependencias y órganos administrativos desconcentrados del Poder Ejecutivo, en coordinación con la Dirección General de Recaudación.</w:t>
      </w:r>
    </w:p>
    <w:p w:rsidR="00FC4A57" w:rsidRDefault="001930F3">
      <w:pPr>
        <w:pBdr>
          <w:top w:val="nil"/>
          <w:left w:val="nil"/>
          <w:bottom w:val="nil"/>
          <w:right w:val="nil"/>
          <w:between w:val="nil"/>
        </w:pBdr>
        <w:ind w:left="567" w:right="99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4A57" w:rsidRDefault="001930F3">
      <w:pPr>
        <w:numPr>
          <w:ilvl w:val="0"/>
          <w:numId w:val="5"/>
        </w:numPr>
        <w:pBdr>
          <w:top w:val="nil"/>
          <w:left w:val="nil"/>
          <w:bottom w:val="nil"/>
          <w:right w:val="nil"/>
          <w:between w:val="nil"/>
        </w:pBdr>
        <w:ind w:left="567" w:right="851"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Autorizar los pagos por conceptos de sueldo, prestaciones y otras disposiciones normativas que gestionan las dependencias y órganos administrativos desconcentrados del Poder Ejecutivo Estatal, así como las pensiones por gracia.</w:t>
      </w:r>
    </w:p>
    <w:p w:rsidR="00FC4A57" w:rsidRDefault="001930F3">
      <w:pPr>
        <w:numPr>
          <w:ilvl w:val="0"/>
          <w:numId w:val="5"/>
        </w:numPr>
        <w:pBdr>
          <w:top w:val="nil"/>
          <w:left w:val="nil"/>
          <w:bottom w:val="nil"/>
          <w:right w:val="nil"/>
          <w:between w:val="nil"/>
        </w:pBdr>
        <w:ind w:left="567" w:right="851"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Autorizar y mantener actualizados los catálogos de puestos y los tabuladores de sueldo del Poder Ejecutivo del Estado, para que exista congruencia entre la función a desempeñar y la remuneración a percibir.” (Sic)</w:t>
      </w:r>
    </w:p>
    <w:p w:rsidR="00FC4A57" w:rsidRDefault="00FC4A57">
      <w:pPr>
        <w:spacing w:after="240"/>
        <w:ind w:left="567" w:right="851"/>
        <w:jc w:val="both"/>
        <w:rPr>
          <w:rFonts w:ascii="Palatino Linotype" w:eastAsia="Palatino Linotype" w:hAnsi="Palatino Linotype" w:cs="Palatino Linotype"/>
          <w:i/>
          <w:sz w:val="22"/>
          <w:szCs w:val="22"/>
        </w:rPr>
      </w:pPr>
    </w:p>
    <w:p w:rsidR="00FC4A57" w:rsidRDefault="001930F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 competente para generar, poseer y administrara la información solicitada; de ahí que, la información debe obrar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conforme a lo previsto en el artículo 19, párrafo primero de la Ley de Transparencia y Acceso a la Información Pública de la entidad que ordena: </w:t>
      </w:r>
    </w:p>
    <w:p w:rsidR="00FC4A57" w:rsidRDefault="00FC4A57">
      <w:pPr>
        <w:spacing w:line="360" w:lineRule="auto"/>
        <w:ind w:left="851" w:right="902"/>
        <w:jc w:val="both"/>
        <w:rPr>
          <w:rFonts w:ascii="Palatino Linotype" w:eastAsia="Palatino Linotype" w:hAnsi="Palatino Linotype" w:cs="Palatino Linotype"/>
          <w:i/>
          <w:sz w:val="22"/>
          <w:szCs w:val="22"/>
        </w:rPr>
      </w:pPr>
    </w:p>
    <w:p w:rsidR="00FC4A57" w:rsidRDefault="001930F3">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19.</w:t>
      </w:r>
      <w:r>
        <w:rPr>
          <w:rFonts w:ascii="Palatino Linotype" w:eastAsia="Palatino Linotype" w:hAnsi="Palatino Linotype" w:cs="Palatino Linotype"/>
          <w:i/>
          <w:sz w:val="22"/>
          <w:szCs w:val="22"/>
        </w:rPr>
        <w:t xml:space="preserve"> Se presume que la información debe existir si se refiere a las facultades, competencias y funciones que los ordenamientos jurídicos aplicables otorgan a los sujetos obligados…” (Sic)</w:t>
      </w:r>
    </w:p>
    <w:p w:rsidR="00FC4A57" w:rsidRDefault="00FC4A57">
      <w:pPr>
        <w:spacing w:after="240" w:line="360" w:lineRule="auto"/>
        <w:jc w:val="both"/>
        <w:rPr>
          <w:rFonts w:ascii="Palatino Linotype" w:eastAsia="Palatino Linotype" w:hAnsi="Palatino Linotype" w:cs="Palatino Linotype"/>
          <w:color w:val="FF0000"/>
        </w:rPr>
      </w:pP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 pertinente aclarar, conforme a lo preceptos legales citados con antelación,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tiene la atribución de autorizar los catálogos de puestos y los tabuladores de sueldos del Poder Ejecutivo del Estado de México, en los que se </w:t>
      </w:r>
      <w:r>
        <w:rPr>
          <w:rFonts w:ascii="Palatino Linotype" w:eastAsia="Palatino Linotype" w:hAnsi="Palatino Linotype" w:cs="Palatino Linotype"/>
        </w:rPr>
        <w:lastRenderedPageBreak/>
        <w:t>debe advertir la función a desempeñar, luego entonces el documento en donde conste, de manera enunciativa más no limitada, las funciones de los servidores públicos que se describen en la solicitud de acceso a la información pública, es el catálogo de puestos o tabulador de sueldos, lo que se robustece con lo señalado por el artículo 98 fracción XI de la Ley de Trabajo de los Servidores Públicos del Estado y Municipios, que señala al respecto lo siguiente:</w:t>
      </w:r>
    </w:p>
    <w:p w:rsidR="00FC4A57" w:rsidRDefault="001930F3">
      <w:pPr>
        <w:tabs>
          <w:tab w:val="left" w:pos="1415"/>
        </w:tabs>
        <w:spacing w:before="240"/>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98. </w:t>
      </w:r>
      <w:r>
        <w:rPr>
          <w:rFonts w:ascii="Palatino Linotype" w:eastAsia="Palatino Linotype" w:hAnsi="Palatino Linotype" w:cs="Palatino Linotype"/>
          <w:b/>
          <w:i/>
          <w:sz w:val="22"/>
          <w:szCs w:val="22"/>
        </w:rPr>
        <w:t>Son obligaciones de las instituciones públicas:</w:t>
      </w:r>
    </w:p>
    <w:p w:rsidR="00FC4A57" w:rsidRDefault="001930F3">
      <w:pPr>
        <w:tabs>
          <w:tab w:val="left" w:pos="1415"/>
        </w:tabs>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4A57" w:rsidRDefault="001930F3">
      <w:pPr>
        <w:tabs>
          <w:tab w:val="left" w:pos="1415"/>
        </w:tabs>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 </w:t>
      </w:r>
      <w:r>
        <w:rPr>
          <w:rFonts w:ascii="Palatino Linotype" w:eastAsia="Palatino Linotype" w:hAnsi="Palatino Linotype" w:cs="Palatino Linotype"/>
          <w:b/>
          <w:i/>
          <w:sz w:val="22"/>
          <w:szCs w:val="22"/>
        </w:rPr>
        <w:t>Elaborar un catálogo general de puestos y un tabulador anual de remuneraciones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tomando en consideración</w:t>
      </w:r>
      <w:r>
        <w:rPr>
          <w:rFonts w:ascii="Palatino Linotype" w:eastAsia="Palatino Linotype" w:hAnsi="Palatino Linotype" w:cs="Palatino Linotype"/>
          <w:i/>
          <w:sz w:val="22"/>
          <w:szCs w:val="22"/>
        </w:rPr>
        <w:t xml:space="preserve"> los objetivos de las instituciones públicas, </w:t>
      </w:r>
      <w:r>
        <w:rPr>
          <w:rFonts w:ascii="Palatino Linotype" w:eastAsia="Palatino Linotype" w:hAnsi="Palatino Linotype" w:cs="Palatino Linotype"/>
          <w:b/>
          <w:i/>
          <w:sz w:val="22"/>
          <w:szCs w:val="22"/>
        </w:rPr>
        <w:t>las funciones, actividades y tareas de los servidores públicos</w:t>
      </w:r>
      <w:r>
        <w:rPr>
          <w:rFonts w:ascii="Palatino Linotype" w:eastAsia="Palatino Linotype" w:hAnsi="Palatino Linotype" w:cs="Palatino Linotype"/>
          <w:i/>
          <w:sz w:val="22"/>
          <w:szCs w:val="22"/>
        </w:rPr>
        <w:t>, así como la cantidad, calidad y responsabilidad del trabajo; el tabulador deberá respetar las medidas de protección al salario establecidas en la presente ley…(Sic)</w:t>
      </w:r>
    </w:p>
    <w:p w:rsidR="00FC4A57" w:rsidRDefault="00FC4A57">
      <w:pPr>
        <w:spacing w:line="360" w:lineRule="auto"/>
        <w:ind w:right="51"/>
        <w:jc w:val="both"/>
        <w:rPr>
          <w:rFonts w:ascii="Palatino Linotype" w:eastAsia="Palatino Linotype" w:hAnsi="Palatino Linotype" w:cs="Palatino Linotype"/>
        </w:rPr>
      </w:pPr>
    </w:p>
    <w:p w:rsidR="00FC4A57" w:rsidRDefault="001930F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Con base a lo anterior, se acredita que la Secretaría de Finanzas, como institución pública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debió elaborar un catálogo general de puestos y un tabulador anual de remuneraciones, tomando en consideración las funciones, actividades y tareas de cada trabajador (Servidor Público).</w:t>
      </w:r>
    </w:p>
    <w:p w:rsidR="00FC4A57" w:rsidRDefault="00FC4A57">
      <w:pPr>
        <w:spacing w:line="360" w:lineRule="auto"/>
        <w:ind w:right="51"/>
        <w:jc w:val="both"/>
        <w:rPr>
          <w:rFonts w:ascii="Palatino Linotype" w:eastAsia="Palatino Linotype" w:hAnsi="Palatino Linotype" w:cs="Palatino Linotype"/>
        </w:rPr>
      </w:pPr>
    </w:p>
    <w:p w:rsidR="00FC4A57" w:rsidRDefault="001930F3">
      <w:pPr>
        <w:spacing w:after="36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el perfil de puestos es señalado por el artículo 92, fracción XII de la Ley de la Materia y sección III fracción XII de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w:t>
      </w:r>
      <w:r>
        <w:rPr>
          <w:rFonts w:ascii="Palatino Linotype" w:eastAsia="Palatino Linotype" w:hAnsi="Palatino Linotype" w:cs="Palatino Linotype"/>
        </w:rPr>
        <w:lastRenderedPageBreak/>
        <w:t>que aquella contemplada en el título quinto de la ley general de transparencia y acceso a la información pública, como una obligación de transparencia, la siguiente:</w:t>
      </w:r>
    </w:p>
    <w:p w:rsidR="00FC4A57" w:rsidRDefault="001930F3">
      <w:pPr>
        <w:spacing w:before="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92</w:t>
      </w:r>
      <w:r>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C4A57" w:rsidRDefault="001930F3">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XII.</w:t>
      </w:r>
      <w:r>
        <w:rPr>
          <w:rFonts w:ascii="Palatino Linotype" w:eastAsia="Palatino Linotype" w:hAnsi="Palatino Linotype" w:cs="Palatino Linotype"/>
          <w:i/>
          <w:sz w:val="22"/>
          <w:szCs w:val="22"/>
        </w:rPr>
        <w:t xml:space="preserve"> El perfil de los puestos de los servidores públicos a su servicio en los casos que aplique;</w:t>
      </w:r>
    </w:p>
    <w:p w:rsidR="00FC4A57" w:rsidRDefault="001930F3">
      <w:pPr>
        <w:ind w:left="567" w:right="616"/>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Sección III</w:t>
      </w:r>
    </w:p>
    <w:p w:rsidR="00FC4A57" w:rsidRDefault="001930F3">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XII. El perfil de los puestos de los servidores públicos a su servicio en los casos que aplique;</w:t>
      </w:r>
    </w:p>
    <w:p w:rsidR="00FC4A57" w:rsidRDefault="001930F3">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 conformidad con lo dispuesto por el TITULO CUARTO De las Obligaciones de las Instituciones Públicas, CAPITULO II Del Sistema de Profesionalización de los Servidores Públicos Generales, artículos 99 y 100, fracción I de la Ley del Trabajo de los Servidores Públicos del Estado y Municipios2 ; las instituciones públicas establecerán un sistema de profesionalización que permita el ingreso al servicio a los aspirantes más calificados, y garantice la estabilidad y movilidad laborales de los servidores públicos conforme a su desarrollo profesional y a sus méritos en el servicio.</w:t>
      </w:r>
    </w:p>
    <w:p w:rsidR="00FC4A57" w:rsidRDefault="001930F3">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sistemas de profesionalización que establezcan las instituciones públicas deberán conformarse, entre otros instrumentos, por un catálogo de puestos por institución pública o dependencia, que deberá contener el perfil de cada uno de los existentes, los requisitos necesarios para desempeñarlos y el nivel salarial y escalafonario que les corresponde.</w:t>
      </w:r>
    </w:p>
    <w:p w:rsidR="00FC4A57" w:rsidRDefault="001930F3">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términos del artículo 41 del Reglamento de Escalafón de los Servidores Públicos Generales del Poder Ejecutivo del Estado de México; para ingresar a prestar servicios en las dependencias del Poder Ejecutivo o en la otrora Procuraduría General de Justicia del Estado de México3 , en cualquiera de los puestos de pie de rama, los candidatos deberán cubrir los requisitos que se determinan en la Ley del Trabajo de los Servidores Públicos del Estado y Municipios, en las Condiciones Generales y en las cédulas de identificación de puestos que forman parte del Catálogo General de Puestos.</w:t>
      </w:r>
    </w:p>
    <w:p w:rsidR="00FC4A57" w:rsidRDefault="001930F3">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que no estén regulados por los ordenamientos anteriores, publicarán los perfiles de los puestos con que cuenten en su estructura, de acuerdo con la normatividad aplicable.</w:t>
      </w:r>
    </w:p>
    <w:p w:rsidR="00FC4A57" w:rsidRDefault="001930F3">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artículo 44 del Reglamento de Escalafón de los Servidores Públicos Generales del Poder Ejecutivo del Estado de México, prevé los requisitos para ocupar puestos escalafonarios son los establecidos en las cédulas de identificación de puestos que forman parte del Catálogo General de Puestos, en el que se especifica el título de cada puesto, el </w:t>
      </w:r>
      <w:r>
        <w:rPr>
          <w:rFonts w:ascii="Palatino Linotype" w:eastAsia="Palatino Linotype" w:hAnsi="Palatino Linotype" w:cs="Palatino Linotype"/>
          <w:i/>
          <w:sz w:val="22"/>
          <w:szCs w:val="22"/>
        </w:rPr>
        <w:lastRenderedPageBreak/>
        <w:t>grupo y rama al que pertenece, el nivel salarial que le corresponde, así como su clasificación. Asimismo, el artículo 48 consigna que los requisitos establecidos para ocupar los puestos escalafonarios constituyen el perfil del puesto, el cual predetermina las condiciones mínimas que debe acreditar el servidor público para el desempeño del puesto.</w:t>
      </w:r>
    </w:p>
    <w:p w:rsidR="00FC4A57" w:rsidRDefault="001930F3">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Conforme al Manual de Procedimientos de la Subdirección de Escalafón de la Secretaría de Finanzas, del Poder Ejecutivo del Estado de México; </w:t>
      </w:r>
      <w:r>
        <w:rPr>
          <w:rFonts w:ascii="Palatino Linotype" w:eastAsia="Palatino Linotype" w:hAnsi="Palatino Linotype" w:cs="Palatino Linotype"/>
          <w:b/>
          <w:i/>
          <w:sz w:val="22"/>
          <w:szCs w:val="22"/>
          <w:u w:val="single"/>
        </w:rPr>
        <w:t>el Perfil de Puesto</w:t>
      </w:r>
      <w:r>
        <w:rPr>
          <w:rFonts w:ascii="Palatino Linotype" w:eastAsia="Palatino Linotype" w:hAnsi="Palatino Linotype" w:cs="Palatino Linotype"/>
          <w:b/>
          <w:i/>
          <w:sz w:val="22"/>
          <w:szCs w:val="22"/>
        </w:rPr>
        <w:t xml:space="preserve"> es la “</w:t>
      </w:r>
      <w:r>
        <w:rPr>
          <w:rFonts w:ascii="Palatino Linotype" w:eastAsia="Palatino Linotype" w:hAnsi="Palatino Linotype" w:cs="Palatino Linotype"/>
          <w:b/>
          <w:i/>
          <w:sz w:val="22"/>
          <w:szCs w:val="22"/>
          <w:u w:val="single"/>
        </w:rPr>
        <w:t>Herramienta que contiene las características que la o el ocupante de un puesto debe tener para poder cumplir con las funciones del mismo, tales como preparación académica, competencias, experiencia, así como las condiciones de trabajo.</w:t>
      </w:r>
      <w:r>
        <w:rPr>
          <w:rFonts w:ascii="Palatino Linotype" w:eastAsia="Palatino Linotype" w:hAnsi="Palatino Linotype" w:cs="Palatino Linotype"/>
          <w:i/>
          <w:sz w:val="22"/>
          <w:szCs w:val="22"/>
        </w:rPr>
        <w:t>” (Sic)</w:t>
      </w:r>
    </w:p>
    <w:p w:rsidR="00FC4A57" w:rsidRDefault="00FC4A57">
      <w:pPr>
        <w:spacing w:line="360" w:lineRule="auto"/>
        <w:ind w:right="51"/>
        <w:jc w:val="both"/>
        <w:rPr>
          <w:rFonts w:ascii="Palatino Linotype" w:eastAsia="Palatino Linotype" w:hAnsi="Palatino Linotype" w:cs="Palatino Linotype"/>
        </w:rPr>
      </w:pPr>
    </w:p>
    <w:p w:rsidR="00FC4A57" w:rsidRDefault="001930F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Precisado lo anterior, regresando a la respuesta proporcionada por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 xml:space="preserve">se precisa que este no realizó la búsqueda exhaustiva y razonable de la información en los archivos físicos y electrónicos que obran en su poder, careciendo de los principios de congruencia y exhaustividad, ya que no precisa si cuenta o no con la información solicitada, </w:t>
      </w:r>
      <w:r>
        <w:rPr>
          <w:rFonts w:ascii="Palatino Linotype" w:eastAsia="Palatino Linotype" w:hAnsi="Palatino Linotype" w:cs="Palatino Linotype"/>
          <w:color w:val="000000"/>
        </w:rPr>
        <w:t>sirve como refuerzo de lo anterior, traer a colación</w:t>
      </w:r>
      <w:r>
        <w:rPr>
          <w:rFonts w:ascii="Palatino Linotype" w:eastAsia="Palatino Linotype" w:hAnsi="Palatino Linotype" w:cs="Palatino Linotype"/>
          <w:color w:val="000000"/>
          <w:u w:val="single"/>
        </w:rPr>
        <w:t xml:space="preserve"> el Criterio 02/17, emitido por el Pleno del </w:t>
      </w:r>
      <w:r>
        <w:rPr>
          <w:rFonts w:ascii="Palatino Linotype" w:eastAsia="Palatino Linotype" w:hAnsi="Palatino Linotype" w:cs="Palatino Linotype"/>
          <w:color w:val="000000"/>
        </w:rPr>
        <w:t>Instituto Nacional de Transparencia y Acceso a la Información y Protección de Datos Personales, de título y texto siguientes:</w:t>
      </w:r>
    </w:p>
    <w:p w:rsidR="00FC4A57" w:rsidRDefault="00FC4A57">
      <w:pPr>
        <w:spacing w:line="360" w:lineRule="auto"/>
        <w:jc w:val="both"/>
        <w:rPr>
          <w:rFonts w:ascii="Palatino Linotype" w:eastAsia="Palatino Linotype" w:hAnsi="Palatino Linotype" w:cs="Palatino Linotype"/>
          <w:color w:val="000000"/>
        </w:rPr>
      </w:pPr>
    </w:p>
    <w:p w:rsidR="00FC4A57" w:rsidRDefault="001930F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sz w:val="22"/>
          <w:szCs w:val="22"/>
        </w:rPr>
        <w:t xml:space="preserve">; mientras que </w:t>
      </w:r>
      <w:r>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Pr>
          <w:rFonts w:ascii="Palatino Linotype" w:eastAsia="Palatino Linotype" w:hAnsi="Palatino Linotype" w:cs="Palatino Linotype"/>
          <w:i/>
          <w:color w:val="000000"/>
          <w:sz w:val="22"/>
          <w:szCs w:val="22"/>
        </w:rPr>
        <w:t xml:space="preserve">. Por lo anterior, los sujetos obligados cumplirán con los principios de congruencia y exhaustividad, cuando las respuestas que emitan guarden una relación lógica con lo solicitado y </w:t>
      </w:r>
      <w:r>
        <w:rPr>
          <w:rFonts w:ascii="Palatino Linotype" w:eastAsia="Palatino Linotype" w:hAnsi="Palatino Linotype" w:cs="Palatino Linotype"/>
          <w:i/>
          <w:color w:val="000000"/>
          <w:sz w:val="22"/>
          <w:szCs w:val="22"/>
        </w:rPr>
        <w:lastRenderedPageBreak/>
        <w:t>atiendan de manera puntual y expresa, cada uno de los contenidos de información.”(Sic)</w:t>
      </w:r>
    </w:p>
    <w:p w:rsidR="00FC4A57" w:rsidRDefault="00FC4A57">
      <w:pPr>
        <w:pBdr>
          <w:top w:val="nil"/>
          <w:left w:val="nil"/>
          <w:bottom w:val="nil"/>
          <w:right w:val="nil"/>
          <w:between w:val="nil"/>
        </w:pBdr>
        <w:ind w:right="851"/>
        <w:jc w:val="both"/>
        <w:rPr>
          <w:color w:val="000000"/>
        </w:rPr>
      </w:pPr>
    </w:p>
    <w:p w:rsidR="00FC4A57" w:rsidRDefault="001930F3">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Finalmente, sobre la subrogación referida por el particular, es necesario partir de la definición de subrogación, que al libro que pertenece al acervo de la biblioteca virtual del Instituto de Investigaciones Jurídicas de la UNAM de</w:t>
      </w:r>
      <w:r>
        <w:rPr>
          <w:rFonts w:ascii="Palatino Linotype" w:eastAsia="Palatino Linotype" w:hAnsi="Palatino Linotype" w:cs="Palatino Linotype"/>
        </w:rPr>
        <w:t xml:space="preserve"> Miguel Ángel y Valencia, significa:</w:t>
      </w:r>
    </w:p>
    <w:p w:rsidR="00FC4A57" w:rsidRDefault="001930F3">
      <w:pPr>
        <w:pBdr>
          <w:top w:val="nil"/>
          <w:left w:val="nil"/>
          <w:bottom w:val="nil"/>
          <w:right w:val="nil"/>
          <w:between w:val="nil"/>
        </w:pBdr>
        <w:tabs>
          <w:tab w:val="left" w:pos="426"/>
        </w:tabs>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palabra subrogar significa la acción de “sustituir a poner una persona o cosa en lugar de otra” (Sic)</w:t>
      </w:r>
    </w:p>
    <w:p w:rsidR="00FC4A57" w:rsidRDefault="001930F3">
      <w:pPr>
        <w:pBdr>
          <w:top w:val="nil"/>
          <w:left w:val="nil"/>
          <w:bottom w:val="nil"/>
          <w:right w:val="nil"/>
          <w:between w:val="nil"/>
        </w:pBdr>
        <w:tabs>
          <w:tab w:val="left" w:pos="426"/>
        </w:tabs>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“Por ello, puede decirse que existe una subrogación real, cuando de sustituye una cosa por otra y personal, cuando de sustituye una persona por otra.”</w:t>
      </w:r>
      <w:r>
        <w:rPr>
          <w:rFonts w:ascii="Palatino Linotype" w:eastAsia="Palatino Linotype" w:hAnsi="Palatino Linotype" w:cs="Palatino Linotype"/>
          <w:i/>
          <w:color w:val="000000"/>
          <w:sz w:val="22"/>
          <w:szCs w:val="22"/>
          <w:vertAlign w:val="superscript"/>
        </w:rPr>
        <w:footnoteReference w:id="2"/>
      </w:r>
      <w:r>
        <w:rPr>
          <w:rFonts w:ascii="Palatino Linotype" w:eastAsia="Palatino Linotype" w:hAnsi="Palatino Linotype" w:cs="Palatino Linotype"/>
          <w:i/>
          <w:color w:val="000000"/>
          <w:sz w:val="22"/>
          <w:szCs w:val="22"/>
        </w:rPr>
        <w:t xml:space="preserve"> (Sic)</w:t>
      </w:r>
    </w:p>
    <w:p w:rsidR="00FC4A57" w:rsidRDefault="001930F3">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tanto la subrogación del contrato se entiende  conforme a conceptos jurídicos en relación al derecho civil como:</w:t>
      </w:r>
    </w:p>
    <w:p w:rsidR="00FC4A57" w:rsidRDefault="00FC4A5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FC4A57" w:rsidRDefault="001930F3">
      <w:pPr>
        <w:pBdr>
          <w:top w:val="nil"/>
          <w:left w:val="nil"/>
          <w:bottom w:val="nil"/>
          <w:right w:val="nil"/>
          <w:between w:val="nil"/>
        </w:pBdr>
        <w:tabs>
          <w:tab w:val="left" w:pos="426"/>
        </w:tabs>
        <w:spacing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La subrogación es el cambio de uno de los titulares en un contrato. De común acuerdo o por circunstancias sobrevenidas, una persona física sustituye a otra.</w:t>
      </w:r>
    </w:p>
    <w:p w:rsidR="00FC4A57" w:rsidRDefault="001930F3">
      <w:pPr>
        <w:pBdr>
          <w:top w:val="nil"/>
          <w:left w:val="nil"/>
          <w:bottom w:val="nil"/>
          <w:right w:val="nil"/>
          <w:between w:val="nil"/>
        </w:pBdr>
        <w:tabs>
          <w:tab w:val="left" w:pos="426"/>
        </w:tabs>
        <w:spacing w:before="240" w:after="240"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También puede tener lugar la sustitución de una persona moral por otra similar. Así como que lo sustituible sea una cosa (objeto) de similar cuantía y que cumpla la misma función.”</w:t>
      </w:r>
      <w:r>
        <w:rPr>
          <w:rFonts w:ascii="Palatino Linotype" w:eastAsia="Palatino Linotype" w:hAnsi="Palatino Linotype" w:cs="Palatino Linotype"/>
          <w:color w:val="000000"/>
          <w:sz w:val="22"/>
          <w:szCs w:val="22"/>
          <w:vertAlign w:val="superscript"/>
        </w:rPr>
        <w:footnoteReference w:id="3"/>
      </w:r>
      <w:r>
        <w:rPr>
          <w:rFonts w:ascii="Palatino Linotype" w:eastAsia="Palatino Linotype" w:hAnsi="Palatino Linotype" w:cs="Palatino Linotype"/>
          <w:i/>
          <w:color w:val="000000"/>
          <w:sz w:val="22"/>
          <w:szCs w:val="22"/>
        </w:rPr>
        <w:t xml:space="preserve"> (Sic)</w:t>
      </w:r>
    </w:p>
    <w:p w:rsidR="00FC4A57" w:rsidRDefault="001930F3">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ahí que, para el caso de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haya celebrado algún contrato con una empresa para la contratación personal que auxilie en las funciones de las oficinas administrativas de Atlacomulco que participan en la expedición de licencias para conducir, deberá hacer entrega del documento en donde conste los nombres que este contratados por subrogación.    </w:t>
      </w:r>
    </w:p>
    <w:p w:rsidR="00FC4A57" w:rsidRDefault="001930F3">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Razones por las cuales, lo procedente es ordenar el </w:t>
      </w:r>
      <w:r>
        <w:rPr>
          <w:rFonts w:ascii="Palatino Linotype" w:eastAsia="Palatino Linotype" w:hAnsi="Palatino Linotype" w:cs="Palatino Linotype"/>
          <w:color w:val="000000"/>
        </w:rPr>
        <w:t>documento o documentos en donde conste:</w:t>
      </w:r>
    </w:p>
    <w:p w:rsidR="00FC4A57" w:rsidRDefault="001930F3">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nombre y funciones de todos los servidores públicos que laboran en las oficinas administrativas de Atlacomulco que participan en la expedición de licencias para conducir.</w:t>
      </w:r>
    </w:p>
    <w:p w:rsidR="00FC4A57" w:rsidRDefault="001930F3">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nombre y funciones del personal que estén contratados mediante subrogación o que estén contratados por un tercero pero realicen funciones de servicio público </w:t>
      </w:r>
    </w:p>
    <w:p w:rsidR="00FC4A57" w:rsidRDefault="001930F3">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*Las funciones de la persona descrita en la solicitud de acceso a la información pública que  labora en dichas oficinas (Atlacomulco) expidiendo licencias de conducir.</w:t>
      </w:r>
    </w:p>
    <w:p w:rsidR="00FC4A57" w:rsidRDefault="001930F3">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versión pública conforme a lo señalado por el considerando quinto del presente fallo. </w:t>
      </w:r>
    </w:p>
    <w:p w:rsidR="00FC4A57" w:rsidRDefault="001930F3">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pertinente aclara, que respecto de la persona que refiere el particular en su solicitud de acceso a la información pública, no se tiene la certeza que sea servidor público dentro de las oficinas administrativas de Atlacomulco que participa en la expedición de licencias para conducir, por lo que, para el caso de que no forme parte de la plantilla del personal de dichas oficinas, bastara que así se lo haga saber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de manera fundada y motivada, para tener por atendido dicho requerimiento.</w:t>
      </w:r>
    </w:p>
    <w:p w:rsidR="00FC4A57" w:rsidRDefault="00FC4A57">
      <w:pPr>
        <w:spacing w:line="360" w:lineRule="auto"/>
        <w:jc w:val="both"/>
        <w:rPr>
          <w:rFonts w:ascii="Palatino Linotype" w:eastAsia="Palatino Linotype" w:hAnsi="Palatino Linotype" w:cs="Palatino Linotype"/>
          <w:b/>
        </w:rPr>
      </w:pPr>
    </w:p>
    <w:p w:rsidR="00FC4A57" w:rsidRDefault="001930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w:t>
      </w:r>
      <w:r>
        <w:rPr>
          <w:rFonts w:ascii="Palatino Linotype" w:eastAsia="Palatino Linotype" w:hAnsi="Palatino Linotype" w:cs="Palatino Linotype"/>
        </w:rPr>
        <w:lastRenderedPageBreak/>
        <w:t>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FC4A57" w:rsidRDefault="00FC4A57">
      <w:pPr>
        <w:spacing w:line="360" w:lineRule="auto"/>
        <w:jc w:val="both"/>
        <w:rPr>
          <w:rFonts w:ascii="Palatino Linotype" w:eastAsia="Palatino Linotype" w:hAnsi="Palatino Linotype" w:cs="Palatino Linotype"/>
        </w:rPr>
      </w:pPr>
    </w:p>
    <w:p w:rsidR="00FC4A57" w:rsidRDefault="001930F3">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FC4A57" w:rsidRDefault="001930F3">
      <w:pPr>
        <w:spacing w:before="240" w:after="240" w:line="276" w:lineRule="auto"/>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FC4A57" w:rsidRDefault="001930F3">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FC4A57" w:rsidRDefault="001930F3">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FC4A57" w:rsidRDefault="001930F3">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FC4A57" w:rsidRDefault="001930F3">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FC4A57" w:rsidRDefault="001930F3">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w:t>
      </w:r>
      <w:r>
        <w:rPr>
          <w:rFonts w:ascii="Palatino Linotype" w:eastAsia="Palatino Linotype" w:hAnsi="Palatino Linotype" w:cs="Palatino Linotype"/>
          <w:i/>
          <w:sz w:val="22"/>
          <w:szCs w:val="22"/>
        </w:rPr>
        <w:lastRenderedPageBreak/>
        <w:t>procedimientos, medidas de seguridad en el tratamiento y demás disposiciones en materia de datos personales, se deberá estar a lo dispuesto en las leyes de la materia.”</w:t>
      </w:r>
    </w:p>
    <w:p w:rsidR="00FC4A57" w:rsidRDefault="001930F3">
      <w:pPr>
        <w:spacing w:before="240" w:after="240" w:line="276" w:lineRule="auto"/>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C4A57" w:rsidRDefault="001930F3">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FC4A57" w:rsidRDefault="001930F3">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FC4A57" w:rsidRDefault="001930F3">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FC4A57" w:rsidRDefault="001930F3">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FC4A57" w:rsidRDefault="001930F3">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w:t>
      </w:r>
      <w:r>
        <w:rPr>
          <w:rFonts w:ascii="Palatino Linotype" w:eastAsia="Palatino Linotype" w:hAnsi="Palatino Linotype" w:cs="Palatino Linotype"/>
        </w:rPr>
        <w:lastRenderedPageBreak/>
        <w:t>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FC4A57" w:rsidRDefault="001930F3">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FC4A57" w:rsidRDefault="001930F3">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FC4A57" w:rsidRDefault="001930F3">
      <w:pPr>
        <w:spacing w:before="240" w:after="240"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FC4A57" w:rsidRDefault="001930F3">
      <w:pPr>
        <w:spacing w:before="240" w:after="240"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FC4A57" w:rsidRDefault="001930F3">
      <w:pPr>
        <w:spacing w:before="240" w:after="240"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FC4A57" w:rsidRDefault="001930F3">
      <w:pPr>
        <w:spacing w:before="240" w:after="240"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FC4A57" w:rsidRDefault="001930F3">
      <w:pPr>
        <w:spacing w:before="240" w:after="240"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FC4A57" w:rsidRDefault="001930F3">
      <w:pPr>
        <w:spacing w:before="240" w:after="240"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FC4A57" w:rsidRDefault="001930F3">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FC4A57" w:rsidRDefault="001930F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Pr>
          <w:rFonts w:ascii="Palatino Linotype" w:eastAsia="Palatino Linotype" w:hAnsi="Palatino Linotype" w:cs="Palatino Linotype"/>
        </w:rPr>
        <w:lastRenderedPageBreak/>
        <w:t>versión pública de la documentación entregada se estaría violentando el derecho de acceso a la información de la parte solicitante.</w:t>
      </w: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FC4A57" w:rsidRDefault="001930F3">
      <w:pPr>
        <w:spacing w:before="240" w:after="240" w:line="276" w:lineRule="auto"/>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w:t>
      </w:r>
      <w:r>
        <w:rPr>
          <w:rFonts w:ascii="Palatino Linotype" w:eastAsia="Palatino Linotype" w:hAnsi="Palatino Linotype" w:cs="Palatino Linotype"/>
          <w:i/>
          <w:sz w:val="22"/>
          <w:szCs w:val="22"/>
        </w:rPr>
        <w:lastRenderedPageBreak/>
        <w:t>presentes lineamientos, así como en aquellas disposiciones legales aplicables a la materia en el ámbito de sus respectivas competencias, en tanto estas últimas no contravengan lo dispuesto en la Ley General.</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w:t>
      </w:r>
      <w:r>
        <w:rPr>
          <w:rFonts w:ascii="Palatino Linotype" w:eastAsia="Palatino Linotype" w:hAnsi="Palatino Linotype" w:cs="Palatino Linotype"/>
          <w:i/>
          <w:sz w:val="22"/>
          <w:szCs w:val="22"/>
        </w:rPr>
        <w:lastRenderedPageBreak/>
        <w:t>llevar la leyenda correspondiente de conformidad con lo dispuesto en el Capítulo VIII de los presentes lineamientos.</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4A57" w:rsidRDefault="001930F3">
      <w:pPr>
        <w:spacing w:before="240" w:after="240" w:line="276" w:lineRule="auto"/>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FC4A57" w:rsidRDefault="001930F3">
      <w:pPr>
        <w:spacing w:before="240" w:after="240" w:line="276" w:lineRule="auto"/>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4A57" w:rsidRDefault="001930F3">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2"/>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FC4A57">
        <w:trPr>
          <w:jc w:val="center"/>
        </w:trPr>
        <w:tc>
          <w:tcPr>
            <w:tcW w:w="1129" w:type="dxa"/>
            <w:tcBorders>
              <w:top w:val="nil"/>
              <w:left w:val="nil"/>
              <w:bottom w:val="single" w:sz="4" w:space="0" w:color="000000"/>
              <w:right w:val="single" w:sz="4" w:space="0" w:color="000000"/>
            </w:tcBorders>
          </w:tcPr>
          <w:p w:rsidR="00FC4A57" w:rsidRDefault="00FC4A57">
            <w:pPr>
              <w:spacing w:before="240" w:after="240" w:line="276" w:lineRule="auto"/>
              <w:jc w:val="both"/>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Concepto</w:t>
            </w:r>
          </w:p>
        </w:tc>
        <w:tc>
          <w:tcPr>
            <w:tcW w:w="4531"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Dónde:</w:t>
            </w:r>
          </w:p>
        </w:tc>
      </w:tr>
      <w:tr w:rsidR="00FC4A57">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FC4A57" w:rsidRDefault="001930F3">
            <w:pPr>
              <w:spacing w:before="240" w:after="240" w:line="276"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la fecha en la que el Comité de Transparencia confirmó la clasificación del documento, en su caso.</w:t>
            </w:r>
          </w:p>
        </w:tc>
      </w:tr>
      <w:tr w:rsidR="00FC4A5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FC4A57" w:rsidRDefault="00FC4A57">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Área</w:t>
            </w:r>
          </w:p>
        </w:tc>
        <w:tc>
          <w:tcPr>
            <w:tcW w:w="4531"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área del cual es titular quien clasifica.</w:t>
            </w:r>
          </w:p>
        </w:tc>
      </w:tr>
      <w:tr w:rsidR="00FC4A5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FC4A57" w:rsidRDefault="00FC4A57">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FC4A5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FC4A57" w:rsidRDefault="00FC4A57">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el número de años o meses por los que se mantendrá el documento o las partes del mismo como reservado.</w:t>
            </w:r>
          </w:p>
        </w:tc>
      </w:tr>
      <w:tr w:rsidR="00FC4A5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FC4A57" w:rsidRDefault="00FC4A57">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FC4A5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FC4A57" w:rsidRDefault="00FC4A57">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haber solicitado la ampliación del periodo de reserva originalmente establecido, se deberá anotar el número de años o meses por los que se amplía la reserva.</w:t>
            </w:r>
          </w:p>
        </w:tc>
      </w:tr>
      <w:tr w:rsidR="00FC4A5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FC4A57" w:rsidRDefault="00FC4A57">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Confidencial</w:t>
            </w:r>
          </w:p>
        </w:tc>
        <w:tc>
          <w:tcPr>
            <w:tcW w:w="4531"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FC4A5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FC4A57" w:rsidRDefault="00FC4A57">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ordenamiento, el o los artículos, fracción(es), párrafo(s) con base en los cuales se sustente la confidencialidad.</w:t>
            </w:r>
          </w:p>
        </w:tc>
      </w:tr>
      <w:tr w:rsidR="00FC4A5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FC4A57" w:rsidRDefault="00FC4A57">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autógrafa de quien clasifica.</w:t>
            </w:r>
          </w:p>
        </w:tc>
      </w:tr>
      <w:tr w:rsidR="00FC4A5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FC4A57" w:rsidRDefault="00FC4A57">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la fecha en que se desclasifica el documento.</w:t>
            </w:r>
          </w:p>
        </w:tc>
      </w:tr>
      <w:tr w:rsidR="00FC4A5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FC4A57" w:rsidRDefault="00FC4A57">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C4A57" w:rsidRDefault="001930F3">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FC4A57" w:rsidRDefault="001930F3">
            <w:pPr>
              <w:spacing w:before="240" w:after="240" w:line="276" w:lineRule="auto"/>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autógrafa de quien desclasifica.</w:t>
            </w:r>
          </w:p>
        </w:tc>
      </w:tr>
    </w:tbl>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Efectivamente, cuando se clasifica información como confidencial es importante someterlo al Comité de Transparencia, quien debe confirmar, modificar o revocar la clasificación.</w:t>
      </w:r>
    </w:p>
    <w:p w:rsidR="00FC4A57" w:rsidRDefault="001930F3">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FC4A57" w:rsidRDefault="001930F3">
      <w:pPr>
        <w:widowControl w:val="0"/>
        <w:numPr>
          <w:ilvl w:val="0"/>
          <w:numId w:val="2"/>
        </w:numPr>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RECURRENT</w:t>
      </w:r>
      <w:r>
        <w:rPr>
          <w:rFonts w:ascii="Palatino Linotype" w:eastAsia="Palatino Linotype" w:hAnsi="Palatino Linotype" w:cs="Palatino Linotype"/>
        </w:rPr>
        <w:t xml:space="preserve">E en el Recurso de Revisión </w:t>
      </w:r>
      <w:r>
        <w:rPr>
          <w:rFonts w:ascii="Palatino Linotype" w:eastAsia="Palatino Linotype" w:hAnsi="Palatino Linotype" w:cs="Palatino Linotype"/>
          <w:b/>
        </w:rPr>
        <w:t xml:space="preserve">03834/INFOEM/IP/RR/2022,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FC4A57" w:rsidRDefault="001930F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 los Considerandos </w:t>
      </w:r>
      <w:r>
        <w:rPr>
          <w:rFonts w:ascii="Palatino Linotype" w:eastAsia="Palatino Linotype" w:hAnsi="Palatino Linotype" w:cs="Palatino Linotype"/>
          <w:b/>
        </w:rPr>
        <w:t>Cuarto y Quinto</w:t>
      </w:r>
      <w:r>
        <w:rPr>
          <w:rFonts w:ascii="Palatino Linotype" w:eastAsia="Palatino Linotype" w:hAnsi="Palatino Linotype" w:cs="Palatino Linotype"/>
        </w:rPr>
        <w:t xml:space="preserve"> de la presente resolución, previa búsqueda exhaustiva y razonable, haga entrega vía SAIMEX y en versión pública, del documento o documentos en donde conste lo siguiente:</w:t>
      </w:r>
    </w:p>
    <w:p w:rsidR="00FC4A57" w:rsidRDefault="001930F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Vigente al cuatro de marzo del año dos mil veintidós:</w:t>
      </w:r>
    </w:p>
    <w:p w:rsidR="00FC4A57" w:rsidRDefault="001930F3">
      <w:pPr>
        <w:numPr>
          <w:ilvl w:val="0"/>
          <w:numId w:val="6"/>
        </w:num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nombre de todos los servidores públicos que laboran en las oficinas administrativas de Atlacomulco que participan en la expedición de licencias para conducir.</w:t>
      </w:r>
    </w:p>
    <w:p w:rsidR="00FC4A57" w:rsidRDefault="001930F3">
      <w:pPr>
        <w:numPr>
          <w:ilvl w:val="0"/>
          <w:numId w:val="6"/>
        </w:num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sz w:val="22"/>
          <w:szCs w:val="22"/>
        </w:rPr>
      </w:pPr>
      <w:bookmarkStart w:id="0" w:name="_heading=h.gjdgxs" w:colFirst="0" w:colLast="0"/>
      <w:bookmarkEnd w:id="0"/>
      <w:r>
        <w:rPr>
          <w:rFonts w:ascii="Palatino Linotype" w:eastAsia="Palatino Linotype" w:hAnsi="Palatino Linotype" w:cs="Palatino Linotype"/>
          <w:color w:val="000000"/>
          <w:sz w:val="22"/>
          <w:szCs w:val="22"/>
        </w:rPr>
        <w:t>El nombre y funciones del personal que estén contratados mediante subrogación o que estén contratados por un tercero en las oficinas administrativas de Atlacomulco que participan en la expedición de licencias para conducir.</w:t>
      </w:r>
    </w:p>
    <w:p w:rsidR="00FC4A57" w:rsidRDefault="001930F3">
      <w:pPr>
        <w:numPr>
          <w:ilvl w:val="0"/>
          <w:numId w:val="6"/>
        </w:num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Las funciones de la persona descrita en la solicitud de acceso a la información pública que  labora en las oficinas administrativas de Atlacomulco expidiendo licencias de conducir.</w:t>
      </w:r>
    </w:p>
    <w:p w:rsidR="00FC4A57" w:rsidRDefault="001930F3">
      <w:pPr>
        <w:spacing w:before="240" w:line="276"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mismo que igualmente hará de su conocimiento.</w:t>
      </w:r>
    </w:p>
    <w:p w:rsidR="00FC4A57" w:rsidRDefault="00FC4A57">
      <w:pPr>
        <w:spacing w:before="240" w:line="276" w:lineRule="auto"/>
        <w:ind w:left="993" w:right="1325"/>
        <w:jc w:val="both"/>
        <w:rPr>
          <w:rFonts w:ascii="Palatino Linotype" w:eastAsia="Palatino Linotype" w:hAnsi="Palatino Linotype" w:cs="Palatino Linotype"/>
          <w:i/>
          <w:sz w:val="22"/>
          <w:szCs w:val="22"/>
        </w:rPr>
      </w:pPr>
    </w:p>
    <w:p w:rsidR="00FC4A57" w:rsidRDefault="001930F3">
      <w:pPr>
        <w:pBdr>
          <w:top w:val="nil"/>
          <w:left w:val="nil"/>
          <w:bottom w:val="nil"/>
          <w:right w:val="nil"/>
          <w:between w:val="nil"/>
        </w:pBdr>
        <w:spacing w:line="276" w:lineRule="auto"/>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el caso de que no se haya generado la información que se ordena en los incisos “b” y “c”, bastará que así se lo haga saber al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xml:space="preserve"> de manera fundada y motivada, en términos del segundo párrafo del artículo 19 de la Ley en la materia, para tener por colmado el requerimiento de información.</w:t>
      </w:r>
    </w:p>
    <w:p w:rsidR="00FC4A57" w:rsidRDefault="00FC4A57">
      <w:pPr>
        <w:spacing w:line="360" w:lineRule="auto"/>
        <w:ind w:right="51"/>
        <w:jc w:val="both"/>
        <w:rPr>
          <w:rFonts w:ascii="Palatino Linotype" w:eastAsia="Palatino Linotype" w:hAnsi="Palatino Linotype" w:cs="Palatino Linotype"/>
          <w:b/>
          <w:color w:val="FF0000"/>
        </w:rPr>
      </w:pPr>
    </w:p>
    <w:p w:rsidR="00FC4A57" w:rsidRDefault="001930F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Notifíquese vía SAIMEX,</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FC4A57" w:rsidRDefault="001930F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Cuarto. Notifíquese vía SAIMEX</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FC4A57" w:rsidRDefault="001930F3">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lastRenderedPageBreak/>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FC4A57" w:rsidRDefault="001930F3">
      <w:pPr>
        <w:spacing w:before="240" w:after="240" w:line="360" w:lineRule="auto"/>
        <w:jc w:val="both"/>
        <w:rPr>
          <w:rFonts w:ascii="Palatino Linotype" w:eastAsia="Palatino Linotype" w:hAnsi="Palatino Linotype" w:cs="Palatino Linotype"/>
        </w:rPr>
        <w:sectPr w:rsidR="00FC4A57">
          <w:headerReference w:type="default" r:id="rId18"/>
          <w:footerReference w:type="default" r:id="rId19"/>
          <w:headerReference w:type="first" r:id="rId20"/>
          <w:footerReference w:type="first" r:id="rId21"/>
          <w:pgSz w:w="12240" w:h="15840"/>
          <w:pgMar w:top="1417" w:right="1701" w:bottom="1417" w:left="1701" w:header="709" w:footer="709" w:gutter="0"/>
          <w:pgNumType w:start="1"/>
          <w:cols w:space="720"/>
          <w:titlePg/>
        </w:sectPr>
      </w:pPr>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772D38">
        <w:rPr>
          <w:rFonts w:ascii="Palatino Linotype" w:eastAsia="Palatino Linotype" w:hAnsi="Palatino Linotype" w:cs="Palatino Linotype"/>
          <w:color w:val="222222"/>
          <w:highlight w:val="white"/>
        </w:rPr>
        <w:t xml:space="preserve"> CON AUSENCIA JUSTIFICADA</w:t>
      </w:r>
      <w:r>
        <w:rPr>
          <w:rFonts w:ascii="Palatino Linotype" w:eastAsia="Palatino Linotype" w:hAnsi="Palatino Linotype" w:cs="Palatino Linotype"/>
          <w:color w:val="222222"/>
          <w:highlight w:val="white"/>
        </w:rPr>
        <w:t>, LUIS GUSTAVO PARRA NORIEGA Y GU</w:t>
      </w:r>
      <w:bookmarkStart w:id="2" w:name="_GoBack"/>
      <w:bookmarkEnd w:id="2"/>
      <w:r>
        <w:rPr>
          <w:rFonts w:ascii="Palatino Linotype" w:eastAsia="Palatino Linotype" w:hAnsi="Palatino Linotype" w:cs="Palatino Linotype"/>
          <w:color w:val="222222"/>
          <w:highlight w:val="white"/>
        </w:rPr>
        <w:t xml:space="preserve">ADALUPE RAMÍREZ PEÑA; EN LA </w:t>
      </w:r>
      <w:r>
        <w:rPr>
          <w:rFonts w:ascii="Palatino Linotype" w:eastAsia="Palatino Linotype" w:hAnsi="Palatino Linotype" w:cs="Palatino Linotype"/>
          <w:color w:val="222222"/>
        </w:rPr>
        <w:t>VIGÉSIMA QUINTA SESIÓN ORDINARIA CELEBRADA EL SEIS</w:t>
      </w:r>
      <w:r>
        <w:rPr>
          <w:rFonts w:ascii="Palatino Linotype" w:eastAsia="Palatino Linotype" w:hAnsi="Palatino Linotype" w:cs="Palatino Linotype"/>
        </w:rPr>
        <w:t xml:space="preserve"> DE JULIO DE DOS MIL VEINTIDÓS, ANTE EL SECRETARIO TÉCNICO DEL PLENO ALEXIS TAPIA RAMÍREZ.</w:t>
      </w:r>
    </w:p>
    <w:p w:rsidR="00FC4A57" w:rsidRDefault="00FC4A57">
      <w:pPr>
        <w:spacing w:before="240" w:after="240" w:line="360" w:lineRule="auto"/>
        <w:jc w:val="both"/>
        <w:rPr>
          <w:rFonts w:ascii="Palatino Linotype" w:eastAsia="Palatino Linotype" w:hAnsi="Palatino Linotype" w:cs="Palatino Linotype"/>
        </w:rPr>
      </w:pPr>
    </w:p>
    <w:p w:rsidR="00FC4A57" w:rsidRDefault="00FC4A57">
      <w:pPr>
        <w:spacing w:before="240" w:after="240" w:line="360" w:lineRule="auto"/>
        <w:jc w:val="both"/>
        <w:rPr>
          <w:rFonts w:ascii="Palatino Linotype" w:eastAsia="Palatino Linotype" w:hAnsi="Palatino Linotype" w:cs="Palatino Linotype"/>
        </w:rPr>
      </w:pPr>
    </w:p>
    <w:p w:rsidR="00FC4A57" w:rsidRDefault="00FC4A57">
      <w:pPr>
        <w:spacing w:before="240" w:after="240" w:line="360" w:lineRule="auto"/>
        <w:jc w:val="both"/>
        <w:rPr>
          <w:rFonts w:ascii="Palatino Linotype" w:eastAsia="Palatino Linotype" w:hAnsi="Palatino Linotype" w:cs="Palatino Linotype"/>
        </w:rPr>
      </w:pPr>
    </w:p>
    <w:sectPr w:rsidR="00FC4A57">
      <w:headerReference w:type="first" r:id="rId22"/>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369" w:rsidRDefault="001930F3">
      <w:r>
        <w:separator/>
      </w:r>
    </w:p>
  </w:endnote>
  <w:endnote w:type="continuationSeparator" w:id="0">
    <w:p w:rsidR="00502369" w:rsidRDefault="00193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A57" w:rsidRDefault="001930F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72D38">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72D38">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rsidR="00FC4A57" w:rsidRDefault="00FC4A5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A57" w:rsidRDefault="001930F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72D3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72D38">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rsidR="00FC4A57" w:rsidRDefault="00FC4A5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369" w:rsidRDefault="001930F3">
      <w:r>
        <w:separator/>
      </w:r>
    </w:p>
  </w:footnote>
  <w:footnote w:type="continuationSeparator" w:id="0">
    <w:p w:rsidR="00502369" w:rsidRDefault="001930F3">
      <w:r>
        <w:continuationSeparator/>
      </w:r>
    </w:p>
  </w:footnote>
  <w:footnote w:id="1">
    <w:p w:rsidR="00FC4A57" w:rsidRDefault="001930F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Ley del Trabajo de los Servidores Públicos del Estado de México:</w:t>
      </w:r>
    </w:p>
    <w:p w:rsidR="00FC4A57" w:rsidRDefault="001930F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ARTÍCULO 4. Para efectos de esta ley se entiende:</w:t>
      </w:r>
    </w:p>
    <w:p w:rsidR="00FC4A57" w:rsidRDefault="001930F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p>
    <w:p w:rsidR="00FC4A57" w:rsidRDefault="001930F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III. </w:t>
      </w:r>
      <w:r>
        <w:rPr>
          <w:rFonts w:ascii="Palatino Linotype" w:eastAsia="Palatino Linotype" w:hAnsi="Palatino Linotype" w:cs="Palatino Linotype"/>
          <w:b/>
          <w:color w:val="000000"/>
          <w:sz w:val="16"/>
          <w:szCs w:val="16"/>
        </w:rPr>
        <w:t>Institución Pública</w:t>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 cada uno</w:t>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de</w:t>
      </w:r>
      <w:r>
        <w:rPr>
          <w:rFonts w:ascii="Palatino Linotype" w:eastAsia="Palatino Linotype" w:hAnsi="Palatino Linotype" w:cs="Palatino Linotype"/>
          <w:color w:val="000000"/>
          <w:sz w:val="16"/>
          <w:szCs w:val="16"/>
        </w:rPr>
        <w:t xml:space="preserve"> los poderes públicos del Estado, </w:t>
      </w:r>
      <w:r>
        <w:rPr>
          <w:rFonts w:ascii="Palatino Linotype" w:eastAsia="Palatino Linotype" w:hAnsi="Palatino Linotype" w:cs="Palatino Linotype"/>
          <w:b/>
          <w:color w:val="000000"/>
          <w:sz w:val="16"/>
          <w:szCs w:val="16"/>
        </w:rPr>
        <w:t>los municipios</w:t>
      </w:r>
      <w:r>
        <w:rPr>
          <w:rFonts w:ascii="Palatino Linotype" w:eastAsia="Palatino Linotype" w:hAnsi="Palatino Linotype" w:cs="Palatino Linotype"/>
          <w:color w:val="000000"/>
          <w:sz w:val="16"/>
          <w:szCs w:val="16"/>
        </w:rPr>
        <w:t xml:space="preserve"> y los tribunales administrativos; así como los organismos descentralizados, fideicomisos de carácter estatal y municipal, y los órganos autónomos que sus leyes de creación así lo determinen…(Sic)</w:t>
      </w:r>
    </w:p>
  </w:footnote>
  <w:footnote w:id="2">
    <w:p w:rsidR="00FC4A57" w:rsidRDefault="001930F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https://archivos.juridicas.unam.mx/www/bjv/libros/8/3861/21.pdf</w:t>
        </w:r>
      </w:hyperlink>
      <w:r>
        <w:rPr>
          <w:color w:val="000000"/>
          <w:sz w:val="20"/>
          <w:szCs w:val="20"/>
        </w:rPr>
        <w:t xml:space="preserve"> </w:t>
      </w:r>
    </w:p>
  </w:footnote>
  <w:footnote w:id="3">
    <w:p w:rsidR="00FC4A57" w:rsidRDefault="001930F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2">
        <w:r>
          <w:rPr>
            <w:color w:val="0000FF"/>
            <w:sz w:val="20"/>
            <w:szCs w:val="20"/>
            <w:u w:val="single"/>
          </w:rPr>
          <w:t>https://www.conceptosjuridicos.com/mx/subrogacion/</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A57" w:rsidRDefault="001930F3">
    <w:pPr>
      <w:pBdr>
        <w:top w:val="nil"/>
        <w:left w:val="nil"/>
        <w:bottom w:val="nil"/>
        <w:right w:val="nil"/>
        <w:between w:val="nil"/>
      </w:pBdr>
      <w:tabs>
        <w:tab w:val="center" w:pos="4419"/>
        <w:tab w:val="right" w:pos="8838"/>
      </w:tabs>
      <w:jc w:val="both"/>
      <w:rPr>
        <w:color w:val="000000"/>
      </w:rPr>
    </w:pPr>
    <w:r>
      <w:rPr>
        <w:noProof/>
        <w:lang w:val="en-US" w:eastAsia="en-US"/>
      </w:rPr>
      <w:drawing>
        <wp:anchor distT="0" distB="0" distL="0" distR="0" simplePos="0" relativeHeight="251658240" behindDoc="1" locked="0" layoutInCell="1" hidden="0" allowOverlap="1">
          <wp:simplePos x="0" y="0"/>
          <wp:positionH relativeFrom="column">
            <wp:posOffset>-665859</wp:posOffset>
          </wp:positionH>
          <wp:positionV relativeFrom="paragraph">
            <wp:posOffset>-453615</wp:posOffset>
          </wp:positionV>
          <wp:extent cx="7635600" cy="9943200"/>
          <wp:effectExtent l="0" t="0" r="0" b="0"/>
          <wp:wrapNone/>
          <wp:docPr id="4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4"/>
      <w:tblW w:w="5670" w:type="dxa"/>
      <w:tblInd w:w="3119" w:type="dxa"/>
      <w:tblLayout w:type="fixed"/>
      <w:tblLook w:val="0400" w:firstRow="0" w:lastRow="0" w:firstColumn="0" w:lastColumn="0" w:noHBand="0" w:noVBand="1"/>
    </w:tblPr>
    <w:tblGrid>
      <w:gridCol w:w="2551"/>
      <w:gridCol w:w="3119"/>
    </w:tblGrid>
    <w:tr w:rsidR="00FC4A57">
      <w:tc>
        <w:tcPr>
          <w:tcW w:w="2551" w:type="dxa"/>
          <w:vAlign w:val="center"/>
        </w:tcPr>
        <w:p w:rsidR="00FC4A57" w:rsidRDefault="001930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FC4A57" w:rsidRDefault="001930F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03834/INFOEM/IP/RR/2021. </w:t>
          </w:r>
        </w:p>
      </w:tc>
    </w:tr>
    <w:tr w:rsidR="00FC4A57">
      <w:trPr>
        <w:trHeight w:val="228"/>
      </w:trPr>
      <w:tc>
        <w:tcPr>
          <w:tcW w:w="2551" w:type="dxa"/>
          <w:vAlign w:val="center"/>
        </w:tcPr>
        <w:p w:rsidR="00FC4A57" w:rsidRDefault="001930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FC4A57" w:rsidRDefault="001930F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FC4A57">
      <w:tc>
        <w:tcPr>
          <w:tcW w:w="2551" w:type="dxa"/>
          <w:vAlign w:val="center"/>
        </w:tcPr>
        <w:p w:rsidR="00FC4A57" w:rsidRDefault="001930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FC4A57" w:rsidRDefault="001930F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C4A57" w:rsidRDefault="00FC4A5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A57" w:rsidRDefault="001930F3">
    <w:pPr>
      <w:pBdr>
        <w:top w:val="nil"/>
        <w:left w:val="nil"/>
        <w:bottom w:val="nil"/>
        <w:right w:val="nil"/>
        <w:between w:val="nil"/>
      </w:pBdr>
      <w:tabs>
        <w:tab w:val="center" w:pos="4419"/>
        <w:tab w:val="right" w:pos="8838"/>
      </w:tabs>
      <w:jc w:val="both"/>
      <w:rPr>
        <w:color w:val="000000"/>
      </w:rPr>
    </w:pPr>
    <w:r>
      <w:rPr>
        <w:noProof/>
        <w:lang w:val="en-US" w:eastAsia="en-US"/>
      </w:rPr>
      <w:drawing>
        <wp:anchor distT="0" distB="0" distL="0" distR="0" simplePos="0" relativeHeight="251659264" behindDoc="1" locked="0" layoutInCell="1" hidden="0" allowOverlap="1">
          <wp:simplePos x="0" y="0"/>
          <wp:positionH relativeFrom="column">
            <wp:posOffset>-680312</wp:posOffset>
          </wp:positionH>
          <wp:positionV relativeFrom="paragraph">
            <wp:posOffset>-168883</wp:posOffset>
          </wp:positionV>
          <wp:extent cx="7635600" cy="9943200"/>
          <wp:effectExtent l="0" t="0" r="0" b="0"/>
          <wp:wrapNone/>
          <wp:docPr id="4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5812" w:type="dxa"/>
      <w:tblInd w:w="3119" w:type="dxa"/>
      <w:tblLayout w:type="fixed"/>
      <w:tblLook w:val="0400" w:firstRow="0" w:lastRow="0" w:firstColumn="0" w:lastColumn="0" w:noHBand="0" w:noVBand="1"/>
    </w:tblPr>
    <w:tblGrid>
      <w:gridCol w:w="2551"/>
      <w:gridCol w:w="3261"/>
    </w:tblGrid>
    <w:tr w:rsidR="00FC4A57">
      <w:tc>
        <w:tcPr>
          <w:tcW w:w="2551" w:type="dxa"/>
          <w:vAlign w:val="center"/>
        </w:tcPr>
        <w:p w:rsidR="00FC4A57" w:rsidRDefault="001930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rsidR="00FC4A57" w:rsidRDefault="001930F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03834/INFOEM/IP/RR/2022. </w:t>
          </w:r>
        </w:p>
      </w:tc>
    </w:tr>
    <w:tr w:rsidR="00FC4A57">
      <w:tc>
        <w:tcPr>
          <w:tcW w:w="2551" w:type="dxa"/>
          <w:vAlign w:val="center"/>
        </w:tcPr>
        <w:p w:rsidR="00FC4A57" w:rsidRDefault="001930F3">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rsidR="00FC4A57" w:rsidRDefault="00FC4A57">
          <w:pPr>
            <w:jc w:val="both"/>
            <w:rPr>
              <w:rFonts w:ascii="Palatino Linotype" w:eastAsia="Palatino Linotype" w:hAnsi="Palatino Linotype" w:cs="Palatino Linotype"/>
              <w:b/>
              <w:sz w:val="22"/>
              <w:szCs w:val="22"/>
            </w:rPr>
          </w:pPr>
        </w:p>
      </w:tc>
    </w:tr>
    <w:tr w:rsidR="00FC4A57">
      <w:trPr>
        <w:trHeight w:val="228"/>
      </w:trPr>
      <w:tc>
        <w:tcPr>
          <w:tcW w:w="2551" w:type="dxa"/>
          <w:vAlign w:val="center"/>
        </w:tcPr>
        <w:p w:rsidR="00FC4A57" w:rsidRDefault="001930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rsidR="00FC4A57" w:rsidRDefault="001930F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FC4A57">
      <w:tc>
        <w:tcPr>
          <w:tcW w:w="2551" w:type="dxa"/>
          <w:vAlign w:val="center"/>
        </w:tcPr>
        <w:p w:rsidR="00FC4A57" w:rsidRDefault="001930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rsidR="00FC4A57" w:rsidRDefault="001930F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C4A57" w:rsidRDefault="00FC4A57">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A57" w:rsidRDefault="00FC4A57">
    <w:pPr>
      <w:pBdr>
        <w:top w:val="nil"/>
        <w:left w:val="nil"/>
        <w:bottom w:val="nil"/>
        <w:right w:val="nil"/>
        <w:between w:val="nil"/>
      </w:pBdr>
      <w:tabs>
        <w:tab w:val="center" w:pos="4419"/>
        <w:tab w:val="right" w:pos="8838"/>
      </w:tabs>
      <w:jc w:val="both"/>
      <w:rPr>
        <w:color w:val="000000"/>
      </w:rPr>
    </w:pPr>
  </w:p>
  <w:p w:rsidR="00FC4A57" w:rsidRDefault="00FC4A5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E6901"/>
    <w:multiLevelType w:val="multilevel"/>
    <w:tmpl w:val="2B3CE20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A2738A"/>
    <w:multiLevelType w:val="multilevel"/>
    <w:tmpl w:val="B17C5F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378103A4"/>
    <w:multiLevelType w:val="multilevel"/>
    <w:tmpl w:val="D3866000"/>
    <w:lvl w:ilvl="0">
      <w:start w:val="7"/>
      <w:numFmt w:val="bullet"/>
      <w:lvlText w:val="-"/>
      <w:lvlJc w:val="left"/>
      <w:pPr>
        <w:ind w:left="786" w:hanging="360"/>
      </w:pPr>
      <w:rPr>
        <w:rFonts w:ascii="Palatino Linotype" w:eastAsia="Palatino Linotype" w:hAnsi="Palatino Linotype" w:cs="Palatino Linotype"/>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3" w15:restartNumberingAfterBreak="0">
    <w:nsid w:val="38846B67"/>
    <w:multiLevelType w:val="multilevel"/>
    <w:tmpl w:val="1D8008B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FB21F1"/>
    <w:multiLevelType w:val="multilevel"/>
    <w:tmpl w:val="B650AF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48534D8"/>
    <w:multiLevelType w:val="multilevel"/>
    <w:tmpl w:val="182EDB2A"/>
    <w:lvl w:ilvl="0">
      <w:start w:val="1"/>
      <w:numFmt w:val="upperRoman"/>
      <w:lvlText w:val="%1."/>
      <w:lvlJc w:val="left"/>
      <w:pPr>
        <w:ind w:left="1347" w:hanging="720"/>
      </w:pPr>
    </w:lvl>
    <w:lvl w:ilvl="1">
      <w:start w:val="1"/>
      <w:numFmt w:val="lowerLetter"/>
      <w:lvlText w:val="%2."/>
      <w:lvlJc w:val="left"/>
      <w:pPr>
        <w:ind w:left="1707" w:hanging="360"/>
      </w:pPr>
    </w:lvl>
    <w:lvl w:ilvl="2">
      <w:start w:val="1"/>
      <w:numFmt w:val="lowerRoman"/>
      <w:lvlText w:val="%3."/>
      <w:lvlJc w:val="right"/>
      <w:pPr>
        <w:ind w:left="2427" w:hanging="180"/>
      </w:p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6" w15:restartNumberingAfterBreak="0">
    <w:nsid w:val="6A0C2E3F"/>
    <w:multiLevelType w:val="multilevel"/>
    <w:tmpl w:val="CCCA09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6"/>
  </w:num>
  <w:num w:numId="4">
    <w:abstractNumId w:val="5"/>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A57"/>
    <w:rsid w:val="001930F3"/>
    <w:rsid w:val="00502369"/>
    <w:rsid w:val="00772D38"/>
    <w:rsid w:val="00FC4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FBB29"/>
  <w15:docId w15:val="{EDC96A64-5813-4195-A9B6-F50A10CBB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14A6D"/>
    <w:rPr>
      <w:vertAlign w:val="superscript"/>
    </w:rPr>
  </w:style>
  <w:style w:type="paragraph" w:customStyle="1" w:styleId="Default">
    <w:name w:val="Default"/>
    <w:rsid w:val="00DD33AE"/>
    <w:pPr>
      <w:autoSpaceDE w:val="0"/>
      <w:autoSpaceDN w:val="0"/>
      <w:adjustRightInd w:val="0"/>
    </w:pPr>
    <w:rPr>
      <w:rFonts w:ascii="Arial" w:hAnsi="Arial" w:cs="Arial"/>
      <w:color w:val="000000"/>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59683.page"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hyperlink" Target="https://saimex.org.mx/saimex/solicitud/downloadAttach/1359683.page"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377490.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conceptosjuridicos.com/mx/subrogacion/" TargetMode="External"/><Relationship Id="rId1" Type="http://schemas.openxmlformats.org/officeDocument/2006/relationships/hyperlink" Target="https://archivos.juridicas.unam.mx/www/bjv/libros/8/3861/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b87eK05dC5UzptqixK9UTdeSHA==">AMUW2mUCWmiV+Xk+8z9+FcqtyRPh2mUcGDEH6S3+K2Tn9vQUZVO7rSFYtEnlnRHL7VMP4RhbpFOp0GJWl0/9zHC3+8bClzORWxUPuKgMrWVqhzjsgMae2Jh8v2Ho7jrkY+raXiuP5zfl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9039</Words>
  <Characters>51525</Characters>
  <Application>Microsoft Office Word</Application>
  <DocSecurity>0</DocSecurity>
  <Lines>429</Lines>
  <Paragraphs>120</Paragraphs>
  <ScaleCrop>false</ScaleCrop>
  <Company/>
  <LinksUpToDate>false</LinksUpToDate>
  <CharactersWithSpaces>60444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NAJERA </cp:lastModifiedBy>
  <cp:revision>3</cp:revision>
  <dcterms:created xsi:type="dcterms:W3CDTF">2022-06-29T19:46:00Z</dcterms:created>
  <dcterms:modified xsi:type="dcterms:W3CDTF">2022-07-06T21:03:00Z</dcterms:modified>
</cp:coreProperties>
</file>