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C4193" w:rsidR="005227A5" w:rsidP="005227A5" w:rsidRDefault="005227A5" w14:paraId="05C0C87A" w14:textId="1DC3FC1D">
      <w:pPr>
        <w:spacing w:after="0" w:line="360" w:lineRule="auto"/>
        <w:rPr>
          <w:rFonts w:cs="Tahoma"/>
        </w:rPr>
      </w:pPr>
      <w:r w:rsidRPr="009C4193">
        <w:rPr>
          <w:rFonts w:cs="Tahoma"/>
        </w:rPr>
        <w:t>Resolución del Pleno del Instituto de Transparencia, Acceso a la Información Pública y Protección de Datos Personales del Estado de México y Municipios, con domicilio en Metepec, Estado de México, de fecha die</w:t>
      </w:r>
      <w:r w:rsidRPr="009C4193" w:rsidR="008F5DE2">
        <w:rPr>
          <w:rFonts w:cs="Tahoma"/>
        </w:rPr>
        <w:t>cisiete</w:t>
      </w:r>
      <w:r w:rsidRPr="009C4193">
        <w:rPr>
          <w:rFonts w:cs="Tahoma"/>
        </w:rPr>
        <w:t xml:space="preserve"> de agosto de dos mil veintidós.</w:t>
      </w:r>
    </w:p>
    <w:p w:rsidRPr="009C4193" w:rsidR="005227A5" w:rsidP="005227A5" w:rsidRDefault="005227A5" w14:paraId="4FD7AAEA" w14:textId="77777777">
      <w:pPr>
        <w:spacing w:after="0" w:line="360" w:lineRule="auto"/>
        <w:rPr>
          <w:rFonts w:cs="Tahoma"/>
          <w:bCs/>
        </w:rPr>
      </w:pPr>
    </w:p>
    <w:p w:rsidRPr="009C4193" w:rsidR="005227A5" w:rsidP="005227A5" w:rsidRDefault="005227A5" w14:paraId="1FC4AE7F" w14:textId="10296C45">
      <w:pPr>
        <w:spacing w:after="0" w:line="360" w:lineRule="auto"/>
        <w:rPr>
          <w:rFonts w:cs="Tahoma"/>
          <w:bCs/>
        </w:rPr>
      </w:pPr>
      <w:r w:rsidRPr="009C4193">
        <w:rPr>
          <w:rFonts w:cs="Tahoma"/>
          <w:b/>
          <w:bCs/>
        </w:rPr>
        <w:t xml:space="preserve">VISTO </w:t>
      </w:r>
      <w:r w:rsidRPr="009C4193">
        <w:rPr>
          <w:rFonts w:cs="Tahoma"/>
          <w:bCs/>
        </w:rPr>
        <w:t xml:space="preserve">el expediente conformado con motivo del Recurso de Revisión </w:t>
      </w:r>
      <w:r w:rsidRPr="009C4193">
        <w:rPr>
          <w:b/>
          <w:bCs/>
        </w:rPr>
        <w:t>010411/INFOEM/IP/RR/2022</w:t>
      </w:r>
      <w:r w:rsidRPr="009C4193">
        <w:rPr>
          <w:rFonts w:cs="Tahoma"/>
          <w:b/>
          <w:bCs/>
        </w:rPr>
        <w:t>,</w:t>
      </w:r>
      <w:r w:rsidRPr="009C4193">
        <w:rPr>
          <w:rFonts w:cs="Tahoma"/>
        </w:rPr>
        <w:t xml:space="preserve"> interpuesto por el Recurrente o Particular, en contra de la falta de respuesta del Sujeto Obligado, Fuerza Social </w:t>
      </w:r>
      <w:r w:rsidRPr="009C4193" w:rsidR="008F5DE2">
        <w:rPr>
          <w:rFonts w:cs="Tahoma"/>
        </w:rPr>
        <w:t>p</w:t>
      </w:r>
      <w:r w:rsidRPr="009C4193">
        <w:rPr>
          <w:rFonts w:cs="Tahoma"/>
        </w:rPr>
        <w:t xml:space="preserve">or México, a la solicitud de información con número </w:t>
      </w:r>
      <w:r w:rsidRPr="009C4193">
        <w:rPr>
          <w:color w:val="auto"/>
        </w:rPr>
        <w:t>00008/PFSPM/IP/2022</w:t>
      </w:r>
      <w:r w:rsidRPr="009C4193">
        <w:rPr>
          <w:rFonts w:cs="Tahoma"/>
        </w:rPr>
        <w:t>, se emite la presente Resolución, con base en los Antecedentes y Considerandos que</w:t>
      </w:r>
      <w:r w:rsidRPr="009C4193">
        <w:rPr>
          <w:rFonts w:cs="Tahoma"/>
          <w:bCs/>
        </w:rPr>
        <w:t xml:space="preserve"> se exponen a continuación:</w:t>
      </w:r>
    </w:p>
    <w:p w:rsidRPr="009C4193" w:rsidR="005227A5" w:rsidP="005227A5" w:rsidRDefault="005227A5" w14:paraId="57670FA8" w14:textId="77777777">
      <w:pPr>
        <w:tabs>
          <w:tab w:val="left" w:pos="6735"/>
        </w:tabs>
        <w:spacing w:after="0" w:line="360" w:lineRule="auto"/>
        <w:rPr>
          <w:rFonts w:cs="Tahoma"/>
        </w:rPr>
      </w:pPr>
    </w:p>
    <w:p w:rsidRPr="009C4193" w:rsidR="005227A5" w:rsidP="005227A5" w:rsidRDefault="005227A5" w14:paraId="27D091D9" w14:textId="77777777">
      <w:pPr>
        <w:tabs>
          <w:tab w:val="center" w:pos="4522"/>
          <w:tab w:val="left" w:pos="7245"/>
        </w:tabs>
        <w:spacing w:after="0" w:line="360" w:lineRule="auto"/>
        <w:jc w:val="center"/>
        <w:rPr>
          <w:rFonts w:cs="Tahoma"/>
          <w:b/>
        </w:rPr>
      </w:pPr>
      <w:r w:rsidRPr="009C4193">
        <w:rPr>
          <w:rFonts w:cs="Tahoma"/>
          <w:b/>
        </w:rPr>
        <w:t>A N T E C E D E N T E S:</w:t>
      </w:r>
    </w:p>
    <w:p w:rsidRPr="009C4193" w:rsidR="005227A5" w:rsidP="005227A5" w:rsidRDefault="005227A5" w14:paraId="0778084E" w14:textId="77777777">
      <w:pPr>
        <w:spacing w:after="0" w:line="360" w:lineRule="auto"/>
      </w:pPr>
    </w:p>
    <w:p w:rsidRPr="009C4193" w:rsidR="005227A5" w:rsidP="005227A5" w:rsidRDefault="005227A5" w14:paraId="22E33CFA"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9C4193">
        <w:rPr>
          <w:rFonts w:ascii="Palatino Linotype" w:hAnsi="Palatino Linotype" w:cs="Tahoma"/>
          <w:b/>
          <w:color w:val="000000" w:themeColor="text1"/>
          <w:szCs w:val="22"/>
        </w:rPr>
        <w:t xml:space="preserve">I. Presentación de la solicitud de información. </w:t>
      </w:r>
    </w:p>
    <w:p w:rsidRPr="009C4193" w:rsidR="005227A5" w:rsidP="005227A5" w:rsidRDefault="005227A5" w14:paraId="02A715D8"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9C4193" w:rsidR="005227A5" w:rsidP="005227A5" w:rsidRDefault="005227A5" w14:paraId="5EFDBCD5" w14:textId="234FF7CC">
      <w:pPr>
        <w:tabs>
          <w:tab w:val="left" w:pos="567"/>
        </w:tabs>
        <w:spacing w:after="0" w:line="360" w:lineRule="auto"/>
        <w:ind w:right="-28"/>
        <w:rPr>
          <w:rFonts w:cs="Tahoma"/>
        </w:rPr>
      </w:pPr>
      <w:r w:rsidRPr="009C4193">
        <w:rPr>
          <w:rFonts w:cs="Tahoma"/>
        </w:rPr>
        <w:t xml:space="preserve">Con fecha nueve de mayo de dos mil veintidós, la Particular presentó una solicitud de acceso a la información pública, a través del Sistema de Acceso a la Información Mexiquense </w:t>
      </w:r>
      <w:r w:rsidRPr="009C4193">
        <w:rPr>
          <w:rFonts w:cs="Tahoma"/>
          <w:lang w:val="es-ES"/>
        </w:rPr>
        <w:t xml:space="preserve">(SAIMEX), con número de folio de la solicitud </w:t>
      </w:r>
      <w:r w:rsidRPr="009C4193">
        <w:rPr>
          <w:color w:val="auto"/>
        </w:rPr>
        <w:t>00008/PFSPM/IP/2022</w:t>
      </w:r>
      <w:r w:rsidRPr="009C4193">
        <w:rPr>
          <w:rFonts w:cs="Tahoma"/>
        </w:rPr>
        <w:t>, ante</w:t>
      </w:r>
      <w:r w:rsidRPr="009C4193" w:rsidR="008F5DE2">
        <w:rPr>
          <w:rFonts w:cs="Tahoma"/>
        </w:rPr>
        <w:t xml:space="preserve"> el Sujeto Obligado</w:t>
      </w:r>
      <w:r w:rsidRPr="009C4193">
        <w:rPr>
          <w:rFonts w:cs="Tahoma"/>
        </w:rPr>
        <w:t xml:space="preserve"> Fuerza Social </w:t>
      </w:r>
      <w:r w:rsidRPr="009C4193" w:rsidR="008F5DE2">
        <w:rPr>
          <w:rFonts w:cs="Tahoma"/>
        </w:rPr>
        <w:t>p</w:t>
      </w:r>
      <w:r w:rsidRPr="009C4193">
        <w:rPr>
          <w:rFonts w:cs="Tahoma"/>
        </w:rPr>
        <w:t>or México, en los siguientes términos:</w:t>
      </w:r>
    </w:p>
    <w:p w:rsidRPr="009C4193" w:rsidR="001B18F3" w:rsidP="005227A5" w:rsidRDefault="001B18F3" w14:paraId="1EE11322" w14:textId="77777777">
      <w:pPr>
        <w:tabs>
          <w:tab w:val="left" w:pos="4667"/>
        </w:tabs>
        <w:spacing w:after="0" w:line="360" w:lineRule="auto"/>
        <w:ind w:left="567" w:right="567"/>
        <w:rPr>
          <w:rFonts w:cs="Tahoma"/>
          <w:b/>
          <w:bCs/>
          <w:i/>
          <w:sz w:val="20"/>
          <w:szCs w:val="20"/>
        </w:rPr>
      </w:pPr>
    </w:p>
    <w:p w:rsidRPr="009C4193" w:rsidR="005227A5" w:rsidP="005227A5" w:rsidRDefault="005227A5" w14:paraId="50FF6774" w14:textId="539F3C81">
      <w:pPr>
        <w:tabs>
          <w:tab w:val="left" w:pos="4667"/>
        </w:tabs>
        <w:spacing w:after="0" w:line="360" w:lineRule="auto"/>
        <w:ind w:left="567" w:right="567"/>
        <w:rPr>
          <w:rFonts w:cs="Tahoma"/>
          <w:b/>
          <w:bCs/>
          <w:i/>
          <w:sz w:val="20"/>
          <w:szCs w:val="20"/>
        </w:rPr>
      </w:pPr>
      <w:r w:rsidRPr="009C4193">
        <w:rPr>
          <w:rFonts w:cs="Tahoma"/>
          <w:b/>
          <w:bCs/>
          <w:i/>
          <w:sz w:val="20"/>
          <w:szCs w:val="20"/>
        </w:rPr>
        <w:t>“DESCRIPCIÓN CLARA Y PRECISA DE LA INFORMACIÓN SOLICITADA</w:t>
      </w:r>
    </w:p>
    <w:p w:rsidRPr="009C4193" w:rsidR="005227A5" w:rsidP="005227A5" w:rsidRDefault="005227A5" w14:paraId="71309D63" w14:textId="1C5F0084">
      <w:pPr>
        <w:spacing w:after="0" w:line="360" w:lineRule="auto"/>
        <w:ind w:left="567" w:right="567"/>
        <w:rPr>
          <w:rFonts w:eastAsia="Times New Roman" w:cs="Times New Roman"/>
          <w:i/>
          <w:iCs/>
          <w:color w:val="auto"/>
          <w:sz w:val="20"/>
          <w:szCs w:val="20"/>
          <w:lang w:eastAsia="es-MX"/>
        </w:rPr>
      </w:pPr>
      <w:r w:rsidRPr="009C4193">
        <w:rPr>
          <w:i/>
          <w:iCs/>
          <w:color w:val="000000"/>
          <w:sz w:val="20"/>
          <w:szCs w:val="20"/>
        </w:rPr>
        <w:t>Solicito los estatutos de su partido político</w:t>
      </w:r>
      <w:r w:rsidRPr="009C4193">
        <w:rPr>
          <w:rFonts w:cs="Tahoma"/>
          <w:bCs/>
          <w:i/>
          <w:iCs/>
          <w:sz w:val="20"/>
          <w:szCs w:val="20"/>
        </w:rPr>
        <w:t xml:space="preserve">”. </w:t>
      </w:r>
      <w:r w:rsidRPr="009C4193">
        <w:rPr>
          <w:rFonts w:eastAsia="Times New Roman" w:cs="Arial"/>
          <w:bCs/>
          <w:i/>
          <w:iCs/>
          <w:sz w:val="20"/>
          <w:szCs w:val="20"/>
          <w:lang w:eastAsia="es-ES"/>
        </w:rPr>
        <w:t>(Sic)</w:t>
      </w:r>
    </w:p>
    <w:p w:rsidRPr="009C4193" w:rsidR="005227A5" w:rsidP="005227A5" w:rsidRDefault="005227A5" w14:paraId="7112CD68" w14:textId="77777777">
      <w:pPr>
        <w:tabs>
          <w:tab w:val="left" w:pos="4667"/>
        </w:tabs>
        <w:spacing w:after="0" w:line="360" w:lineRule="auto"/>
        <w:ind w:left="567" w:right="567"/>
        <w:rPr>
          <w:rFonts w:cs="Tahoma"/>
          <w:bCs/>
          <w:i/>
          <w:sz w:val="20"/>
          <w:szCs w:val="20"/>
        </w:rPr>
      </w:pPr>
    </w:p>
    <w:p w:rsidRPr="009C4193" w:rsidR="005227A5" w:rsidP="005227A5" w:rsidRDefault="005227A5" w14:paraId="795F0517" w14:textId="77777777">
      <w:pPr>
        <w:tabs>
          <w:tab w:val="left" w:pos="4667"/>
        </w:tabs>
        <w:spacing w:after="0" w:line="360" w:lineRule="auto"/>
        <w:ind w:left="567" w:right="567"/>
        <w:rPr>
          <w:rFonts w:eastAsia="Times New Roman" w:cs="Tahoma"/>
          <w:b/>
          <w:bCs/>
          <w:i/>
          <w:iCs/>
          <w:sz w:val="20"/>
          <w:szCs w:val="20"/>
          <w:lang w:eastAsia="es-ES"/>
        </w:rPr>
      </w:pPr>
      <w:r w:rsidRPr="009C4193">
        <w:rPr>
          <w:rFonts w:eastAsia="Times New Roman" w:cs="Tahoma"/>
          <w:b/>
          <w:bCs/>
          <w:i/>
          <w:iCs/>
          <w:sz w:val="20"/>
          <w:szCs w:val="20"/>
          <w:lang w:eastAsia="es-ES"/>
        </w:rPr>
        <w:t>“MODALIDAD DE ENTREGA</w:t>
      </w:r>
    </w:p>
    <w:p w:rsidRPr="009C4193" w:rsidR="005227A5" w:rsidP="005227A5" w:rsidRDefault="005227A5" w14:paraId="4D533C5D" w14:textId="77777777">
      <w:pPr>
        <w:spacing w:after="0" w:line="360" w:lineRule="auto"/>
        <w:ind w:left="567" w:right="567"/>
        <w:rPr>
          <w:rFonts w:eastAsia="Times New Roman" w:cs="Arial"/>
          <w:bCs/>
          <w:i/>
          <w:iCs/>
          <w:sz w:val="20"/>
          <w:szCs w:val="20"/>
          <w:lang w:eastAsia="es-ES"/>
        </w:rPr>
      </w:pPr>
      <w:r w:rsidRPr="009C4193">
        <w:rPr>
          <w:rFonts w:eastAsia="Times New Roman" w:cs="Arial"/>
          <w:bCs/>
          <w:i/>
          <w:iCs/>
          <w:sz w:val="20"/>
          <w:szCs w:val="20"/>
          <w:lang w:eastAsia="es-ES"/>
        </w:rPr>
        <w:t>A través del SAIMEX” (Sic)</w:t>
      </w:r>
    </w:p>
    <w:p w:rsidRPr="009C4193" w:rsidR="005227A5" w:rsidP="005227A5" w:rsidRDefault="005227A5" w14:paraId="0D3FA31D" w14:textId="77777777">
      <w:pPr>
        <w:tabs>
          <w:tab w:val="left" w:pos="567"/>
        </w:tabs>
        <w:spacing w:after="0" w:line="360" w:lineRule="auto"/>
        <w:rPr>
          <w:rFonts w:eastAsia="Calibri" w:cs="Tahoma"/>
          <w:b/>
          <w:bCs/>
          <w:i/>
          <w:iCs/>
        </w:rPr>
      </w:pPr>
    </w:p>
    <w:p w:rsidRPr="009C4193" w:rsidR="005227A5" w:rsidP="005227A5" w:rsidRDefault="005227A5" w14:paraId="09F9CC6C" w14:textId="04CD0918">
      <w:pPr>
        <w:tabs>
          <w:tab w:val="left" w:pos="4667"/>
        </w:tabs>
        <w:spacing w:after="0" w:line="360" w:lineRule="auto"/>
        <w:ind w:right="567"/>
        <w:rPr>
          <w:rFonts w:eastAsia="Times New Roman" w:cs="Tahoma"/>
          <w:color w:val="auto"/>
          <w:szCs w:val="24"/>
          <w:lang w:eastAsia="es-ES"/>
        </w:rPr>
      </w:pPr>
      <w:r w:rsidRPr="009C4193">
        <w:rPr>
          <w:rFonts w:eastAsia="Times New Roman" w:cs="Tahoma"/>
          <w:b/>
          <w:bCs/>
          <w:color w:val="auto"/>
          <w:szCs w:val="24"/>
          <w:lang w:eastAsia="es-ES"/>
        </w:rPr>
        <w:t>II</w:t>
      </w:r>
      <w:r w:rsidRPr="009C4193">
        <w:rPr>
          <w:rFonts w:eastAsia="Times New Roman" w:cs="Tahoma"/>
          <w:b/>
          <w:color w:val="auto"/>
          <w:szCs w:val="24"/>
          <w:lang w:eastAsia="es-ES"/>
        </w:rPr>
        <w:t>. Respuesta</w:t>
      </w:r>
      <w:r w:rsidRPr="009C4193">
        <w:rPr>
          <w:rFonts w:eastAsia="Times New Roman" w:cs="Tahoma"/>
          <w:b/>
          <w:bCs/>
          <w:color w:val="auto"/>
          <w:szCs w:val="24"/>
          <w:lang w:eastAsia="es-ES"/>
        </w:rPr>
        <w:t xml:space="preserve"> del Sujeto Obligado.</w:t>
      </w:r>
    </w:p>
    <w:p w:rsidRPr="009C4193" w:rsidR="005227A5" w:rsidP="005227A5" w:rsidRDefault="005227A5" w14:paraId="4F23F737" w14:textId="77777777">
      <w:pPr>
        <w:tabs>
          <w:tab w:val="left" w:pos="4667"/>
        </w:tabs>
        <w:spacing w:after="0" w:line="360" w:lineRule="auto"/>
        <w:ind w:right="567"/>
        <w:rPr>
          <w:rFonts w:eastAsia="Times New Roman" w:cs="Tahoma"/>
          <w:b/>
          <w:bCs/>
          <w:color w:val="auto"/>
          <w:szCs w:val="24"/>
          <w:lang w:eastAsia="es-ES"/>
        </w:rPr>
      </w:pPr>
    </w:p>
    <w:p w:rsidRPr="009C4193" w:rsidR="005227A5" w:rsidP="005227A5" w:rsidRDefault="005227A5" w14:paraId="31CFEAB9" w14:textId="514FE5BB">
      <w:pPr>
        <w:tabs>
          <w:tab w:val="left" w:pos="4667"/>
        </w:tabs>
        <w:spacing w:after="0" w:line="360" w:lineRule="auto"/>
        <w:rPr>
          <w:rFonts w:eastAsia="Times New Roman" w:cs="Tahoma"/>
          <w:color w:val="auto"/>
          <w:szCs w:val="24"/>
          <w:lang w:val="es-ES" w:eastAsia="es-ES"/>
        </w:rPr>
      </w:pPr>
      <w:r w:rsidRPr="009C4193">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9C4193">
        <w:rPr>
          <w:rFonts w:eastAsia="Times New Roman" w:cs="Tahoma"/>
          <w:color w:val="auto"/>
          <w:szCs w:val="24"/>
          <w:lang w:val="es-ES" w:eastAsia="es-ES"/>
        </w:rPr>
        <w:t>Sistema de Acceso a la Información Mexiquense (SAIMEX), se advierte que</w:t>
      </w:r>
      <w:r w:rsidRPr="009C4193" w:rsidR="00E300C1">
        <w:rPr>
          <w:rFonts w:eastAsia="Times New Roman" w:cs="Tahoma"/>
          <w:color w:val="auto"/>
          <w:szCs w:val="24"/>
          <w:lang w:val="es-ES" w:eastAsia="es-ES"/>
        </w:rPr>
        <w:t xml:space="preserve"> </w:t>
      </w:r>
      <w:r w:rsidRPr="009C4193" w:rsidR="00E300C1">
        <w:rPr>
          <w:rFonts w:eastAsia="Times New Roman" w:cs="Tahoma"/>
          <w:b/>
          <w:bCs/>
          <w:color w:val="auto"/>
          <w:szCs w:val="24"/>
          <w:lang w:val="es-ES" w:eastAsia="es-ES"/>
        </w:rPr>
        <w:t xml:space="preserve">Fuerza Social </w:t>
      </w:r>
      <w:r w:rsidRPr="009C4193" w:rsidR="00B23876">
        <w:rPr>
          <w:rFonts w:eastAsia="Times New Roman" w:cs="Tahoma"/>
          <w:b/>
          <w:bCs/>
          <w:color w:val="auto"/>
          <w:szCs w:val="24"/>
          <w:lang w:val="es-ES" w:eastAsia="es-ES"/>
        </w:rPr>
        <w:t>p</w:t>
      </w:r>
      <w:r w:rsidRPr="009C4193" w:rsidR="00E300C1">
        <w:rPr>
          <w:rFonts w:eastAsia="Times New Roman" w:cs="Tahoma"/>
          <w:b/>
          <w:bCs/>
          <w:color w:val="auto"/>
          <w:szCs w:val="24"/>
          <w:lang w:val="es-ES" w:eastAsia="es-ES"/>
        </w:rPr>
        <w:t>or México</w:t>
      </w:r>
      <w:r w:rsidRPr="009C4193">
        <w:rPr>
          <w:rFonts w:eastAsia="Times New Roman" w:cs="Tahoma"/>
          <w:bCs/>
          <w:color w:val="auto"/>
          <w:szCs w:val="24"/>
          <w:lang w:eastAsia="es-ES"/>
        </w:rPr>
        <w:t xml:space="preserve">, omitió dar respuesta a la solicitud de información, por lo que </w:t>
      </w:r>
      <w:r w:rsidRPr="009C4193">
        <w:rPr>
          <w:rFonts w:eastAsia="Times New Roman" w:cs="Tahoma"/>
          <w:b/>
          <w:color w:val="auto"/>
          <w:szCs w:val="24"/>
          <w:lang w:eastAsia="es-ES"/>
        </w:rPr>
        <w:t>se configur</w:t>
      </w:r>
      <w:r w:rsidRPr="009C4193" w:rsidR="00B23876">
        <w:rPr>
          <w:rFonts w:eastAsia="Times New Roman" w:cs="Tahoma"/>
          <w:b/>
          <w:color w:val="auto"/>
          <w:szCs w:val="24"/>
          <w:lang w:eastAsia="es-ES"/>
        </w:rPr>
        <w:t>ó</w:t>
      </w:r>
      <w:r w:rsidRPr="009C4193">
        <w:rPr>
          <w:rFonts w:eastAsia="Times New Roman" w:cs="Tahoma"/>
          <w:b/>
          <w:color w:val="auto"/>
          <w:szCs w:val="24"/>
          <w:lang w:eastAsia="es-ES"/>
        </w:rPr>
        <w:t xml:space="preserve"> la </w:t>
      </w:r>
      <w:r w:rsidRPr="009C4193">
        <w:rPr>
          <w:rFonts w:eastAsia="Times New Roman" w:cs="Tahoma"/>
          <w:b/>
          <w:color w:val="auto"/>
          <w:szCs w:val="24"/>
          <w:lang w:val="es-ES" w:eastAsia="es-ES"/>
        </w:rPr>
        <w:t>negativa ficta</w:t>
      </w:r>
      <w:r w:rsidRPr="009C4193">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9C4193" w:rsidR="005227A5" w:rsidP="005227A5" w:rsidRDefault="005227A5" w14:paraId="106C8AB6" w14:textId="77777777">
      <w:pPr>
        <w:autoSpaceDE w:val="0"/>
        <w:autoSpaceDN w:val="0"/>
        <w:adjustRightInd w:val="0"/>
        <w:spacing w:after="0" w:line="360" w:lineRule="auto"/>
        <w:rPr>
          <w:rFonts w:cs="Tahoma"/>
          <w:b/>
        </w:rPr>
      </w:pPr>
    </w:p>
    <w:p w:rsidRPr="009C4193" w:rsidR="005227A5" w:rsidP="005227A5" w:rsidRDefault="00E300C1" w14:paraId="2F1210E1" w14:textId="7D560740">
      <w:pPr>
        <w:autoSpaceDE w:val="0"/>
        <w:autoSpaceDN w:val="0"/>
        <w:adjustRightInd w:val="0"/>
        <w:spacing w:after="0" w:line="360" w:lineRule="auto"/>
        <w:rPr>
          <w:rFonts w:cs="Tahoma"/>
          <w:b/>
        </w:rPr>
      </w:pPr>
      <w:r w:rsidRPr="009C4193">
        <w:rPr>
          <w:rFonts w:cs="Tahoma"/>
          <w:b/>
        </w:rPr>
        <w:t>II</w:t>
      </w:r>
      <w:r w:rsidRPr="009C4193" w:rsidR="005227A5">
        <w:rPr>
          <w:rFonts w:cs="Tahoma"/>
          <w:b/>
        </w:rPr>
        <w:t xml:space="preserve">I. Interposición del Recurso de Revisión. </w:t>
      </w:r>
    </w:p>
    <w:p w:rsidRPr="009C4193" w:rsidR="005227A5" w:rsidP="005227A5" w:rsidRDefault="005227A5" w14:paraId="631E5A62" w14:textId="77777777">
      <w:pPr>
        <w:autoSpaceDE w:val="0"/>
        <w:autoSpaceDN w:val="0"/>
        <w:adjustRightInd w:val="0"/>
        <w:spacing w:after="0" w:line="360" w:lineRule="auto"/>
        <w:rPr>
          <w:rFonts w:cs="Tahoma"/>
          <w:b/>
        </w:rPr>
      </w:pPr>
    </w:p>
    <w:p w:rsidRPr="009C4193" w:rsidR="005227A5" w:rsidP="005227A5" w:rsidRDefault="005227A5" w14:paraId="1E7E48DB" w14:textId="625AA36D">
      <w:pPr>
        <w:widowControl w:val="0"/>
        <w:spacing w:after="0" w:line="360" w:lineRule="auto"/>
        <w:rPr>
          <w:rFonts w:eastAsia="Times New Roman" w:cs="Tahoma"/>
          <w:bCs/>
          <w:color w:val="auto"/>
          <w:lang w:val="es-ES" w:eastAsia="es-ES"/>
        </w:rPr>
      </w:pPr>
      <w:r w:rsidRPr="009C4193">
        <w:rPr>
          <w:rFonts w:eastAsia="Calibri" w:cs="Times New Roman"/>
          <w:bCs/>
        </w:rPr>
        <w:t xml:space="preserve">Con fecha </w:t>
      </w:r>
      <w:r w:rsidRPr="009C4193" w:rsidR="00E300C1">
        <w:rPr>
          <w:rFonts w:eastAsia="Calibri" w:cs="Times New Roman"/>
          <w:bCs/>
        </w:rPr>
        <w:t>primero de junio</w:t>
      </w:r>
      <w:r w:rsidRPr="009C4193">
        <w:rPr>
          <w:rFonts w:eastAsia="Calibri" w:cs="Times New Roman"/>
          <w:bCs/>
        </w:rPr>
        <w:t xml:space="preserve"> de dos mil veintidós, </w:t>
      </w:r>
      <w:r w:rsidRPr="009C4193">
        <w:rPr>
          <w:rFonts w:eastAsia="Calibri" w:cs="Times New Roman"/>
          <w:bCs/>
          <w:lang w:val="es-ES"/>
        </w:rPr>
        <w:t xml:space="preserve">se recibió en este Instituto, a través del Sistema de Acceso a la Información Mexiquense (SAIMEX), Recurso de Revisión interpuesto por la parte Recurrente, en contra de la falta respuesta </w:t>
      </w:r>
      <w:r w:rsidRPr="009C4193" w:rsidR="00B23876">
        <w:rPr>
          <w:rFonts w:eastAsia="Calibri" w:cs="Times New Roman"/>
          <w:bCs/>
          <w:lang w:val="es-ES"/>
        </w:rPr>
        <w:t>d</w:t>
      </w:r>
      <w:r w:rsidRPr="009C4193">
        <w:rPr>
          <w:rFonts w:eastAsia="Calibri" w:cs="Times New Roman"/>
          <w:bCs/>
          <w:lang w:val="es-ES"/>
        </w:rPr>
        <w:t>el Sujeto Obligado,</w:t>
      </w:r>
      <w:r w:rsidRPr="009C4193">
        <w:rPr>
          <w:rFonts w:eastAsia="Calibri" w:cs="Times New Roman"/>
          <w:b/>
          <w:bCs/>
        </w:rPr>
        <w:t xml:space="preserve"> </w:t>
      </w:r>
      <w:r w:rsidRPr="009C4193">
        <w:rPr>
          <w:rFonts w:eastAsia="Times New Roman" w:cs="Tahoma"/>
          <w:bCs/>
          <w:color w:val="auto"/>
          <w:lang w:val="es-ES" w:eastAsia="es-ES"/>
        </w:rPr>
        <w:t>en los siguientes términos:</w:t>
      </w:r>
    </w:p>
    <w:p w:rsidRPr="009C4193" w:rsidR="00E300C1" w:rsidP="005227A5" w:rsidRDefault="00E300C1" w14:paraId="5213B457" w14:textId="77777777">
      <w:pPr>
        <w:widowControl w:val="0"/>
        <w:spacing w:after="0" w:line="360" w:lineRule="auto"/>
        <w:rPr>
          <w:rFonts w:eastAsia="Times New Roman" w:cs="Tahoma"/>
          <w:bCs/>
          <w:color w:val="auto"/>
          <w:lang w:val="es-ES" w:eastAsia="es-ES"/>
        </w:rPr>
      </w:pPr>
    </w:p>
    <w:p w:rsidRPr="009C4193" w:rsidR="005227A5" w:rsidP="005227A5" w:rsidRDefault="005227A5" w14:paraId="225EB007" w14:textId="77777777">
      <w:pPr>
        <w:tabs>
          <w:tab w:val="left" w:pos="4667"/>
        </w:tabs>
        <w:spacing w:after="0" w:line="360" w:lineRule="auto"/>
        <w:ind w:left="567" w:right="567"/>
        <w:rPr>
          <w:rFonts w:cs="Tahoma"/>
          <w:bCs/>
          <w:i/>
          <w:sz w:val="20"/>
          <w:szCs w:val="20"/>
        </w:rPr>
      </w:pPr>
      <w:r w:rsidRPr="009C4193">
        <w:rPr>
          <w:rFonts w:cs="Tahoma"/>
          <w:b/>
          <w:bCs/>
          <w:i/>
          <w:sz w:val="20"/>
          <w:szCs w:val="20"/>
        </w:rPr>
        <w:t>“ACTO IMPUGNADO</w:t>
      </w:r>
    </w:p>
    <w:p w:rsidRPr="009C4193" w:rsidR="005227A5" w:rsidP="005227A5" w:rsidRDefault="00E300C1" w14:paraId="2593C11B" w14:textId="4ADF767F">
      <w:pPr>
        <w:autoSpaceDE w:val="0"/>
        <w:autoSpaceDN w:val="0"/>
        <w:adjustRightInd w:val="0"/>
        <w:spacing w:after="0" w:line="360" w:lineRule="auto"/>
        <w:ind w:left="567" w:right="567"/>
        <w:rPr>
          <w:rFonts w:cs="Tahoma"/>
          <w:i/>
          <w:sz w:val="20"/>
          <w:szCs w:val="20"/>
        </w:rPr>
      </w:pPr>
      <w:r w:rsidRPr="009C4193">
        <w:rPr>
          <w:i/>
          <w:color w:val="000000"/>
          <w:sz w:val="20"/>
          <w:szCs w:val="20"/>
        </w:rPr>
        <w:t>La no entrega de información</w:t>
      </w:r>
      <w:r w:rsidRPr="009C4193" w:rsidR="005227A5">
        <w:rPr>
          <w:i/>
          <w:color w:val="000000"/>
          <w:sz w:val="20"/>
          <w:szCs w:val="20"/>
        </w:rPr>
        <w:t>.</w:t>
      </w:r>
      <w:r w:rsidRPr="009C4193" w:rsidR="005227A5">
        <w:rPr>
          <w:i/>
          <w:sz w:val="20"/>
          <w:szCs w:val="20"/>
        </w:rPr>
        <w:t>”</w:t>
      </w:r>
      <w:r w:rsidRPr="009C4193" w:rsidR="005227A5">
        <w:rPr>
          <w:rFonts w:cs="Tahoma"/>
          <w:i/>
          <w:sz w:val="20"/>
          <w:szCs w:val="20"/>
        </w:rPr>
        <w:t xml:space="preserve"> (Sic.)</w:t>
      </w:r>
    </w:p>
    <w:p w:rsidRPr="009C4193" w:rsidR="005227A5" w:rsidP="005227A5" w:rsidRDefault="005227A5" w14:paraId="3063E401" w14:textId="4FE349EF">
      <w:pPr>
        <w:autoSpaceDE w:val="0"/>
        <w:autoSpaceDN w:val="0"/>
        <w:adjustRightInd w:val="0"/>
        <w:spacing w:after="0" w:line="360" w:lineRule="auto"/>
        <w:ind w:left="567" w:right="567"/>
        <w:rPr>
          <w:rFonts w:cs="Tahoma"/>
          <w:i/>
          <w:sz w:val="20"/>
          <w:szCs w:val="20"/>
        </w:rPr>
      </w:pPr>
    </w:p>
    <w:p w:rsidRPr="009C4193" w:rsidR="005227A5" w:rsidP="005227A5" w:rsidRDefault="005227A5" w14:paraId="032EC0E0" w14:textId="77777777">
      <w:pPr>
        <w:autoSpaceDE w:val="0"/>
        <w:autoSpaceDN w:val="0"/>
        <w:adjustRightInd w:val="0"/>
        <w:spacing w:after="0" w:line="360" w:lineRule="auto"/>
        <w:ind w:left="567" w:right="567"/>
        <w:rPr>
          <w:rFonts w:cs="Tahoma"/>
          <w:b/>
          <w:i/>
          <w:sz w:val="20"/>
          <w:szCs w:val="20"/>
        </w:rPr>
      </w:pPr>
      <w:r w:rsidRPr="009C4193">
        <w:rPr>
          <w:rFonts w:cs="Tahoma"/>
          <w:b/>
          <w:i/>
          <w:sz w:val="20"/>
          <w:szCs w:val="20"/>
        </w:rPr>
        <w:t>“RAZONES O MOTIVOS DE LA INCONFORMIDAD</w:t>
      </w:r>
    </w:p>
    <w:p w:rsidRPr="009C4193" w:rsidR="005227A5" w:rsidP="005227A5" w:rsidRDefault="00E300C1" w14:paraId="33AA01EE" w14:textId="31448A02">
      <w:pPr>
        <w:autoSpaceDE w:val="0"/>
        <w:autoSpaceDN w:val="0"/>
        <w:adjustRightInd w:val="0"/>
        <w:spacing w:after="0" w:line="360" w:lineRule="auto"/>
        <w:ind w:left="567" w:right="567"/>
        <w:rPr>
          <w:rFonts w:cs="Tahoma"/>
          <w:i/>
          <w:sz w:val="20"/>
          <w:szCs w:val="20"/>
        </w:rPr>
      </w:pPr>
      <w:r w:rsidRPr="009C4193">
        <w:rPr>
          <w:i/>
          <w:color w:val="000000"/>
          <w:sz w:val="20"/>
          <w:szCs w:val="20"/>
        </w:rPr>
        <w:t>No me entregó la información solicitada dentro del periodo establecido por la Ley de Transparencia y Acceso a la Información Pública del Estado de México y Municipios</w:t>
      </w:r>
      <w:r w:rsidRPr="009C4193" w:rsidR="005227A5">
        <w:rPr>
          <w:i/>
          <w:color w:val="000000"/>
          <w:sz w:val="20"/>
          <w:szCs w:val="20"/>
        </w:rPr>
        <w:t>.</w:t>
      </w:r>
      <w:r w:rsidRPr="009C4193" w:rsidR="005227A5">
        <w:rPr>
          <w:rFonts w:cs="Tahoma"/>
          <w:i/>
          <w:sz w:val="20"/>
          <w:szCs w:val="20"/>
        </w:rPr>
        <w:t>” (Sic.)</w:t>
      </w:r>
    </w:p>
    <w:p w:rsidRPr="009C4193" w:rsidR="005227A5" w:rsidP="005227A5" w:rsidRDefault="005227A5" w14:paraId="1C18D5EA" w14:textId="3E5498A4">
      <w:pPr>
        <w:spacing w:after="0" w:line="360" w:lineRule="auto"/>
        <w:rPr>
          <w:rFonts w:cs="Tahoma"/>
          <w:bCs/>
        </w:rPr>
      </w:pPr>
    </w:p>
    <w:p w:rsidRPr="009C4193" w:rsidR="005227A5" w:rsidP="005227A5" w:rsidRDefault="00E300C1" w14:paraId="7FD3434D" w14:textId="41215509">
      <w:pPr>
        <w:spacing w:after="0" w:line="360" w:lineRule="auto"/>
        <w:rPr>
          <w:rFonts w:eastAsia="Batang" w:cs="Tahoma"/>
          <w:b/>
          <w:bCs/>
        </w:rPr>
      </w:pPr>
      <w:r w:rsidRPr="009C4193">
        <w:rPr>
          <w:rFonts w:cs="Tahoma"/>
          <w:b/>
        </w:rPr>
        <w:t>IV</w:t>
      </w:r>
      <w:r w:rsidRPr="009C4193" w:rsidR="005227A5">
        <w:rPr>
          <w:rFonts w:cs="Tahoma"/>
          <w:b/>
        </w:rPr>
        <w:t xml:space="preserve">. </w:t>
      </w:r>
      <w:r w:rsidRPr="009C4193" w:rsidR="005227A5">
        <w:rPr>
          <w:rFonts w:eastAsia="Batang" w:cs="Tahoma"/>
          <w:b/>
          <w:bCs/>
        </w:rPr>
        <w:t xml:space="preserve">Trámite del </w:t>
      </w:r>
      <w:r w:rsidRPr="009C4193" w:rsidR="005227A5">
        <w:rPr>
          <w:rFonts w:cs="Tahoma"/>
          <w:b/>
        </w:rPr>
        <w:t xml:space="preserve">Recurso de Revisión </w:t>
      </w:r>
      <w:r w:rsidRPr="009C4193" w:rsidR="005227A5">
        <w:rPr>
          <w:rFonts w:eastAsia="Batang" w:cs="Tahoma"/>
          <w:b/>
          <w:bCs/>
        </w:rPr>
        <w:t>ante este Instituto.</w:t>
      </w:r>
    </w:p>
    <w:p w:rsidRPr="009C4193" w:rsidR="005227A5" w:rsidP="005227A5" w:rsidRDefault="005227A5" w14:paraId="66C9E43F" w14:textId="77777777">
      <w:pPr>
        <w:spacing w:after="0" w:line="360" w:lineRule="auto"/>
        <w:rPr>
          <w:rFonts w:eastAsia="Batang" w:cs="Tahoma"/>
          <w:b/>
          <w:bCs/>
        </w:rPr>
      </w:pPr>
    </w:p>
    <w:p w:rsidRPr="009C4193" w:rsidR="005227A5" w:rsidP="005227A5" w:rsidRDefault="005227A5" w14:paraId="6A4627B7" w14:textId="7A0D0C67">
      <w:pPr>
        <w:spacing w:after="0" w:line="360" w:lineRule="auto"/>
        <w:rPr>
          <w:rFonts w:eastAsia="Batang" w:cs="Tahoma"/>
          <w:bCs/>
        </w:rPr>
      </w:pPr>
      <w:r w:rsidRPr="009C4193">
        <w:rPr>
          <w:rFonts w:eastAsia="Batang" w:cs="Tahoma"/>
          <w:b/>
          <w:bCs/>
        </w:rPr>
        <w:t xml:space="preserve">a) Turno del Medio de Impugnación. </w:t>
      </w:r>
      <w:r w:rsidRPr="009C4193">
        <w:rPr>
          <w:rFonts w:eastAsia="Batang" w:cs="Tahoma"/>
          <w:bCs/>
        </w:rPr>
        <w:t xml:space="preserve">El </w:t>
      </w:r>
      <w:r w:rsidRPr="009C4193" w:rsidR="00E300C1">
        <w:rPr>
          <w:rFonts w:eastAsia="Batang" w:cs="Tahoma"/>
          <w:bCs/>
        </w:rPr>
        <w:t>primero de junio</w:t>
      </w:r>
      <w:r w:rsidRPr="009C4193">
        <w:rPr>
          <w:rFonts w:eastAsia="Batang" w:cs="Tahoma"/>
          <w:bCs/>
        </w:rPr>
        <w:t xml:space="preserve"> de dos mil veintidós, el </w:t>
      </w:r>
      <w:r w:rsidRPr="009C4193">
        <w:rPr>
          <w:rFonts w:cs="Tahoma"/>
          <w:lang w:val="es-ES"/>
        </w:rPr>
        <w:t>Sistema de Acceso a la Información Mexiquense (SAIMEX),</w:t>
      </w:r>
      <w:r w:rsidRPr="009C4193">
        <w:rPr>
          <w:rFonts w:eastAsia="Batang" w:cs="Tahoma"/>
          <w:bCs/>
        </w:rPr>
        <w:t xml:space="preserve"> asignó el número de expediente </w:t>
      </w:r>
      <w:r w:rsidRPr="009C4193">
        <w:rPr>
          <w:b/>
          <w:bCs/>
        </w:rPr>
        <w:t>0</w:t>
      </w:r>
      <w:r w:rsidRPr="009C4193" w:rsidR="00E300C1">
        <w:rPr>
          <w:b/>
          <w:bCs/>
        </w:rPr>
        <w:t>10411</w:t>
      </w:r>
      <w:r w:rsidRPr="009C4193">
        <w:rPr>
          <w:b/>
          <w:bCs/>
        </w:rPr>
        <w:t>/INFOEM/IP/RR/2022</w:t>
      </w:r>
      <w:r w:rsidRPr="009C4193">
        <w:rPr>
          <w:rFonts w:eastAsia="Batang" w:cs="Tahoma"/>
          <w:bCs/>
        </w:rPr>
        <w:t xml:space="preserve">, al medio de impugnación que nos ocupa, con base en el sistema </w:t>
      </w:r>
      <w:r w:rsidRPr="009C4193">
        <w:rPr>
          <w:rFonts w:eastAsia="Batang" w:cs="Tahoma"/>
          <w:bCs/>
        </w:rPr>
        <w:lastRenderedPageBreak/>
        <w:t xml:space="preserve">aprobado por el Pleno de este </w:t>
      </w:r>
      <w:r w:rsidRPr="009C4193" w:rsidR="000B4BCB">
        <w:rPr>
          <w:rFonts w:eastAsia="Batang" w:cs="Tahoma"/>
          <w:bCs/>
        </w:rPr>
        <w:t>Organismo</w:t>
      </w:r>
      <w:r w:rsidRPr="009C4193">
        <w:rPr>
          <w:rFonts w:eastAsia="Batang" w:cs="Tahoma"/>
          <w:bCs/>
        </w:rPr>
        <w:t xml:space="preserve"> Garante y lo turnó al Comisionado Ponente Luis Gustavo Parra Noriega, para los efectos del artículo 185, fracción I</w:t>
      </w:r>
      <w:r w:rsidRPr="009C4193" w:rsidR="000B4BCB">
        <w:rPr>
          <w:rFonts w:eastAsia="Batang" w:cs="Tahoma"/>
          <w:bCs/>
        </w:rPr>
        <w:t>,</w:t>
      </w:r>
      <w:r w:rsidRPr="009C4193">
        <w:rPr>
          <w:rFonts w:eastAsia="Batang" w:cs="Tahoma"/>
          <w:bCs/>
        </w:rPr>
        <w:t xml:space="preserve"> de la Ley de Transparencia y Acceso a la Información Pública del Estado de México y Municipios.</w:t>
      </w:r>
    </w:p>
    <w:p w:rsidRPr="009C4193" w:rsidR="005227A5" w:rsidP="005227A5" w:rsidRDefault="005227A5" w14:paraId="206E87BA" w14:textId="77777777">
      <w:pPr>
        <w:spacing w:after="0" w:line="360" w:lineRule="auto"/>
        <w:rPr>
          <w:rFonts w:eastAsia="Batang" w:cs="Tahoma"/>
          <w:bCs/>
        </w:rPr>
      </w:pPr>
    </w:p>
    <w:p w:rsidRPr="009C4193" w:rsidR="005227A5" w:rsidP="005227A5" w:rsidRDefault="005227A5" w14:paraId="4B59A1CB" w14:textId="26BFBFF3">
      <w:pPr>
        <w:spacing w:after="0" w:line="360" w:lineRule="auto"/>
        <w:rPr>
          <w:rFonts w:eastAsia="Times New Roman" w:cs="Tahoma"/>
          <w:b/>
        </w:rPr>
      </w:pPr>
      <w:r w:rsidRPr="009C4193">
        <w:rPr>
          <w:rFonts w:eastAsia="Batang" w:cs="Tahoma"/>
          <w:b/>
          <w:bCs/>
        </w:rPr>
        <w:t xml:space="preserve">b) Admisión del </w:t>
      </w:r>
      <w:r w:rsidRPr="009C4193">
        <w:rPr>
          <w:rFonts w:cs="Tahoma"/>
          <w:b/>
        </w:rPr>
        <w:t>Recurso de Revisión</w:t>
      </w:r>
      <w:r w:rsidRPr="009C4193">
        <w:rPr>
          <w:rFonts w:eastAsia="Batang" w:cs="Tahoma"/>
          <w:b/>
          <w:bCs/>
          <w:lang w:val="es-ES_tradnl"/>
        </w:rPr>
        <w:t xml:space="preserve">. </w:t>
      </w:r>
      <w:r w:rsidRPr="009C4193">
        <w:rPr>
          <w:rFonts w:eastAsia="Batang" w:cs="Tahoma"/>
          <w:bCs/>
          <w:lang w:val="es-ES_tradnl"/>
        </w:rPr>
        <w:t xml:space="preserve">El </w:t>
      </w:r>
      <w:r w:rsidRPr="009C4193" w:rsidR="00E300C1">
        <w:rPr>
          <w:rFonts w:eastAsia="Batang" w:cs="Tahoma"/>
          <w:bCs/>
          <w:lang w:val="es-ES_tradnl"/>
        </w:rPr>
        <w:t>seis</w:t>
      </w:r>
      <w:r w:rsidRPr="009C4193">
        <w:rPr>
          <w:rFonts w:eastAsia="Batang" w:cs="Tahoma"/>
          <w:bCs/>
          <w:lang w:val="es-ES_tradnl"/>
        </w:rPr>
        <w:t xml:space="preserve"> de junio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9C4193" w:rsidR="00E300C1">
        <w:rPr>
          <w:rFonts w:eastAsia="Batang" w:cs="Tahoma"/>
          <w:bCs/>
          <w:lang w:val="es-ES_tradnl"/>
        </w:rPr>
        <w:t>mismo día</w:t>
      </w:r>
      <w:r w:rsidRPr="009C419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9C4193" w:rsidR="005227A5" w:rsidP="005227A5" w:rsidRDefault="005227A5" w14:paraId="48A0BD91" w14:textId="77777777">
      <w:pPr>
        <w:spacing w:after="0" w:line="360" w:lineRule="auto"/>
        <w:rPr>
          <w:rFonts w:cs="Tahoma"/>
          <w:bCs/>
        </w:rPr>
      </w:pPr>
    </w:p>
    <w:p w:rsidRPr="009C4193" w:rsidR="005227A5" w:rsidP="005227A5" w:rsidRDefault="005227A5" w14:paraId="59952ED4" w14:textId="77777777">
      <w:pPr>
        <w:spacing w:after="0" w:line="360" w:lineRule="auto"/>
        <w:rPr>
          <w:rFonts w:cs="Tahoma"/>
          <w:b/>
          <w:lang w:val="es-ES"/>
        </w:rPr>
      </w:pPr>
      <w:r w:rsidRPr="009C4193">
        <w:rPr>
          <w:rFonts w:cs="Tahoma"/>
          <w:b/>
        </w:rPr>
        <w:t xml:space="preserve">c) </w:t>
      </w:r>
      <w:r w:rsidRPr="009C4193">
        <w:rPr>
          <w:rFonts w:cs="Tahoma"/>
          <w:b/>
          <w:bCs/>
          <w:iCs/>
          <w:lang w:val="es-ES"/>
        </w:rPr>
        <w:t>Informe Justificado o manifestaciones.</w:t>
      </w:r>
      <w:r w:rsidRPr="009C4193">
        <w:rPr>
          <w:rFonts w:cs="Tahoma"/>
          <w:bCs/>
          <w:iCs/>
          <w:lang w:val="es-ES"/>
        </w:rPr>
        <w:t xml:space="preserve"> Las partes fueron omisas en emitir manifestaciones o alegatos.</w:t>
      </w:r>
    </w:p>
    <w:p w:rsidRPr="009C4193" w:rsidR="005227A5" w:rsidP="005227A5" w:rsidRDefault="005227A5" w14:paraId="4B325BF9" w14:textId="77777777">
      <w:pPr>
        <w:spacing w:after="0" w:line="360" w:lineRule="auto"/>
        <w:rPr>
          <w:rFonts w:cs="Tahoma"/>
          <w:b/>
        </w:rPr>
      </w:pPr>
    </w:p>
    <w:p w:rsidRPr="009C4193" w:rsidR="005227A5" w:rsidP="005227A5" w:rsidRDefault="005227A5" w14:paraId="65FF3AF1" w14:textId="7DDBAA7A">
      <w:pPr>
        <w:spacing w:after="0" w:line="360" w:lineRule="auto"/>
        <w:rPr>
          <w:rFonts w:cs="Tahoma"/>
        </w:rPr>
      </w:pPr>
      <w:r w:rsidRPr="009C4193">
        <w:rPr>
          <w:rFonts w:cs="Tahoma"/>
          <w:b/>
          <w:bCs/>
        </w:rPr>
        <w:t>d) Cierre de instrucción.</w:t>
      </w:r>
      <w:r w:rsidRPr="009C4193">
        <w:rPr>
          <w:rFonts w:cs="Tahoma"/>
        </w:rPr>
        <w:t xml:space="preserve">  El </w:t>
      </w:r>
      <w:r w:rsidRPr="009C4193" w:rsidR="00E300C1">
        <w:rPr>
          <w:rFonts w:cs="Tahoma"/>
        </w:rPr>
        <w:t>once de julio</w:t>
      </w:r>
      <w:r w:rsidRPr="009C419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9C4193">
        <w:rPr>
          <w:rFonts w:cs="Tahoma"/>
          <w:lang w:val="es-ES"/>
        </w:rPr>
        <w:t>Sistema de Acceso a la Información Mexiquense (SAIMEX), el mismo día</w:t>
      </w:r>
      <w:r w:rsidRPr="009C4193">
        <w:rPr>
          <w:rFonts w:cs="Tahoma"/>
        </w:rPr>
        <w:t xml:space="preserve">. </w:t>
      </w:r>
    </w:p>
    <w:p w:rsidRPr="009C4193" w:rsidR="005227A5" w:rsidP="005227A5" w:rsidRDefault="005227A5" w14:paraId="0B852771" w14:textId="77777777">
      <w:pPr>
        <w:spacing w:after="0" w:line="360" w:lineRule="auto"/>
        <w:rPr>
          <w:rFonts w:cs="Tahoma"/>
          <w:b/>
          <w:bCs/>
          <w:lang w:val="es-ES"/>
        </w:rPr>
      </w:pPr>
    </w:p>
    <w:p w:rsidRPr="009C4193" w:rsidR="005227A5" w:rsidP="005227A5" w:rsidRDefault="005227A5" w14:paraId="0E46BF25" w14:textId="77777777">
      <w:pPr>
        <w:spacing w:after="0" w:line="360" w:lineRule="auto"/>
        <w:rPr>
          <w:rFonts w:cs="Tahoma"/>
          <w:b/>
          <w:bCs/>
        </w:rPr>
      </w:pPr>
      <w:r w:rsidRPr="009C4193">
        <w:rPr>
          <w:rFonts w:cs="Tahoma"/>
        </w:rPr>
        <w:t xml:space="preserve">En razón de que fue debidamente sustanciado el expediente electrónico y no existe diligencia pendiente de desahogo, se emite la resolución que conforme a Derecho proceda, de acuerdo a los siguientes: </w:t>
      </w:r>
    </w:p>
    <w:p w:rsidRPr="009C4193" w:rsidR="005227A5" w:rsidP="005227A5" w:rsidRDefault="005227A5" w14:paraId="4B1F9E8C" w14:textId="77777777">
      <w:pPr>
        <w:spacing w:after="0" w:line="360" w:lineRule="auto"/>
        <w:rPr>
          <w:rFonts w:cs="Tahoma"/>
        </w:rPr>
      </w:pPr>
    </w:p>
    <w:p w:rsidRPr="009C4193" w:rsidR="005227A5" w:rsidP="005227A5" w:rsidRDefault="005227A5" w14:paraId="17122BDE" w14:textId="77777777">
      <w:pPr>
        <w:spacing w:after="0" w:line="360" w:lineRule="auto"/>
        <w:jc w:val="center"/>
        <w:rPr>
          <w:rFonts w:cs="Tahoma"/>
          <w:b/>
          <w:lang w:val="es-ES"/>
        </w:rPr>
      </w:pPr>
      <w:r w:rsidRPr="009C4193">
        <w:rPr>
          <w:rFonts w:cs="Tahoma"/>
          <w:b/>
          <w:lang w:val="es-ES"/>
        </w:rPr>
        <w:t>CONSIDERANDOS:</w:t>
      </w:r>
    </w:p>
    <w:p w:rsidRPr="009C4193" w:rsidR="005227A5" w:rsidP="005227A5" w:rsidRDefault="005227A5" w14:paraId="6891E410" w14:textId="77777777">
      <w:pPr>
        <w:autoSpaceDE w:val="0"/>
        <w:autoSpaceDN w:val="0"/>
        <w:adjustRightInd w:val="0"/>
        <w:spacing w:after="0" w:line="360" w:lineRule="auto"/>
        <w:rPr>
          <w:rFonts w:cs="Tahoma"/>
          <w:b/>
          <w:lang w:val="es-ES"/>
        </w:rPr>
      </w:pPr>
      <w:r w:rsidRPr="009C4193">
        <w:rPr>
          <w:rFonts w:eastAsia="Calibri" w:cs="Tahoma"/>
          <w:b/>
          <w:lang w:val="es-ES" w:eastAsia="es-MX"/>
        </w:rPr>
        <w:lastRenderedPageBreak/>
        <w:t>PRIMERO</w:t>
      </w:r>
      <w:r w:rsidRPr="009C4193">
        <w:rPr>
          <w:rFonts w:eastAsia="Calibri" w:cs="Tahoma"/>
          <w:lang w:val="es-ES" w:eastAsia="es-MX"/>
        </w:rPr>
        <w:t xml:space="preserve">. </w:t>
      </w:r>
      <w:r w:rsidRPr="009C4193">
        <w:rPr>
          <w:rFonts w:cs="Tahoma"/>
          <w:b/>
          <w:lang w:val="es-ES"/>
        </w:rPr>
        <w:t>Competencia.</w:t>
      </w:r>
    </w:p>
    <w:p w:rsidRPr="009C4193" w:rsidR="005227A5" w:rsidP="005227A5" w:rsidRDefault="005227A5" w14:paraId="3FE730F3" w14:textId="77777777">
      <w:pPr>
        <w:autoSpaceDE w:val="0"/>
        <w:autoSpaceDN w:val="0"/>
        <w:adjustRightInd w:val="0"/>
        <w:spacing w:after="0" w:line="360" w:lineRule="auto"/>
        <w:rPr>
          <w:rFonts w:cs="Tahoma"/>
          <w:b/>
          <w:lang w:val="es-ES"/>
        </w:rPr>
      </w:pPr>
    </w:p>
    <w:p w:rsidRPr="009C4193" w:rsidR="005227A5" w:rsidP="005227A5" w:rsidRDefault="005227A5" w14:paraId="234DACC7" w14:textId="063A970A">
      <w:pPr>
        <w:spacing w:after="0" w:line="360" w:lineRule="auto"/>
        <w:rPr>
          <w:rFonts w:cs="Times New Roman"/>
        </w:rPr>
      </w:pPr>
      <w:r w:rsidRPr="009C419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w:t>
      </w:r>
      <w:r w:rsidRPr="009C4193" w:rsidR="002502EE">
        <w:t>,</w:t>
      </w:r>
      <w:r w:rsidRPr="009C4193">
        <w:t xml:space="preserve">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9C4193" w:rsidR="006F6977" w:rsidP="005227A5" w:rsidRDefault="006F6977" w14:paraId="69EB0372" w14:textId="77777777">
      <w:pPr>
        <w:autoSpaceDE w:val="0"/>
        <w:autoSpaceDN w:val="0"/>
        <w:adjustRightInd w:val="0"/>
        <w:spacing w:after="0" w:line="360" w:lineRule="auto"/>
        <w:rPr>
          <w:rFonts w:eastAsia="Calibri" w:cs="Tahoma"/>
          <w:b/>
          <w:lang w:val="es-ES" w:eastAsia="es-MX"/>
        </w:rPr>
      </w:pPr>
    </w:p>
    <w:p w:rsidRPr="009C4193" w:rsidR="005227A5" w:rsidP="005227A5" w:rsidRDefault="005227A5" w14:paraId="2D3E9525" w14:textId="58A9172D">
      <w:pPr>
        <w:autoSpaceDE w:val="0"/>
        <w:autoSpaceDN w:val="0"/>
        <w:adjustRightInd w:val="0"/>
        <w:spacing w:after="0" w:line="360" w:lineRule="auto"/>
        <w:rPr>
          <w:rFonts w:cs="Tahoma"/>
          <w:b/>
          <w:lang w:val="es-ES"/>
        </w:rPr>
      </w:pPr>
      <w:r w:rsidRPr="009C4193">
        <w:rPr>
          <w:rFonts w:eastAsia="Calibri" w:cs="Tahoma"/>
          <w:b/>
          <w:lang w:val="es-ES" w:eastAsia="es-MX"/>
        </w:rPr>
        <w:t>SEGUNDO</w:t>
      </w:r>
      <w:r w:rsidRPr="009C4193">
        <w:rPr>
          <w:rFonts w:eastAsia="Calibri" w:cs="Tahoma"/>
          <w:lang w:val="es-ES" w:eastAsia="es-MX"/>
        </w:rPr>
        <w:t xml:space="preserve">. </w:t>
      </w:r>
      <w:r w:rsidRPr="009C4193">
        <w:rPr>
          <w:rFonts w:cs="Tahoma"/>
          <w:b/>
          <w:lang w:val="es-ES"/>
        </w:rPr>
        <w:t>Causales de improcedencia y sobreseimiento.</w:t>
      </w:r>
    </w:p>
    <w:p w:rsidRPr="009C4193" w:rsidR="005227A5" w:rsidP="005227A5" w:rsidRDefault="005227A5" w14:paraId="54EC7C64" w14:textId="77777777">
      <w:pPr>
        <w:autoSpaceDE w:val="0"/>
        <w:autoSpaceDN w:val="0"/>
        <w:adjustRightInd w:val="0"/>
        <w:spacing w:after="0" w:line="360" w:lineRule="auto"/>
        <w:rPr>
          <w:rFonts w:cs="Tahoma"/>
          <w:b/>
          <w:lang w:val="es-ES"/>
        </w:rPr>
      </w:pPr>
    </w:p>
    <w:p w:rsidRPr="009C4193" w:rsidR="005227A5" w:rsidP="005227A5" w:rsidRDefault="005227A5" w14:paraId="0F6CDAE7" w14:textId="77777777">
      <w:pPr>
        <w:autoSpaceDE w:val="0"/>
        <w:autoSpaceDN w:val="0"/>
        <w:adjustRightInd w:val="0"/>
        <w:spacing w:after="0" w:line="360" w:lineRule="auto"/>
        <w:rPr>
          <w:rFonts w:cs="Tahoma"/>
          <w:lang w:val="es-ES"/>
        </w:rPr>
      </w:pPr>
      <w:r w:rsidRPr="009C4193">
        <w:rPr>
          <w:rFonts w:cs="Tahoma"/>
          <w:lang w:val="es-ES"/>
        </w:rPr>
        <w:t xml:space="preserve">De las constancias que forma parte del Recurso de Revisión que se analiza, se advierte que previo al estudio del fondo de la </w:t>
      </w:r>
      <w:r w:rsidRPr="009C4193">
        <w:rPr>
          <w:rFonts w:cs="Tahoma"/>
          <w:i/>
          <w:lang w:val="es-ES"/>
        </w:rPr>
        <w:t>litis</w:t>
      </w:r>
      <w:r w:rsidRPr="009C4193">
        <w:rPr>
          <w:rFonts w:cs="Tahoma"/>
          <w:lang w:val="es-ES"/>
        </w:rPr>
        <w:t>, es necesario estudiar las causales de improcedencia y sobreseimiento que se adviertan, para determinar lo que en Derecho proceda.</w:t>
      </w:r>
    </w:p>
    <w:p w:rsidRPr="009C4193" w:rsidR="005227A5" w:rsidP="005227A5" w:rsidRDefault="005227A5" w14:paraId="5E1689D6" w14:textId="77777777">
      <w:pPr>
        <w:autoSpaceDE w:val="0"/>
        <w:autoSpaceDN w:val="0"/>
        <w:adjustRightInd w:val="0"/>
        <w:spacing w:after="0" w:line="360" w:lineRule="auto"/>
        <w:rPr>
          <w:rFonts w:cs="Tahoma"/>
          <w:lang w:val="es-ES"/>
        </w:rPr>
      </w:pPr>
    </w:p>
    <w:p w:rsidRPr="009C4193" w:rsidR="005227A5" w:rsidP="005227A5" w:rsidRDefault="005227A5" w14:paraId="21B2C03E" w14:textId="77777777">
      <w:pPr>
        <w:autoSpaceDE w:val="0"/>
        <w:autoSpaceDN w:val="0"/>
        <w:adjustRightInd w:val="0"/>
        <w:spacing w:after="0" w:line="360" w:lineRule="auto"/>
        <w:rPr>
          <w:rFonts w:eastAsia="Calibri" w:cs="Tahoma"/>
          <w:b/>
          <w:lang w:val="es-ES" w:eastAsia="es-MX"/>
        </w:rPr>
      </w:pPr>
      <w:r w:rsidRPr="009C4193">
        <w:rPr>
          <w:rFonts w:eastAsia="Calibri" w:cs="Tahoma"/>
          <w:b/>
          <w:lang w:val="es-ES" w:eastAsia="es-MX"/>
        </w:rPr>
        <w:t>Causales de improcedencia.</w:t>
      </w:r>
    </w:p>
    <w:p w:rsidRPr="009C4193" w:rsidR="005227A5" w:rsidP="005227A5" w:rsidRDefault="005227A5" w14:paraId="6185DAC5" w14:textId="77777777">
      <w:pPr>
        <w:autoSpaceDE w:val="0"/>
        <w:autoSpaceDN w:val="0"/>
        <w:adjustRightInd w:val="0"/>
        <w:spacing w:after="0" w:line="360" w:lineRule="auto"/>
        <w:rPr>
          <w:rFonts w:eastAsia="Calibri" w:cs="Tahoma"/>
          <w:lang w:val="es-ES" w:eastAsia="es-MX"/>
        </w:rPr>
      </w:pPr>
    </w:p>
    <w:p w:rsidRPr="009C4193" w:rsidR="005227A5" w:rsidP="005227A5" w:rsidRDefault="005227A5" w14:paraId="6726A602" w14:textId="77777777">
      <w:pPr>
        <w:spacing w:after="0" w:line="360" w:lineRule="auto"/>
        <w:rPr>
          <w:rFonts w:eastAsia="Times New Roman" w:cs="Tahoma"/>
          <w:lang w:eastAsia="es-ES"/>
        </w:rPr>
      </w:pPr>
      <w:r w:rsidRPr="009C419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rsidRPr="009C4193">
        <w:rPr>
          <w:rFonts w:cs="Tahoma"/>
        </w:rP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rsidRPr="009C4193" w:rsidR="005227A5" w:rsidP="005227A5" w:rsidRDefault="005227A5" w14:paraId="50BB90E3" w14:textId="77777777">
      <w:pPr>
        <w:spacing w:after="0" w:line="360" w:lineRule="auto"/>
        <w:rPr>
          <w:rFonts w:cs="Tahoma"/>
        </w:rPr>
      </w:pPr>
      <w:r w:rsidRPr="009C4193">
        <w:rPr>
          <w:rFonts w:cs="Tahoma"/>
        </w:rPr>
        <w:t xml:space="preserve">  </w:t>
      </w:r>
    </w:p>
    <w:p w:rsidRPr="009C4193" w:rsidR="005227A5" w:rsidP="005227A5" w:rsidRDefault="005227A5" w14:paraId="46B23F76" w14:textId="77777777">
      <w:pPr>
        <w:spacing w:after="0" w:line="360" w:lineRule="auto"/>
        <w:rPr>
          <w:rFonts w:cs="Tahoma"/>
        </w:rPr>
      </w:pPr>
      <w:r w:rsidRPr="009C4193">
        <w:rPr>
          <w:rFonts w:cs="Tahoma"/>
        </w:rPr>
        <w:t>En el presente caso, </w:t>
      </w:r>
      <w:r w:rsidRPr="009C4193">
        <w:rPr>
          <w:rFonts w:cs="Tahoma"/>
          <w:b/>
          <w:bCs/>
        </w:rPr>
        <w:t>no se actualiza ninguna de las causales de improcedencia</w:t>
      </w:r>
      <w:r w:rsidRPr="009C419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9C4193" w:rsidR="005227A5" w:rsidP="005227A5" w:rsidRDefault="005227A5" w14:paraId="3F397A64" w14:textId="77777777">
      <w:pPr>
        <w:spacing w:after="0" w:line="360" w:lineRule="auto"/>
        <w:rPr>
          <w:rFonts w:cs="Tahoma"/>
        </w:rPr>
      </w:pPr>
    </w:p>
    <w:p w:rsidRPr="009C4193" w:rsidR="005227A5" w:rsidP="005227A5" w:rsidRDefault="005227A5" w14:paraId="1B193715" w14:textId="77777777">
      <w:pPr>
        <w:spacing w:after="0" w:line="360" w:lineRule="auto"/>
        <w:rPr>
          <w:rFonts w:cs="Tahoma"/>
          <w:lang w:val="es-ES"/>
        </w:rPr>
      </w:pPr>
      <w:r w:rsidRPr="009C4193">
        <w:rPr>
          <w:rFonts w:cs="Tahoma"/>
          <w:lang w:val="es-ES"/>
        </w:rPr>
        <w:t xml:space="preserve">Además, de que el Medio de Impugnación fue presentado en tiempo, toda vez que ante la ausencia de la respuesta del Ente Recurrido, se constituyó la </w:t>
      </w:r>
      <w:r w:rsidRPr="009C4193">
        <w:rPr>
          <w:rFonts w:cs="Tahoma"/>
          <w:b/>
          <w:lang w:val="es-ES"/>
        </w:rPr>
        <w:t>negativa ficta</w:t>
      </w:r>
      <w:r w:rsidRPr="009C4193">
        <w:rPr>
          <w:rFonts w:cs="Tahoma"/>
          <w:lang w:val="es-ES"/>
        </w:rPr>
        <w:t>, que genera la posibilidad de los particulares de interponer un recurso de revisión ante tal omisión, en cualquier momento;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9C4193" w:rsidR="005227A5" w:rsidP="005227A5" w:rsidRDefault="005227A5" w14:paraId="3162D18F" w14:textId="77777777">
      <w:pPr>
        <w:spacing w:after="0" w:line="360" w:lineRule="auto"/>
        <w:rPr>
          <w:rFonts w:cs="Tahoma"/>
          <w:lang w:val="es-ES"/>
        </w:rPr>
      </w:pPr>
    </w:p>
    <w:p w:rsidRPr="009C4193" w:rsidR="005227A5" w:rsidP="005227A5" w:rsidRDefault="005227A5" w14:paraId="370E25E1" w14:textId="77777777">
      <w:pPr>
        <w:spacing w:after="0" w:line="360" w:lineRule="auto"/>
        <w:rPr>
          <w:rFonts w:eastAsia="Times New Roman" w:cs="Tahoma"/>
          <w:lang w:val="es-ES" w:eastAsia="es-ES"/>
        </w:rPr>
      </w:pPr>
      <w:r w:rsidRPr="009C4193">
        <w:rPr>
          <w:rFonts w:cs="Tahoma"/>
        </w:rPr>
        <w:t xml:space="preserve">Por lo cual, se actualiza la causal de procedencia del Recurso de Revisión señalada en el artículo 179, fracción VII, de la Ley en cita, </w:t>
      </w:r>
      <w:r w:rsidRPr="009C4193">
        <w:rPr>
          <w:rFonts w:eastAsia="Calibri" w:cs="Tahoma"/>
          <w:lang w:eastAsia="es-MX"/>
        </w:rPr>
        <w:t xml:space="preserve">pues la parte Recurrente se inconformó </w:t>
      </w:r>
      <w:r w:rsidRPr="009C4193">
        <w:rPr>
          <w:rFonts w:cs="Tahoma"/>
          <w:lang w:val="es-ES"/>
        </w:rPr>
        <w:t>con la falta de respuesta a la solicitud de acceso a la información.</w:t>
      </w:r>
    </w:p>
    <w:p w:rsidRPr="009C4193" w:rsidR="005227A5" w:rsidP="005227A5" w:rsidRDefault="005227A5" w14:paraId="34CFF4CB" w14:textId="77777777">
      <w:pPr>
        <w:spacing w:after="0" w:line="360" w:lineRule="auto"/>
        <w:rPr>
          <w:rFonts w:cs="Tahoma"/>
          <w:lang w:val="es-ES"/>
        </w:rPr>
      </w:pPr>
    </w:p>
    <w:p w:rsidRPr="009C4193" w:rsidR="005227A5" w:rsidP="005227A5" w:rsidRDefault="000440DB" w14:paraId="28EED13C" w14:textId="518606AB">
      <w:pPr>
        <w:spacing w:after="0" w:line="360" w:lineRule="auto"/>
        <w:rPr>
          <w:rFonts w:cs="Tahoma"/>
        </w:rPr>
      </w:pPr>
      <w:r w:rsidRPr="009C4193">
        <w:rPr>
          <w:rFonts w:cs="Tahoma"/>
          <w:b/>
          <w:bCs/>
        </w:rPr>
        <w:t xml:space="preserve">TERCERO: </w:t>
      </w:r>
      <w:r w:rsidRPr="009C4193" w:rsidR="005227A5">
        <w:rPr>
          <w:rFonts w:cs="Tahoma"/>
          <w:b/>
          <w:bCs/>
        </w:rPr>
        <w:t>Causales de sobreseimiento.</w:t>
      </w:r>
    </w:p>
    <w:p w:rsidRPr="009C4193" w:rsidR="005227A5" w:rsidP="005227A5" w:rsidRDefault="005227A5" w14:paraId="6CDDBB31" w14:textId="77777777">
      <w:pPr>
        <w:spacing w:after="0" w:line="360" w:lineRule="auto"/>
        <w:rPr>
          <w:rFonts w:cs="Tahoma"/>
        </w:rPr>
      </w:pPr>
    </w:p>
    <w:p w:rsidRPr="009C4193" w:rsidR="005227A5" w:rsidP="005227A5" w:rsidRDefault="005227A5" w14:paraId="1163432F" w14:textId="77777777">
      <w:pPr>
        <w:spacing w:after="0" w:line="360" w:lineRule="auto"/>
        <w:rPr>
          <w:rFonts w:cs="Tahoma"/>
        </w:rPr>
      </w:pPr>
      <w:r w:rsidRPr="009C4193">
        <w:rPr>
          <w:rFonts w:cs="Tahoma"/>
        </w:rPr>
        <w:t>Por ser de previo y especial pronunciamiento, este Instituto analiza si se actualiza alguna causal de sobreseimiento.</w:t>
      </w:r>
    </w:p>
    <w:p w:rsidRPr="009C4193" w:rsidR="0069068B" w:rsidP="0069068B" w:rsidRDefault="005227A5" w14:paraId="320EF72D" w14:textId="77777777">
      <w:pPr>
        <w:widowControl w:val="0"/>
        <w:spacing w:after="0" w:line="360" w:lineRule="auto"/>
        <w:rPr>
          <w:rFonts w:eastAsia="Calibri" w:cs="Tahoma"/>
          <w:color w:val="auto"/>
          <w:lang w:eastAsia="es-ES_tradnl"/>
        </w:rPr>
      </w:pPr>
      <w:r w:rsidRPr="009C4193">
        <w:rPr>
          <w:rFonts w:cs="Tahoma"/>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w:t>
      </w:r>
      <w:r w:rsidRPr="009C4193" w:rsidR="0069068B">
        <w:rPr>
          <w:rFonts w:eastAsia="Calibri" w:cs="Tahoma"/>
          <w:color w:val="auto"/>
          <w:lang w:eastAsia="es-ES_tradnl"/>
        </w:rPr>
        <w:t>se advierte que</w:t>
      </w:r>
      <w:r w:rsidRPr="009C4193" w:rsidR="0069068B">
        <w:rPr>
          <w:rFonts w:eastAsia="Calibri" w:cs="Tahoma"/>
          <w:b/>
          <w:color w:val="auto"/>
          <w:lang w:eastAsia="es-ES_tradnl"/>
        </w:rPr>
        <w:t xml:space="preserve"> no se configuran las causales establecidas en las fracciones I, II, III, y V, </w:t>
      </w:r>
      <w:r w:rsidRPr="009C4193" w:rsidR="0069068B">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rsidRPr="009C4193" w:rsidR="0069068B" w:rsidP="0069068B" w:rsidRDefault="0069068B" w14:paraId="032D4B07" w14:textId="77777777">
      <w:pPr>
        <w:spacing w:after="0" w:line="360" w:lineRule="auto"/>
        <w:rPr>
          <w:rFonts w:eastAsia="Calibri" w:cs="Tahoma"/>
          <w:b/>
          <w:color w:val="auto"/>
          <w:lang w:eastAsia="es-ES_tradnl"/>
        </w:rPr>
      </w:pPr>
    </w:p>
    <w:p w:rsidRPr="009C4193" w:rsidR="0069068B" w:rsidP="0069068B" w:rsidRDefault="0069068B" w14:paraId="02E4B25F" w14:textId="155954C4">
      <w:pPr>
        <w:spacing w:after="0" w:line="360" w:lineRule="auto"/>
        <w:rPr>
          <w:rFonts w:eastAsia="Calibri" w:cs="Tahoma"/>
          <w:bCs/>
          <w:color w:val="auto"/>
          <w:lang w:val="es-ES" w:eastAsia="es-ES_tradnl"/>
        </w:rPr>
      </w:pPr>
      <w:r w:rsidRPr="009C4193">
        <w:rPr>
          <w:rFonts w:eastAsia="Calibri" w:cs="Tahoma"/>
          <w:color w:val="auto"/>
          <w:lang w:eastAsia="es-ES_tradnl"/>
        </w:rPr>
        <w:t xml:space="preserve">No obstante, por lo que hace a la hipótesis prevista en </w:t>
      </w:r>
      <w:r w:rsidRPr="009C4193">
        <w:rPr>
          <w:rFonts w:eastAsia="Calibri" w:cs="Tahoma"/>
          <w:b/>
          <w:bCs/>
          <w:color w:val="auto"/>
          <w:lang w:eastAsia="es-ES_tradnl"/>
        </w:rPr>
        <w:t>la fracción IV,</w:t>
      </w:r>
      <w:r w:rsidRPr="009C4193">
        <w:rPr>
          <w:rFonts w:eastAsia="Calibri" w:cs="Tahoma"/>
          <w:color w:val="auto"/>
          <w:lang w:eastAsia="es-ES_tradnl"/>
        </w:rPr>
        <w:t xml:space="preserve"> a saber, que, una vez admitido el Recurso de Revisión, aparezca alguna causal de improcedencia en términos de la presente Ley, </w:t>
      </w:r>
      <w:r w:rsidRPr="009C4193">
        <w:rPr>
          <w:rFonts w:eastAsia="Calibri" w:cs="Tahoma"/>
          <w:bCs/>
          <w:color w:val="auto"/>
          <w:lang w:eastAsia="es-ES_tradnl"/>
        </w:rPr>
        <w:t>resulta necesario traer a colación</w:t>
      </w:r>
      <w:r w:rsidRPr="009C4193">
        <w:rPr>
          <w:rFonts w:eastAsia="Calibri" w:cs="Tahoma"/>
          <w:bCs/>
          <w:color w:val="auto"/>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w:t>
      </w:r>
    </w:p>
    <w:p w:rsidRPr="009C4193" w:rsidR="0069068B" w:rsidP="0069068B" w:rsidRDefault="0069068B" w14:paraId="5DBA38BB" w14:textId="77777777">
      <w:pPr>
        <w:spacing w:after="0" w:line="360" w:lineRule="auto"/>
        <w:rPr>
          <w:rFonts w:eastAsia="Calibri" w:cs="Tahoma"/>
          <w:bCs/>
          <w:color w:val="auto"/>
          <w:lang w:val="es-ES" w:eastAsia="es-ES_tradnl"/>
        </w:rPr>
      </w:pPr>
    </w:p>
    <w:p w:rsidRPr="009C4193" w:rsidR="0069068B" w:rsidP="0069068B" w:rsidRDefault="0069068B" w14:paraId="769048DF" w14:textId="77777777">
      <w:pPr>
        <w:spacing w:after="0" w:line="360" w:lineRule="auto"/>
        <w:rPr>
          <w:rFonts w:eastAsia="Times New Roman" w:cs="Arial"/>
          <w:bCs/>
          <w:lang w:eastAsia="es-ES"/>
        </w:rPr>
      </w:pPr>
      <w:r w:rsidRPr="009C4193">
        <w:rPr>
          <w:rFonts w:eastAsia="Times New Roman" w:cs="Arial"/>
          <w:bCs/>
          <w:lang w:eastAsia="es-ES"/>
        </w:rPr>
        <w:t>En ese orden de ideas, dicho artículo prevé lo siguiente:</w:t>
      </w:r>
    </w:p>
    <w:p w:rsidRPr="009C4193" w:rsidR="0069068B" w:rsidP="0069068B" w:rsidRDefault="0069068B" w14:paraId="18487C37" w14:textId="77777777">
      <w:pPr>
        <w:spacing w:after="0" w:line="360" w:lineRule="auto"/>
        <w:rPr>
          <w:rFonts w:eastAsia="Times New Roman" w:cs="Arial"/>
          <w:bCs/>
          <w:lang w:eastAsia="es-ES"/>
        </w:rPr>
      </w:pPr>
    </w:p>
    <w:p w:rsidRPr="009C4193" w:rsidR="0069068B" w:rsidP="0069068B" w:rsidRDefault="0069068B" w14:paraId="2FD1FE5B" w14:textId="77777777">
      <w:pPr>
        <w:spacing w:after="0" w:line="360" w:lineRule="auto"/>
        <w:ind w:left="567" w:right="567"/>
        <w:rPr>
          <w:rFonts w:cs="Arial"/>
          <w:bCs/>
          <w:i/>
          <w:sz w:val="20"/>
          <w:szCs w:val="20"/>
        </w:rPr>
      </w:pPr>
      <w:r w:rsidRPr="009C4193">
        <w:rPr>
          <w:rFonts w:cs="Arial"/>
          <w:b/>
          <w:bCs/>
          <w:i/>
          <w:sz w:val="20"/>
          <w:szCs w:val="20"/>
        </w:rPr>
        <w:t xml:space="preserve">“Artículo 179. </w:t>
      </w:r>
      <w:r w:rsidRPr="009C4193">
        <w:rPr>
          <w:rFonts w:cs="Arial"/>
          <w:bCs/>
          <w:i/>
          <w:sz w:val="20"/>
          <w:szCs w:val="20"/>
        </w:rPr>
        <w:t xml:space="preserve">El recurso de revisión es un medio de protección que la Ley otorga a los particulares, para hacer valer su derecho de acceso a la información pública, y procederá en contra de las siguientes causas: </w:t>
      </w:r>
    </w:p>
    <w:p w:rsidRPr="009C4193" w:rsidR="0069068B" w:rsidP="0069068B" w:rsidRDefault="0069068B" w14:paraId="2617C1A0" w14:textId="77777777">
      <w:pPr>
        <w:spacing w:after="0" w:line="360" w:lineRule="auto"/>
        <w:ind w:left="567" w:right="567"/>
        <w:rPr>
          <w:rFonts w:cs="Arial"/>
          <w:bCs/>
          <w:i/>
          <w:sz w:val="20"/>
          <w:szCs w:val="20"/>
        </w:rPr>
      </w:pPr>
    </w:p>
    <w:p w:rsidRPr="009C4193" w:rsidR="0069068B" w:rsidP="0069068B" w:rsidRDefault="0069068B" w14:paraId="786BE56C" w14:textId="77777777">
      <w:pPr>
        <w:spacing w:after="0" w:line="360" w:lineRule="auto"/>
        <w:ind w:left="567" w:right="567"/>
        <w:rPr>
          <w:rFonts w:cs="Arial"/>
          <w:bCs/>
          <w:i/>
          <w:sz w:val="20"/>
          <w:szCs w:val="20"/>
        </w:rPr>
      </w:pPr>
      <w:r w:rsidRPr="009C4193">
        <w:rPr>
          <w:rFonts w:cs="Arial"/>
          <w:bCs/>
          <w:i/>
          <w:sz w:val="20"/>
          <w:szCs w:val="20"/>
        </w:rPr>
        <w:t xml:space="preserve">I. La negativa a la información solicitada; </w:t>
      </w:r>
    </w:p>
    <w:p w:rsidRPr="009C4193" w:rsidR="0069068B" w:rsidP="0069068B" w:rsidRDefault="0069068B" w14:paraId="5E4D5951" w14:textId="77777777">
      <w:pPr>
        <w:spacing w:after="0" w:line="360" w:lineRule="auto"/>
        <w:ind w:left="567" w:right="567"/>
        <w:rPr>
          <w:rFonts w:cs="Arial"/>
          <w:bCs/>
          <w:i/>
          <w:sz w:val="20"/>
          <w:szCs w:val="20"/>
        </w:rPr>
      </w:pPr>
      <w:r w:rsidRPr="009C4193">
        <w:rPr>
          <w:rFonts w:cs="Arial"/>
          <w:bCs/>
          <w:i/>
          <w:sz w:val="20"/>
          <w:szCs w:val="20"/>
        </w:rPr>
        <w:t xml:space="preserve">II. La clasificación de la información; </w:t>
      </w:r>
    </w:p>
    <w:p w:rsidRPr="009C4193" w:rsidR="0069068B" w:rsidP="0069068B" w:rsidRDefault="0069068B" w14:paraId="586866A5" w14:textId="77777777">
      <w:pPr>
        <w:spacing w:after="0" w:line="360" w:lineRule="auto"/>
        <w:ind w:left="567" w:right="567"/>
        <w:rPr>
          <w:rFonts w:cs="Arial"/>
          <w:bCs/>
          <w:i/>
          <w:sz w:val="20"/>
          <w:szCs w:val="20"/>
        </w:rPr>
      </w:pPr>
      <w:r w:rsidRPr="009C4193">
        <w:rPr>
          <w:rFonts w:cs="Arial"/>
          <w:bCs/>
          <w:i/>
          <w:sz w:val="20"/>
          <w:szCs w:val="20"/>
        </w:rPr>
        <w:t xml:space="preserve">III. La declaración de inexistencia de la información; </w:t>
      </w:r>
    </w:p>
    <w:p w:rsidRPr="009C4193" w:rsidR="0069068B" w:rsidP="0069068B" w:rsidRDefault="0069068B" w14:paraId="3836A933" w14:textId="77777777">
      <w:pPr>
        <w:spacing w:after="0" w:line="360" w:lineRule="auto"/>
        <w:ind w:left="567" w:right="567"/>
        <w:rPr>
          <w:rFonts w:cs="Arial"/>
          <w:bCs/>
          <w:i/>
          <w:sz w:val="20"/>
          <w:szCs w:val="20"/>
        </w:rPr>
      </w:pPr>
      <w:r w:rsidRPr="009C4193">
        <w:rPr>
          <w:rFonts w:cs="Arial"/>
          <w:bCs/>
          <w:i/>
          <w:sz w:val="20"/>
          <w:szCs w:val="20"/>
        </w:rPr>
        <w:t xml:space="preserve">IV. La declaración de incompetencia por el sujeto obligado; </w:t>
      </w:r>
    </w:p>
    <w:p w:rsidRPr="009C4193" w:rsidR="0069068B" w:rsidP="0069068B" w:rsidRDefault="0069068B" w14:paraId="2405DA87" w14:textId="77777777">
      <w:pPr>
        <w:spacing w:after="0" w:line="360" w:lineRule="auto"/>
        <w:ind w:left="567" w:right="567"/>
        <w:rPr>
          <w:rFonts w:cs="Arial"/>
          <w:bCs/>
          <w:i/>
          <w:sz w:val="20"/>
          <w:szCs w:val="20"/>
        </w:rPr>
      </w:pPr>
      <w:r w:rsidRPr="009C4193">
        <w:rPr>
          <w:rFonts w:cs="Arial"/>
          <w:bCs/>
          <w:i/>
          <w:sz w:val="20"/>
          <w:szCs w:val="20"/>
        </w:rPr>
        <w:t xml:space="preserve">V. La entrega de información incompleta; </w:t>
      </w:r>
    </w:p>
    <w:p w:rsidRPr="009C4193" w:rsidR="0069068B" w:rsidP="0069068B" w:rsidRDefault="0069068B" w14:paraId="0F9D2E16" w14:textId="77777777">
      <w:pPr>
        <w:spacing w:after="0" w:line="360" w:lineRule="auto"/>
        <w:ind w:left="567" w:right="567"/>
        <w:rPr>
          <w:rFonts w:cs="Arial"/>
          <w:bCs/>
          <w:i/>
          <w:sz w:val="20"/>
          <w:szCs w:val="20"/>
        </w:rPr>
      </w:pPr>
      <w:r w:rsidRPr="009C4193">
        <w:rPr>
          <w:rFonts w:cs="Arial"/>
          <w:bCs/>
          <w:i/>
          <w:sz w:val="20"/>
          <w:szCs w:val="20"/>
        </w:rPr>
        <w:t xml:space="preserve">VI. La entrega de información que no corresponda con lo solicitado; </w:t>
      </w:r>
    </w:p>
    <w:p w:rsidRPr="009C4193" w:rsidR="0069068B" w:rsidP="0069068B" w:rsidRDefault="0069068B" w14:paraId="1BFDA895" w14:textId="77777777">
      <w:pPr>
        <w:spacing w:after="0" w:line="360" w:lineRule="auto"/>
        <w:ind w:left="567" w:right="567"/>
        <w:rPr>
          <w:rFonts w:cs="Arial"/>
          <w:b/>
          <w:i/>
          <w:sz w:val="20"/>
          <w:szCs w:val="20"/>
        </w:rPr>
      </w:pPr>
      <w:r w:rsidRPr="009C4193">
        <w:rPr>
          <w:rFonts w:cs="Arial"/>
          <w:b/>
          <w:i/>
          <w:sz w:val="20"/>
          <w:szCs w:val="20"/>
        </w:rPr>
        <w:t xml:space="preserve">VII. La falta de respuesta a una solicitud de acceso a la información; </w:t>
      </w:r>
    </w:p>
    <w:p w:rsidRPr="009C4193" w:rsidR="0069068B" w:rsidP="0069068B" w:rsidRDefault="0069068B" w14:paraId="6D392482" w14:textId="77777777">
      <w:pPr>
        <w:spacing w:after="0" w:line="360" w:lineRule="auto"/>
        <w:ind w:left="567" w:right="567"/>
        <w:rPr>
          <w:rFonts w:cs="Arial"/>
          <w:bCs/>
          <w:i/>
          <w:sz w:val="20"/>
          <w:szCs w:val="20"/>
        </w:rPr>
      </w:pPr>
      <w:r w:rsidRPr="009C4193">
        <w:rPr>
          <w:rFonts w:cs="Arial"/>
          <w:bCs/>
          <w:i/>
          <w:sz w:val="20"/>
          <w:szCs w:val="20"/>
        </w:rPr>
        <w:lastRenderedPageBreak/>
        <w:t xml:space="preserve">VIII. La notificación, entrega o puesta a disposición de información en una modalidad o formato distinto al solicitado; </w:t>
      </w:r>
    </w:p>
    <w:p w:rsidRPr="009C4193" w:rsidR="0069068B" w:rsidP="0069068B" w:rsidRDefault="0069068B" w14:paraId="443A7AE6" w14:textId="77777777">
      <w:pPr>
        <w:spacing w:after="0" w:line="360" w:lineRule="auto"/>
        <w:ind w:left="567" w:right="567"/>
        <w:rPr>
          <w:rFonts w:cs="Arial"/>
          <w:bCs/>
          <w:i/>
          <w:sz w:val="20"/>
          <w:szCs w:val="20"/>
        </w:rPr>
      </w:pPr>
      <w:r w:rsidRPr="009C4193">
        <w:rPr>
          <w:rFonts w:cs="Arial"/>
          <w:bCs/>
          <w:i/>
          <w:sz w:val="20"/>
          <w:szCs w:val="20"/>
        </w:rPr>
        <w:t xml:space="preserve">IX. La entrega o puesta a disposición de información en un formato incomprensible y/o no accesible para el solicitante; </w:t>
      </w:r>
    </w:p>
    <w:p w:rsidRPr="009C4193" w:rsidR="0069068B" w:rsidP="0069068B" w:rsidRDefault="0069068B" w14:paraId="1289A425" w14:textId="77777777">
      <w:pPr>
        <w:spacing w:after="0" w:line="360" w:lineRule="auto"/>
        <w:ind w:left="567" w:right="567"/>
        <w:rPr>
          <w:rFonts w:cs="Arial"/>
          <w:bCs/>
          <w:i/>
          <w:sz w:val="20"/>
          <w:szCs w:val="20"/>
        </w:rPr>
      </w:pPr>
      <w:r w:rsidRPr="009C4193">
        <w:rPr>
          <w:rFonts w:cs="Arial"/>
          <w:bCs/>
          <w:i/>
          <w:sz w:val="20"/>
          <w:szCs w:val="20"/>
        </w:rPr>
        <w:t xml:space="preserve">X. Los costos o tiempos de entrega de la información; </w:t>
      </w:r>
    </w:p>
    <w:p w:rsidRPr="009C4193" w:rsidR="0069068B" w:rsidP="0069068B" w:rsidRDefault="0069068B" w14:paraId="456AEA12" w14:textId="77777777">
      <w:pPr>
        <w:spacing w:after="0" w:line="360" w:lineRule="auto"/>
        <w:ind w:left="567" w:right="567"/>
        <w:rPr>
          <w:rFonts w:cs="Arial"/>
          <w:bCs/>
          <w:i/>
          <w:sz w:val="20"/>
          <w:szCs w:val="20"/>
        </w:rPr>
      </w:pPr>
      <w:r w:rsidRPr="009C4193">
        <w:rPr>
          <w:rFonts w:cs="Arial"/>
          <w:bCs/>
          <w:i/>
          <w:sz w:val="20"/>
          <w:szCs w:val="20"/>
        </w:rPr>
        <w:t xml:space="preserve">XI. La falta de trámite a una solicitud; </w:t>
      </w:r>
    </w:p>
    <w:p w:rsidRPr="009C4193" w:rsidR="0069068B" w:rsidP="0069068B" w:rsidRDefault="0069068B" w14:paraId="31A28B15" w14:textId="77777777">
      <w:pPr>
        <w:spacing w:after="0" w:line="360" w:lineRule="auto"/>
        <w:ind w:left="567" w:right="567"/>
        <w:rPr>
          <w:rFonts w:cs="Arial"/>
          <w:bCs/>
          <w:i/>
          <w:sz w:val="20"/>
          <w:szCs w:val="20"/>
        </w:rPr>
      </w:pPr>
      <w:r w:rsidRPr="009C4193">
        <w:rPr>
          <w:rFonts w:cs="Arial"/>
          <w:bCs/>
          <w:i/>
          <w:sz w:val="20"/>
          <w:szCs w:val="20"/>
        </w:rPr>
        <w:t xml:space="preserve">XII. La negativa a permitir la consulta directa de la información; </w:t>
      </w:r>
    </w:p>
    <w:p w:rsidRPr="009C4193" w:rsidR="0069068B" w:rsidP="0069068B" w:rsidRDefault="0069068B" w14:paraId="43BE769A" w14:textId="77777777">
      <w:pPr>
        <w:spacing w:after="0" w:line="360" w:lineRule="auto"/>
        <w:ind w:left="567" w:right="567"/>
        <w:rPr>
          <w:rFonts w:cs="Arial"/>
          <w:bCs/>
          <w:i/>
          <w:sz w:val="20"/>
          <w:szCs w:val="20"/>
        </w:rPr>
      </w:pPr>
      <w:r w:rsidRPr="009C4193">
        <w:rPr>
          <w:rFonts w:cs="Arial"/>
          <w:bCs/>
          <w:i/>
          <w:sz w:val="20"/>
          <w:szCs w:val="20"/>
        </w:rPr>
        <w:t xml:space="preserve">XIII. La falta, deficiencia o insuficiencia de la fundamentación y/o motivación en la respuesta; y </w:t>
      </w:r>
    </w:p>
    <w:p w:rsidRPr="009C4193" w:rsidR="0069068B" w:rsidP="0069068B" w:rsidRDefault="0069068B" w14:paraId="7CD8C0D7" w14:textId="77777777">
      <w:pPr>
        <w:spacing w:after="0" w:line="360" w:lineRule="auto"/>
        <w:ind w:left="567" w:right="567"/>
        <w:rPr>
          <w:rFonts w:cs="Arial"/>
          <w:bCs/>
          <w:i/>
          <w:sz w:val="20"/>
          <w:szCs w:val="20"/>
        </w:rPr>
      </w:pPr>
      <w:r w:rsidRPr="009C4193">
        <w:rPr>
          <w:rFonts w:cs="Arial"/>
          <w:bCs/>
          <w:i/>
          <w:sz w:val="20"/>
          <w:szCs w:val="20"/>
        </w:rPr>
        <w:t>XIV. La orientación a un trámite específico.</w:t>
      </w:r>
    </w:p>
    <w:p w:rsidRPr="009C4193" w:rsidR="0069068B" w:rsidP="0069068B" w:rsidRDefault="0069068B" w14:paraId="226B0293" w14:textId="77777777">
      <w:pPr>
        <w:spacing w:after="0" w:line="360" w:lineRule="auto"/>
        <w:ind w:left="567" w:right="567"/>
        <w:rPr>
          <w:rFonts w:cs="Arial"/>
          <w:bCs/>
          <w:i/>
          <w:sz w:val="20"/>
          <w:szCs w:val="20"/>
        </w:rPr>
      </w:pPr>
      <w:r w:rsidRPr="009C4193">
        <w:rPr>
          <w:rFonts w:cs="Arial"/>
          <w:bCs/>
          <w:i/>
          <w:sz w:val="20"/>
          <w:szCs w:val="20"/>
        </w:rPr>
        <w:t>…”</w:t>
      </w:r>
    </w:p>
    <w:p w:rsidRPr="009C4193" w:rsidR="0069068B" w:rsidP="0069068B" w:rsidRDefault="0069068B" w14:paraId="7E4E8EA6" w14:textId="77777777">
      <w:pPr>
        <w:spacing w:after="0" w:line="360" w:lineRule="auto"/>
        <w:rPr>
          <w:rFonts w:eastAsia="Times New Roman" w:cs="Times New Roman"/>
          <w:b/>
          <w:bCs/>
          <w:color w:val="000000"/>
          <w:lang w:val="es-ES" w:eastAsia="es-ES"/>
        </w:rPr>
      </w:pPr>
    </w:p>
    <w:p w:rsidRPr="009C4193" w:rsidR="007F0B4E" w:rsidP="007F0B4E" w:rsidRDefault="007F0B4E" w14:paraId="1F159D46" w14:textId="546FE73F">
      <w:pPr>
        <w:spacing w:after="0" w:line="360" w:lineRule="auto"/>
        <w:rPr>
          <w:color w:val="auto"/>
        </w:rPr>
      </w:pPr>
      <w:r w:rsidRPr="009C4193">
        <w:rPr>
          <w:rFonts w:eastAsia="Calibri" w:cs="Tahoma"/>
          <w:bCs/>
          <w:color w:val="auto"/>
          <w:lang w:val="es-ES" w:eastAsia="es-ES_tradnl"/>
        </w:rPr>
        <w:t xml:space="preserve">En este contexto y con el fin de verificar, si el Recurso de Revisión actualiza alguna causal de procedencia, es necesario recordar que el Particular, mediante la solicitud número </w:t>
      </w:r>
      <w:r w:rsidRPr="009C4193">
        <w:rPr>
          <w:color w:val="auto"/>
        </w:rPr>
        <w:t xml:space="preserve">00008/PFSPM/IP/2022, materia de la presente, requirió los estatutos del partido político Fuerza Social </w:t>
      </w:r>
      <w:r w:rsidRPr="009C4193" w:rsidR="00162899">
        <w:rPr>
          <w:color w:val="auto"/>
        </w:rPr>
        <w:t>p</w:t>
      </w:r>
      <w:r w:rsidRPr="009C4193">
        <w:rPr>
          <w:color w:val="auto"/>
        </w:rPr>
        <w:t>or México</w:t>
      </w:r>
      <w:r w:rsidRPr="009C4193" w:rsidR="00162899">
        <w:rPr>
          <w:color w:val="auto"/>
        </w:rPr>
        <w:t>;</w:t>
      </w:r>
      <w:r w:rsidRPr="009C4193">
        <w:rPr>
          <w:color w:val="auto"/>
        </w:rPr>
        <w:t xml:space="preserve"> </w:t>
      </w:r>
      <w:r w:rsidRPr="009C4193" w:rsidR="00162899">
        <w:rPr>
          <w:color w:val="auto"/>
        </w:rPr>
        <w:t>s</w:t>
      </w:r>
      <w:r w:rsidRPr="009C4193">
        <w:rPr>
          <w:color w:val="auto"/>
        </w:rPr>
        <w:t xml:space="preserve">in embargo, </w:t>
      </w:r>
      <w:r w:rsidRPr="009C4193" w:rsidR="00162899">
        <w:rPr>
          <w:color w:val="auto"/>
        </w:rPr>
        <w:t>el Parido Político</w:t>
      </w:r>
      <w:r w:rsidRPr="009C4193">
        <w:rPr>
          <w:color w:val="auto"/>
        </w:rPr>
        <w:t xml:space="preserve"> no emitió respuesta a</w:t>
      </w:r>
      <w:r w:rsidRPr="009C4193" w:rsidR="00851111">
        <w:rPr>
          <w:color w:val="auto"/>
        </w:rPr>
        <w:t xml:space="preserve"> la solicitud de información</w:t>
      </w:r>
      <w:r w:rsidRPr="009C4193" w:rsidR="00162899">
        <w:rPr>
          <w:color w:val="auto"/>
        </w:rPr>
        <w:t xml:space="preserve">, pero </w:t>
      </w:r>
      <w:r w:rsidRPr="009C4193">
        <w:rPr>
          <w:color w:val="auto"/>
        </w:rPr>
        <w:t xml:space="preserve"> </w:t>
      </w:r>
      <w:r w:rsidRPr="009C4193" w:rsidR="00162899">
        <w:rPr>
          <w:color w:val="auto"/>
        </w:rPr>
        <w:t xml:space="preserve">lo conviene </w:t>
      </w:r>
      <w:r w:rsidRPr="009C4193" w:rsidR="00CF696C">
        <w:rPr>
          <w:color w:val="auto"/>
        </w:rPr>
        <w:t xml:space="preserve">es </w:t>
      </w:r>
      <w:r w:rsidRPr="009C4193" w:rsidR="00162899">
        <w:rPr>
          <w:color w:val="auto"/>
        </w:rPr>
        <w:t xml:space="preserve">advertir </w:t>
      </w:r>
      <w:r w:rsidRPr="009C4193" w:rsidR="00CF696C">
        <w:rPr>
          <w:color w:val="auto"/>
        </w:rPr>
        <w:t xml:space="preserve">si nos encontramos ante un Sujeto Obligado de la Ley de Transparencia y Acceso a la Información Pública del Estado de México y Municipios, por lo que se analiza </w:t>
      </w:r>
      <w:r w:rsidRPr="009C4193" w:rsidR="003A548A">
        <w:rPr>
          <w:color w:val="auto"/>
        </w:rPr>
        <w:t xml:space="preserve">si </w:t>
      </w:r>
      <w:r w:rsidRPr="009C4193" w:rsidR="00CF696C">
        <w:rPr>
          <w:color w:val="auto"/>
        </w:rPr>
        <w:t>dicha situación</w:t>
      </w:r>
      <w:r w:rsidRPr="009C4193" w:rsidR="003A548A">
        <w:rPr>
          <w:color w:val="auto"/>
        </w:rPr>
        <w:t xml:space="preserve"> se actualizó al </w:t>
      </w:r>
      <w:r w:rsidRPr="009C4193" w:rsidR="003A548A">
        <w:rPr>
          <w:rFonts w:cs="Tahoma"/>
        </w:rPr>
        <w:t>nueve de mayo de dos mil veintidós</w:t>
      </w:r>
      <w:r w:rsidRPr="009C4193" w:rsidR="00CF696C">
        <w:rPr>
          <w:color w:val="auto"/>
        </w:rPr>
        <w:t xml:space="preserve">  </w:t>
      </w:r>
      <w:r w:rsidRPr="009C4193" w:rsidR="00162899">
        <w:rPr>
          <w:color w:val="auto"/>
        </w:rPr>
        <w:t xml:space="preserve">  </w:t>
      </w:r>
    </w:p>
    <w:p w:rsidRPr="009C4193" w:rsidR="007F0B4E" w:rsidP="007F0B4E" w:rsidRDefault="007F0B4E" w14:paraId="1B3F5781" w14:textId="77777777">
      <w:pPr>
        <w:spacing w:after="0" w:line="360" w:lineRule="auto"/>
        <w:rPr>
          <w:color w:val="auto"/>
        </w:rPr>
      </w:pPr>
    </w:p>
    <w:p w:rsidRPr="009C4193" w:rsidR="007F0B4E" w:rsidP="007F0B4E" w:rsidRDefault="007C56A6" w14:paraId="680CB7DE" w14:textId="60B26C59">
      <w:pPr>
        <w:spacing w:after="0" w:line="360" w:lineRule="auto"/>
      </w:pPr>
      <w:r w:rsidRPr="009C4193">
        <w:rPr>
          <w:color w:val="auto"/>
        </w:rPr>
        <w:t>En este sentido, se</w:t>
      </w:r>
      <w:r w:rsidRPr="009C4193" w:rsidR="007F0B4E">
        <w:rPr>
          <w:color w:val="auto"/>
        </w:rPr>
        <w:t xml:space="preserve"> verific</w:t>
      </w:r>
      <w:r w:rsidRPr="009C4193">
        <w:rPr>
          <w:color w:val="auto"/>
        </w:rPr>
        <w:t>ó</w:t>
      </w:r>
      <w:r w:rsidRPr="009C4193" w:rsidR="007F0B4E">
        <w:rPr>
          <w:color w:val="auto"/>
        </w:rPr>
        <w:t xml:space="preserve"> el </w:t>
      </w:r>
      <w:r w:rsidRPr="009C4193" w:rsidR="007F0B4E">
        <w:t xml:space="preserve">Acuerdo mediante el cual el Pleno del Instituto de Transparencia, Acceso a la Información Pública y Protección de Datos Personales del Estado de México y Municipios, </w:t>
      </w:r>
      <w:r w:rsidRPr="009C4193">
        <w:t>a</w:t>
      </w:r>
      <w:r w:rsidRPr="009C4193" w:rsidR="007F0B4E">
        <w:t xml:space="preserve">prueba la Modificación al Padrón de Sujetos Obligados en Materia de Transparencia y Acceso a la Información Pública del Estado de México y Municipios, </w:t>
      </w:r>
      <w:r w:rsidRPr="009C4193" w:rsidR="00851111">
        <w:t xml:space="preserve">el cual fue celebrado durante la Décima Primera Cesión Ordinaria de fecha veinticuatro de marzo del año dos mil veintidós, en la que se acordó sustancialmente lo siguiente: </w:t>
      </w:r>
    </w:p>
    <w:p w:rsidRPr="009C4193" w:rsidR="00B259DE" w:rsidP="007F0B4E" w:rsidRDefault="00B259DE" w14:paraId="72047607" w14:textId="77777777">
      <w:pPr>
        <w:spacing w:after="0" w:line="360" w:lineRule="auto"/>
      </w:pPr>
      <w:r w:rsidRPr="009C4193">
        <w:tab/>
      </w:r>
    </w:p>
    <w:p w:rsidRPr="009C4193" w:rsidR="00851111" w:rsidP="00B259DE" w:rsidRDefault="00B259DE" w14:paraId="3627AC8B" w14:textId="7A0A2398">
      <w:pPr>
        <w:spacing w:after="0" w:line="360" w:lineRule="auto"/>
        <w:ind w:firstLine="567"/>
      </w:pPr>
      <w:r w:rsidRPr="009C4193">
        <w:t>“…</w:t>
      </w:r>
    </w:p>
    <w:p w:rsidRPr="009C4193" w:rsidR="00851111" w:rsidP="00B259DE" w:rsidRDefault="00851111" w14:paraId="0E09B656" w14:textId="5A4E1E0F">
      <w:pPr>
        <w:spacing w:after="0" w:line="360" w:lineRule="auto"/>
        <w:ind w:left="567" w:right="567"/>
        <w:rPr>
          <w:i/>
          <w:iCs/>
          <w:sz w:val="20"/>
          <w:szCs w:val="20"/>
        </w:rPr>
      </w:pPr>
      <w:r w:rsidRPr="009C4193">
        <w:rPr>
          <w:i/>
          <w:iCs/>
          <w:sz w:val="20"/>
          <w:szCs w:val="20"/>
        </w:rPr>
        <w:lastRenderedPageBreak/>
        <w:t>ÚNICO. Se aprueba la modificación del Padrón de Sujetos Obligados en materia de Transparencia y Acceso a la Información Pública del Estado de México y Municipios, en los términos siguientes:</w:t>
      </w:r>
    </w:p>
    <w:p w:rsidRPr="009C4193" w:rsidR="00B259DE" w:rsidP="00B259DE" w:rsidRDefault="00B259DE" w14:paraId="11DAF2E2" w14:textId="77777777">
      <w:pPr>
        <w:spacing w:after="0" w:line="360" w:lineRule="auto"/>
        <w:ind w:left="567" w:right="567"/>
        <w:rPr>
          <w:i/>
          <w:iCs/>
          <w:sz w:val="20"/>
          <w:szCs w:val="20"/>
        </w:rPr>
      </w:pPr>
    </w:p>
    <w:p w:rsidRPr="009C4193" w:rsidR="00B259DE" w:rsidP="00B259DE" w:rsidRDefault="00B259DE" w14:paraId="1B4E4FAF" w14:textId="72431073">
      <w:pPr>
        <w:spacing w:after="0" w:line="360" w:lineRule="auto"/>
        <w:ind w:left="567" w:right="567"/>
        <w:rPr>
          <w:i/>
          <w:iCs/>
          <w:sz w:val="20"/>
          <w:szCs w:val="20"/>
        </w:rPr>
      </w:pPr>
      <w:r w:rsidRPr="009C4193">
        <w:rPr>
          <w:i/>
          <w:iCs/>
          <w:sz w:val="20"/>
          <w:szCs w:val="20"/>
        </w:rPr>
        <w:t>...”</w:t>
      </w:r>
    </w:p>
    <w:p w:rsidRPr="009C4193" w:rsidR="00851111" w:rsidP="00B259DE" w:rsidRDefault="00B259DE" w14:paraId="1AA4E766" w14:textId="38F92130">
      <w:pPr>
        <w:spacing w:after="0" w:line="360" w:lineRule="auto"/>
        <w:ind w:left="567" w:right="567"/>
        <w:rPr>
          <w:i/>
          <w:iCs/>
          <w:color w:val="auto"/>
          <w:sz w:val="20"/>
          <w:szCs w:val="20"/>
        </w:rPr>
      </w:pPr>
      <w:r w:rsidRPr="009C4193">
        <w:rPr>
          <w:i/>
          <w:iCs/>
          <w:color w:val="auto"/>
          <w:sz w:val="20"/>
          <w:szCs w:val="20"/>
        </w:rPr>
        <w:t xml:space="preserve">De donde se desprende que dejan de ser Sujetos Obligados: </w:t>
      </w:r>
    </w:p>
    <w:p w:rsidRPr="009C4193" w:rsidR="00B259DE" w:rsidP="00B259DE" w:rsidRDefault="00B259DE" w14:paraId="487AFB04" w14:textId="77777777">
      <w:pPr>
        <w:spacing w:after="0" w:line="360" w:lineRule="auto"/>
        <w:ind w:left="567" w:right="567"/>
        <w:rPr>
          <w:i/>
          <w:iCs/>
          <w:color w:val="auto"/>
          <w:sz w:val="20"/>
          <w:szCs w:val="20"/>
        </w:rPr>
      </w:pPr>
    </w:p>
    <w:p w:rsidRPr="009C4193" w:rsidR="0067478B" w:rsidP="00B259DE" w:rsidRDefault="0067478B" w14:paraId="5660956E" w14:textId="525AAEFE">
      <w:pPr>
        <w:pStyle w:val="Prrafodelista"/>
        <w:numPr>
          <w:ilvl w:val="0"/>
          <w:numId w:val="6"/>
        </w:numPr>
        <w:spacing w:line="360" w:lineRule="auto"/>
        <w:ind w:right="567"/>
        <w:rPr>
          <w:rFonts w:ascii="Palatino Linotype" w:hAnsi="Palatino Linotype"/>
          <w:i/>
          <w:iCs/>
          <w:sz w:val="20"/>
          <w:szCs w:val="20"/>
        </w:rPr>
      </w:pPr>
      <w:r w:rsidRPr="009C4193">
        <w:rPr>
          <w:rFonts w:ascii="Palatino Linotype" w:hAnsi="Palatino Linotype"/>
          <w:i/>
          <w:iCs/>
          <w:sz w:val="20"/>
          <w:szCs w:val="20"/>
        </w:rPr>
        <w:t>Partido Encuentro Solidario</w:t>
      </w:r>
    </w:p>
    <w:p w:rsidRPr="009C4193" w:rsidR="0067478B" w:rsidP="00B259DE" w:rsidRDefault="0067478B" w14:paraId="7BF82C9F" w14:textId="687D8413">
      <w:pPr>
        <w:pStyle w:val="Prrafodelista"/>
        <w:numPr>
          <w:ilvl w:val="0"/>
          <w:numId w:val="6"/>
        </w:numPr>
        <w:spacing w:line="360" w:lineRule="auto"/>
        <w:ind w:right="567"/>
        <w:rPr>
          <w:rFonts w:ascii="Palatino Linotype" w:hAnsi="Palatino Linotype"/>
          <w:i/>
          <w:iCs/>
          <w:sz w:val="20"/>
          <w:szCs w:val="20"/>
        </w:rPr>
      </w:pPr>
      <w:r w:rsidRPr="009C4193">
        <w:rPr>
          <w:rFonts w:ascii="Palatino Linotype" w:hAnsi="Palatino Linotype"/>
          <w:i/>
          <w:iCs/>
          <w:sz w:val="20"/>
          <w:szCs w:val="20"/>
        </w:rPr>
        <w:t>Partido Redes Sociales Progresistas</w:t>
      </w:r>
    </w:p>
    <w:p w:rsidRPr="009C4193" w:rsidR="00B259DE" w:rsidP="00B259DE" w:rsidRDefault="00B259DE" w14:paraId="49B67061" w14:textId="130E0B9F">
      <w:pPr>
        <w:pStyle w:val="Prrafodelista"/>
        <w:numPr>
          <w:ilvl w:val="0"/>
          <w:numId w:val="6"/>
        </w:numPr>
        <w:spacing w:line="360" w:lineRule="auto"/>
        <w:ind w:right="567"/>
        <w:rPr>
          <w:rFonts w:ascii="Palatino Linotype" w:hAnsi="Palatino Linotype"/>
          <w:b/>
          <w:bCs/>
          <w:i/>
          <w:iCs/>
          <w:sz w:val="20"/>
          <w:szCs w:val="20"/>
        </w:rPr>
      </w:pPr>
      <w:r w:rsidRPr="009C4193">
        <w:rPr>
          <w:rFonts w:ascii="Palatino Linotype" w:hAnsi="Palatino Linotype"/>
          <w:b/>
          <w:bCs/>
          <w:i/>
          <w:iCs/>
          <w:sz w:val="20"/>
          <w:szCs w:val="20"/>
        </w:rPr>
        <w:t xml:space="preserve">Partido Fuerza Social </w:t>
      </w:r>
      <w:r w:rsidRPr="009C4193" w:rsidR="0067478B">
        <w:rPr>
          <w:rFonts w:ascii="Palatino Linotype" w:hAnsi="Palatino Linotype"/>
          <w:b/>
          <w:bCs/>
          <w:i/>
          <w:iCs/>
          <w:sz w:val="20"/>
          <w:szCs w:val="20"/>
        </w:rPr>
        <w:t>p</w:t>
      </w:r>
      <w:r w:rsidRPr="009C4193">
        <w:rPr>
          <w:rFonts w:ascii="Palatino Linotype" w:hAnsi="Palatino Linotype"/>
          <w:b/>
          <w:bCs/>
          <w:i/>
          <w:iCs/>
          <w:sz w:val="20"/>
          <w:szCs w:val="20"/>
        </w:rPr>
        <w:t>or México</w:t>
      </w:r>
    </w:p>
    <w:p w:rsidRPr="009C4193" w:rsidR="005227A5" w:rsidP="0069068B" w:rsidRDefault="005227A5" w14:paraId="75B818B3" w14:textId="26C380ED">
      <w:pPr>
        <w:spacing w:after="0" w:line="360" w:lineRule="auto"/>
        <w:rPr>
          <w:rFonts w:eastAsia="Calibri" w:cs="Tahoma"/>
          <w:b/>
          <w:iCs/>
          <w:lang w:val="es-ES" w:eastAsia="es-ES_tradnl"/>
        </w:rPr>
      </w:pPr>
    </w:p>
    <w:p w:rsidRPr="009C4193" w:rsidR="007C35B7" w:rsidP="005227A5" w:rsidRDefault="00B259DE" w14:paraId="44AF27C7" w14:textId="1CE098D2">
      <w:pPr>
        <w:tabs>
          <w:tab w:val="left" w:pos="4962"/>
        </w:tabs>
        <w:spacing w:after="0" w:line="360" w:lineRule="auto"/>
        <w:rPr>
          <w:rFonts w:eastAsia="Calibri" w:cs="Tahoma"/>
          <w:bCs/>
          <w:iCs/>
          <w:lang w:val="es-ES" w:eastAsia="es-ES_tradnl"/>
        </w:rPr>
      </w:pPr>
      <w:r w:rsidRPr="009C4193">
        <w:rPr>
          <w:rFonts w:eastAsia="Calibri" w:cs="Tahoma"/>
          <w:bCs/>
          <w:iCs/>
          <w:lang w:val="es-ES" w:eastAsia="es-ES_tradnl"/>
        </w:rPr>
        <w:t>Lo anterior</w:t>
      </w:r>
      <w:r w:rsidRPr="009C4193" w:rsidR="007C56A6">
        <w:rPr>
          <w:rFonts w:eastAsia="Calibri" w:cs="Tahoma"/>
          <w:bCs/>
          <w:iCs/>
          <w:lang w:val="es-ES" w:eastAsia="es-ES_tradnl"/>
        </w:rPr>
        <w:t>,</w:t>
      </w:r>
      <w:r w:rsidRPr="009C4193">
        <w:rPr>
          <w:rFonts w:eastAsia="Calibri" w:cs="Tahoma"/>
          <w:bCs/>
          <w:iCs/>
          <w:lang w:val="es-ES" w:eastAsia="es-ES_tradnl"/>
        </w:rPr>
        <w:t xml:space="preserve"> toma sustento con base en el acuerdo número IEEM/CG/205/2021</w:t>
      </w:r>
      <w:r w:rsidRPr="009C4193" w:rsidR="007C35B7">
        <w:rPr>
          <w:rFonts w:eastAsia="Calibri" w:cs="Tahoma"/>
          <w:bCs/>
          <w:iCs/>
          <w:lang w:val="es-ES" w:eastAsia="es-ES_tradnl"/>
        </w:rPr>
        <w:t xml:space="preserve"> del Instituto Electoral del Estado de México,</w:t>
      </w:r>
      <w:r w:rsidRPr="009C4193">
        <w:rPr>
          <w:rFonts w:eastAsia="Calibri" w:cs="Tahoma"/>
          <w:bCs/>
          <w:iCs/>
          <w:lang w:val="es-ES" w:eastAsia="es-ES_tradnl"/>
        </w:rPr>
        <w:t xml:space="preserve"> publicado en la “Gaceta de </w:t>
      </w:r>
      <w:r w:rsidRPr="009C4193" w:rsidR="007C35B7">
        <w:rPr>
          <w:rFonts w:eastAsia="Calibri" w:cs="Tahoma"/>
          <w:bCs/>
          <w:iCs/>
          <w:lang w:val="es-ES" w:eastAsia="es-ES_tradnl"/>
        </w:rPr>
        <w:t>G</w:t>
      </w:r>
      <w:r w:rsidRPr="009C4193">
        <w:rPr>
          <w:rFonts w:eastAsia="Calibri" w:cs="Tahoma"/>
          <w:bCs/>
          <w:iCs/>
          <w:lang w:val="es-ES" w:eastAsia="es-ES_tradnl"/>
        </w:rPr>
        <w:t>obierno”</w:t>
      </w:r>
      <w:r w:rsidRPr="009C4193" w:rsidR="007C35B7">
        <w:rPr>
          <w:rFonts w:eastAsia="Calibri" w:cs="Tahoma"/>
          <w:bCs/>
          <w:iCs/>
          <w:lang w:val="es-ES" w:eastAsia="es-ES_tradnl"/>
        </w:rPr>
        <w:t xml:space="preserve"> del Estado de México, visible en el siguiente enlace electrónico para su consulta: </w:t>
      </w:r>
      <w:hyperlink w:history="1" r:id="rId7">
        <w:r w:rsidRPr="009C4193" w:rsidR="007C35B7">
          <w:rPr>
            <w:rStyle w:val="Hipervnculo"/>
            <w:rFonts w:eastAsia="Calibri" w:cs="Tahoma"/>
            <w:bCs/>
            <w:iCs/>
            <w:lang w:val="es-ES" w:eastAsia="es-ES_tradnl"/>
          </w:rPr>
          <w:t>https://www.ieem.org.mx/consejo_general/cg/2021/AC_21/a205_21.pdf</w:t>
        </w:r>
      </w:hyperlink>
      <w:r w:rsidRPr="009C4193" w:rsidR="007C35B7">
        <w:rPr>
          <w:rFonts w:eastAsia="Calibri" w:cs="Tahoma"/>
          <w:bCs/>
          <w:iCs/>
          <w:lang w:val="es-ES" w:eastAsia="es-ES_tradnl"/>
        </w:rPr>
        <w:t xml:space="preserve">,  </w:t>
      </w:r>
      <w:r w:rsidRPr="009C4193">
        <w:rPr>
          <w:rFonts w:eastAsia="Calibri" w:cs="Tahoma"/>
          <w:bCs/>
          <w:iCs/>
          <w:lang w:val="es-ES" w:eastAsia="es-ES_tradnl"/>
        </w:rPr>
        <w:t xml:space="preserve"> relativo a la pérdida de</w:t>
      </w:r>
      <w:r w:rsidRPr="009C4193" w:rsidR="007C35B7">
        <w:rPr>
          <w:rFonts w:eastAsia="Calibri" w:cs="Tahoma"/>
          <w:bCs/>
          <w:iCs/>
          <w:lang w:val="es-ES" w:eastAsia="es-ES_tradnl"/>
        </w:rPr>
        <w:t xml:space="preserve"> la acreditación del Partido Político Fuerza por México, del que se muestra un extracto a continuación: </w:t>
      </w:r>
    </w:p>
    <w:p w:rsidRPr="009C4193" w:rsidR="007C35B7" w:rsidP="005227A5" w:rsidRDefault="007C35B7" w14:paraId="23EF9619" w14:textId="77777777">
      <w:pPr>
        <w:tabs>
          <w:tab w:val="left" w:pos="4962"/>
        </w:tabs>
        <w:spacing w:after="0" w:line="360" w:lineRule="auto"/>
        <w:rPr>
          <w:rFonts w:eastAsia="Calibri" w:cs="Tahoma"/>
          <w:bCs/>
          <w:iCs/>
          <w:lang w:val="es-ES" w:eastAsia="es-ES_tradnl"/>
        </w:rPr>
      </w:pPr>
    </w:p>
    <w:p w:rsidRPr="009C4193" w:rsidR="00B34EE6" w:rsidP="00FC7CF6" w:rsidRDefault="007C35B7" w14:paraId="353BFB05" w14:textId="247ACEF8">
      <w:pPr>
        <w:tabs>
          <w:tab w:val="left" w:pos="4962"/>
        </w:tabs>
        <w:spacing w:after="0" w:line="360" w:lineRule="auto"/>
        <w:jc w:val="center"/>
        <w:rPr>
          <w:rFonts w:eastAsia="Calibri" w:cs="Tahoma"/>
          <w:bCs/>
          <w:iCs/>
          <w:lang w:val="es-ES" w:eastAsia="es-ES_tradnl"/>
        </w:rPr>
      </w:pPr>
      <w:r w:rsidRPr="009C4193">
        <w:rPr>
          <w:noProof/>
        </w:rPr>
        <w:drawing>
          <wp:inline distT="0" distB="0" distL="0" distR="0" wp14:anchorId="22AE3AC2" wp14:editId="2A7005E0">
            <wp:extent cx="5565913" cy="9237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76" t="46395" r="20267" b="36201"/>
                    <a:stretch/>
                  </pic:blipFill>
                  <pic:spPr bwMode="auto">
                    <a:xfrm>
                      <a:off x="0" y="0"/>
                      <a:ext cx="5659274" cy="939225"/>
                    </a:xfrm>
                    <a:prstGeom prst="rect">
                      <a:avLst/>
                    </a:prstGeom>
                    <a:ln>
                      <a:noFill/>
                    </a:ln>
                    <a:extLst>
                      <a:ext uri="{53640926-AAD7-44D8-BBD7-CCE9431645EC}">
                        <a14:shadowObscured xmlns:a14="http://schemas.microsoft.com/office/drawing/2010/main"/>
                      </a:ext>
                    </a:extLst>
                  </pic:spPr>
                </pic:pic>
              </a:graphicData>
            </a:graphic>
          </wp:inline>
        </w:drawing>
      </w:r>
    </w:p>
    <w:p w:rsidRPr="009C4193" w:rsidR="007C35B7" w:rsidP="005227A5" w:rsidRDefault="007C35B7" w14:paraId="326DC8A4" w14:textId="38B71186">
      <w:pPr>
        <w:tabs>
          <w:tab w:val="left" w:pos="4962"/>
        </w:tabs>
        <w:spacing w:after="0" w:line="360" w:lineRule="auto"/>
        <w:rPr>
          <w:rFonts w:eastAsia="Calibri" w:cs="Tahoma"/>
          <w:bCs/>
          <w:iCs/>
          <w:lang w:val="es-ES" w:eastAsia="es-ES_tradnl"/>
        </w:rPr>
      </w:pPr>
    </w:p>
    <w:p w:rsidRPr="009C4193" w:rsidR="00FC7CF6" w:rsidP="005227A5" w:rsidRDefault="00FC7CF6" w14:paraId="54F4BB79" w14:textId="2814F473">
      <w:pPr>
        <w:tabs>
          <w:tab w:val="left" w:pos="4962"/>
        </w:tabs>
        <w:spacing w:after="0" w:line="360" w:lineRule="auto"/>
        <w:rPr>
          <w:rFonts w:eastAsia="Calibri" w:cs="Tahoma"/>
          <w:bCs/>
          <w:iCs/>
          <w:lang w:val="es-ES" w:eastAsia="es-ES_tradnl"/>
        </w:rPr>
      </w:pPr>
      <w:r w:rsidRPr="009C4193">
        <w:rPr>
          <w:rFonts w:eastAsia="Calibri" w:cs="Tahoma"/>
          <w:bCs/>
          <w:iCs/>
          <w:lang w:val="es-ES" w:eastAsia="es-ES_tradnl"/>
        </w:rPr>
        <w:t xml:space="preserve">Conforme a lo </w:t>
      </w:r>
      <w:r w:rsidRPr="009C4193" w:rsidR="007C56A6">
        <w:rPr>
          <w:rFonts w:eastAsia="Calibri" w:cs="Tahoma"/>
          <w:bCs/>
          <w:iCs/>
          <w:lang w:val="es-ES" w:eastAsia="es-ES_tradnl"/>
        </w:rPr>
        <w:t>establecido,</w:t>
      </w:r>
      <w:r w:rsidRPr="009C4193">
        <w:rPr>
          <w:rFonts w:eastAsia="Calibri" w:cs="Tahoma"/>
          <w:bCs/>
          <w:iCs/>
          <w:lang w:val="es-ES" w:eastAsia="es-ES_tradnl"/>
        </w:rPr>
        <w:t xml:space="preserve"> se logra observar que el Recurso de Revisión</w:t>
      </w:r>
      <w:r w:rsidRPr="009C4193" w:rsidR="0067478B">
        <w:rPr>
          <w:rFonts w:eastAsia="Calibri" w:cs="Tahoma"/>
          <w:bCs/>
          <w:iCs/>
          <w:lang w:val="es-ES" w:eastAsia="es-ES_tradnl"/>
        </w:rPr>
        <w:t xml:space="preserve">, se presentó posterior a la pérdida de acreditación como Partido Político en la Entidad y de que, este Instituto lo eliminara del padrón de Sujetos Obligaos, por lo que el propio instituto político estaba impedido de atender la solicitud de información pues dejó de existir en la vida jurídica, de tal suerte que, </w:t>
      </w:r>
      <w:r w:rsidRPr="009C4193">
        <w:rPr>
          <w:rFonts w:eastAsia="Calibri" w:cs="Tahoma"/>
          <w:bCs/>
          <w:iCs/>
          <w:lang w:val="es-ES" w:eastAsia="es-ES_tradnl"/>
        </w:rPr>
        <w:t xml:space="preserve"> no actualiza ninguna causal de procedencia, pues si bien el Particular hizo valer su derecho a interponer su Recurso de Revisión ante la falta de respuesta, también lo es que </w:t>
      </w:r>
      <w:r w:rsidRPr="009C4193" w:rsidR="0067478B">
        <w:rPr>
          <w:rFonts w:eastAsia="Calibri" w:cs="Tahoma"/>
          <w:bCs/>
          <w:iCs/>
          <w:lang w:val="es-ES" w:eastAsia="es-ES_tradnl"/>
        </w:rPr>
        <w:lastRenderedPageBreak/>
        <w:t>anteriormente Partido Político</w:t>
      </w:r>
      <w:r w:rsidRPr="009C4193">
        <w:rPr>
          <w:rFonts w:eastAsia="Calibri" w:cs="Tahoma"/>
          <w:bCs/>
          <w:iCs/>
          <w:lang w:val="es-ES" w:eastAsia="es-ES_tradnl"/>
        </w:rPr>
        <w:t xml:space="preserve"> ya </w:t>
      </w:r>
      <w:r w:rsidRPr="009C4193" w:rsidR="0067478B">
        <w:rPr>
          <w:rFonts w:eastAsia="Calibri" w:cs="Tahoma"/>
          <w:bCs/>
          <w:iCs/>
          <w:lang w:val="es-ES" w:eastAsia="es-ES_tradnl"/>
        </w:rPr>
        <w:t>no tenía la calidad de</w:t>
      </w:r>
      <w:r w:rsidRPr="009C4193">
        <w:rPr>
          <w:rFonts w:eastAsia="Calibri" w:cs="Tahoma"/>
          <w:bCs/>
          <w:iCs/>
          <w:lang w:val="es-ES" w:eastAsia="es-ES_tradnl"/>
        </w:rPr>
        <w:t xml:space="preserve"> Sujeto Obligado desde el momento de la presentación de su solicitud de información la cual se tuvo por presentada </w:t>
      </w:r>
      <w:r w:rsidRPr="009C4193">
        <w:rPr>
          <w:rFonts w:eastAsia="Calibri" w:cs="Tahoma"/>
          <w:b/>
          <w:iCs/>
          <w:lang w:val="es-ES" w:eastAsia="es-ES_tradnl"/>
        </w:rPr>
        <w:t>el nueve de mayo de dos mil veintidós</w:t>
      </w:r>
      <w:r w:rsidRPr="009C4193" w:rsidR="0067478B">
        <w:rPr>
          <w:rFonts w:eastAsia="Calibri" w:cs="Tahoma"/>
          <w:b/>
          <w:iCs/>
          <w:lang w:val="es-ES" w:eastAsia="es-ES_tradnl"/>
        </w:rPr>
        <w:t xml:space="preserve">, </w:t>
      </w:r>
      <w:r w:rsidRPr="009C4193" w:rsidR="0067478B">
        <w:rPr>
          <w:rFonts w:eastAsia="Calibri" w:cs="Tahoma"/>
          <w:bCs/>
          <w:iCs/>
          <w:lang w:val="es-ES" w:eastAsia="es-ES_tradnl"/>
        </w:rPr>
        <w:t>por lo tanto no se configuró la falta de respuesta, pues esta se entiende únicamente cuando, un Sujeto Obligado, constreñido legalmente a dar curso  las solicitudes de acceso a la información</w:t>
      </w:r>
      <w:r w:rsidRPr="009C4193" w:rsidR="00D74BFD">
        <w:rPr>
          <w:rFonts w:eastAsia="Calibri" w:cs="Tahoma"/>
          <w:bCs/>
          <w:iCs/>
          <w:lang w:val="es-ES" w:eastAsia="es-ES_tradnl"/>
        </w:rPr>
        <w:t xml:space="preserve"> deja de atenderlas.</w:t>
      </w:r>
    </w:p>
    <w:p w:rsidRPr="009C4193" w:rsidR="00FC7CF6" w:rsidP="005227A5" w:rsidRDefault="00FC7CF6" w14:paraId="760CA3F8" w14:textId="77777777">
      <w:pPr>
        <w:tabs>
          <w:tab w:val="left" w:pos="4962"/>
        </w:tabs>
        <w:spacing w:after="0" w:line="360" w:lineRule="auto"/>
        <w:rPr>
          <w:rFonts w:eastAsia="Calibri" w:cs="Tahoma"/>
          <w:bCs/>
          <w:iCs/>
          <w:lang w:val="es-ES" w:eastAsia="es-ES_tradnl"/>
        </w:rPr>
      </w:pPr>
    </w:p>
    <w:p w:rsidRPr="009C4193" w:rsidR="00FC7CF6" w:rsidP="00FC7CF6" w:rsidRDefault="00FC7CF6" w14:paraId="1222BA49" w14:textId="77777777">
      <w:pPr>
        <w:spacing w:after="0" w:line="360" w:lineRule="auto"/>
        <w:rPr>
          <w:rFonts w:cs="Tahoma"/>
          <w:bCs/>
          <w:color w:val="0D0D0D" w:themeColor="text1" w:themeTint="F2"/>
        </w:rPr>
      </w:pPr>
      <w:r w:rsidRPr="009C4193">
        <w:rPr>
          <w:rFonts w:eastAsia="Calibri" w:cs="Arial"/>
          <w:color w:val="000000"/>
          <w:lang w:val="es-ES"/>
        </w:rPr>
        <w:t xml:space="preserve">Por lo tanto, dado que el Medio de Impugnación no actualiza ninguna causal de procedencia, es que se </w:t>
      </w:r>
      <w:r w:rsidRPr="009C4193">
        <w:rPr>
          <w:rFonts w:eastAsia="Calibri" w:cs="Arial"/>
          <w:b/>
          <w:color w:val="000000"/>
          <w:lang w:val="es-ES"/>
        </w:rPr>
        <w:t>actualiza la causal de desechamiento establecida en el artículo 191, fracción III, de la Ley de la materia</w:t>
      </w:r>
      <w:r w:rsidRPr="009C4193">
        <w:rPr>
          <w:rFonts w:cs="Tahoma"/>
          <w:bCs/>
          <w:color w:val="000000"/>
          <w:lang w:val="es-ES"/>
        </w:rPr>
        <w:t>; sin embargo, toda vez que fue necesario admitir el Medio de Impugnación, para verificar dicha circunstancia</w:t>
      </w:r>
      <w:r w:rsidRPr="009C4193">
        <w:rPr>
          <w:rFonts w:cs="Tahoma"/>
          <w:bCs/>
          <w:color w:val="0D0D0D" w:themeColor="text1" w:themeTint="F2"/>
        </w:rPr>
        <w:t xml:space="preserve">, lo procedente es </w:t>
      </w:r>
      <w:r w:rsidRPr="009C4193">
        <w:rPr>
          <w:rFonts w:cs="Tahoma"/>
          <w:b/>
          <w:bCs/>
          <w:color w:val="0D0D0D" w:themeColor="text1" w:themeTint="F2"/>
        </w:rPr>
        <w:t xml:space="preserve">SOBRESEER </w:t>
      </w:r>
      <w:r w:rsidRPr="009C4193">
        <w:rPr>
          <w:rFonts w:cs="Tahoma"/>
          <w:bCs/>
          <w:color w:val="0D0D0D" w:themeColor="text1" w:themeTint="F2"/>
        </w:rPr>
        <w:t>el mismo.</w:t>
      </w:r>
    </w:p>
    <w:p w:rsidRPr="009C4193" w:rsidR="005227A5" w:rsidP="000440DB" w:rsidRDefault="00FC7CF6" w14:paraId="407050A5" w14:textId="704064EA">
      <w:pPr>
        <w:tabs>
          <w:tab w:val="left" w:pos="4962"/>
        </w:tabs>
        <w:spacing w:after="0" w:line="360" w:lineRule="auto"/>
        <w:rPr>
          <w:rFonts w:eastAsia="Calibri" w:cs="Tahoma"/>
          <w:bCs/>
          <w:lang w:val="es-ES_tradnl"/>
        </w:rPr>
      </w:pPr>
      <w:r w:rsidRPr="009C4193">
        <w:rPr>
          <w:rFonts w:eastAsia="Calibri" w:cs="Tahoma"/>
          <w:bCs/>
          <w:iCs/>
          <w:lang w:val="es-ES" w:eastAsia="es-ES_tradnl"/>
        </w:rPr>
        <w:t xml:space="preserve"> </w:t>
      </w:r>
    </w:p>
    <w:p w:rsidRPr="009C4193" w:rsidR="000440DB" w:rsidP="000440DB" w:rsidRDefault="000440DB" w14:paraId="1F424539" w14:textId="77777777">
      <w:pPr>
        <w:spacing w:after="0"/>
        <w:rPr>
          <w:rFonts w:eastAsia="Times New Roman" w:cs="Tahoma"/>
          <w:b/>
          <w:color w:val="auto"/>
          <w:lang w:val="es-ES" w:eastAsia="es-ES"/>
        </w:rPr>
      </w:pPr>
      <w:r w:rsidRPr="009C4193">
        <w:rPr>
          <w:rFonts w:eastAsia="Times New Roman" w:cs="Tahoma"/>
          <w:b/>
          <w:color w:val="auto"/>
          <w:lang w:val="es-ES" w:eastAsia="es-ES"/>
        </w:rPr>
        <w:t xml:space="preserve">CUARTO. Decisión. </w:t>
      </w:r>
    </w:p>
    <w:p w:rsidRPr="009C4193" w:rsidR="000440DB" w:rsidP="000440DB" w:rsidRDefault="000440DB" w14:paraId="4C665F5E" w14:textId="77777777">
      <w:pPr>
        <w:spacing w:after="0" w:line="360" w:lineRule="auto"/>
        <w:rPr>
          <w:rFonts w:eastAsia="Times New Roman" w:cs="Tahoma"/>
          <w:b/>
          <w:color w:val="auto"/>
          <w:lang w:val="es-ES" w:eastAsia="es-ES"/>
        </w:rPr>
      </w:pPr>
    </w:p>
    <w:p w:rsidRPr="009C4193" w:rsidR="000440DB" w:rsidP="000440DB" w:rsidRDefault="000440DB" w14:paraId="0E6573D1" w14:textId="77777777">
      <w:pPr>
        <w:spacing w:after="0" w:line="360" w:lineRule="auto"/>
        <w:rPr>
          <w:rFonts w:eastAsia="Times New Roman" w:cs="Tahoma"/>
          <w:color w:val="auto"/>
          <w:lang w:val="es-ES" w:eastAsia="es-ES"/>
        </w:rPr>
      </w:pPr>
      <w:r w:rsidRPr="009C4193">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9C4193">
        <w:rPr>
          <w:rFonts w:eastAsia="Times New Roman" w:cs="Tahoma"/>
          <w:b/>
          <w:color w:val="auto"/>
          <w:lang w:val="es-ES" w:eastAsia="es-ES"/>
        </w:rPr>
        <w:t xml:space="preserve">SOBRESEER </w:t>
      </w:r>
      <w:r w:rsidRPr="009C4193">
        <w:rPr>
          <w:rFonts w:eastAsia="Times New Roman" w:cs="Tahoma"/>
          <w:color w:val="auto"/>
          <w:lang w:val="es-ES" w:eastAsia="es-ES"/>
        </w:rPr>
        <w:t>el Recurso de Revisión, en virtud de que se actualiza la hipótesis normativa prevista en la fracción IV, del diverso 192, en relación, con el 191, fracción III, ambos del citado ordenamiento legal.</w:t>
      </w:r>
    </w:p>
    <w:p w:rsidRPr="009C4193" w:rsidR="000440DB" w:rsidP="000440DB" w:rsidRDefault="000440DB" w14:paraId="6518C428" w14:textId="77777777">
      <w:pPr>
        <w:autoSpaceDE w:val="0"/>
        <w:autoSpaceDN w:val="0"/>
        <w:adjustRightInd w:val="0"/>
        <w:spacing w:after="0" w:line="360" w:lineRule="auto"/>
        <w:rPr>
          <w:rFonts w:eastAsia="Calibri" w:cs="Tahoma"/>
          <w:b/>
          <w:bCs/>
          <w:iCs/>
          <w:color w:val="auto"/>
          <w:lang w:val="es-ES"/>
        </w:rPr>
      </w:pPr>
    </w:p>
    <w:p w:rsidRPr="009C4193" w:rsidR="000440DB" w:rsidP="000440DB" w:rsidRDefault="000440DB" w14:paraId="022A2B52" w14:textId="77777777">
      <w:pPr>
        <w:autoSpaceDE w:val="0"/>
        <w:autoSpaceDN w:val="0"/>
        <w:adjustRightInd w:val="0"/>
        <w:spacing w:after="0" w:line="360" w:lineRule="auto"/>
        <w:rPr>
          <w:rFonts w:eastAsia="Calibri" w:cs="Tahoma"/>
          <w:b/>
          <w:bCs/>
          <w:iCs/>
          <w:color w:val="auto"/>
          <w:lang w:val="es-ES"/>
        </w:rPr>
      </w:pPr>
      <w:r w:rsidRPr="009C4193">
        <w:rPr>
          <w:rFonts w:eastAsia="Calibri" w:cs="Tahoma"/>
          <w:b/>
          <w:bCs/>
          <w:iCs/>
          <w:color w:val="auto"/>
          <w:lang w:val="es-ES"/>
        </w:rPr>
        <w:t>Términos de la Resolución para conocimiento del Particular.</w:t>
      </w:r>
    </w:p>
    <w:p w:rsidRPr="009C4193" w:rsidR="000440DB" w:rsidP="000440DB" w:rsidRDefault="000440DB" w14:paraId="26CC94C6" w14:textId="77777777">
      <w:pPr>
        <w:autoSpaceDE w:val="0"/>
        <w:autoSpaceDN w:val="0"/>
        <w:adjustRightInd w:val="0"/>
        <w:spacing w:after="0" w:line="360" w:lineRule="auto"/>
        <w:rPr>
          <w:rFonts w:eastAsia="Calibri" w:cs="Tahoma"/>
          <w:b/>
          <w:bCs/>
          <w:iCs/>
          <w:color w:val="auto"/>
          <w:lang w:val="es-ES"/>
        </w:rPr>
      </w:pPr>
    </w:p>
    <w:p w:rsidRPr="009C4193" w:rsidR="000440DB" w:rsidP="000440DB" w:rsidRDefault="000440DB" w14:paraId="11743B50" w14:textId="7CFAE4B0">
      <w:pPr>
        <w:spacing w:after="0" w:line="360" w:lineRule="auto"/>
        <w:rPr>
          <w:rFonts w:eastAsia="Times New Roman" w:cs="Tahoma"/>
          <w:bCs/>
          <w:color w:val="auto"/>
          <w:lang w:eastAsia="es-ES"/>
        </w:rPr>
      </w:pPr>
      <w:r w:rsidRPr="009C4193">
        <w:rPr>
          <w:rFonts w:eastAsia="Times New Roman" w:cs="Tahoma"/>
          <w:bCs/>
          <w:color w:val="auto"/>
          <w:lang w:eastAsia="es-ES"/>
        </w:rPr>
        <w:t>Se le hace del conocimiento al Particular, que su Recurso no actualiza ninguna de las causales de procedencia, establecidas en la Ley de la materia, toda vez que el Particular al interponer su Recurso de Revisión, incluso al momento de realizar su solicitud de información, el Sujeto Obligado ya había dejado de serlo; por lo que, resulta procedente sobreseer el Medio de Impugnación, al ser improcedente.</w:t>
      </w:r>
    </w:p>
    <w:p w:rsidRPr="009C4193" w:rsidR="000440DB" w:rsidP="000440DB" w:rsidRDefault="000440DB" w14:paraId="33142C34" w14:textId="77777777">
      <w:pPr>
        <w:autoSpaceDE w:val="0"/>
        <w:autoSpaceDN w:val="0"/>
        <w:adjustRightInd w:val="0"/>
        <w:spacing w:after="0" w:line="360" w:lineRule="auto"/>
        <w:rPr>
          <w:rFonts w:eastAsia="Calibri" w:cs="Tahoma"/>
          <w:bCs/>
          <w:iCs/>
          <w:color w:val="auto"/>
          <w:lang w:val="es-ES"/>
        </w:rPr>
      </w:pPr>
    </w:p>
    <w:p w:rsidRPr="009C4193" w:rsidR="000440DB" w:rsidP="000440DB" w:rsidRDefault="000440DB" w14:paraId="27F08CF3" w14:textId="77777777">
      <w:pPr>
        <w:autoSpaceDE w:val="0"/>
        <w:autoSpaceDN w:val="0"/>
        <w:adjustRightInd w:val="0"/>
        <w:spacing w:after="0" w:line="360" w:lineRule="auto"/>
        <w:rPr>
          <w:rFonts w:eastAsia="Calibri" w:cs="Tahoma"/>
          <w:bCs/>
          <w:iCs/>
          <w:color w:val="auto"/>
          <w:lang w:val="es-ES_tradnl"/>
        </w:rPr>
      </w:pPr>
      <w:r w:rsidRPr="009C4193">
        <w:rPr>
          <w:rFonts w:eastAsia="Calibri" w:cs="Tahoma"/>
          <w:bCs/>
          <w:iCs/>
          <w:color w:val="auto"/>
          <w:lang w:val="es-ES_tradnl"/>
        </w:rPr>
        <w:lastRenderedPageBreak/>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9C4193" w:rsidR="000440DB" w:rsidP="000440DB" w:rsidRDefault="000440DB" w14:paraId="525C19BF" w14:textId="77777777">
      <w:pPr>
        <w:widowControl w:val="0"/>
        <w:spacing w:after="0" w:line="360" w:lineRule="auto"/>
        <w:rPr>
          <w:rFonts w:eastAsia="Calibri" w:cs="Tahoma"/>
          <w:bCs/>
          <w:iCs/>
          <w:color w:val="auto"/>
          <w:lang w:val="es-ES_tradnl"/>
        </w:rPr>
      </w:pPr>
    </w:p>
    <w:p w:rsidRPr="009C4193" w:rsidR="000440DB" w:rsidP="000440DB" w:rsidRDefault="000440DB" w14:paraId="32549B90" w14:textId="77777777">
      <w:pPr>
        <w:autoSpaceDE w:val="0"/>
        <w:autoSpaceDN w:val="0"/>
        <w:adjustRightInd w:val="0"/>
        <w:spacing w:after="0" w:line="360" w:lineRule="auto"/>
        <w:rPr>
          <w:rFonts w:eastAsia="Calibri" w:cs="Tahoma"/>
          <w:bCs/>
          <w:iCs/>
          <w:color w:val="auto"/>
        </w:rPr>
      </w:pPr>
      <w:r w:rsidRPr="009C4193">
        <w:rPr>
          <w:rFonts w:eastAsia="Calibri" w:cs="Tahoma"/>
          <w:bCs/>
          <w:iCs/>
          <w:color w:val="auto"/>
        </w:rPr>
        <w:t>Por lo expuesto y fundado, este Pleno:</w:t>
      </w:r>
    </w:p>
    <w:p w:rsidRPr="009C4193" w:rsidR="000440DB" w:rsidP="000440DB" w:rsidRDefault="000440DB" w14:paraId="72E0C1B8" w14:textId="77777777">
      <w:pPr>
        <w:autoSpaceDE w:val="0"/>
        <w:autoSpaceDN w:val="0"/>
        <w:adjustRightInd w:val="0"/>
        <w:spacing w:after="0" w:line="360" w:lineRule="auto"/>
        <w:rPr>
          <w:rFonts w:eastAsia="Calibri" w:cs="Tahoma"/>
          <w:bCs/>
          <w:iCs/>
          <w:color w:val="auto"/>
        </w:rPr>
      </w:pPr>
    </w:p>
    <w:p w:rsidRPr="009C4193" w:rsidR="000440DB" w:rsidP="000440DB" w:rsidRDefault="000440DB" w14:paraId="2CAE619A" w14:textId="48BC7BC2">
      <w:pPr>
        <w:spacing w:after="0" w:line="360" w:lineRule="auto"/>
        <w:jc w:val="center"/>
        <w:rPr>
          <w:rFonts w:eastAsia="Times New Roman" w:cs="Tahoma"/>
          <w:b/>
          <w:bCs/>
          <w:color w:val="auto"/>
          <w:lang w:eastAsia="es-ES"/>
        </w:rPr>
      </w:pPr>
      <w:r w:rsidRPr="009C4193">
        <w:rPr>
          <w:rFonts w:eastAsia="Times New Roman" w:cs="Tahoma"/>
          <w:b/>
          <w:bCs/>
          <w:color w:val="auto"/>
          <w:lang w:eastAsia="es-ES"/>
        </w:rPr>
        <w:t xml:space="preserve">R E S U E L V E: </w:t>
      </w:r>
    </w:p>
    <w:p w:rsidRPr="009C4193" w:rsidR="000440DB" w:rsidP="000440DB" w:rsidRDefault="000440DB" w14:paraId="38E327F0" w14:textId="77777777">
      <w:pPr>
        <w:spacing w:after="0" w:line="360" w:lineRule="auto"/>
        <w:rPr>
          <w:rFonts w:eastAsia="Calibri" w:cs="Tahoma"/>
          <w:color w:val="auto"/>
          <w:lang w:val="es-ES" w:eastAsia="es-ES_tradnl"/>
        </w:rPr>
      </w:pPr>
    </w:p>
    <w:p w:rsidRPr="009C4193" w:rsidR="000440DB" w:rsidP="000440DB" w:rsidRDefault="000440DB" w14:paraId="7D7FF79A" w14:textId="19C6716C">
      <w:pPr>
        <w:spacing w:after="0" w:line="360" w:lineRule="auto"/>
        <w:rPr>
          <w:rFonts w:eastAsia="Times New Roman" w:cs="Tahoma"/>
          <w:color w:val="auto"/>
          <w:lang w:val="es-ES" w:eastAsia="es-ES"/>
        </w:rPr>
      </w:pPr>
      <w:r w:rsidRPr="009C4193">
        <w:rPr>
          <w:rFonts w:eastAsia="Times New Roman" w:cs="Tahoma"/>
          <w:b/>
          <w:color w:val="auto"/>
          <w:lang w:eastAsia="es-ES"/>
        </w:rPr>
        <w:t>PRIMERO</w:t>
      </w:r>
      <w:r w:rsidRPr="009C4193">
        <w:rPr>
          <w:rFonts w:eastAsia="Times New Roman" w:cs="Tahoma"/>
          <w:bCs/>
          <w:color w:val="auto"/>
          <w:lang w:eastAsia="es-ES"/>
        </w:rPr>
        <w:t xml:space="preserve">. </w:t>
      </w:r>
      <w:r w:rsidRPr="009C4193">
        <w:rPr>
          <w:rFonts w:eastAsia="Times New Roman" w:cs="Tahoma"/>
          <w:bCs/>
          <w:color w:val="auto"/>
          <w:lang w:val="es-ES" w:eastAsia="es-ES"/>
        </w:rPr>
        <w:t xml:space="preserve">Se </w:t>
      </w:r>
      <w:r w:rsidRPr="009C4193">
        <w:rPr>
          <w:rFonts w:eastAsia="Times New Roman" w:cs="Tahoma"/>
          <w:b/>
          <w:bCs/>
          <w:color w:val="auto"/>
          <w:lang w:val="es-ES" w:eastAsia="es-ES"/>
        </w:rPr>
        <w:t>SOBRESEE</w:t>
      </w:r>
      <w:r w:rsidRPr="009C4193">
        <w:rPr>
          <w:rFonts w:eastAsia="Times New Roman" w:cs="Tahoma"/>
          <w:bCs/>
          <w:color w:val="auto"/>
          <w:lang w:val="es-ES" w:eastAsia="es-ES"/>
        </w:rPr>
        <w:t xml:space="preserve"> </w:t>
      </w:r>
      <w:r w:rsidRPr="009C4193">
        <w:rPr>
          <w:rFonts w:eastAsia="Times New Roman" w:cs="Tahoma"/>
          <w:color w:val="auto"/>
          <w:lang w:val="es-ES" w:eastAsia="es-ES"/>
        </w:rPr>
        <w:t xml:space="preserve">el Recurso de Revisión número </w:t>
      </w:r>
      <w:r w:rsidRPr="009C4193">
        <w:rPr>
          <w:color w:val="auto"/>
        </w:rPr>
        <w:t>00008/PFSPM/IP/2022</w:t>
      </w:r>
      <w:r w:rsidRPr="009C4193">
        <w:rPr>
          <w:rFonts w:eastAsia="Times New Roman" w:cs="Tahoma"/>
          <w:color w:val="auto"/>
          <w:lang w:val="es-ES" w:eastAsia="es-ES"/>
        </w:rPr>
        <w:t xml:space="preserve">, por actualizarse la causal de improcedencia establecida en la fracción III, del artículo 191 </w:t>
      </w:r>
      <w:r w:rsidRPr="009C4193" w:rsidR="009352C1">
        <w:rPr>
          <w:rFonts w:eastAsia="Times New Roman" w:cs="Tahoma"/>
          <w:color w:val="auto"/>
          <w:lang w:val="es-ES" w:eastAsia="es-ES"/>
        </w:rPr>
        <w:t>en relación con el artículo 192, facción IV, de la Ley de Transparencia y Acceso a la Información Pública del Estado de México y Municipios, de conformidad con lo señalado</w:t>
      </w:r>
      <w:r w:rsidRPr="009C4193">
        <w:rPr>
          <w:rFonts w:eastAsia="Times New Roman" w:cs="Tahoma"/>
          <w:color w:val="auto"/>
          <w:lang w:val="es-ES" w:eastAsia="es-ES"/>
        </w:rPr>
        <w:t xml:space="preserve"> </w:t>
      </w:r>
      <w:r w:rsidRPr="009C4193" w:rsidR="009352C1">
        <w:rPr>
          <w:rFonts w:eastAsia="Times New Roman" w:cs="Tahoma"/>
          <w:color w:val="auto"/>
          <w:lang w:val="es-ES" w:eastAsia="es-ES"/>
        </w:rPr>
        <w:t>en</w:t>
      </w:r>
      <w:r w:rsidRPr="009C4193">
        <w:rPr>
          <w:rFonts w:eastAsia="Times New Roman" w:cs="Tahoma"/>
          <w:color w:val="auto"/>
          <w:lang w:val="es-ES" w:eastAsia="es-ES"/>
        </w:rPr>
        <w:t xml:space="preserve"> los Considerandos TERCERO y CUARTO de la presente Resolución.</w:t>
      </w:r>
    </w:p>
    <w:p w:rsidRPr="009C4193" w:rsidR="000440DB" w:rsidP="000440DB" w:rsidRDefault="000440DB" w14:paraId="314AD1D9" w14:textId="77777777">
      <w:pPr>
        <w:spacing w:after="0" w:line="360" w:lineRule="auto"/>
        <w:rPr>
          <w:rFonts w:eastAsia="Times New Roman" w:cs="Tahoma"/>
          <w:bCs/>
          <w:color w:val="auto"/>
          <w:lang w:eastAsia="es-ES"/>
        </w:rPr>
      </w:pPr>
    </w:p>
    <w:p w:rsidRPr="009C4193" w:rsidR="000440DB" w:rsidP="000440DB" w:rsidRDefault="000440DB" w14:paraId="27CCA889" w14:textId="443D0421">
      <w:pPr>
        <w:spacing w:after="0" w:line="360" w:lineRule="auto"/>
        <w:rPr>
          <w:rFonts w:eastAsia="Times New Roman" w:cs="Tahoma"/>
          <w:b/>
          <w:color w:val="auto"/>
          <w:lang w:eastAsia="es-ES"/>
        </w:rPr>
      </w:pPr>
      <w:r w:rsidRPr="009C4193">
        <w:rPr>
          <w:rFonts w:eastAsia="Times New Roman" w:cs="Tahoma"/>
          <w:b/>
          <w:color w:val="auto"/>
          <w:lang w:eastAsia="es-ES"/>
        </w:rPr>
        <w:t>SEGUNDO. NOTIFÍQUESE</w:t>
      </w:r>
      <w:r w:rsidRPr="009C4193">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C4193" w:rsidR="000440DB" w:rsidP="000440DB" w:rsidRDefault="000440DB" w14:paraId="716A5035" w14:textId="77777777">
      <w:pPr>
        <w:spacing w:after="0" w:line="360" w:lineRule="auto"/>
        <w:rPr>
          <w:rFonts w:eastAsia="Calibri" w:cs="Tahoma"/>
          <w:color w:val="auto"/>
          <w:lang w:val="es-ES" w:eastAsia="es-ES_tradnl"/>
        </w:rPr>
      </w:pPr>
    </w:p>
    <w:p w:rsidRPr="00A968B8" w:rsidR="000440DB" w:rsidP="000440DB" w:rsidRDefault="003B11A4" w14:paraId="1693E330" w14:textId="501C8738">
      <w:pPr>
        <w:spacing w:after="0" w:line="360" w:lineRule="auto"/>
        <w:rPr>
          <w:rFonts w:eastAsia="Calibri" w:cs="Tahoma"/>
          <w:color w:val="auto"/>
          <w:lang w:val="es-ES" w:eastAsia="es-ES_tradnl"/>
        </w:rPr>
      </w:pPr>
      <w:r w:rsidRPr="009C4193">
        <w:rPr>
          <w:rFonts w:eastAsia="Calibri" w:cs="Tahoma"/>
          <w:color w:val="auto"/>
          <w:lang w:val="es-ES" w:eastAsia="es-ES_tradnl"/>
        </w:rPr>
        <w:t xml:space="preserve">ASÍ LO RESUELVE, </w:t>
      </w:r>
      <w:r w:rsidRPr="009C4193">
        <w:rPr>
          <w:rFonts w:eastAsia="Calibri" w:cs="Tahoma"/>
          <w:b/>
          <w:bCs/>
          <w:color w:val="auto"/>
          <w:lang w:val="es-ES" w:eastAsia="es-ES_tradnl"/>
        </w:rPr>
        <w:t>POR UNANIMIDAD</w:t>
      </w:r>
      <w:r w:rsidRPr="009C4193">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VISÉSIMA NOVENA  SESIÓN ORDINARIA, </w:t>
      </w:r>
      <w:r w:rsidRPr="009C4193">
        <w:rPr>
          <w:rFonts w:eastAsia="Calibri" w:cs="Tahoma"/>
          <w:color w:val="auto"/>
          <w:lang w:val="es-ES" w:eastAsia="es-ES_tradnl"/>
        </w:rPr>
        <w:lastRenderedPageBreak/>
        <w:t>CELEBRADA EL DIECISIETE DE AGOSTO DE DOS MIL VEINTIDÓS, ANTE EL SECRETARIO TÉCNICO DEL PLENO, ALEXIS TAPIA RAMÍREZ.</w:t>
      </w:r>
    </w:p>
    <w:p w:rsidR="005D5C08" w:rsidRDefault="005D5C08" w14:paraId="2A491ABC" w14:textId="63709348">
      <w:pPr>
        <w:jc w:val="left"/>
        <w:rPr>
          <w:lang w:val="es-ES"/>
        </w:rPr>
      </w:pPr>
      <w:r>
        <w:rPr>
          <w:lang w:val="es-ES"/>
        </w:rPr>
        <w:br w:type="page"/>
      </w:r>
    </w:p>
    <w:p w:rsidRPr="005D5C08" w:rsidR="00C564AA" w:rsidRDefault="00C564AA" w14:paraId="70CF0D3E" w14:textId="77777777">
      <w:pPr>
        <w:rPr>
          <w:lang w:val="es-ES"/>
        </w:rPr>
      </w:pPr>
    </w:p>
    <w:sectPr w:rsidRPr="005D5C08" w:rsidR="00C564AA"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4D33" w:rsidP="005227A5" w:rsidRDefault="00434D33" w14:paraId="5D7F1425" w14:textId="77777777">
      <w:pPr>
        <w:spacing w:after="0" w:line="240" w:lineRule="auto"/>
      </w:pPr>
      <w:r>
        <w:separator/>
      </w:r>
    </w:p>
  </w:endnote>
  <w:endnote w:type="continuationSeparator" w:id="0">
    <w:p w:rsidR="00434D33" w:rsidP="005227A5" w:rsidRDefault="00434D33" w14:paraId="5600B6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4115D" w14:paraId="0F79769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9C4193" w14:paraId="41C6BD7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4115D" w14:paraId="44B98D2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9C4193" w14:paraId="1D69E2F3"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4115D" w14:paraId="0541531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4115D" w14:paraId="361E071B"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4D33" w:rsidP="005227A5" w:rsidRDefault="00434D33" w14:paraId="5A033154" w14:textId="77777777">
      <w:pPr>
        <w:spacing w:after="0" w:line="240" w:lineRule="auto"/>
      </w:pPr>
      <w:r>
        <w:separator/>
      </w:r>
    </w:p>
  </w:footnote>
  <w:footnote w:type="continuationSeparator" w:id="0">
    <w:p w:rsidR="00434D33" w:rsidP="005227A5" w:rsidRDefault="00434D33" w14:paraId="5086FF2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945CB80" w14:textId="77777777">
      <w:trPr>
        <w:trHeight w:val="1435"/>
      </w:trPr>
      <w:tc>
        <w:tcPr>
          <w:tcW w:w="3261" w:type="dxa"/>
        </w:tcPr>
        <w:p w:rsidRPr="008C644E" w:rsidR="008C644E" w:rsidP="008C644E" w:rsidRDefault="009C4193" w14:paraId="7EF5C3EA"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38A27A9" w14:textId="77777777">
            <w:trPr>
              <w:trHeight w:val="144"/>
            </w:trPr>
            <w:tc>
              <w:tcPr>
                <w:tcW w:w="2559" w:type="dxa"/>
                <w:hideMark/>
              </w:tcPr>
              <w:p w:rsidRPr="008C644E" w:rsidR="008C644E" w:rsidP="008C644E" w:rsidRDefault="0014115D" w14:paraId="3569DD7F" w14:textId="77777777">
                <w:pPr>
                  <w:pStyle w:val="Encabezado"/>
                  <w:rPr>
                    <w:b/>
                  </w:rPr>
                </w:pPr>
                <w:r w:rsidRPr="008C644E">
                  <w:rPr>
                    <w:b/>
                  </w:rPr>
                  <w:t>Recurso de Revisión:</w:t>
                </w:r>
              </w:p>
            </w:tc>
            <w:tc>
              <w:tcPr>
                <w:tcW w:w="3259" w:type="dxa"/>
                <w:hideMark/>
              </w:tcPr>
              <w:p w:rsidRPr="008C644E" w:rsidR="008C644E" w:rsidP="008C644E" w:rsidRDefault="0014115D" w14:paraId="396323C9" w14:textId="77777777">
                <w:pPr>
                  <w:pStyle w:val="Encabezado"/>
                </w:pPr>
                <w:r>
                  <w:t>01206/INFOEM/IP/RR/2022</w:t>
                </w:r>
              </w:p>
            </w:tc>
            <w:tc>
              <w:tcPr>
                <w:tcW w:w="3402" w:type="dxa"/>
              </w:tcPr>
              <w:p w:rsidRPr="008C644E" w:rsidR="008C644E" w:rsidP="008C644E" w:rsidRDefault="009C4193" w14:paraId="2B6096E9" w14:textId="77777777">
                <w:pPr>
                  <w:pStyle w:val="Encabezado"/>
                  <w:rPr>
                    <w:bCs/>
                  </w:rPr>
                </w:pPr>
              </w:p>
            </w:tc>
          </w:tr>
          <w:tr w:rsidRPr="008C644E" w:rsidR="008C644E" w:rsidTr="00787244" w14:paraId="3D874BD5" w14:textId="77777777">
            <w:trPr>
              <w:trHeight w:val="283"/>
            </w:trPr>
            <w:tc>
              <w:tcPr>
                <w:tcW w:w="2559" w:type="dxa"/>
                <w:hideMark/>
              </w:tcPr>
              <w:p w:rsidRPr="008C644E" w:rsidR="008C644E" w:rsidP="008C644E" w:rsidRDefault="0014115D" w14:paraId="56204F04" w14:textId="77777777">
                <w:pPr>
                  <w:pStyle w:val="Encabezado"/>
                  <w:rPr>
                    <w:b/>
                  </w:rPr>
                </w:pPr>
                <w:r w:rsidRPr="008C644E">
                  <w:rPr>
                    <w:b/>
                  </w:rPr>
                  <w:t>Sujeto Obligado:</w:t>
                </w:r>
              </w:p>
            </w:tc>
            <w:tc>
              <w:tcPr>
                <w:tcW w:w="3259" w:type="dxa"/>
                <w:hideMark/>
              </w:tcPr>
              <w:p w:rsidRPr="008C644E" w:rsidR="008C644E" w:rsidP="00A075BA" w:rsidRDefault="0014115D" w14:paraId="30843761" w14:textId="77777777">
                <w:pPr>
                  <w:pStyle w:val="Encabezado"/>
                </w:pPr>
                <w:r w:rsidRPr="008C644E">
                  <w:rPr>
                    <w:lang w:val="es-MX"/>
                  </w:rPr>
                  <w:t>Ayuntamiento</w:t>
                </w:r>
                <w:r>
                  <w:rPr>
                    <w:lang w:val="es-MX"/>
                  </w:rPr>
                  <w:t xml:space="preserve"> de</w:t>
                </w:r>
                <w:r w:rsidRPr="008C644E">
                  <w:rPr>
                    <w:lang w:val="es-MX"/>
                  </w:rPr>
                  <w:t xml:space="preserve"> </w:t>
                </w:r>
                <w:r>
                  <w:rPr>
                    <w:lang w:val="es-MX"/>
                  </w:rPr>
                  <w:t>Ixtapaluca</w:t>
                </w:r>
              </w:p>
            </w:tc>
            <w:tc>
              <w:tcPr>
                <w:tcW w:w="3402" w:type="dxa"/>
              </w:tcPr>
              <w:p w:rsidRPr="008C644E" w:rsidR="008C644E" w:rsidP="008C644E" w:rsidRDefault="009C4193" w14:paraId="5B4D3F6E" w14:textId="77777777">
                <w:pPr>
                  <w:pStyle w:val="Encabezado"/>
                </w:pPr>
              </w:p>
            </w:tc>
          </w:tr>
          <w:tr w:rsidRPr="008C644E" w:rsidR="008C644E" w:rsidTr="00787244" w14:paraId="0F49D8CA" w14:textId="77777777">
            <w:trPr>
              <w:trHeight w:val="283"/>
            </w:trPr>
            <w:tc>
              <w:tcPr>
                <w:tcW w:w="2559" w:type="dxa"/>
                <w:hideMark/>
              </w:tcPr>
              <w:p w:rsidRPr="008C644E" w:rsidR="008C644E" w:rsidP="008C644E" w:rsidRDefault="0014115D" w14:paraId="0A75014D" w14:textId="77777777">
                <w:pPr>
                  <w:pStyle w:val="Encabezado"/>
                  <w:rPr>
                    <w:b/>
                  </w:rPr>
                </w:pPr>
                <w:r w:rsidRPr="008C644E">
                  <w:rPr>
                    <w:b/>
                  </w:rPr>
                  <w:t xml:space="preserve">Comisionado Ponente: </w:t>
                </w:r>
              </w:p>
            </w:tc>
            <w:tc>
              <w:tcPr>
                <w:tcW w:w="3259" w:type="dxa"/>
                <w:hideMark/>
              </w:tcPr>
              <w:p w:rsidRPr="008C644E" w:rsidR="008C644E" w:rsidP="008C644E" w:rsidRDefault="0014115D" w14:paraId="45BF8F0F" w14:textId="77777777">
                <w:pPr>
                  <w:pStyle w:val="Encabezado"/>
                  <w:rPr>
                    <w:b/>
                  </w:rPr>
                </w:pPr>
                <w:r w:rsidRPr="008C644E">
                  <w:t>Luis Gustavo Parra Noriega</w:t>
                </w:r>
              </w:p>
            </w:tc>
            <w:tc>
              <w:tcPr>
                <w:tcW w:w="3402" w:type="dxa"/>
              </w:tcPr>
              <w:p w:rsidRPr="008C644E" w:rsidR="008C644E" w:rsidP="008C644E" w:rsidRDefault="009C4193" w14:paraId="60E0131B" w14:textId="77777777">
                <w:pPr>
                  <w:pStyle w:val="Encabezado"/>
                </w:pPr>
              </w:p>
            </w:tc>
          </w:tr>
        </w:tbl>
        <w:p w:rsidRPr="008C644E" w:rsidR="008C644E" w:rsidP="008C644E" w:rsidRDefault="009C4193" w14:paraId="1F0E7907" w14:textId="77777777">
          <w:pPr>
            <w:pStyle w:val="Encabezado"/>
            <w:rPr>
              <w:b/>
            </w:rPr>
          </w:pPr>
        </w:p>
      </w:tc>
    </w:tr>
  </w:tbl>
  <w:p w:rsidR="008C644E" w:rsidRDefault="009C4193" w14:paraId="559CABB1" w14:textId="77777777">
    <w:pPr>
      <w:pStyle w:val="Encabezado"/>
    </w:pPr>
    <w:r>
      <w:rPr>
        <w:noProof/>
      </w:rPr>
      <w:pict w14:anchorId="0C5FF4A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60F7EE6E" w14:textId="77777777">
      <w:trPr>
        <w:trHeight w:val="1435"/>
      </w:trPr>
      <w:tc>
        <w:tcPr>
          <w:tcW w:w="3402" w:type="dxa"/>
        </w:tcPr>
        <w:p w:rsidR="008C644E" w:rsidP="008C644E" w:rsidRDefault="009C4193" w14:paraId="4682A987" w14:textId="77777777">
          <w:pPr>
            <w:tabs>
              <w:tab w:val="right" w:pos="4273"/>
            </w:tabs>
            <w:spacing w:line="256" w:lineRule="auto"/>
            <w:rPr>
              <w:rFonts w:ascii="Garamond" w:hAnsi="Garamond" w:eastAsia="Calibri"/>
              <w:color w:val="auto"/>
            </w:rPr>
          </w:pPr>
        </w:p>
      </w:tc>
      <w:tc>
        <w:tcPr>
          <w:tcW w:w="6730" w:type="dxa"/>
          <w:hideMark/>
        </w:tcPr>
        <w:p w:rsidR="00D36646" w:rsidRDefault="009C4193" w14:paraId="1DAE7D7B"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819"/>
            <w:gridCol w:w="3842"/>
          </w:tblGrid>
          <w:tr w:rsidR="008C644E" w:rsidTr="005227A5" w14:paraId="2A381FEB" w14:textId="77777777">
            <w:trPr>
              <w:trHeight w:val="144"/>
            </w:trPr>
            <w:tc>
              <w:tcPr>
                <w:tcW w:w="2559" w:type="dxa"/>
                <w:hideMark/>
              </w:tcPr>
              <w:p w:rsidR="008C644E" w:rsidP="008C644E" w:rsidRDefault="0014115D" w14:paraId="4A109E91" w14:textId="77777777">
                <w:pPr>
                  <w:tabs>
                    <w:tab w:val="right" w:pos="8838"/>
                  </w:tabs>
                  <w:ind w:left="-74" w:right="-105"/>
                  <w:rPr>
                    <w:rFonts w:eastAsia="Calibri" w:cs="Tahoma"/>
                    <w:b/>
                  </w:rPr>
                </w:pPr>
                <w:bookmarkStart w:name="_Hlk12526980" w:id="0"/>
                <w:r>
                  <w:rPr>
                    <w:rFonts w:eastAsia="Calibri" w:cs="Tahoma"/>
                    <w:b/>
                  </w:rPr>
                  <w:t>Recurso de Revisión:</w:t>
                </w:r>
              </w:p>
            </w:tc>
            <w:tc>
              <w:tcPr>
                <w:tcW w:w="2819" w:type="dxa"/>
                <w:hideMark/>
              </w:tcPr>
              <w:p w:rsidR="008C644E" w:rsidP="008C644E" w:rsidRDefault="0014115D" w14:paraId="7A9FF411" w14:textId="500F2CFC">
                <w:pPr>
                  <w:tabs>
                    <w:tab w:val="right" w:pos="8838"/>
                  </w:tabs>
                  <w:ind w:left="-74" w:right="-105"/>
                  <w:rPr>
                    <w:rFonts w:eastAsia="Calibri" w:cs="Tahoma"/>
                    <w:bCs/>
                  </w:rPr>
                </w:pPr>
                <w:r>
                  <w:t>0</w:t>
                </w:r>
                <w:r w:rsidR="005227A5">
                  <w:t>10411</w:t>
                </w:r>
                <w:r>
                  <w:t>/INFOEM/IP/RR/2022</w:t>
                </w:r>
              </w:p>
            </w:tc>
            <w:tc>
              <w:tcPr>
                <w:tcW w:w="3842" w:type="dxa"/>
              </w:tcPr>
              <w:p w:rsidR="008C644E" w:rsidP="008C644E" w:rsidRDefault="009C4193" w14:paraId="656336BF" w14:textId="77777777">
                <w:pPr>
                  <w:tabs>
                    <w:tab w:val="right" w:pos="8838"/>
                  </w:tabs>
                  <w:ind w:left="-74" w:right="-105"/>
                  <w:rPr>
                    <w:rFonts w:eastAsia="Calibri" w:cs="Tahoma"/>
                    <w:bCs/>
                  </w:rPr>
                </w:pPr>
              </w:p>
            </w:tc>
            <w:bookmarkEnd w:id="0"/>
          </w:tr>
          <w:tr w:rsidR="008C644E" w:rsidTr="005227A5" w14:paraId="1E9931DB" w14:textId="77777777">
            <w:trPr>
              <w:trHeight w:val="283"/>
            </w:trPr>
            <w:tc>
              <w:tcPr>
                <w:tcW w:w="2559" w:type="dxa"/>
                <w:hideMark/>
              </w:tcPr>
              <w:p w:rsidR="008C644E" w:rsidP="008C644E" w:rsidRDefault="0014115D" w14:paraId="462D4EBE" w14:textId="77777777">
                <w:pPr>
                  <w:tabs>
                    <w:tab w:val="right" w:pos="8838"/>
                  </w:tabs>
                  <w:ind w:left="-74" w:right="-105"/>
                  <w:rPr>
                    <w:rFonts w:eastAsia="Calibri" w:cs="Tahoma"/>
                    <w:b/>
                  </w:rPr>
                </w:pPr>
                <w:r>
                  <w:rPr>
                    <w:rFonts w:eastAsia="Calibri" w:cs="Tahoma"/>
                    <w:b/>
                  </w:rPr>
                  <w:t>Sujeto Obligado:</w:t>
                </w:r>
              </w:p>
            </w:tc>
            <w:tc>
              <w:tcPr>
                <w:tcW w:w="2819" w:type="dxa"/>
                <w:hideMark/>
              </w:tcPr>
              <w:p w:rsidRPr="008C644E" w:rsidR="008C644E" w:rsidP="00412BE1" w:rsidRDefault="005227A5" w14:paraId="533296BB" w14:textId="172AC49F">
                <w:pPr>
                  <w:tabs>
                    <w:tab w:val="left" w:pos="2834"/>
                    <w:tab w:val="right" w:pos="8838"/>
                  </w:tabs>
                  <w:ind w:left="-74" w:right="-105"/>
                  <w:rPr>
                    <w:rFonts w:eastAsia="Calibri" w:cs="Tahoma"/>
                  </w:rPr>
                </w:pPr>
                <w:r>
                  <w:rPr>
                    <w:rFonts w:eastAsia="Calibri" w:cs="Tahoma"/>
                    <w:lang w:val="es-MX"/>
                  </w:rPr>
                  <w:t>Fuerza Social Por México</w:t>
                </w:r>
              </w:p>
            </w:tc>
            <w:tc>
              <w:tcPr>
                <w:tcW w:w="3842" w:type="dxa"/>
              </w:tcPr>
              <w:p w:rsidR="008C644E" w:rsidP="008C644E" w:rsidRDefault="009C4193" w14:paraId="56CD5741" w14:textId="77777777">
                <w:pPr>
                  <w:tabs>
                    <w:tab w:val="left" w:pos="2834"/>
                    <w:tab w:val="right" w:pos="8838"/>
                  </w:tabs>
                  <w:ind w:left="-74" w:right="-105"/>
                  <w:rPr>
                    <w:rFonts w:eastAsia="Calibri" w:cs="Tahoma"/>
                  </w:rPr>
                </w:pPr>
              </w:p>
            </w:tc>
          </w:tr>
          <w:tr w:rsidR="008C644E" w:rsidTr="005227A5" w14:paraId="722F5064" w14:textId="77777777">
            <w:trPr>
              <w:trHeight w:val="283"/>
            </w:trPr>
            <w:tc>
              <w:tcPr>
                <w:tcW w:w="2559" w:type="dxa"/>
                <w:hideMark/>
              </w:tcPr>
              <w:p w:rsidR="008C644E" w:rsidP="008C644E" w:rsidRDefault="0014115D" w14:paraId="761A5ED8" w14:textId="77777777">
                <w:pPr>
                  <w:tabs>
                    <w:tab w:val="right" w:pos="8838"/>
                  </w:tabs>
                  <w:ind w:left="-74" w:right="-105"/>
                  <w:rPr>
                    <w:rFonts w:eastAsia="Calibri" w:cs="Tahoma"/>
                    <w:b/>
                  </w:rPr>
                </w:pPr>
                <w:r>
                  <w:rPr>
                    <w:rFonts w:eastAsia="Calibri" w:cs="Tahoma"/>
                    <w:b/>
                  </w:rPr>
                  <w:t xml:space="preserve">Comisionado Ponente: </w:t>
                </w:r>
              </w:p>
            </w:tc>
            <w:tc>
              <w:tcPr>
                <w:tcW w:w="2819" w:type="dxa"/>
                <w:hideMark/>
              </w:tcPr>
              <w:p w:rsidR="008C644E" w:rsidP="008C644E" w:rsidRDefault="0014115D" w14:paraId="6CB57ED3" w14:textId="77777777">
                <w:pPr>
                  <w:tabs>
                    <w:tab w:val="right" w:pos="8838"/>
                  </w:tabs>
                  <w:ind w:left="-74" w:right="-105"/>
                  <w:rPr>
                    <w:rFonts w:eastAsia="Calibri" w:cs="Tahoma"/>
                    <w:b/>
                  </w:rPr>
                </w:pPr>
                <w:r>
                  <w:rPr>
                    <w:rFonts w:eastAsia="Calibri" w:cs="Tahoma"/>
                  </w:rPr>
                  <w:t>Luis Gustavo Parra Noriega</w:t>
                </w:r>
              </w:p>
            </w:tc>
            <w:tc>
              <w:tcPr>
                <w:tcW w:w="3842" w:type="dxa"/>
              </w:tcPr>
              <w:p w:rsidR="008C644E" w:rsidP="008C644E" w:rsidRDefault="009C4193" w14:paraId="09CF5652" w14:textId="77777777">
                <w:pPr>
                  <w:tabs>
                    <w:tab w:val="right" w:pos="8838"/>
                  </w:tabs>
                  <w:ind w:left="-74" w:right="-105"/>
                  <w:rPr>
                    <w:rFonts w:eastAsia="Calibri" w:cs="Tahoma"/>
                  </w:rPr>
                </w:pPr>
              </w:p>
            </w:tc>
          </w:tr>
        </w:tbl>
        <w:p w:rsidR="008C644E" w:rsidP="008C644E" w:rsidRDefault="009C4193" w14:paraId="1C2C0CE8" w14:textId="77777777">
          <w:pPr>
            <w:tabs>
              <w:tab w:val="right" w:pos="8838"/>
            </w:tabs>
            <w:spacing w:line="256" w:lineRule="auto"/>
            <w:ind w:left="-28"/>
            <w:rPr>
              <w:rFonts w:ascii="Arial" w:hAnsi="Arial" w:eastAsia="Calibri" w:cs="Arial"/>
              <w:b/>
            </w:rPr>
          </w:pPr>
        </w:p>
      </w:tc>
    </w:tr>
  </w:tbl>
  <w:p w:rsidR="008C644E" w:rsidRDefault="009C4193" w14:paraId="2282DD1C" w14:textId="77777777">
    <w:pPr>
      <w:pStyle w:val="Encabezado"/>
    </w:pPr>
    <w:r>
      <w:rPr>
        <w:noProof/>
      </w:rPr>
      <w:pict w14:anchorId="5839C9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53DAA7AC" w14:paraId="7CE13B1E" w14:textId="77777777">
      <w:trPr>
        <w:trHeight w:val="1435"/>
      </w:trPr>
      <w:tc>
        <w:tcPr>
          <w:tcW w:w="2127" w:type="dxa"/>
          <w:tcMar/>
        </w:tcPr>
        <w:p w:rsidRPr="008C644E" w:rsidR="008C644E" w:rsidP="008C644E" w:rsidRDefault="009C4193" w14:paraId="29822AD2" w14:textId="77777777">
          <w:pPr>
            <w:pStyle w:val="Encabezado"/>
          </w:pPr>
        </w:p>
      </w:tc>
      <w:tc>
        <w:tcPr>
          <w:tcW w:w="7512" w:type="dxa"/>
          <w:tcMar/>
          <w:hideMark/>
        </w:tcPr>
        <w:tbl>
          <w:tblPr>
            <w:tblStyle w:val="Tablaconcuadrcula"/>
            <w:tblW w:w="12615"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2"/>
            <w:gridCol w:w="3402"/>
            <w:gridCol w:w="3402"/>
          </w:tblGrid>
          <w:tr w:rsidRPr="008C644E" w:rsidR="003F2F0B" w:rsidTr="53DAA7AC" w14:paraId="78360151" w14:textId="77777777">
            <w:trPr>
              <w:trHeight w:val="144"/>
            </w:trPr>
            <w:tc>
              <w:tcPr>
                <w:tcW w:w="2559" w:type="dxa"/>
                <w:tcMar/>
                <w:hideMark/>
              </w:tcPr>
              <w:p w:rsidRPr="008C644E" w:rsidR="003F2F0B" w:rsidP="008C644E" w:rsidRDefault="0014115D" w14:paraId="01B17C9B" w14:textId="77777777">
                <w:pPr>
                  <w:pStyle w:val="Encabezado"/>
                  <w:rPr>
                    <w:b/>
                  </w:rPr>
                </w:pPr>
                <w:r w:rsidRPr="008C644E">
                  <w:rPr>
                    <w:b/>
                  </w:rPr>
                  <w:t>Recurso de Revisión:</w:t>
                </w:r>
              </w:p>
            </w:tc>
            <w:tc>
              <w:tcPr>
                <w:tcW w:w="3252" w:type="dxa"/>
                <w:tcMar/>
                <w:hideMark/>
              </w:tcPr>
              <w:p w:rsidRPr="00AC018A" w:rsidR="003F2F0B" w:rsidP="008C644E" w:rsidRDefault="0014115D" w14:paraId="11060746" w14:textId="5225C7EB">
                <w:pPr>
                  <w:pStyle w:val="Encabezado"/>
                </w:pPr>
                <w:r w:rsidRPr="00AC018A">
                  <w:rPr>
                    <w:color w:val="000000"/>
                  </w:rPr>
                  <w:t>0</w:t>
                </w:r>
                <w:r w:rsidR="005227A5">
                  <w:rPr>
                    <w:color w:val="000000"/>
                  </w:rPr>
                  <w:t>10411</w:t>
                </w:r>
                <w:r w:rsidRPr="00AC018A">
                  <w:rPr>
                    <w:color w:val="000000"/>
                  </w:rPr>
                  <w:t>/INFOEM/IP/RR/2022</w:t>
                </w:r>
              </w:p>
            </w:tc>
            <w:tc>
              <w:tcPr>
                <w:tcW w:w="3402" w:type="dxa"/>
                <w:tcMar/>
              </w:tcPr>
              <w:p w:rsidRPr="008C644E" w:rsidR="003F2F0B" w:rsidP="008C644E" w:rsidRDefault="009C4193" w14:paraId="2F51CE6B" w14:textId="77777777">
                <w:pPr>
                  <w:pStyle w:val="Encabezado"/>
                  <w:rPr>
                    <w:bCs/>
                  </w:rPr>
                </w:pPr>
              </w:p>
            </w:tc>
            <w:tc>
              <w:tcPr>
                <w:tcW w:w="3402" w:type="dxa"/>
                <w:tcMar/>
              </w:tcPr>
              <w:p w:rsidRPr="008C644E" w:rsidR="003F2F0B" w:rsidP="008C644E" w:rsidRDefault="009C4193" w14:paraId="70689C03" w14:textId="77777777">
                <w:pPr>
                  <w:pStyle w:val="Encabezado"/>
                  <w:rPr>
                    <w:bCs/>
                  </w:rPr>
                </w:pPr>
              </w:p>
            </w:tc>
          </w:tr>
          <w:tr w:rsidRPr="008C644E" w:rsidR="003F2F0B" w:rsidTr="53DAA7AC" w14:paraId="20909E70" w14:textId="77777777">
            <w:trPr>
              <w:trHeight w:val="144"/>
            </w:trPr>
            <w:tc>
              <w:tcPr>
                <w:tcW w:w="2559" w:type="dxa"/>
                <w:tcMar/>
                <w:hideMark/>
              </w:tcPr>
              <w:p w:rsidRPr="008C644E" w:rsidR="003F2F0B" w:rsidP="008C644E" w:rsidRDefault="0014115D" w14:paraId="4ADD85B9" w14:textId="77777777">
                <w:pPr>
                  <w:pStyle w:val="Encabezado"/>
                  <w:rPr>
                    <w:b/>
                  </w:rPr>
                </w:pPr>
                <w:r w:rsidRPr="008C644E">
                  <w:rPr>
                    <w:b/>
                  </w:rPr>
                  <w:t>Recurrente:</w:t>
                </w:r>
              </w:p>
            </w:tc>
            <w:tc>
              <w:tcPr>
                <w:tcW w:w="3252" w:type="dxa"/>
                <w:tcMar/>
              </w:tcPr>
              <w:p w:rsidRPr="008C644E" w:rsidR="003F2F0B" w:rsidP="53DAA7AC" w:rsidRDefault="005227A5" w14:paraId="2F5FE971" w14:textId="6F8BDA9D">
                <w:pPr>
                  <w:pStyle w:val="Encabezado"/>
                  <w:bidi w:val="0"/>
                  <w:spacing w:before="0" w:beforeAutospacing="off" w:after="0" w:afterAutospacing="off" w:line="240" w:lineRule="auto"/>
                  <w:ind w:left="0" w:right="0"/>
                  <w:jc w:val="both"/>
                  <w:rPr>
                    <w:highlight w:val="black"/>
                  </w:rPr>
                </w:pPr>
              </w:p>
            </w:tc>
            <w:tc>
              <w:tcPr>
                <w:tcW w:w="3402" w:type="dxa"/>
                <w:tcMar/>
              </w:tcPr>
              <w:p w:rsidRPr="008C644E" w:rsidR="003F2F0B" w:rsidP="008C644E" w:rsidRDefault="009C4193" w14:paraId="0D8B68B9" w14:textId="77777777">
                <w:pPr>
                  <w:pStyle w:val="Encabezado"/>
                </w:pPr>
              </w:p>
            </w:tc>
            <w:tc>
              <w:tcPr>
                <w:tcW w:w="3402" w:type="dxa"/>
                <w:tcMar/>
              </w:tcPr>
              <w:p w:rsidRPr="008C644E" w:rsidR="003F2F0B" w:rsidP="008C644E" w:rsidRDefault="009C4193" w14:paraId="383D3E6D" w14:textId="77777777">
                <w:pPr>
                  <w:pStyle w:val="Encabezado"/>
                </w:pPr>
              </w:p>
            </w:tc>
          </w:tr>
          <w:tr w:rsidRPr="008C644E" w:rsidR="003F2F0B" w:rsidTr="53DAA7AC" w14:paraId="380FF16A" w14:textId="77777777">
            <w:trPr>
              <w:trHeight w:val="283"/>
            </w:trPr>
            <w:tc>
              <w:tcPr>
                <w:tcW w:w="2559" w:type="dxa"/>
                <w:tcMar/>
                <w:hideMark/>
              </w:tcPr>
              <w:p w:rsidRPr="008C644E" w:rsidR="003F2F0B" w:rsidP="008C644E" w:rsidRDefault="0014115D" w14:paraId="671AE30F" w14:textId="77777777">
                <w:pPr>
                  <w:pStyle w:val="Encabezado"/>
                  <w:rPr>
                    <w:b/>
                  </w:rPr>
                </w:pPr>
                <w:r w:rsidRPr="008C644E">
                  <w:rPr>
                    <w:b/>
                  </w:rPr>
                  <w:t>Sujeto Obligado:</w:t>
                </w:r>
              </w:p>
            </w:tc>
            <w:tc>
              <w:tcPr>
                <w:tcW w:w="3252" w:type="dxa"/>
                <w:tcMar/>
                <w:hideMark/>
              </w:tcPr>
              <w:p w:rsidRPr="008C644E" w:rsidR="003F2F0B" w:rsidP="53DAA7AC" w:rsidRDefault="0014115D" w14:paraId="0D85B562" w14:textId="17D7EFB0">
                <w:pPr>
                  <w:pStyle w:val="Encabezado"/>
                  <w:rPr>
                    <w:lang w:val="es-MX"/>
                  </w:rPr>
                </w:pPr>
                <w:r w:rsidRPr="53DAA7AC" w:rsidR="53DAA7AC">
                  <w:rPr>
                    <w:lang w:val="es-MX"/>
                  </w:rPr>
                  <w:t>Fuerza Social por México</w:t>
                </w:r>
              </w:p>
            </w:tc>
            <w:tc>
              <w:tcPr>
                <w:tcW w:w="3402" w:type="dxa"/>
                <w:tcMar/>
              </w:tcPr>
              <w:p w:rsidRPr="008C644E" w:rsidR="003F2F0B" w:rsidP="008C644E" w:rsidRDefault="009C4193" w14:paraId="5D8C1889" w14:textId="77777777">
                <w:pPr>
                  <w:pStyle w:val="Encabezado"/>
                </w:pPr>
              </w:p>
            </w:tc>
            <w:tc>
              <w:tcPr>
                <w:tcW w:w="3402" w:type="dxa"/>
                <w:tcMar/>
              </w:tcPr>
              <w:p w:rsidRPr="008C644E" w:rsidR="003F2F0B" w:rsidP="008C644E" w:rsidRDefault="009C4193" w14:paraId="629638DA" w14:textId="77777777">
                <w:pPr>
                  <w:pStyle w:val="Encabezado"/>
                </w:pPr>
              </w:p>
            </w:tc>
          </w:tr>
          <w:tr w:rsidRPr="008C644E" w:rsidR="003F2F0B" w:rsidTr="53DAA7AC" w14:paraId="5C2348F6" w14:textId="77777777">
            <w:trPr>
              <w:trHeight w:val="283"/>
            </w:trPr>
            <w:tc>
              <w:tcPr>
                <w:tcW w:w="2559" w:type="dxa"/>
                <w:tcMar/>
                <w:hideMark/>
              </w:tcPr>
              <w:p w:rsidRPr="008C644E" w:rsidR="003F2F0B" w:rsidP="008C644E" w:rsidRDefault="0014115D" w14:paraId="56AD50C4" w14:textId="77777777">
                <w:pPr>
                  <w:pStyle w:val="Encabezado"/>
                  <w:rPr>
                    <w:b/>
                  </w:rPr>
                </w:pPr>
                <w:r w:rsidRPr="008C644E">
                  <w:rPr>
                    <w:b/>
                  </w:rPr>
                  <w:t xml:space="preserve">Comisionado Ponente: </w:t>
                </w:r>
              </w:p>
            </w:tc>
            <w:tc>
              <w:tcPr>
                <w:tcW w:w="3252" w:type="dxa"/>
                <w:tcMar/>
                <w:hideMark/>
              </w:tcPr>
              <w:p w:rsidRPr="008C644E" w:rsidR="003F2F0B" w:rsidP="008C644E" w:rsidRDefault="0014115D" w14:paraId="52004033" w14:textId="77777777">
                <w:pPr>
                  <w:pStyle w:val="Encabezado"/>
                  <w:rPr>
                    <w:b/>
                  </w:rPr>
                </w:pPr>
                <w:r w:rsidRPr="008C644E">
                  <w:t>Luis Gustavo Parra Noriega</w:t>
                </w:r>
              </w:p>
            </w:tc>
            <w:tc>
              <w:tcPr>
                <w:tcW w:w="3402" w:type="dxa"/>
                <w:tcMar/>
              </w:tcPr>
              <w:p w:rsidRPr="008C644E" w:rsidR="003F2F0B" w:rsidP="008C644E" w:rsidRDefault="009C4193" w14:paraId="6EABCBED" w14:textId="77777777">
                <w:pPr>
                  <w:pStyle w:val="Encabezado"/>
                </w:pPr>
              </w:p>
            </w:tc>
            <w:tc>
              <w:tcPr>
                <w:tcW w:w="3402" w:type="dxa"/>
                <w:tcMar/>
              </w:tcPr>
              <w:p w:rsidRPr="008C644E" w:rsidR="003F2F0B" w:rsidP="008C644E" w:rsidRDefault="009C4193" w14:paraId="4FBB3669" w14:textId="77777777">
                <w:pPr>
                  <w:pStyle w:val="Encabezado"/>
                </w:pPr>
              </w:p>
            </w:tc>
          </w:tr>
        </w:tbl>
        <w:p w:rsidRPr="008C644E" w:rsidR="008C644E" w:rsidP="008C644E" w:rsidRDefault="009C4193" w14:paraId="50B2F802" w14:textId="77777777">
          <w:pPr>
            <w:pStyle w:val="Encabezado"/>
            <w:rPr>
              <w:b/>
            </w:rPr>
          </w:pPr>
        </w:p>
      </w:tc>
    </w:tr>
  </w:tbl>
  <w:p w:rsidR="008C644E" w:rsidRDefault="009C4193" w14:paraId="67A5D84B" w14:textId="77777777">
    <w:pPr>
      <w:pStyle w:val="Encabezado"/>
    </w:pPr>
    <w:r>
      <w:rPr>
        <w:noProof/>
      </w:rPr>
      <w:pict w14:anchorId="3BFD49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6.25pt;width:663.5pt;height:12in;z-index:-251657728;mso-position-horizontal-relative:margin;mso-position-vertical-relative:margin" o:spid="_x0000_s1027"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2BD"/>
    <w:multiLevelType w:val="hybridMultilevel"/>
    <w:tmpl w:val="EB42D282"/>
    <w:lvl w:ilvl="0" w:tplc="050E64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372C7A"/>
    <w:multiLevelType w:val="hybridMultilevel"/>
    <w:tmpl w:val="F558D45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 w15:restartNumberingAfterBreak="0">
    <w:nsid w:val="1D6314E0"/>
    <w:multiLevelType w:val="hybridMultilevel"/>
    <w:tmpl w:val="F15630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EF8257F"/>
    <w:multiLevelType w:val="hybridMultilevel"/>
    <w:tmpl w:val="8350098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346445159">
    <w:abstractNumId w:val="3"/>
  </w:num>
  <w:num w:numId="2" w16cid:durableId="1932810683">
    <w:abstractNumId w:val="5"/>
  </w:num>
  <w:num w:numId="3" w16cid:durableId="625428165">
    <w:abstractNumId w:val="0"/>
  </w:num>
  <w:num w:numId="4" w16cid:durableId="1182208613">
    <w:abstractNumId w:val="2"/>
  </w:num>
  <w:num w:numId="5" w16cid:durableId="444079116">
    <w:abstractNumId w:val="4"/>
  </w:num>
  <w:num w:numId="6" w16cid:durableId="26334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A5"/>
    <w:rsid w:val="000440DB"/>
    <w:rsid w:val="000B4BCB"/>
    <w:rsid w:val="0014115D"/>
    <w:rsid w:val="00162899"/>
    <w:rsid w:val="001B18F3"/>
    <w:rsid w:val="002502EE"/>
    <w:rsid w:val="003A4EAD"/>
    <w:rsid w:val="003A548A"/>
    <w:rsid w:val="003B11A4"/>
    <w:rsid w:val="00434D33"/>
    <w:rsid w:val="00447314"/>
    <w:rsid w:val="005168A6"/>
    <w:rsid w:val="005227A5"/>
    <w:rsid w:val="005C6313"/>
    <w:rsid w:val="005D5C08"/>
    <w:rsid w:val="005D5D52"/>
    <w:rsid w:val="00607A19"/>
    <w:rsid w:val="0067478B"/>
    <w:rsid w:val="0069068B"/>
    <w:rsid w:val="00694867"/>
    <w:rsid w:val="006F6977"/>
    <w:rsid w:val="0075399F"/>
    <w:rsid w:val="007C35B7"/>
    <w:rsid w:val="007C56A6"/>
    <w:rsid w:val="007D0F70"/>
    <w:rsid w:val="007F0B4E"/>
    <w:rsid w:val="008105A1"/>
    <w:rsid w:val="00851111"/>
    <w:rsid w:val="008A22CB"/>
    <w:rsid w:val="008F5DE2"/>
    <w:rsid w:val="009352C1"/>
    <w:rsid w:val="009C4193"/>
    <w:rsid w:val="009D6EE5"/>
    <w:rsid w:val="00B23876"/>
    <w:rsid w:val="00B259DE"/>
    <w:rsid w:val="00B34EE6"/>
    <w:rsid w:val="00C564AA"/>
    <w:rsid w:val="00CF696C"/>
    <w:rsid w:val="00D11D87"/>
    <w:rsid w:val="00D74BFD"/>
    <w:rsid w:val="00E300C1"/>
    <w:rsid w:val="00E83A10"/>
    <w:rsid w:val="00FC274C"/>
    <w:rsid w:val="00FC7CF6"/>
    <w:rsid w:val="53DAA7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C54D"/>
  <w15:chartTrackingRefBased/>
  <w15:docId w15:val="{D21F6E71-114D-4429-972D-265FAB12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27A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227A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227A5"/>
    <w:rPr>
      <w:rFonts w:ascii="Palatino Linotype" w:hAnsi="Palatino Linotype"/>
      <w:color w:val="000000" w:themeColor="text1"/>
    </w:rPr>
  </w:style>
  <w:style w:type="paragraph" w:styleId="Piedepgina">
    <w:name w:val="footer"/>
    <w:basedOn w:val="Normal"/>
    <w:link w:val="PiedepginaCar"/>
    <w:uiPriority w:val="99"/>
    <w:unhideWhenUsed/>
    <w:rsid w:val="005227A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227A5"/>
    <w:rPr>
      <w:rFonts w:ascii="Palatino Linotype" w:hAnsi="Palatino Linotype"/>
      <w:color w:val="000000" w:themeColor="text1"/>
    </w:rPr>
  </w:style>
  <w:style w:type="table" w:styleId="Tablaconcuadrcula">
    <w:name w:val="Table Grid"/>
    <w:basedOn w:val="Tablanormal"/>
    <w:uiPriority w:val="59"/>
    <w:rsid w:val="005227A5"/>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227A5"/>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27A5"/>
    <w:pPr>
      <w:spacing w:after="0" w:line="240" w:lineRule="auto"/>
      <w:ind w:left="720"/>
      <w:contextualSpacing/>
      <w:jc w:val="left"/>
    </w:pPr>
    <w:rPr>
      <w:rFonts w:ascii="Century Gothic" w:hAnsi="Century Gothic" w:eastAsia="Times New Roman" w:cs="Times New Roman"/>
      <w:color w:val="auto"/>
      <w:szCs w:val="24"/>
      <w:lang w:eastAsia="es-ES"/>
    </w:rPr>
  </w:style>
  <w:style w:type="paragraph" w:styleId="NormalWeb">
    <w:name w:val="Normal (Web)"/>
    <w:basedOn w:val="Normal"/>
    <w:uiPriority w:val="99"/>
    <w:unhideWhenUsed/>
    <w:rsid w:val="005227A5"/>
    <w:pPr>
      <w:spacing w:line="256" w:lineRule="auto"/>
    </w:pPr>
    <w:rPr>
      <w:rFonts w:ascii="Times New Roman" w:hAnsi="Times New Roman" w:cs="Times New Roman"/>
      <w:sz w:val="24"/>
      <w:szCs w:val="24"/>
    </w:rPr>
  </w:style>
  <w:style w:type="character" w:styleId="Hipervnculo">
    <w:name w:val="Hyperlink"/>
    <w:basedOn w:val="Fuentedeprrafopredeter"/>
    <w:uiPriority w:val="99"/>
    <w:unhideWhenUsed/>
    <w:rsid w:val="007C35B7"/>
    <w:rPr>
      <w:color w:val="0563C1" w:themeColor="hyperlink"/>
      <w:u w:val="single"/>
    </w:rPr>
  </w:style>
  <w:style w:type="character" w:styleId="Mencinsinresolver">
    <w:name w:val="Unresolved Mention"/>
    <w:basedOn w:val="Fuentedeprrafopredeter"/>
    <w:uiPriority w:val="99"/>
    <w:semiHidden/>
    <w:unhideWhenUsed/>
    <w:rsid w:val="007C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www.ieem.org.mx/consejo_general/cg/2021/AC_21/a205_21.pdf"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e29f987502124d0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a498698-119b-44e0-9e25-f5dfaa78200d}"/>
      </w:docPartPr>
      <w:docPartBody>
        <w:p w14:paraId="25ED54F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14</revision>
  <dcterms:created xsi:type="dcterms:W3CDTF">2022-08-10T17:40:00.0000000Z</dcterms:created>
  <dcterms:modified xsi:type="dcterms:W3CDTF">2022-09-08T12:50:11.7012636Z</dcterms:modified>
</coreProperties>
</file>