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EC2E0" w14:textId="74445D11" w:rsidR="00D8203F" w:rsidRPr="005813D8" w:rsidRDefault="00D8203F" w:rsidP="00275717">
      <w:pPr>
        <w:spacing w:after="0"/>
        <w:rPr>
          <w:rFonts w:eastAsia="Times New Roman" w:cs="Tahoma"/>
          <w:bCs/>
          <w:color w:val="auto"/>
          <w:lang w:eastAsia="es-ES"/>
        </w:rPr>
      </w:pPr>
      <w:bookmarkStart w:id="0" w:name="_GoBack"/>
      <w:bookmarkEnd w:id="0"/>
      <w:r w:rsidRPr="005813D8">
        <w:rPr>
          <w:rFonts w:cs="Tahoma"/>
          <w:bCs/>
        </w:rPr>
        <w:t xml:space="preserve">Resolución del Pleno del Instituto de Transparencia, Acceso a la Información Pública y </w:t>
      </w:r>
      <w:r w:rsidRPr="005813D8">
        <w:rPr>
          <w:rFonts w:eastAsia="Times New Roman" w:cs="Tahoma"/>
          <w:bCs/>
          <w:color w:val="auto"/>
          <w:lang w:eastAsia="es-ES"/>
        </w:rPr>
        <w:t xml:space="preserve">Protección de Datos Personales del Estado de México y Municipios, con domicilio en Metepec, Estado de México, de fecha </w:t>
      </w:r>
      <w:r w:rsidR="001D638F">
        <w:rPr>
          <w:rFonts w:eastAsia="Times New Roman" w:cs="Tahoma"/>
          <w:bCs/>
          <w:color w:val="auto"/>
          <w:lang w:eastAsia="es-ES"/>
        </w:rPr>
        <w:t>nueve</w:t>
      </w:r>
      <w:r w:rsidR="00EC3F60" w:rsidRPr="005813D8">
        <w:rPr>
          <w:rFonts w:eastAsia="Times New Roman" w:cs="Tahoma"/>
          <w:bCs/>
          <w:color w:val="auto"/>
          <w:lang w:eastAsia="es-ES"/>
        </w:rPr>
        <w:t xml:space="preserve"> de marzo de dos mil veintidós</w:t>
      </w:r>
      <w:r w:rsidRPr="005813D8">
        <w:rPr>
          <w:rFonts w:eastAsia="Times New Roman" w:cs="Tahoma"/>
          <w:bCs/>
          <w:color w:val="auto"/>
          <w:lang w:eastAsia="es-ES"/>
        </w:rPr>
        <w:t xml:space="preserve">. </w:t>
      </w:r>
    </w:p>
    <w:p w14:paraId="6936EE21" w14:textId="77777777" w:rsidR="00D8203F" w:rsidRPr="005813D8" w:rsidRDefault="00D8203F" w:rsidP="00275717">
      <w:pPr>
        <w:spacing w:after="0"/>
      </w:pPr>
    </w:p>
    <w:p w14:paraId="7B5A5142" w14:textId="750C1C15" w:rsidR="00D8203F" w:rsidRPr="005813D8" w:rsidRDefault="0D93760F" w:rsidP="00275717">
      <w:pPr>
        <w:spacing w:after="0"/>
      </w:pPr>
      <w:r w:rsidRPr="0D93760F">
        <w:rPr>
          <w:b/>
          <w:bCs/>
        </w:rPr>
        <w:t xml:space="preserve">VISTO </w:t>
      </w:r>
      <w:r>
        <w:t xml:space="preserve">el expediente conformado con motivo del Recurso de Revisión 00096/INFOEM/IP/RR/2022, interpuesto por </w:t>
      </w:r>
      <w:r w:rsidRPr="0D93760F">
        <w:rPr>
          <w:highlight w:val="black"/>
        </w:rPr>
        <w:t>XXXXXXXXXXXXXXXXXXXXXXXXXX</w:t>
      </w:r>
      <w:r>
        <w:t xml:space="preserve">, </w:t>
      </w:r>
      <w:r w:rsidRPr="0D93760F">
        <w:rPr>
          <w:rFonts w:cs="Tahoma"/>
          <w:color w:val="0D0D0D" w:themeColor="text1" w:themeTint="F2"/>
        </w:rPr>
        <w:t>en lo sucesivo Recurrente o Particular</w:t>
      </w:r>
      <w:r>
        <w:t>, en contra de la respuesta del Sujeto Obligado, Secretaría de Desarrollo Social, a la solicitud de acceso a la información pública 00575/NEZA/IP/2021, se emite la presente Resolución, con base en los Antecedentes y Considerandos que a continuación se exponen:</w:t>
      </w:r>
    </w:p>
    <w:p w14:paraId="52EC590C" w14:textId="77777777" w:rsidR="00D8203F" w:rsidRPr="005813D8" w:rsidRDefault="00D8203F" w:rsidP="00275717">
      <w:pPr>
        <w:spacing w:after="0"/>
        <w:rPr>
          <w:bCs/>
        </w:rPr>
      </w:pPr>
    </w:p>
    <w:p w14:paraId="5020F5CE" w14:textId="77777777" w:rsidR="00D8203F" w:rsidRPr="005813D8" w:rsidRDefault="00D8203F" w:rsidP="00275717">
      <w:pPr>
        <w:spacing w:after="0"/>
        <w:jc w:val="center"/>
        <w:rPr>
          <w:b/>
        </w:rPr>
      </w:pPr>
      <w:r w:rsidRPr="005813D8">
        <w:rPr>
          <w:b/>
        </w:rPr>
        <w:t>A N T E C E D E N TE S:</w:t>
      </w:r>
    </w:p>
    <w:p w14:paraId="1B82AE83" w14:textId="77777777" w:rsidR="00D8203F" w:rsidRPr="005813D8" w:rsidRDefault="00D8203F" w:rsidP="00275717">
      <w:pPr>
        <w:tabs>
          <w:tab w:val="left" w:pos="567"/>
        </w:tabs>
        <w:spacing w:after="0"/>
        <w:rPr>
          <w:rFonts w:eastAsia="Times New Roman" w:cs="Tahoma"/>
          <w:b/>
          <w:color w:val="auto"/>
          <w:lang w:eastAsia="es-ES"/>
        </w:rPr>
      </w:pPr>
    </w:p>
    <w:p w14:paraId="7F6DA6C9" w14:textId="77777777" w:rsidR="00D8203F" w:rsidRPr="005813D8" w:rsidRDefault="00D8203F" w:rsidP="00275717">
      <w:pPr>
        <w:tabs>
          <w:tab w:val="left" w:pos="567"/>
        </w:tabs>
        <w:spacing w:after="0"/>
        <w:rPr>
          <w:rFonts w:eastAsia="Times New Roman" w:cs="Tahoma"/>
          <w:b/>
          <w:color w:val="auto"/>
          <w:lang w:eastAsia="es-ES"/>
        </w:rPr>
      </w:pPr>
      <w:r w:rsidRPr="005813D8">
        <w:rPr>
          <w:rFonts w:eastAsia="Times New Roman" w:cs="Tahoma"/>
          <w:b/>
          <w:color w:val="auto"/>
          <w:lang w:eastAsia="es-ES"/>
        </w:rPr>
        <w:t>I. Presentación de la solicitud de información:</w:t>
      </w:r>
    </w:p>
    <w:p w14:paraId="2CA46D00" w14:textId="01152D4E" w:rsidR="00D8203F" w:rsidRPr="005813D8" w:rsidRDefault="00D8203F" w:rsidP="00275717">
      <w:pPr>
        <w:tabs>
          <w:tab w:val="left" w:pos="567"/>
        </w:tabs>
        <w:spacing w:after="0"/>
        <w:rPr>
          <w:rFonts w:eastAsia="Times New Roman" w:cs="Tahoma"/>
          <w:color w:val="auto"/>
          <w:lang w:eastAsia="es-ES"/>
        </w:rPr>
      </w:pPr>
    </w:p>
    <w:p w14:paraId="375762E1" w14:textId="3E21E051" w:rsidR="00C138ED" w:rsidRPr="005813D8" w:rsidRDefault="00C138ED" w:rsidP="00275717">
      <w:pPr>
        <w:tabs>
          <w:tab w:val="left" w:pos="567"/>
        </w:tabs>
        <w:spacing w:after="0"/>
        <w:contextualSpacing/>
        <w:rPr>
          <w:rFonts w:eastAsia="Times New Roman" w:cs="Tahoma"/>
          <w:color w:val="auto"/>
          <w:lang w:eastAsia="es-ES"/>
        </w:rPr>
      </w:pPr>
      <w:r w:rsidRPr="005813D8">
        <w:rPr>
          <w:rFonts w:eastAsia="Times New Roman" w:cs="Tahoma"/>
          <w:color w:val="auto"/>
          <w:lang w:eastAsia="es-ES"/>
        </w:rPr>
        <w:t xml:space="preserve">Con fecha </w:t>
      </w:r>
      <w:r w:rsidR="001D638F">
        <w:rPr>
          <w:rFonts w:eastAsia="Times New Roman" w:cs="Tahoma"/>
          <w:color w:val="auto"/>
          <w:lang w:eastAsia="es-ES"/>
        </w:rPr>
        <w:t xml:space="preserve">trece de diciembre </w:t>
      </w:r>
      <w:r w:rsidRPr="005813D8">
        <w:rPr>
          <w:rFonts w:eastAsia="Times New Roman" w:cs="Tahoma"/>
          <w:color w:val="auto"/>
          <w:lang w:eastAsia="es-ES"/>
        </w:rPr>
        <w:t xml:space="preserve">de dos mil veintiuno, </w:t>
      </w:r>
      <w:r w:rsidR="002351AB" w:rsidRPr="005813D8">
        <w:rPr>
          <w:rFonts w:eastAsia="Times New Roman" w:cs="Tahoma"/>
          <w:color w:val="auto"/>
          <w:lang w:eastAsia="es-ES"/>
        </w:rPr>
        <w:t>el Particular presentó una solicitud de acceso a la información pública</w:t>
      </w:r>
      <w:r w:rsidR="008A5840" w:rsidRPr="005813D8">
        <w:rPr>
          <w:rFonts w:eastAsia="Times New Roman" w:cs="Tahoma"/>
          <w:color w:val="auto"/>
          <w:lang w:eastAsia="es-ES"/>
        </w:rPr>
        <w:t>,</w:t>
      </w:r>
      <w:r w:rsidR="002351AB" w:rsidRPr="005813D8">
        <w:rPr>
          <w:rFonts w:eastAsia="Times New Roman" w:cs="Tahoma"/>
          <w:color w:val="auto"/>
          <w:lang w:eastAsia="es-ES"/>
        </w:rPr>
        <w:t xml:space="preserve"> a través del Sistema de Acceso a la Información Mexiquense (SAIMEX), ante el </w:t>
      </w:r>
      <w:r w:rsidR="00EC3F60" w:rsidRPr="005813D8">
        <w:t>Secretaría de Desarrollo Social</w:t>
      </w:r>
      <w:r w:rsidRPr="005813D8">
        <w:rPr>
          <w:rFonts w:eastAsia="Batang" w:cs="Tahoma"/>
          <w:color w:val="auto"/>
          <w:lang w:val="es-ES" w:eastAsia="es-ES"/>
        </w:rPr>
        <w:t>,</w:t>
      </w:r>
      <w:r w:rsidRPr="005813D8">
        <w:rPr>
          <w:rFonts w:cs="Tahoma"/>
          <w:b/>
          <w:bCs/>
          <w:lang w:val="es-ES"/>
        </w:rPr>
        <w:t xml:space="preserve"> </w:t>
      </w:r>
      <w:r w:rsidR="008A5840" w:rsidRPr="005813D8">
        <w:rPr>
          <w:rFonts w:cs="Tahoma"/>
          <w:lang w:val="es-ES"/>
        </w:rPr>
        <w:t>en los siguientes términos:</w:t>
      </w:r>
    </w:p>
    <w:p w14:paraId="174525F5" w14:textId="77777777" w:rsidR="00D8203F" w:rsidRPr="005813D8" w:rsidRDefault="00D8203F" w:rsidP="00275717">
      <w:pPr>
        <w:tabs>
          <w:tab w:val="left" w:pos="567"/>
        </w:tabs>
        <w:spacing w:after="0"/>
        <w:rPr>
          <w:rFonts w:eastAsia="Times New Roman" w:cs="Tahoma"/>
          <w:color w:val="auto"/>
          <w:lang w:eastAsia="es-ES"/>
        </w:rPr>
      </w:pPr>
    </w:p>
    <w:p w14:paraId="52CDF51B" w14:textId="77777777" w:rsidR="00D8203F" w:rsidRPr="005813D8" w:rsidRDefault="00D8203F" w:rsidP="00275717">
      <w:pPr>
        <w:tabs>
          <w:tab w:val="left" w:pos="4667"/>
        </w:tabs>
        <w:spacing w:after="0"/>
        <w:ind w:left="567" w:right="567"/>
        <w:rPr>
          <w:rFonts w:eastAsia="Times New Roman" w:cs="Tahoma"/>
          <w:b/>
          <w:i/>
          <w:iCs/>
          <w:color w:val="auto"/>
          <w:sz w:val="20"/>
          <w:szCs w:val="20"/>
          <w:lang w:eastAsia="es-ES"/>
        </w:rPr>
      </w:pPr>
      <w:r w:rsidRPr="005813D8">
        <w:rPr>
          <w:rFonts w:eastAsia="Times New Roman" w:cs="Tahoma"/>
          <w:b/>
          <w:i/>
          <w:iCs/>
          <w:color w:val="auto"/>
          <w:sz w:val="20"/>
          <w:szCs w:val="20"/>
          <w:lang w:eastAsia="es-ES"/>
        </w:rPr>
        <w:t>“DESCRIPCIÓN CLARA Y PRECISA DE LA INFORMACIÓN SOLICITADA.</w:t>
      </w:r>
    </w:p>
    <w:p w14:paraId="4240E320" w14:textId="2C5EB550" w:rsidR="00D8203F" w:rsidRPr="005813D8" w:rsidRDefault="001D638F" w:rsidP="00275717">
      <w:pPr>
        <w:widowControl w:val="0"/>
        <w:tabs>
          <w:tab w:val="left" w:pos="4667"/>
        </w:tabs>
        <w:spacing w:after="0"/>
        <w:ind w:left="567" w:right="567"/>
        <w:rPr>
          <w:rFonts w:eastAsia="Times New Roman" w:cs="Tahoma"/>
          <w:bCs/>
          <w:i/>
          <w:iCs/>
          <w:color w:val="auto"/>
          <w:sz w:val="20"/>
          <w:szCs w:val="20"/>
          <w:lang w:eastAsia="es-ES"/>
        </w:rPr>
      </w:pPr>
      <w:r w:rsidRPr="001D638F">
        <w:rPr>
          <w:rFonts w:eastAsia="Times New Roman" w:cs="Tahoma"/>
          <w:bCs/>
          <w:i/>
          <w:iCs/>
          <w:color w:val="auto"/>
          <w:sz w:val="20"/>
          <w:szCs w:val="20"/>
          <w:lang w:eastAsia="es-ES"/>
        </w:rPr>
        <w:t>Total de convenios y contratos celebrados con las organizaciones Causa en Común, Ciudadanos por una causa en común AC y Horizonte y Oportunidad AC; desde 2010 hasta la fecha. Solicito copia digital de cada uno de los convenios y contratos.</w:t>
      </w:r>
      <w:r w:rsidR="00D8203F" w:rsidRPr="005813D8">
        <w:rPr>
          <w:rFonts w:eastAsia="Times New Roman" w:cs="Tahoma"/>
          <w:bCs/>
          <w:i/>
          <w:iCs/>
          <w:color w:val="auto"/>
          <w:sz w:val="20"/>
          <w:szCs w:val="20"/>
          <w:lang w:eastAsia="es-ES"/>
        </w:rPr>
        <w:t xml:space="preserve">” (Sic) </w:t>
      </w:r>
    </w:p>
    <w:p w14:paraId="4E56260E" w14:textId="77777777" w:rsidR="00D8203F" w:rsidRPr="005813D8" w:rsidRDefault="00D8203F" w:rsidP="00275717">
      <w:pPr>
        <w:tabs>
          <w:tab w:val="left" w:pos="4667"/>
        </w:tabs>
        <w:spacing w:after="0"/>
        <w:ind w:left="567" w:right="567"/>
        <w:rPr>
          <w:rFonts w:eastAsia="Times New Roman" w:cs="Tahoma"/>
          <w:bCs/>
          <w:i/>
          <w:iCs/>
          <w:color w:val="auto"/>
          <w:sz w:val="20"/>
          <w:szCs w:val="20"/>
          <w:lang w:eastAsia="es-ES"/>
        </w:rPr>
      </w:pPr>
    </w:p>
    <w:p w14:paraId="59FEC259" w14:textId="77777777" w:rsidR="00D8203F" w:rsidRPr="005813D8" w:rsidRDefault="00D8203F" w:rsidP="00275717">
      <w:pPr>
        <w:tabs>
          <w:tab w:val="left" w:pos="4667"/>
        </w:tabs>
        <w:spacing w:after="0"/>
        <w:ind w:left="567" w:right="567"/>
        <w:rPr>
          <w:rFonts w:eastAsia="Times New Roman" w:cs="Tahoma"/>
          <w:b/>
          <w:bCs/>
          <w:i/>
          <w:iCs/>
          <w:color w:val="auto"/>
          <w:sz w:val="20"/>
          <w:lang w:eastAsia="es-ES"/>
        </w:rPr>
      </w:pPr>
      <w:r w:rsidRPr="005813D8">
        <w:rPr>
          <w:rFonts w:eastAsia="Times New Roman" w:cs="Tahoma"/>
          <w:b/>
          <w:bCs/>
          <w:i/>
          <w:iCs/>
          <w:color w:val="auto"/>
          <w:sz w:val="20"/>
          <w:lang w:eastAsia="es-ES"/>
        </w:rPr>
        <w:t>“MODALIDAD DE ENTREGA</w:t>
      </w:r>
    </w:p>
    <w:p w14:paraId="1D72B351" w14:textId="01DF4603" w:rsidR="00D8203F" w:rsidRPr="005813D8" w:rsidRDefault="009C4E38" w:rsidP="00275717">
      <w:pPr>
        <w:spacing w:after="0"/>
        <w:ind w:left="567" w:right="567"/>
        <w:rPr>
          <w:rFonts w:eastAsia="Times New Roman" w:cs="Arial"/>
          <w:bCs/>
          <w:i/>
          <w:iCs/>
          <w:color w:val="auto"/>
          <w:sz w:val="20"/>
          <w:lang w:eastAsia="es-ES"/>
        </w:rPr>
      </w:pPr>
      <w:r w:rsidRPr="009C4E38">
        <w:rPr>
          <w:rFonts w:eastAsia="Times New Roman" w:cs="Arial"/>
          <w:bCs/>
          <w:i/>
          <w:iCs/>
          <w:color w:val="auto"/>
          <w:sz w:val="20"/>
          <w:lang w:eastAsia="es-ES"/>
        </w:rPr>
        <w:t>A través del SAIMEX</w:t>
      </w:r>
      <w:r w:rsidR="00D8203F" w:rsidRPr="005813D8">
        <w:rPr>
          <w:rFonts w:eastAsia="Times New Roman" w:cs="Arial"/>
          <w:bCs/>
          <w:i/>
          <w:iCs/>
          <w:color w:val="auto"/>
          <w:sz w:val="20"/>
          <w:lang w:eastAsia="es-ES"/>
        </w:rPr>
        <w:t>”</w:t>
      </w:r>
    </w:p>
    <w:p w14:paraId="5455DBE1" w14:textId="77777777" w:rsidR="00D8203F" w:rsidRPr="005813D8" w:rsidRDefault="00D8203F" w:rsidP="00275717">
      <w:pPr>
        <w:spacing w:after="0"/>
        <w:rPr>
          <w:b/>
        </w:rPr>
      </w:pPr>
    </w:p>
    <w:p w14:paraId="7CE11C14" w14:textId="77777777" w:rsidR="00D8203F" w:rsidRPr="005813D8" w:rsidRDefault="00D8203F" w:rsidP="00275717">
      <w:pPr>
        <w:spacing w:after="0"/>
        <w:rPr>
          <w:b/>
        </w:rPr>
      </w:pPr>
      <w:r w:rsidRPr="005813D8">
        <w:rPr>
          <w:b/>
        </w:rPr>
        <w:lastRenderedPageBreak/>
        <w:t>II. Respuesta del Sujeto Obligado.</w:t>
      </w:r>
    </w:p>
    <w:p w14:paraId="20CE40C9" w14:textId="37E690E8" w:rsidR="00F03DD0" w:rsidRDefault="00F97409" w:rsidP="00275717">
      <w:pPr>
        <w:spacing w:after="0"/>
        <w:rPr>
          <w:rFonts w:eastAsia="Times New Roman" w:cs="Tahoma"/>
          <w:bCs/>
          <w:iCs/>
          <w:lang w:eastAsia="es-ES"/>
        </w:rPr>
      </w:pPr>
      <w:r w:rsidRPr="005813D8">
        <w:rPr>
          <w:rFonts w:eastAsia="Times New Roman" w:cs="Tahoma"/>
          <w:bCs/>
          <w:iCs/>
          <w:lang w:eastAsia="es-ES"/>
        </w:rPr>
        <w:t xml:space="preserve">Con fecha </w:t>
      </w:r>
      <w:r w:rsidR="001D638F">
        <w:rPr>
          <w:rFonts w:eastAsia="Times New Roman" w:cs="Tahoma"/>
          <w:bCs/>
          <w:iCs/>
          <w:lang w:eastAsia="es-ES"/>
        </w:rPr>
        <w:t>treinta y uno</w:t>
      </w:r>
      <w:r w:rsidR="00777341" w:rsidRPr="005813D8">
        <w:rPr>
          <w:rFonts w:eastAsia="Times New Roman" w:cs="Tahoma"/>
          <w:bCs/>
          <w:iCs/>
          <w:lang w:eastAsia="es-ES"/>
        </w:rPr>
        <w:t xml:space="preserve"> de diciembre </w:t>
      </w:r>
      <w:r w:rsidRPr="005813D8">
        <w:rPr>
          <w:rFonts w:eastAsia="Times New Roman" w:cs="Tahoma"/>
          <w:bCs/>
          <w:iCs/>
          <w:lang w:eastAsia="es-ES"/>
        </w:rPr>
        <w:t>de dos mil veintiuno</w:t>
      </w:r>
      <w:r w:rsidR="00777341" w:rsidRPr="005813D8">
        <w:rPr>
          <w:rFonts w:eastAsia="Times New Roman" w:cs="Tahoma"/>
          <w:bCs/>
          <w:iCs/>
          <w:lang w:eastAsia="es-ES"/>
        </w:rPr>
        <w:t xml:space="preserve">, </w:t>
      </w:r>
      <w:r w:rsidR="001D638F">
        <w:rPr>
          <w:rFonts w:eastAsia="Times New Roman" w:cs="Tahoma"/>
          <w:bCs/>
          <w:iCs/>
          <w:lang w:eastAsia="es-ES"/>
        </w:rPr>
        <w:t xml:space="preserve">el </w:t>
      </w:r>
      <w:r w:rsidR="001D638F" w:rsidRPr="001D638F">
        <w:rPr>
          <w:rFonts w:eastAsia="Times New Roman" w:cs="Tahoma"/>
          <w:bCs/>
          <w:iCs/>
          <w:lang w:eastAsia="es-ES"/>
        </w:rPr>
        <w:t>Ayuntamiento de Nezahualcóyotl</w:t>
      </w:r>
      <w:r w:rsidR="00D8203F" w:rsidRPr="005813D8">
        <w:rPr>
          <w:rFonts w:eastAsia="Times New Roman" w:cs="Tahoma"/>
          <w:bCs/>
          <w:iCs/>
          <w:lang w:eastAsia="es-ES"/>
        </w:rPr>
        <w:t xml:space="preserve">, a través del Sistema de Acceso a la Información Mexiquense (SAIMEX), notificó la respuesta </w:t>
      </w:r>
      <w:r w:rsidR="008A5840" w:rsidRPr="005813D8">
        <w:rPr>
          <w:rFonts w:eastAsia="Times New Roman" w:cs="Tahoma"/>
          <w:bCs/>
          <w:iCs/>
          <w:lang w:eastAsia="es-ES"/>
        </w:rPr>
        <w:t>al</w:t>
      </w:r>
      <w:r w:rsidR="00D8203F" w:rsidRPr="005813D8">
        <w:rPr>
          <w:rFonts w:eastAsia="Times New Roman" w:cs="Tahoma"/>
          <w:bCs/>
          <w:iCs/>
          <w:lang w:eastAsia="es-ES"/>
        </w:rPr>
        <w:t xml:space="preserve"> Soli</w:t>
      </w:r>
      <w:r w:rsidR="00777341" w:rsidRPr="005813D8">
        <w:rPr>
          <w:rFonts w:eastAsia="Times New Roman" w:cs="Tahoma"/>
          <w:bCs/>
          <w:iCs/>
          <w:lang w:eastAsia="es-ES"/>
        </w:rPr>
        <w:t xml:space="preserve">citante, por medio de </w:t>
      </w:r>
      <w:r w:rsidR="00D8203F" w:rsidRPr="005813D8">
        <w:rPr>
          <w:rFonts w:eastAsia="Times New Roman" w:cs="Tahoma"/>
          <w:bCs/>
          <w:iCs/>
          <w:lang w:eastAsia="es-ES"/>
        </w:rPr>
        <w:t xml:space="preserve">oficio </w:t>
      </w:r>
      <w:r w:rsidR="001D638F">
        <w:rPr>
          <w:rFonts w:eastAsia="Times New Roman" w:cs="Tahoma"/>
          <w:bCs/>
          <w:iCs/>
          <w:lang w:eastAsia="es-ES"/>
        </w:rPr>
        <w:t xml:space="preserve">sin </w:t>
      </w:r>
      <w:r w:rsidR="00D8203F" w:rsidRPr="005813D8">
        <w:rPr>
          <w:rFonts w:eastAsia="Times New Roman" w:cs="Tahoma"/>
          <w:bCs/>
          <w:iCs/>
          <w:lang w:eastAsia="es-ES"/>
        </w:rPr>
        <w:t>número</w:t>
      </w:r>
      <w:r w:rsidR="008A5840" w:rsidRPr="005813D8">
        <w:rPr>
          <w:rFonts w:eastAsia="Times New Roman" w:cs="Tahoma"/>
          <w:bCs/>
          <w:iCs/>
          <w:lang w:eastAsia="es-ES"/>
        </w:rPr>
        <w:t xml:space="preserve">, del </w:t>
      </w:r>
      <w:r w:rsidR="001D638F">
        <w:rPr>
          <w:rFonts w:eastAsia="Times New Roman" w:cs="Tahoma"/>
          <w:bCs/>
          <w:iCs/>
          <w:lang w:eastAsia="es-ES"/>
        </w:rPr>
        <w:t>treinta</w:t>
      </w:r>
      <w:r w:rsidR="00777341" w:rsidRPr="005813D8">
        <w:rPr>
          <w:rFonts w:eastAsia="Times New Roman" w:cs="Tahoma"/>
          <w:bCs/>
          <w:iCs/>
          <w:lang w:eastAsia="es-ES"/>
        </w:rPr>
        <w:t xml:space="preserve"> </w:t>
      </w:r>
      <w:r w:rsidR="00350913">
        <w:rPr>
          <w:rFonts w:eastAsia="Times New Roman" w:cs="Tahoma"/>
          <w:bCs/>
          <w:iCs/>
          <w:lang w:eastAsia="es-ES"/>
        </w:rPr>
        <w:t>de dicho mes y año</w:t>
      </w:r>
      <w:r w:rsidR="008A5840" w:rsidRPr="005813D8">
        <w:rPr>
          <w:rFonts w:eastAsia="Times New Roman" w:cs="Tahoma"/>
          <w:bCs/>
          <w:iCs/>
          <w:lang w:eastAsia="es-ES"/>
        </w:rPr>
        <w:t>,</w:t>
      </w:r>
      <w:r w:rsidRPr="005813D8">
        <w:rPr>
          <w:rFonts w:eastAsia="Times New Roman" w:cs="Tahoma"/>
          <w:bCs/>
          <w:iCs/>
          <w:lang w:eastAsia="es-ES"/>
        </w:rPr>
        <w:t xml:space="preserve"> suscrito por </w:t>
      </w:r>
      <w:r w:rsidR="001D638F">
        <w:rPr>
          <w:rFonts w:eastAsia="Times New Roman" w:cs="Tahoma"/>
          <w:bCs/>
          <w:iCs/>
          <w:lang w:eastAsia="es-ES"/>
        </w:rPr>
        <w:t>la</w:t>
      </w:r>
      <w:r w:rsidRPr="005813D8">
        <w:rPr>
          <w:rFonts w:eastAsia="Times New Roman" w:cs="Tahoma"/>
          <w:bCs/>
          <w:iCs/>
          <w:lang w:eastAsia="es-ES"/>
        </w:rPr>
        <w:t xml:space="preserve"> Titular de la Unidad de Transparencia</w:t>
      </w:r>
      <w:r w:rsidR="001D638F">
        <w:rPr>
          <w:rFonts w:eastAsia="Times New Roman" w:cs="Tahoma"/>
          <w:bCs/>
          <w:iCs/>
          <w:lang w:eastAsia="es-ES"/>
        </w:rPr>
        <w:t xml:space="preserve"> y Acceso a la Información Pública Municipal</w:t>
      </w:r>
      <w:r w:rsidRPr="005813D8">
        <w:rPr>
          <w:rFonts w:eastAsia="Times New Roman" w:cs="Tahoma"/>
          <w:bCs/>
          <w:iCs/>
          <w:lang w:eastAsia="es-ES"/>
        </w:rPr>
        <w:t xml:space="preserve">, por medio del cual </w:t>
      </w:r>
      <w:r w:rsidR="008A5840" w:rsidRPr="005813D8">
        <w:rPr>
          <w:rFonts w:eastAsia="Times New Roman" w:cs="Tahoma"/>
          <w:bCs/>
          <w:iCs/>
          <w:lang w:eastAsia="es-ES"/>
        </w:rPr>
        <w:t xml:space="preserve">precisa que </w:t>
      </w:r>
      <w:r w:rsidR="001D638F">
        <w:rPr>
          <w:rFonts w:eastAsia="Times New Roman" w:cs="Tahoma"/>
          <w:bCs/>
          <w:iCs/>
          <w:lang w:eastAsia="es-ES"/>
        </w:rPr>
        <w:t>remite la respuesta proporcionada por los Servidores Públicos Habilitados</w:t>
      </w:r>
      <w:r w:rsidR="00F03DD0">
        <w:rPr>
          <w:rFonts w:eastAsia="Times New Roman" w:cs="Tahoma"/>
          <w:bCs/>
          <w:iCs/>
          <w:lang w:eastAsia="es-ES"/>
        </w:rPr>
        <w:t xml:space="preserve">. </w:t>
      </w:r>
    </w:p>
    <w:p w14:paraId="4ECB2064" w14:textId="6650B01A" w:rsidR="00F97409" w:rsidRPr="005813D8" w:rsidRDefault="00F97409" w:rsidP="00275717">
      <w:pPr>
        <w:spacing w:after="0"/>
        <w:rPr>
          <w:rFonts w:eastAsia="Times New Roman" w:cs="Tahoma"/>
          <w:bCs/>
          <w:iCs/>
          <w:lang w:eastAsia="es-ES"/>
        </w:rPr>
      </w:pPr>
    </w:p>
    <w:p w14:paraId="4D577B87" w14:textId="03DB1057" w:rsidR="00F97409" w:rsidRDefault="008A5840" w:rsidP="00275717">
      <w:pPr>
        <w:spacing w:after="0"/>
        <w:rPr>
          <w:rFonts w:eastAsia="Times New Roman" w:cs="Tahoma"/>
          <w:bCs/>
          <w:iCs/>
          <w:lang w:eastAsia="es-ES"/>
        </w:rPr>
      </w:pPr>
      <w:r w:rsidRPr="005813D8">
        <w:rPr>
          <w:rFonts w:eastAsia="Times New Roman" w:cs="Tahoma"/>
          <w:bCs/>
          <w:iCs/>
          <w:lang w:eastAsia="es-ES"/>
        </w:rPr>
        <w:t>El Ente Recurrido</w:t>
      </w:r>
      <w:r w:rsidR="00F97409" w:rsidRPr="005813D8">
        <w:rPr>
          <w:rFonts w:eastAsia="Times New Roman" w:cs="Tahoma"/>
          <w:bCs/>
          <w:iCs/>
          <w:lang w:eastAsia="es-ES"/>
        </w:rPr>
        <w:t xml:space="preserve"> adjunt</w:t>
      </w:r>
      <w:r w:rsidRPr="005813D8">
        <w:rPr>
          <w:rFonts w:eastAsia="Times New Roman" w:cs="Tahoma"/>
          <w:bCs/>
          <w:iCs/>
          <w:lang w:eastAsia="es-ES"/>
        </w:rPr>
        <w:t>ó</w:t>
      </w:r>
      <w:r w:rsidR="00F97409" w:rsidRPr="005813D8">
        <w:rPr>
          <w:rFonts w:eastAsia="Times New Roman" w:cs="Tahoma"/>
          <w:bCs/>
          <w:iCs/>
          <w:lang w:eastAsia="es-ES"/>
        </w:rPr>
        <w:t xml:space="preserve"> l</w:t>
      </w:r>
      <w:r w:rsidRPr="005813D8">
        <w:rPr>
          <w:rFonts w:eastAsia="Times New Roman" w:cs="Tahoma"/>
          <w:bCs/>
          <w:iCs/>
          <w:lang w:eastAsia="es-ES"/>
        </w:rPr>
        <w:t>a digitalización de los</w:t>
      </w:r>
      <w:r w:rsidR="00F97409" w:rsidRPr="005813D8">
        <w:rPr>
          <w:rFonts w:eastAsia="Times New Roman" w:cs="Tahoma"/>
          <w:bCs/>
          <w:iCs/>
          <w:lang w:eastAsia="es-ES"/>
        </w:rPr>
        <w:t xml:space="preserve"> siguientes documentos</w:t>
      </w:r>
      <w:r w:rsidRPr="005813D8">
        <w:rPr>
          <w:rFonts w:eastAsia="Times New Roman" w:cs="Tahoma"/>
          <w:bCs/>
          <w:iCs/>
          <w:lang w:eastAsia="es-ES"/>
        </w:rPr>
        <w:t>:</w:t>
      </w:r>
    </w:p>
    <w:p w14:paraId="33BA127E" w14:textId="77777777" w:rsidR="00F03DD0" w:rsidRPr="005813D8" w:rsidRDefault="00F03DD0" w:rsidP="00275717">
      <w:pPr>
        <w:spacing w:after="0"/>
        <w:rPr>
          <w:rFonts w:eastAsia="Times New Roman" w:cs="Tahoma"/>
          <w:bCs/>
          <w:iCs/>
          <w:lang w:eastAsia="es-ES"/>
        </w:rPr>
      </w:pPr>
    </w:p>
    <w:p w14:paraId="6CFE54A7" w14:textId="55ECCF6F" w:rsidR="007B0411" w:rsidRDefault="00F03DD0" w:rsidP="00275717">
      <w:pPr>
        <w:pStyle w:val="Prrafodelista"/>
        <w:numPr>
          <w:ilvl w:val="0"/>
          <w:numId w:val="27"/>
        </w:numPr>
        <w:spacing w:after="0"/>
        <w:rPr>
          <w:rFonts w:eastAsia="Times New Roman" w:cs="Tahoma"/>
          <w:bCs/>
          <w:iCs/>
          <w:lang w:eastAsia="es-ES"/>
        </w:rPr>
      </w:pPr>
      <w:r w:rsidRPr="00F03DD0">
        <w:rPr>
          <w:rFonts w:eastAsia="Times New Roman" w:cs="Tahoma"/>
          <w:bCs/>
          <w:iCs/>
          <w:lang w:eastAsia="es-ES"/>
        </w:rPr>
        <w:t>Respuesta de la</w:t>
      </w:r>
      <w:r w:rsidR="002F1ACA">
        <w:rPr>
          <w:rFonts w:eastAsia="Times New Roman" w:cs="Tahoma"/>
          <w:bCs/>
          <w:iCs/>
          <w:lang w:eastAsia="es-ES"/>
        </w:rPr>
        <w:t xml:space="preserve">s Direcciones </w:t>
      </w:r>
      <w:r w:rsidRPr="00F03DD0">
        <w:rPr>
          <w:rFonts w:eastAsia="Times New Roman" w:cs="Tahoma"/>
          <w:bCs/>
          <w:iCs/>
          <w:lang w:eastAsia="es-ES"/>
        </w:rPr>
        <w:t>d</w:t>
      </w:r>
      <w:r w:rsidR="002F1ACA">
        <w:rPr>
          <w:rFonts w:eastAsia="Times New Roman" w:cs="Tahoma"/>
          <w:bCs/>
          <w:iCs/>
          <w:lang w:eastAsia="es-ES"/>
        </w:rPr>
        <w:t xml:space="preserve">e Fomento Económico, Medio Ambiente, </w:t>
      </w:r>
      <w:r w:rsidRPr="00F03DD0">
        <w:rPr>
          <w:rFonts w:eastAsia="Times New Roman" w:cs="Tahoma"/>
          <w:bCs/>
          <w:iCs/>
          <w:lang w:eastAsia="es-ES"/>
        </w:rPr>
        <w:t>Consejería Jurídica, Secretaría Particular</w:t>
      </w:r>
      <w:r w:rsidR="002F1ACA">
        <w:rPr>
          <w:rFonts w:eastAsia="Times New Roman" w:cs="Tahoma"/>
          <w:bCs/>
          <w:iCs/>
          <w:lang w:eastAsia="es-ES"/>
        </w:rPr>
        <w:t xml:space="preserve"> de Presidencia,</w:t>
      </w:r>
      <w:r w:rsidRPr="00F03DD0">
        <w:rPr>
          <w:rFonts w:eastAsia="Times New Roman" w:cs="Tahoma"/>
          <w:bCs/>
          <w:iCs/>
          <w:lang w:eastAsia="es-ES"/>
        </w:rPr>
        <w:t xml:space="preserve"> </w:t>
      </w:r>
      <w:r w:rsidR="002F1ACA">
        <w:rPr>
          <w:rFonts w:eastAsia="Times New Roman" w:cs="Tahoma"/>
          <w:bCs/>
          <w:iCs/>
          <w:lang w:eastAsia="es-ES"/>
        </w:rPr>
        <w:t xml:space="preserve">Desarrollo Social y </w:t>
      </w:r>
      <w:r w:rsidRPr="00F03DD0">
        <w:rPr>
          <w:rFonts w:eastAsia="Times New Roman" w:cs="Tahoma"/>
          <w:bCs/>
          <w:iCs/>
          <w:lang w:eastAsia="es-ES"/>
        </w:rPr>
        <w:t>Administración</w:t>
      </w:r>
      <w:r w:rsidR="00841FEB">
        <w:rPr>
          <w:rFonts w:eastAsia="Times New Roman" w:cs="Tahoma"/>
          <w:bCs/>
          <w:iCs/>
          <w:lang w:eastAsia="es-ES"/>
        </w:rPr>
        <w:t xml:space="preserve">, </w:t>
      </w:r>
      <w:r w:rsidR="00350913">
        <w:rPr>
          <w:rFonts w:eastAsia="Times New Roman" w:cs="Tahoma"/>
          <w:bCs/>
          <w:iCs/>
          <w:lang w:eastAsia="es-ES"/>
        </w:rPr>
        <w:t>las cuales</w:t>
      </w:r>
      <w:r w:rsidR="002C230E">
        <w:rPr>
          <w:rFonts w:eastAsia="Times New Roman" w:cs="Tahoma"/>
          <w:bCs/>
          <w:iCs/>
          <w:lang w:eastAsia="es-ES"/>
        </w:rPr>
        <w:t xml:space="preserve"> </w:t>
      </w:r>
      <w:r w:rsidR="00350913">
        <w:rPr>
          <w:rFonts w:eastAsia="Times New Roman" w:cs="Tahoma"/>
          <w:bCs/>
          <w:iCs/>
          <w:lang w:eastAsia="es-ES"/>
        </w:rPr>
        <w:t>manifestaron</w:t>
      </w:r>
      <w:r w:rsidR="002C230E">
        <w:rPr>
          <w:rFonts w:eastAsia="Times New Roman" w:cs="Tahoma"/>
          <w:bCs/>
          <w:iCs/>
          <w:lang w:eastAsia="es-ES"/>
        </w:rPr>
        <w:t xml:space="preserve"> </w:t>
      </w:r>
      <w:r w:rsidR="00350913">
        <w:rPr>
          <w:rFonts w:eastAsia="Times New Roman" w:cs="Tahoma"/>
          <w:bCs/>
          <w:iCs/>
          <w:lang w:eastAsia="es-ES"/>
        </w:rPr>
        <w:t>que no habían celebrado ningún contrato o convenio con las asociaciones civiles señaladas.</w:t>
      </w:r>
    </w:p>
    <w:p w14:paraId="3BE3E981" w14:textId="77777777" w:rsidR="00350913" w:rsidRDefault="00350913" w:rsidP="00275717">
      <w:pPr>
        <w:pStyle w:val="Prrafodelista"/>
        <w:spacing w:after="0"/>
        <w:ind w:left="1080"/>
        <w:rPr>
          <w:rFonts w:eastAsia="Times New Roman" w:cs="Tahoma"/>
          <w:bCs/>
          <w:iCs/>
          <w:lang w:eastAsia="es-ES"/>
        </w:rPr>
      </w:pPr>
    </w:p>
    <w:p w14:paraId="11A9DC5C" w14:textId="5D456248" w:rsidR="00F03DD0" w:rsidRDefault="002C230E" w:rsidP="00275717">
      <w:pPr>
        <w:pStyle w:val="Prrafodelista"/>
        <w:numPr>
          <w:ilvl w:val="0"/>
          <w:numId w:val="27"/>
        </w:numPr>
        <w:spacing w:after="0"/>
        <w:rPr>
          <w:rFonts w:eastAsia="Times New Roman" w:cs="Tahoma"/>
          <w:bCs/>
          <w:iCs/>
          <w:lang w:eastAsia="es-ES"/>
        </w:rPr>
      </w:pPr>
      <w:r>
        <w:rPr>
          <w:rFonts w:eastAsia="Times New Roman" w:cs="Tahoma"/>
          <w:bCs/>
          <w:iCs/>
          <w:lang w:eastAsia="es-ES"/>
        </w:rPr>
        <w:t xml:space="preserve">Respuesta de la </w:t>
      </w:r>
      <w:r w:rsidR="00F03DD0" w:rsidRPr="00F03DD0">
        <w:rPr>
          <w:rFonts w:eastAsia="Times New Roman" w:cs="Tahoma"/>
          <w:bCs/>
          <w:iCs/>
          <w:lang w:eastAsia="es-ES"/>
        </w:rPr>
        <w:t>Dirección General de Seguridad Ciudadana</w:t>
      </w:r>
      <w:r>
        <w:rPr>
          <w:rFonts w:eastAsia="Times New Roman" w:cs="Tahoma"/>
          <w:bCs/>
          <w:iCs/>
          <w:lang w:eastAsia="es-ES"/>
        </w:rPr>
        <w:t xml:space="preserve"> </w:t>
      </w:r>
      <w:r w:rsidR="00350913">
        <w:rPr>
          <w:rFonts w:eastAsia="Times New Roman" w:cs="Tahoma"/>
          <w:bCs/>
          <w:iCs/>
          <w:lang w:eastAsia="es-ES"/>
        </w:rPr>
        <w:t>mediante la cual precisó que se llevó a cabo la firma de un convenio, el veintiocho de septiembre de dos mil veintiuno</w:t>
      </w:r>
      <w:r w:rsidR="008F32C2">
        <w:rPr>
          <w:rFonts w:eastAsia="Times New Roman" w:cs="Tahoma"/>
          <w:bCs/>
          <w:iCs/>
          <w:lang w:eastAsia="es-ES"/>
        </w:rPr>
        <w:t>, con el apoyo del Fondo Canadá para Iniciativas Locales, Causa en Común, en donde se formalizó el inició de una nueva fase del proyecto “Ser Mujer Policía en México”-</w:t>
      </w:r>
    </w:p>
    <w:p w14:paraId="0C1FD671" w14:textId="77777777" w:rsidR="00C870AA" w:rsidRPr="00C870AA" w:rsidRDefault="00C870AA" w:rsidP="00275717">
      <w:pPr>
        <w:pStyle w:val="Prrafodelista"/>
        <w:spacing w:after="0"/>
        <w:rPr>
          <w:rFonts w:eastAsia="Times New Roman" w:cs="Tahoma"/>
          <w:bCs/>
          <w:iCs/>
          <w:lang w:eastAsia="es-ES"/>
        </w:rPr>
      </w:pPr>
    </w:p>
    <w:p w14:paraId="21F292FF" w14:textId="77777777" w:rsidR="00D8203F" w:rsidRPr="005813D8" w:rsidRDefault="00D8203F" w:rsidP="00275717">
      <w:pPr>
        <w:spacing w:after="0"/>
        <w:rPr>
          <w:b/>
          <w:bCs/>
        </w:rPr>
      </w:pPr>
      <w:r w:rsidRPr="005813D8">
        <w:rPr>
          <w:b/>
          <w:bCs/>
        </w:rPr>
        <w:t xml:space="preserve">III. Interposición del Recurso de Revisión. </w:t>
      </w:r>
    </w:p>
    <w:p w14:paraId="71FE0651" w14:textId="77777777" w:rsidR="00D8203F" w:rsidRPr="005813D8" w:rsidRDefault="00D8203F" w:rsidP="00275717">
      <w:pPr>
        <w:spacing w:after="0"/>
        <w:rPr>
          <w:b/>
          <w:bCs/>
        </w:rPr>
      </w:pPr>
    </w:p>
    <w:p w14:paraId="7E37C3DB" w14:textId="7FEDAE7B" w:rsidR="007B0411" w:rsidRPr="005813D8" w:rsidRDefault="00454109" w:rsidP="00275717">
      <w:pPr>
        <w:spacing w:after="0"/>
      </w:pPr>
      <w:r w:rsidRPr="005813D8">
        <w:rPr>
          <w:rFonts w:eastAsia="Times New Roman" w:cs="Tahoma"/>
          <w:color w:val="auto"/>
          <w:lang w:eastAsia="es-ES"/>
        </w:rPr>
        <w:t xml:space="preserve">Con fecha </w:t>
      </w:r>
      <w:r w:rsidR="00D409E7">
        <w:rPr>
          <w:rFonts w:eastAsia="Times New Roman" w:cs="Tahoma"/>
          <w:color w:val="auto"/>
          <w:lang w:eastAsia="es-ES"/>
        </w:rPr>
        <w:t>doce de enero de dos mil veintidós</w:t>
      </w:r>
      <w:r w:rsidR="007B0411" w:rsidRPr="005813D8">
        <w:rPr>
          <w:rFonts w:eastAsia="Times New Roman" w:cs="Tahoma"/>
          <w:color w:val="auto"/>
          <w:lang w:eastAsia="es-ES"/>
        </w:rPr>
        <w:t xml:space="preserve">, </w:t>
      </w:r>
      <w:r w:rsidR="008F32C2">
        <w:t>recibió</w:t>
      </w:r>
      <w:r w:rsidR="00BD08C5" w:rsidRPr="005813D8">
        <w:t xml:space="preserve"> en este Instituto, a través del Sistema</w:t>
      </w:r>
      <w:r w:rsidR="00BD08C5" w:rsidRPr="005813D8">
        <w:rPr>
          <w:lang w:val="es-ES"/>
        </w:rPr>
        <w:t xml:space="preserve"> de Acceso a la Información Mexiquense (SAIMEX)</w:t>
      </w:r>
      <w:r w:rsidR="00BD08C5" w:rsidRPr="005813D8">
        <w:t>, el Recurso de Revisión interpuesto por la parte Recurrente</w:t>
      </w:r>
      <w:r w:rsidR="007B0411" w:rsidRPr="005813D8">
        <w:rPr>
          <w:rFonts w:eastAsia="Batang" w:cs="Tahoma"/>
          <w:color w:val="auto"/>
          <w:lang w:val="es-ES" w:eastAsia="es-ES"/>
        </w:rPr>
        <w:t>,</w:t>
      </w:r>
      <w:r w:rsidR="00BD08C5" w:rsidRPr="005813D8">
        <w:rPr>
          <w:rFonts w:eastAsia="Batang" w:cs="Tahoma"/>
          <w:color w:val="auto"/>
          <w:lang w:val="es-ES" w:eastAsia="es-ES"/>
        </w:rPr>
        <w:t xml:space="preserve"> </w:t>
      </w:r>
      <w:r w:rsidR="00BD08C5" w:rsidRPr="005813D8">
        <w:t>en contra de la respuesta del Sujeto Obligado</w:t>
      </w:r>
      <w:r w:rsidRPr="005813D8">
        <w:t xml:space="preserve">, </w:t>
      </w:r>
      <w:r w:rsidR="00BD08C5" w:rsidRPr="005813D8">
        <w:rPr>
          <w:rFonts w:cs="Tahoma"/>
          <w:lang w:val="es-ES"/>
        </w:rPr>
        <w:t xml:space="preserve">en los siguientes términos: </w:t>
      </w:r>
    </w:p>
    <w:p w14:paraId="32EC2427" w14:textId="5C4BB332" w:rsidR="00D8203F" w:rsidRDefault="00D8203F" w:rsidP="00275717">
      <w:pPr>
        <w:spacing w:after="0"/>
      </w:pPr>
    </w:p>
    <w:p w14:paraId="5F267195" w14:textId="77777777" w:rsidR="008F32C2" w:rsidRPr="005813D8" w:rsidRDefault="008F32C2" w:rsidP="00275717">
      <w:pPr>
        <w:spacing w:after="0"/>
      </w:pPr>
    </w:p>
    <w:p w14:paraId="2833A950" w14:textId="77777777" w:rsidR="00D8203F" w:rsidRPr="005813D8" w:rsidRDefault="00D8203F" w:rsidP="00275717">
      <w:pPr>
        <w:spacing w:after="0"/>
        <w:ind w:left="567" w:right="567"/>
        <w:rPr>
          <w:bCs/>
          <w:i/>
          <w:sz w:val="20"/>
          <w:szCs w:val="20"/>
        </w:rPr>
      </w:pPr>
      <w:r w:rsidRPr="005813D8">
        <w:rPr>
          <w:b/>
          <w:bCs/>
          <w:i/>
          <w:sz w:val="20"/>
          <w:szCs w:val="20"/>
        </w:rPr>
        <w:t>“ACTO IMPUGNADO</w:t>
      </w:r>
    </w:p>
    <w:p w14:paraId="60F31DEE" w14:textId="1310C087" w:rsidR="00D8203F" w:rsidRPr="005813D8" w:rsidRDefault="00D409E7" w:rsidP="00275717">
      <w:pPr>
        <w:spacing w:after="0"/>
        <w:ind w:left="567" w:right="567"/>
        <w:rPr>
          <w:i/>
          <w:sz w:val="20"/>
          <w:szCs w:val="20"/>
        </w:rPr>
      </w:pPr>
      <w:r w:rsidRPr="00D409E7">
        <w:rPr>
          <w:i/>
          <w:sz w:val="20"/>
          <w:szCs w:val="20"/>
        </w:rPr>
        <w:t>Alega Inexistencia</w:t>
      </w:r>
      <w:r w:rsidR="00BD08C5" w:rsidRPr="005813D8">
        <w:rPr>
          <w:i/>
          <w:sz w:val="20"/>
          <w:szCs w:val="20"/>
        </w:rPr>
        <w:t>.</w:t>
      </w:r>
      <w:r w:rsidR="00D8203F" w:rsidRPr="005813D8">
        <w:rPr>
          <w:i/>
          <w:sz w:val="20"/>
          <w:szCs w:val="20"/>
        </w:rPr>
        <w:t>” (Sic.)</w:t>
      </w:r>
    </w:p>
    <w:p w14:paraId="69D01251" w14:textId="77777777" w:rsidR="00D8203F" w:rsidRPr="005813D8" w:rsidRDefault="00D8203F" w:rsidP="00275717">
      <w:pPr>
        <w:spacing w:after="0"/>
        <w:ind w:left="567" w:right="567"/>
        <w:rPr>
          <w:i/>
          <w:sz w:val="20"/>
          <w:szCs w:val="20"/>
        </w:rPr>
      </w:pPr>
    </w:p>
    <w:p w14:paraId="46664227" w14:textId="61AAD6B7" w:rsidR="00BD08C5" w:rsidRPr="005813D8" w:rsidRDefault="00D8203F" w:rsidP="00275717">
      <w:pPr>
        <w:spacing w:after="0"/>
        <w:ind w:left="567" w:right="567"/>
        <w:rPr>
          <w:b/>
          <w:i/>
          <w:sz w:val="20"/>
          <w:szCs w:val="20"/>
        </w:rPr>
      </w:pPr>
      <w:r w:rsidRPr="005813D8">
        <w:rPr>
          <w:b/>
          <w:i/>
          <w:sz w:val="20"/>
          <w:szCs w:val="20"/>
        </w:rPr>
        <w:t>“RAZONES O MOTIVOS DE LA INCONFORMIDAD</w:t>
      </w:r>
    </w:p>
    <w:p w14:paraId="4DE18E01" w14:textId="3926404F" w:rsidR="00D8203F" w:rsidRPr="005813D8" w:rsidRDefault="00D409E7" w:rsidP="00275717">
      <w:pPr>
        <w:spacing w:after="0"/>
        <w:ind w:left="567" w:right="567"/>
        <w:rPr>
          <w:i/>
          <w:sz w:val="20"/>
          <w:szCs w:val="20"/>
        </w:rPr>
      </w:pPr>
      <w:r w:rsidRPr="00D409E7">
        <w:rPr>
          <w:i/>
          <w:sz w:val="20"/>
          <w:szCs w:val="20"/>
        </w:rPr>
        <w:t>El sujeto dice que no existe tal información cuando evidentemente existe constancia de lo contrario. Un ejemplo en este link: https://www.facebook.com/watch/live/?ref=watch_permalink&amp;v=118389760495620 No es creíble que este Sujeto no haya celebrado "convenios ni contratos con la asociación en mención". Favor de exhortar a entregar la información solicitada desde el periodo del año 2010 hasta la fecha.</w:t>
      </w:r>
      <w:r w:rsidR="00D8203F" w:rsidRPr="005813D8">
        <w:rPr>
          <w:i/>
          <w:sz w:val="20"/>
          <w:szCs w:val="20"/>
        </w:rPr>
        <w:t>” (Sic.)</w:t>
      </w:r>
    </w:p>
    <w:p w14:paraId="6111A3B0" w14:textId="77777777" w:rsidR="00D8203F" w:rsidRPr="005813D8" w:rsidRDefault="00D8203F" w:rsidP="00275717">
      <w:pPr>
        <w:spacing w:after="0"/>
      </w:pPr>
    </w:p>
    <w:p w14:paraId="7CC18348" w14:textId="77777777" w:rsidR="00D8203F" w:rsidRPr="005813D8" w:rsidRDefault="00D8203F" w:rsidP="00275717">
      <w:pPr>
        <w:spacing w:after="0"/>
        <w:rPr>
          <w:b/>
          <w:bCs/>
        </w:rPr>
      </w:pPr>
      <w:r w:rsidRPr="005813D8">
        <w:rPr>
          <w:b/>
          <w:bCs/>
        </w:rPr>
        <w:t>IV. Trámite del Recurso de Revisión ante el Instituto.</w:t>
      </w:r>
    </w:p>
    <w:p w14:paraId="26D65406" w14:textId="77777777" w:rsidR="00D8203F" w:rsidRPr="005813D8" w:rsidRDefault="00D8203F" w:rsidP="00275717">
      <w:pPr>
        <w:spacing w:after="0"/>
      </w:pPr>
    </w:p>
    <w:p w14:paraId="07622F31" w14:textId="2351E907" w:rsidR="00D8203F" w:rsidRPr="005813D8" w:rsidRDefault="00D8203F" w:rsidP="00275717">
      <w:pPr>
        <w:spacing w:after="0"/>
        <w:rPr>
          <w:rFonts w:eastAsia="Batang" w:cs="Tahoma"/>
          <w:bCs/>
          <w:lang w:eastAsia="es-ES"/>
        </w:rPr>
      </w:pPr>
      <w:r w:rsidRPr="005813D8">
        <w:rPr>
          <w:b/>
          <w:bCs/>
        </w:rPr>
        <w:t xml:space="preserve">a) Turno del Recurso de Revisión. </w:t>
      </w:r>
      <w:r w:rsidRPr="005813D8">
        <w:t>El</w:t>
      </w:r>
      <w:r w:rsidR="00D409E7">
        <w:t xml:space="preserve"> </w:t>
      </w:r>
      <w:r w:rsidR="00D409E7" w:rsidRPr="00D409E7">
        <w:t>doce de enero de dos mil veintidós</w:t>
      </w:r>
      <w:r w:rsidRPr="005813D8">
        <w:rPr>
          <w:rFonts w:eastAsia="Batang" w:cs="Tahoma"/>
          <w:bCs/>
          <w:lang w:eastAsia="es-ES"/>
        </w:rPr>
        <w:t xml:space="preserve">, el </w:t>
      </w:r>
      <w:r w:rsidRPr="005813D8">
        <w:rPr>
          <w:rFonts w:eastAsia="Times New Roman" w:cs="Tahoma"/>
          <w:lang w:val="es-ES" w:eastAsia="es-ES"/>
        </w:rPr>
        <w:t>Sistema de Acceso a la Información Mexiquense (SAIMEX),</w:t>
      </w:r>
      <w:r w:rsidRPr="005813D8">
        <w:rPr>
          <w:rFonts w:eastAsia="Batang" w:cs="Tahoma"/>
          <w:bCs/>
          <w:lang w:eastAsia="es-ES"/>
        </w:rPr>
        <w:t xml:space="preserve"> asignó el número de expediente </w:t>
      </w:r>
      <w:r w:rsidR="00D409E7">
        <w:rPr>
          <w:rFonts w:eastAsia="Batang" w:cs="Tahoma"/>
          <w:b/>
          <w:bCs/>
          <w:lang w:eastAsia="es-ES"/>
        </w:rPr>
        <w:t>00096</w:t>
      </w:r>
      <w:r w:rsidR="00EC3F60" w:rsidRPr="005813D8">
        <w:rPr>
          <w:rFonts w:eastAsia="Batang" w:cs="Tahoma"/>
          <w:b/>
          <w:bCs/>
          <w:lang w:eastAsia="es-ES"/>
        </w:rPr>
        <w:t>/INFOEM/IP</w:t>
      </w:r>
      <w:r w:rsidR="00D409E7">
        <w:rPr>
          <w:rFonts w:eastAsia="Batang" w:cs="Tahoma"/>
          <w:b/>
          <w:bCs/>
          <w:lang w:eastAsia="es-ES"/>
        </w:rPr>
        <w:t>/RR/2022</w:t>
      </w:r>
      <w:r w:rsidRPr="005813D8">
        <w:rPr>
          <w:rFonts w:eastAsia="Batang" w:cs="Tahoma"/>
          <w:bCs/>
          <w:lang w:eastAsia="es-E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5CB92970" w14:textId="77777777" w:rsidR="00D8203F" w:rsidRPr="005813D8" w:rsidRDefault="00D8203F" w:rsidP="00275717">
      <w:pPr>
        <w:spacing w:after="0"/>
        <w:rPr>
          <w:rFonts w:eastAsia="Batang" w:cs="Tahoma"/>
          <w:bCs/>
          <w:lang w:eastAsia="es-ES"/>
        </w:rPr>
      </w:pPr>
    </w:p>
    <w:p w14:paraId="4677A832" w14:textId="083ECF2B" w:rsidR="00D8203F" w:rsidRPr="005813D8" w:rsidRDefault="00D8203F" w:rsidP="00275717">
      <w:pPr>
        <w:spacing w:after="0"/>
        <w:rPr>
          <w:rFonts w:eastAsia="Batang" w:cs="Tahoma"/>
          <w:bCs/>
          <w:lang w:val="es-ES_tradnl" w:eastAsia="es-ES"/>
        </w:rPr>
      </w:pPr>
      <w:r w:rsidRPr="005813D8">
        <w:rPr>
          <w:rFonts w:eastAsia="Batang" w:cs="Tahoma"/>
          <w:b/>
          <w:bCs/>
          <w:lang w:eastAsia="es-ES"/>
        </w:rPr>
        <w:t xml:space="preserve">b) Admisión del </w:t>
      </w:r>
      <w:r w:rsidRPr="005813D8">
        <w:rPr>
          <w:rFonts w:eastAsia="Times New Roman" w:cs="Tahoma"/>
          <w:b/>
          <w:lang w:eastAsia="es-ES"/>
        </w:rPr>
        <w:t>Recurso de Revisión</w:t>
      </w:r>
      <w:r w:rsidRPr="005813D8">
        <w:rPr>
          <w:rFonts w:eastAsia="Batang" w:cs="Tahoma"/>
          <w:b/>
          <w:bCs/>
          <w:lang w:val="es-ES_tradnl" w:eastAsia="es-ES"/>
        </w:rPr>
        <w:t xml:space="preserve">. </w:t>
      </w:r>
      <w:r w:rsidRPr="005813D8">
        <w:rPr>
          <w:rFonts w:eastAsia="Batang" w:cs="Tahoma"/>
          <w:bCs/>
          <w:lang w:eastAsia="es-ES"/>
        </w:rPr>
        <w:t xml:space="preserve">El </w:t>
      </w:r>
      <w:r w:rsidR="00D409E7">
        <w:rPr>
          <w:rFonts w:eastAsia="Batang" w:cs="Tahoma"/>
          <w:bCs/>
          <w:lang w:eastAsia="es-ES"/>
        </w:rPr>
        <w:t>diecisiete</w:t>
      </w:r>
      <w:r w:rsidR="00D409E7" w:rsidRPr="00D409E7">
        <w:rPr>
          <w:rFonts w:eastAsia="Batang" w:cs="Tahoma"/>
          <w:bCs/>
          <w:lang w:eastAsia="es-ES"/>
        </w:rPr>
        <w:t xml:space="preserve"> de enero  de dos mil veintidós</w:t>
      </w:r>
      <w:r w:rsidRPr="005813D8">
        <w:rPr>
          <w:rFonts w:eastAsia="Batang" w:cs="Tahoma"/>
          <w:bCs/>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777C5F53" w14:textId="77777777" w:rsidR="00D8203F" w:rsidRPr="005813D8" w:rsidRDefault="00D8203F" w:rsidP="00275717">
      <w:pPr>
        <w:spacing w:after="0"/>
        <w:rPr>
          <w:rFonts w:eastAsia="Batang" w:cs="Tahoma"/>
          <w:bCs/>
          <w:lang w:val="es-ES_tradnl" w:eastAsia="es-ES"/>
        </w:rPr>
      </w:pPr>
    </w:p>
    <w:p w14:paraId="1578090F" w14:textId="7630D0C6" w:rsidR="00C44AF0" w:rsidRPr="005813D8" w:rsidRDefault="00D8203F" w:rsidP="00275717">
      <w:pPr>
        <w:spacing w:after="0"/>
        <w:rPr>
          <w:rFonts w:eastAsia="Times New Roman" w:cs="Tahoma"/>
          <w:bCs/>
          <w:iCs/>
          <w:lang w:eastAsia="es-ES"/>
        </w:rPr>
      </w:pPr>
      <w:r w:rsidRPr="005813D8">
        <w:rPr>
          <w:rFonts w:eastAsia="Times New Roman" w:cs="Tahoma"/>
          <w:b/>
          <w:lang w:eastAsia="es-ES"/>
        </w:rPr>
        <w:lastRenderedPageBreak/>
        <w:t>c)</w:t>
      </w:r>
      <w:r w:rsidRPr="005813D8">
        <w:rPr>
          <w:rFonts w:eastAsia="Times New Roman" w:cs="Tahoma"/>
          <w:lang w:val="es-ES_tradnl" w:eastAsia="es-ES"/>
        </w:rPr>
        <w:t xml:space="preserve"> </w:t>
      </w:r>
      <w:r w:rsidRPr="005813D8">
        <w:rPr>
          <w:rFonts w:eastAsia="Times New Roman" w:cs="Tahoma"/>
          <w:b/>
          <w:lang w:val="es-ES_tradnl" w:eastAsia="es-ES"/>
        </w:rPr>
        <w:t xml:space="preserve">Informe Justificado. </w:t>
      </w:r>
      <w:r w:rsidR="00C44AF0" w:rsidRPr="005813D8">
        <w:rPr>
          <w:rFonts w:eastAsia="Times New Roman" w:cs="Tahoma"/>
          <w:bCs/>
          <w:lang w:val="es-ES_tradnl" w:eastAsia="es-ES"/>
        </w:rPr>
        <w:t xml:space="preserve">El </w:t>
      </w:r>
      <w:r w:rsidR="00D409E7">
        <w:rPr>
          <w:rFonts w:eastAsia="Times New Roman" w:cs="Tahoma"/>
          <w:bCs/>
          <w:lang w:val="es-ES_tradnl" w:eastAsia="es-ES"/>
        </w:rPr>
        <w:t xml:space="preserve">veintiocho de enero </w:t>
      </w:r>
      <w:r w:rsidR="00D409E7" w:rsidRPr="00D409E7">
        <w:rPr>
          <w:rFonts w:eastAsia="Times New Roman" w:cs="Tahoma"/>
          <w:bCs/>
          <w:lang w:val="es-ES_tradnl" w:eastAsia="es-ES"/>
        </w:rPr>
        <w:t>de dos mil veintidós</w:t>
      </w:r>
      <w:r w:rsidRPr="005813D8">
        <w:rPr>
          <w:rFonts w:eastAsia="Times New Roman" w:cs="Tahoma"/>
          <w:lang w:val="es-ES_tradnl" w:eastAsia="es-ES"/>
        </w:rPr>
        <w:t xml:space="preserve">, se recibió, a través del </w:t>
      </w:r>
      <w:r w:rsidRPr="005813D8">
        <w:rPr>
          <w:rFonts w:eastAsia="Times New Roman" w:cs="Tahoma"/>
          <w:lang w:val="es-ES" w:eastAsia="es-ES"/>
        </w:rPr>
        <w:t>Sistema de Acceso a la Información Mexiquense (SAIMEX)</w:t>
      </w:r>
      <w:r w:rsidRPr="005813D8">
        <w:rPr>
          <w:rFonts w:eastAsia="Times New Roman" w:cs="Tahoma"/>
          <w:lang w:val="es-ES_tradnl" w:eastAsia="es-ES"/>
        </w:rPr>
        <w:t xml:space="preserve">, </w:t>
      </w:r>
      <w:r w:rsidRPr="005813D8">
        <w:rPr>
          <w:rFonts w:eastAsia="Times New Roman" w:cs="Tahoma"/>
          <w:bCs/>
          <w:iCs/>
          <w:lang w:val="es-ES" w:eastAsia="es-ES"/>
        </w:rPr>
        <w:t xml:space="preserve">el Informe Justificado </w:t>
      </w:r>
      <w:r w:rsidRPr="005813D8">
        <w:rPr>
          <w:rFonts w:eastAsia="Times New Roman" w:cs="Tahoma"/>
          <w:bCs/>
          <w:iCs/>
          <w:lang w:eastAsia="es-ES"/>
        </w:rPr>
        <w:t>interpuesto por el Sujeto Obliga</w:t>
      </w:r>
      <w:r w:rsidR="00F66D38" w:rsidRPr="005813D8">
        <w:rPr>
          <w:rFonts w:eastAsia="Times New Roman" w:cs="Tahoma"/>
          <w:bCs/>
          <w:iCs/>
          <w:lang w:eastAsia="es-ES"/>
        </w:rPr>
        <w:t>do, por medio del oficio sin número</w:t>
      </w:r>
      <w:r w:rsidR="008F32C2">
        <w:rPr>
          <w:rFonts w:eastAsia="Times New Roman" w:cs="Tahoma"/>
          <w:bCs/>
          <w:iCs/>
          <w:lang w:eastAsia="es-ES"/>
        </w:rPr>
        <w:t>,</w:t>
      </w:r>
      <w:r w:rsidR="00F66D38" w:rsidRPr="005813D8">
        <w:rPr>
          <w:rFonts w:eastAsia="Times New Roman" w:cs="Tahoma"/>
          <w:bCs/>
          <w:iCs/>
          <w:lang w:eastAsia="es-ES"/>
        </w:rPr>
        <w:t xml:space="preserve"> ni fecha</w:t>
      </w:r>
      <w:r w:rsidR="008F32C2">
        <w:rPr>
          <w:rFonts w:eastAsia="Times New Roman" w:cs="Tahoma"/>
          <w:bCs/>
          <w:iCs/>
          <w:lang w:eastAsia="es-ES"/>
        </w:rPr>
        <w:t xml:space="preserve">, suscrito por </w:t>
      </w:r>
      <w:r w:rsidR="00F66D38" w:rsidRPr="005813D8">
        <w:rPr>
          <w:rFonts w:eastAsia="Times New Roman" w:cs="Tahoma"/>
          <w:bCs/>
          <w:iCs/>
          <w:lang w:eastAsia="es-ES"/>
        </w:rPr>
        <w:t xml:space="preserve">el </w:t>
      </w:r>
      <w:r w:rsidR="00C44AF0" w:rsidRPr="005813D8">
        <w:rPr>
          <w:rFonts w:eastAsia="Times New Roman" w:cs="Tahoma"/>
          <w:bCs/>
          <w:iCs/>
          <w:lang w:eastAsia="es-ES"/>
        </w:rPr>
        <w:t xml:space="preserve">Titular </w:t>
      </w:r>
      <w:r w:rsidR="006900B8" w:rsidRPr="005813D8">
        <w:rPr>
          <w:rFonts w:eastAsia="Times New Roman" w:cs="Tahoma"/>
          <w:bCs/>
          <w:iCs/>
          <w:lang w:eastAsia="es-ES"/>
        </w:rPr>
        <w:t>de la Unidad de Transparencia, por med</w:t>
      </w:r>
      <w:r w:rsidR="00EC7552" w:rsidRPr="005813D8">
        <w:rPr>
          <w:rFonts w:eastAsia="Times New Roman" w:cs="Tahoma"/>
          <w:bCs/>
          <w:iCs/>
          <w:lang w:eastAsia="es-ES"/>
        </w:rPr>
        <w:t xml:space="preserve">io </w:t>
      </w:r>
      <w:r w:rsidR="006900B8" w:rsidRPr="005813D8">
        <w:rPr>
          <w:rFonts w:eastAsia="Times New Roman" w:cs="Tahoma"/>
          <w:bCs/>
          <w:iCs/>
          <w:lang w:eastAsia="es-ES"/>
        </w:rPr>
        <w:t xml:space="preserve">del cual manifiesta y expone: </w:t>
      </w:r>
    </w:p>
    <w:p w14:paraId="1652618B" w14:textId="7174D561" w:rsidR="006900B8" w:rsidRPr="005813D8" w:rsidRDefault="006900B8" w:rsidP="00275717">
      <w:pPr>
        <w:spacing w:after="0"/>
        <w:rPr>
          <w:rFonts w:eastAsia="Times New Roman" w:cs="Tahoma"/>
          <w:bCs/>
          <w:iCs/>
          <w:lang w:eastAsia="es-ES"/>
        </w:rPr>
      </w:pPr>
    </w:p>
    <w:p w14:paraId="233AE490" w14:textId="77777777" w:rsidR="00D03A98" w:rsidRDefault="006900B8" w:rsidP="00275717">
      <w:pPr>
        <w:spacing w:after="0"/>
        <w:ind w:left="567" w:right="567"/>
        <w:rPr>
          <w:rFonts w:eastAsia="Times New Roman" w:cs="Tahoma"/>
          <w:bCs/>
          <w:i/>
          <w:sz w:val="20"/>
          <w:szCs w:val="20"/>
          <w:lang w:eastAsia="es-ES"/>
        </w:rPr>
      </w:pPr>
      <w:r w:rsidRPr="005813D8">
        <w:rPr>
          <w:rFonts w:eastAsia="Times New Roman" w:cs="Tahoma"/>
          <w:bCs/>
          <w:i/>
          <w:sz w:val="20"/>
          <w:szCs w:val="20"/>
          <w:lang w:eastAsia="es-ES"/>
        </w:rPr>
        <w:t>“…</w:t>
      </w:r>
    </w:p>
    <w:p w14:paraId="4F380958" w14:textId="55E3ABC0" w:rsidR="00D03A98" w:rsidRDefault="00D03A98" w:rsidP="00275717">
      <w:pPr>
        <w:spacing w:after="0"/>
        <w:ind w:left="567" w:right="567"/>
        <w:rPr>
          <w:rFonts w:eastAsia="Times New Roman" w:cs="Tahoma"/>
          <w:bCs/>
          <w:i/>
          <w:sz w:val="20"/>
          <w:szCs w:val="20"/>
          <w:lang w:eastAsia="es-ES"/>
        </w:rPr>
      </w:pPr>
      <w:r>
        <w:rPr>
          <w:rFonts w:eastAsia="Times New Roman" w:cs="Tahoma"/>
          <w:bCs/>
          <w:i/>
          <w:sz w:val="20"/>
          <w:szCs w:val="20"/>
          <w:lang w:eastAsia="es-ES"/>
        </w:rPr>
        <w:t>De manera complementaria a lo informado a través del número de oficio identificado como DGSC/2526/2021 emitido con fecha 22 de diciembre del año 2021, le comunico que del año 2010 a la fecha, la Dirección General de Seguridad Ciudadana de Nezahualcóyotl ha firmado dos convenios de colaboración con la organización “Causa en Común A.C.”, misma que se encuentra integrada por la organización “Ciudadanos por una causa en común A.C</w:t>
      </w:r>
      <w:r w:rsidR="009A2721">
        <w:rPr>
          <w:rFonts w:eastAsia="Times New Roman" w:cs="Tahoma"/>
          <w:bCs/>
          <w:i/>
          <w:sz w:val="20"/>
          <w:szCs w:val="20"/>
          <w:lang w:eastAsia="es-ES"/>
        </w:rPr>
        <w:t>.“y</w:t>
      </w:r>
      <w:r>
        <w:rPr>
          <w:rFonts w:eastAsia="Times New Roman" w:cs="Tahoma"/>
          <w:bCs/>
          <w:i/>
          <w:sz w:val="20"/>
          <w:szCs w:val="20"/>
          <w:lang w:eastAsia="es-ES"/>
        </w:rPr>
        <w:t xml:space="preserve"> la organización “</w:t>
      </w:r>
      <w:r w:rsidR="009A2721">
        <w:rPr>
          <w:rFonts w:eastAsia="Times New Roman" w:cs="Tahoma"/>
          <w:bCs/>
          <w:i/>
          <w:sz w:val="20"/>
          <w:szCs w:val="20"/>
          <w:lang w:eastAsia="es-ES"/>
        </w:rPr>
        <w:t>Horizonte</w:t>
      </w:r>
      <w:r>
        <w:rPr>
          <w:rFonts w:eastAsia="Times New Roman" w:cs="Tahoma"/>
          <w:bCs/>
          <w:i/>
          <w:sz w:val="20"/>
          <w:szCs w:val="20"/>
          <w:lang w:eastAsia="es-ES"/>
        </w:rPr>
        <w:t xml:space="preserve"> y Oportunidad A. C.”</w:t>
      </w:r>
    </w:p>
    <w:p w14:paraId="1A40D4B2" w14:textId="77777777" w:rsidR="008F32C2" w:rsidRDefault="008F32C2" w:rsidP="00275717">
      <w:pPr>
        <w:spacing w:after="0"/>
        <w:ind w:left="567" w:right="567"/>
        <w:rPr>
          <w:rFonts w:eastAsia="Times New Roman" w:cs="Tahoma"/>
          <w:bCs/>
          <w:i/>
          <w:sz w:val="20"/>
          <w:szCs w:val="20"/>
          <w:lang w:eastAsia="es-ES"/>
        </w:rPr>
      </w:pPr>
    </w:p>
    <w:p w14:paraId="23058D42" w14:textId="442C7260" w:rsidR="00D03A98" w:rsidRDefault="00D03A98" w:rsidP="00275717">
      <w:pPr>
        <w:spacing w:after="0"/>
        <w:ind w:left="567" w:right="567"/>
        <w:rPr>
          <w:rFonts w:eastAsia="Times New Roman" w:cs="Tahoma"/>
          <w:bCs/>
          <w:i/>
          <w:sz w:val="20"/>
          <w:szCs w:val="20"/>
          <w:lang w:eastAsia="es-ES"/>
        </w:rPr>
      </w:pPr>
      <w:r>
        <w:rPr>
          <w:rFonts w:eastAsia="Times New Roman" w:cs="Tahoma"/>
          <w:bCs/>
          <w:i/>
          <w:sz w:val="20"/>
          <w:szCs w:val="20"/>
          <w:lang w:eastAsia="es-ES"/>
        </w:rPr>
        <w:t xml:space="preserve">El primer convenio de colaboración fue firmado el </w:t>
      </w:r>
      <w:r w:rsidR="009A2721">
        <w:rPr>
          <w:rFonts w:eastAsia="Times New Roman" w:cs="Tahoma"/>
          <w:bCs/>
          <w:i/>
          <w:sz w:val="20"/>
          <w:szCs w:val="20"/>
          <w:lang w:eastAsia="es-ES"/>
        </w:rPr>
        <w:t>día</w:t>
      </w:r>
      <w:r>
        <w:rPr>
          <w:rFonts w:eastAsia="Times New Roman" w:cs="Tahoma"/>
          <w:bCs/>
          <w:i/>
          <w:sz w:val="20"/>
          <w:szCs w:val="20"/>
          <w:lang w:eastAsia="es-ES"/>
        </w:rPr>
        <w:t xml:space="preserve"> 18 de diciembre del año 2019, mismo que tuvo co</w:t>
      </w:r>
      <w:r w:rsidR="009A2721">
        <w:rPr>
          <w:rFonts w:eastAsia="Times New Roman" w:cs="Tahoma"/>
          <w:bCs/>
          <w:i/>
          <w:sz w:val="20"/>
          <w:szCs w:val="20"/>
          <w:lang w:eastAsia="es-ES"/>
        </w:rPr>
        <w:t>n</w:t>
      </w:r>
      <w:r>
        <w:rPr>
          <w:rFonts w:eastAsia="Times New Roman" w:cs="Tahoma"/>
          <w:bCs/>
          <w:i/>
          <w:sz w:val="20"/>
          <w:szCs w:val="20"/>
          <w:lang w:eastAsia="es-ES"/>
        </w:rPr>
        <w:t xml:space="preserve"> objetivo sumar esfuerzos, recursos y conocimientos de la </w:t>
      </w:r>
      <w:r w:rsidR="009A2721">
        <w:rPr>
          <w:rFonts w:eastAsia="Times New Roman" w:cs="Tahoma"/>
          <w:bCs/>
          <w:i/>
          <w:sz w:val="20"/>
          <w:szCs w:val="20"/>
          <w:lang w:eastAsia="es-ES"/>
        </w:rPr>
        <w:t>Dirección</w:t>
      </w:r>
      <w:r>
        <w:rPr>
          <w:rFonts w:eastAsia="Times New Roman" w:cs="Tahoma"/>
          <w:bCs/>
          <w:i/>
          <w:sz w:val="20"/>
          <w:szCs w:val="20"/>
          <w:lang w:eastAsia="es-ES"/>
        </w:rPr>
        <w:t xml:space="preserve"> General de Seguridad Ciudadana de </w:t>
      </w:r>
      <w:r w:rsidR="009A2721">
        <w:rPr>
          <w:rFonts w:eastAsia="Times New Roman" w:cs="Tahoma"/>
          <w:bCs/>
          <w:i/>
          <w:sz w:val="20"/>
          <w:szCs w:val="20"/>
          <w:lang w:eastAsia="es-ES"/>
        </w:rPr>
        <w:t>Nezahualcóyotl</w:t>
      </w:r>
      <w:r>
        <w:rPr>
          <w:rFonts w:eastAsia="Times New Roman" w:cs="Tahoma"/>
          <w:bCs/>
          <w:i/>
          <w:sz w:val="20"/>
          <w:szCs w:val="20"/>
          <w:lang w:eastAsia="es-ES"/>
        </w:rPr>
        <w:t xml:space="preserve"> y la Organización Causa en Común A. C. para </w:t>
      </w:r>
      <w:r w:rsidR="009A2721">
        <w:rPr>
          <w:rFonts w:eastAsia="Times New Roman" w:cs="Tahoma"/>
          <w:bCs/>
          <w:i/>
          <w:sz w:val="20"/>
          <w:szCs w:val="20"/>
          <w:lang w:eastAsia="es-ES"/>
        </w:rPr>
        <w:t>diagnosticar</w:t>
      </w:r>
      <w:r>
        <w:rPr>
          <w:rFonts w:eastAsia="Times New Roman" w:cs="Tahoma"/>
          <w:bCs/>
          <w:i/>
          <w:sz w:val="20"/>
          <w:szCs w:val="20"/>
          <w:lang w:eastAsia="es-ES"/>
        </w:rPr>
        <w:t xml:space="preserve">, evaluar y mejorar los procesos de comunicación y difusión sobre la labor </w:t>
      </w:r>
      <w:r w:rsidR="009A2721">
        <w:rPr>
          <w:rFonts w:eastAsia="Times New Roman" w:cs="Tahoma"/>
          <w:bCs/>
          <w:i/>
          <w:sz w:val="20"/>
          <w:szCs w:val="20"/>
          <w:lang w:eastAsia="es-ES"/>
        </w:rPr>
        <w:t>de la Policía Municipal de Nezahualcóyotl, a fin de contribuir a construir una relación de confianza entre los ciudadanos y los policías.</w:t>
      </w:r>
    </w:p>
    <w:p w14:paraId="782CB22D" w14:textId="77777777" w:rsidR="008F32C2" w:rsidRDefault="008F32C2" w:rsidP="00275717">
      <w:pPr>
        <w:spacing w:after="0"/>
        <w:ind w:left="567" w:right="567"/>
        <w:rPr>
          <w:rFonts w:eastAsia="Times New Roman" w:cs="Tahoma"/>
          <w:bCs/>
          <w:i/>
          <w:sz w:val="20"/>
          <w:szCs w:val="20"/>
          <w:lang w:eastAsia="es-ES"/>
        </w:rPr>
      </w:pPr>
    </w:p>
    <w:p w14:paraId="6E74BD22" w14:textId="06BF4412" w:rsidR="009A2721" w:rsidRDefault="009A2721" w:rsidP="00275717">
      <w:pPr>
        <w:spacing w:after="0"/>
        <w:ind w:left="567" w:right="567"/>
        <w:rPr>
          <w:rFonts w:eastAsia="Times New Roman" w:cs="Tahoma"/>
          <w:bCs/>
          <w:i/>
          <w:sz w:val="20"/>
          <w:szCs w:val="20"/>
          <w:lang w:eastAsia="es-ES"/>
        </w:rPr>
      </w:pPr>
      <w:r>
        <w:rPr>
          <w:rFonts w:eastAsia="Times New Roman" w:cs="Tahoma"/>
          <w:bCs/>
          <w:i/>
          <w:sz w:val="20"/>
          <w:szCs w:val="20"/>
          <w:lang w:eastAsia="es-ES"/>
        </w:rPr>
        <w:t xml:space="preserve">Sin </w:t>
      </w:r>
      <w:r w:rsidR="008F32C2">
        <w:rPr>
          <w:rFonts w:eastAsia="Times New Roman" w:cs="Tahoma"/>
          <w:bCs/>
          <w:i/>
          <w:sz w:val="20"/>
          <w:szCs w:val="20"/>
          <w:lang w:eastAsia="es-ES"/>
        </w:rPr>
        <w:t>embargo,</w:t>
      </w:r>
      <w:r>
        <w:rPr>
          <w:rFonts w:eastAsia="Times New Roman" w:cs="Tahoma"/>
          <w:bCs/>
          <w:i/>
          <w:sz w:val="20"/>
          <w:szCs w:val="20"/>
          <w:lang w:eastAsia="es-ES"/>
        </w:rPr>
        <w:t xml:space="preserve"> como resultado de los hallazgos y la voluntad política, el proyecto de extendió en tres fases implementadas del año 2019 al año 2021, generándose la firma del segundo convenio de colaboración el día 28 de septiembre del año 2021, que tuvo como objetivo evaluar la brecha de género en la carrera policial y generar recomendaciones para sensibilizar a las y los elementos de la Dirección General de Seguridad Ciudadana de Nezahualcóyotl.</w:t>
      </w:r>
    </w:p>
    <w:p w14:paraId="4F75C793" w14:textId="2F92D869" w:rsidR="00F42CAA" w:rsidRPr="005813D8" w:rsidRDefault="009A2721" w:rsidP="00275717">
      <w:pPr>
        <w:spacing w:after="0"/>
        <w:ind w:left="567" w:right="567"/>
        <w:rPr>
          <w:rFonts w:eastAsia="Times New Roman" w:cs="Tahoma"/>
          <w:bCs/>
          <w:i/>
          <w:sz w:val="20"/>
          <w:szCs w:val="20"/>
          <w:lang w:eastAsia="es-ES"/>
        </w:rPr>
      </w:pPr>
      <w:r>
        <w:rPr>
          <w:rFonts w:eastAsia="Times New Roman" w:cs="Tahoma"/>
          <w:bCs/>
          <w:i/>
          <w:sz w:val="20"/>
          <w:szCs w:val="20"/>
          <w:lang w:eastAsia="es-ES"/>
        </w:rPr>
        <w:t>…”</w:t>
      </w:r>
      <w:r w:rsidR="00F42CAA" w:rsidRPr="005813D8">
        <w:rPr>
          <w:rFonts w:eastAsia="Times New Roman" w:cs="Tahoma"/>
          <w:bCs/>
          <w:i/>
          <w:sz w:val="20"/>
          <w:szCs w:val="20"/>
          <w:lang w:eastAsia="es-ES"/>
        </w:rPr>
        <w:t xml:space="preserve"> (Sic) </w:t>
      </w:r>
    </w:p>
    <w:p w14:paraId="6D866CA9" w14:textId="77777777" w:rsidR="00D8203F" w:rsidRPr="005813D8" w:rsidRDefault="00D8203F" w:rsidP="00275717">
      <w:pPr>
        <w:spacing w:after="0"/>
        <w:rPr>
          <w:rFonts w:eastAsia="Times New Roman" w:cs="Tahoma"/>
          <w:iCs/>
          <w:color w:val="auto"/>
          <w:lang w:val="es-ES_tradnl" w:eastAsia="es-ES"/>
        </w:rPr>
      </w:pPr>
    </w:p>
    <w:p w14:paraId="351C90FF" w14:textId="1E045FA9" w:rsidR="00953BD3" w:rsidRPr="005813D8" w:rsidRDefault="00D8203F" w:rsidP="00275717">
      <w:pPr>
        <w:spacing w:after="0"/>
        <w:rPr>
          <w:rFonts w:eastAsia="Times New Roman" w:cs="Tahoma"/>
          <w:bCs/>
          <w:iCs/>
          <w:lang w:eastAsia="es-ES"/>
        </w:rPr>
      </w:pPr>
      <w:r w:rsidRPr="005813D8">
        <w:rPr>
          <w:rFonts w:eastAsia="Times New Roman" w:cs="Tahoma"/>
          <w:iCs/>
          <w:color w:val="auto"/>
          <w:lang w:val="es-ES_tradnl" w:eastAsia="es-ES"/>
        </w:rPr>
        <w:t xml:space="preserve">El Sujeto Obligado adjuntó la digitalización </w:t>
      </w:r>
      <w:r w:rsidR="00D30581" w:rsidRPr="005813D8">
        <w:rPr>
          <w:rFonts w:eastAsia="Times New Roman" w:cs="Tahoma"/>
          <w:iCs/>
          <w:color w:val="auto"/>
          <w:lang w:val="es-ES_tradnl" w:eastAsia="es-ES"/>
        </w:rPr>
        <w:t xml:space="preserve">de </w:t>
      </w:r>
      <w:r w:rsidR="009A2721">
        <w:rPr>
          <w:rFonts w:eastAsia="Times New Roman" w:cs="Tahoma"/>
          <w:iCs/>
          <w:color w:val="auto"/>
          <w:lang w:val="es-ES_tradnl" w:eastAsia="es-ES"/>
        </w:rPr>
        <w:t>dos convenios de colaboración entre el Municipio de Nezahualcóyotl y la asociación Ciudadanos por una Causa en Común A.C.</w:t>
      </w:r>
    </w:p>
    <w:p w14:paraId="196F0D28" w14:textId="77777777" w:rsidR="00953BD3" w:rsidRPr="005813D8" w:rsidRDefault="00953BD3" w:rsidP="00275717">
      <w:pPr>
        <w:pStyle w:val="Prrafodelista"/>
        <w:spacing w:after="0"/>
        <w:ind w:left="1429"/>
        <w:rPr>
          <w:rFonts w:eastAsia="Times New Roman" w:cs="Tahoma"/>
          <w:iCs/>
          <w:color w:val="auto"/>
          <w:lang w:val="es-ES_tradnl" w:eastAsia="es-ES"/>
        </w:rPr>
      </w:pPr>
    </w:p>
    <w:p w14:paraId="4BF866FA" w14:textId="5EAE98C6" w:rsidR="00D8203F" w:rsidRPr="005813D8" w:rsidRDefault="00D8203F" w:rsidP="00275717">
      <w:pPr>
        <w:spacing w:after="0"/>
        <w:rPr>
          <w:rFonts w:cs="Tahoma"/>
        </w:rPr>
      </w:pPr>
      <w:r w:rsidRPr="005813D8">
        <w:rPr>
          <w:rFonts w:cs="Tahoma"/>
          <w:b/>
          <w:bCs/>
        </w:rPr>
        <w:t xml:space="preserve">d) Vista del informe justificado. </w:t>
      </w:r>
      <w:r w:rsidRPr="005813D8">
        <w:rPr>
          <w:rFonts w:cs="Tahoma"/>
        </w:rPr>
        <w:t xml:space="preserve">El </w:t>
      </w:r>
      <w:r w:rsidR="009A2721">
        <w:rPr>
          <w:rFonts w:cs="Tahoma"/>
        </w:rPr>
        <w:t xml:space="preserve">primero de marzo </w:t>
      </w:r>
      <w:r w:rsidR="00953BD3" w:rsidRPr="005813D8">
        <w:rPr>
          <w:rFonts w:cs="Tahoma"/>
        </w:rPr>
        <w:t>de dos mil veintidós</w:t>
      </w:r>
      <w:r w:rsidRPr="005813D8">
        <w:rPr>
          <w:rFonts w:cs="Tahoma"/>
        </w:rPr>
        <w:t xml:space="preserve">, se dictó acuerdo mediante el cual </w:t>
      </w:r>
      <w:r w:rsidRPr="005813D8">
        <w:rPr>
          <w:rFonts w:cs="Tahoma"/>
          <w:b/>
          <w:bCs/>
        </w:rPr>
        <w:t>se puso a la vista de la Particular el Informe Justificado</w:t>
      </w:r>
      <w:r w:rsidRPr="005813D8">
        <w:rPr>
          <w:rFonts w:cs="Tahoma"/>
        </w:rPr>
        <w:t xml:space="preserve"> entregado por el Sujeto Obligado, el cual fue notificado al Recurrente, a través del Sistema de Acceso a la Información Mexiquense (SAIMEX), </w:t>
      </w:r>
      <w:r w:rsidR="00E77820" w:rsidRPr="005813D8">
        <w:rPr>
          <w:rFonts w:cs="Tahoma"/>
        </w:rPr>
        <w:t xml:space="preserve">el </w:t>
      </w:r>
      <w:r w:rsidR="00953BD3" w:rsidRPr="005813D8">
        <w:rPr>
          <w:rFonts w:cs="Tahoma"/>
        </w:rPr>
        <w:t>mismo día</w:t>
      </w:r>
      <w:r w:rsidR="00E77820" w:rsidRPr="005813D8">
        <w:rPr>
          <w:rFonts w:cs="Tahoma"/>
        </w:rPr>
        <w:t xml:space="preserve">. </w:t>
      </w:r>
      <w:r w:rsidRPr="005813D8">
        <w:rPr>
          <w:rFonts w:cs="Tahoma"/>
          <w:b/>
        </w:rPr>
        <w:t>No obstante</w:t>
      </w:r>
      <w:r w:rsidRPr="005813D8">
        <w:rPr>
          <w:rFonts w:cs="Tahoma"/>
          <w:b/>
          <w:bCs/>
          <w:iCs/>
          <w:lang w:val="es-ES_tradnl"/>
        </w:rPr>
        <w:t xml:space="preserve">, </w:t>
      </w:r>
      <w:r w:rsidR="00E77820" w:rsidRPr="005813D8">
        <w:rPr>
          <w:rFonts w:cs="Tahoma"/>
          <w:b/>
          <w:bCs/>
          <w:iCs/>
          <w:lang w:val="es-ES_tradnl"/>
        </w:rPr>
        <w:t xml:space="preserve">el </w:t>
      </w:r>
      <w:r w:rsidRPr="005813D8">
        <w:rPr>
          <w:rFonts w:cs="Tahoma"/>
          <w:b/>
          <w:bCs/>
          <w:iCs/>
          <w:lang w:val="es-ES_tradnl"/>
        </w:rPr>
        <w:t>Particular omitió realizar manifestación alguna que a su derecho conviniera y asistiera</w:t>
      </w:r>
    </w:p>
    <w:p w14:paraId="139373B8" w14:textId="77777777" w:rsidR="00D8203F" w:rsidRPr="005813D8" w:rsidRDefault="00D8203F" w:rsidP="00275717">
      <w:pPr>
        <w:spacing w:after="0"/>
        <w:rPr>
          <w:rFonts w:eastAsia="Times New Roman" w:cs="Tahoma"/>
          <w:b/>
          <w:color w:val="auto"/>
          <w:szCs w:val="24"/>
          <w:lang w:eastAsia="es-ES"/>
        </w:rPr>
      </w:pPr>
    </w:p>
    <w:p w14:paraId="190015B8" w14:textId="4D917235" w:rsidR="00D30581" w:rsidRPr="005813D8" w:rsidRDefault="00D8203F" w:rsidP="00275717">
      <w:pPr>
        <w:spacing w:after="0"/>
        <w:rPr>
          <w:rFonts w:eastAsia="Times New Roman" w:cs="Tahoma"/>
          <w:b/>
          <w:color w:val="auto"/>
          <w:szCs w:val="24"/>
          <w:lang w:eastAsia="es-ES"/>
        </w:rPr>
      </w:pPr>
      <w:r w:rsidRPr="005813D8">
        <w:rPr>
          <w:rFonts w:eastAsia="Times New Roman" w:cs="Tahoma"/>
          <w:b/>
          <w:color w:val="auto"/>
          <w:szCs w:val="24"/>
          <w:lang w:eastAsia="es-ES"/>
        </w:rPr>
        <w:t xml:space="preserve">e) </w:t>
      </w:r>
      <w:r w:rsidR="00D30581" w:rsidRPr="005813D8">
        <w:rPr>
          <w:rFonts w:eastAsia="Palatino Linotype" w:cs="Palatino Linotype"/>
          <w:b/>
          <w:bCs/>
          <w:lang w:val="es-ES"/>
        </w:rPr>
        <w:t xml:space="preserve">Ampliación del plazo para resolver. </w:t>
      </w:r>
      <w:r w:rsidR="00D30581" w:rsidRPr="005813D8">
        <w:rPr>
          <w:rFonts w:eastAsia="Palatino Linotype" w:cs="Palatino Linotype"/>
          <w:lang w:val="es-ES"/>
        </w:rPr>
        <w:t xml:space="preserve">El </w:t>
      </w:r>
      <w:r w:rsidR="00CF4C9A">
        <w:rPr>
          <w:rFonts w:eastAsia="Palatino Linotype" w:cs="Palatino Linotype"/>
          <w:lang w:val="es-ES"/>
        </w:rPr>
        <w:t>tres de marzo</w:t>
      </w:r>
      <w:r w:rsidR="00D30581" w:rsidRPr="005813D8">
        <w:rPr>
          <w:rFonts w:eastAsia="Palatino Linotype" w:cs="Palatino Linotype"/>
          <w:lang w:val="es-ES"/>
        </w:rPr>
        <w:t xml:space="preserve"> dedos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50E08D3E" w14:textId="77777777" w:rsidR="00D30581" w:rsidRPr="005813D8" w:rsidRDefault="00D30581" w:rsidP="00275717">
      <w:pPr>
        <w:spacing w:after="0"/>
        <w:rPr>
          <w:rFonts w:eastAsia="Times New Roman" w:cs="Tahoma"/>
          <w:b/>
          <w:color w:val="auto"/>
          <w:szCs w:val="24"/>
          <w:lang w:eastAsia="es-ES"/>
        </w:rPr>
      </w:pPr>
    </w:p>
    <w:p w14:paraId="1ACB06BA" w14:textId="3203CACA" w:rsidR="00D8203F" w:rsidRPr="005813D8" w:rsidRDefault="00D30581" w:rsidP="00275717">
      <w:pPr>
        <w:spacing w:after="0"/>
        <w:rPr>
          <w:rFonts w:eastAsia="Times New Roman" w:cs="Tahoma"/>
          <w:color w:val="auto"/>
          <w:szCs w:val="24"/>
          <w:lang w:eastAsia="es-ES"/>
        </w:rPr>
      </w:pPr>
      <w:r w:rsidRPr="005813D8">
        <w:rPr>
          <w:rFonts w:eastAsia="Times New Roman" w:cs="Tahoma"/>
          <w:b/>
          <w:color w:val="auto"/>
          <w:szCs w:val="24"/>
          <w:lang w:eastAsia="es-ES"/>
        </w:rPr>
        <w:t xml:space="preserve">f) </w:t>
      </w:r>
      <w:r w:rsidR="00D8203F" w:rsidRPr="005813D8">
        <w:rPr>
          <w:rFonts w:eastAsia="Times New Roman" w:cs="Tahoma"/>
          <w:b/>
          <w:color w:val="auto"/>
          <w:szCs w:val="24"/>
          <w:lang w:eastAsia="es-ES"/>
        </w:rPr>
        <w:t>Cierre de instrucción.</w:t>
      </w:r>
      <w:r w:rsidR="00D8203F" w:rsidRPr="005813D8">
        <w:rPr>
          <w:rFonts w:eastAsia="Times New Roman" w:cs="Tahoma"/>
          <w:color w:val="auto"/>
          <w:szCs w:val="24"/>
          <w:lang w:eastAsia="es-ES"/>
        </w:rPr>
        <w:t xml:space="preserve"> El </w:t>
      </w:r>
      <w:r w:rsidR="00CF4C9A">
        <w:rPr>
          <w:rFonts w:eastAsia="Times New Roman" w:cs="Tahoma"/>
          <w:color w:val="auto"/>
          <w:szCs w:val="24"/>
          <w:lang w:val="es-ES" w:eastAsia="es-ES"/>
        </w:rPr>
        <w:t xml:space="preserve">siete de marzo </w:t>
      </w:r>
      <w:r w:rsidR="00953BD3" w:rsidRPr="005813D8">
        <w:rPr>
          <w:rFonts w:eastAsia="Times New Roman" w:cs="Tahoma"/>
          <w:color w:val="auto"/>
          <w:szCs w:val="24"/>
          <w:lang w:val="es-ES" w:eastAsia="es-ES"/>
        </w:rPr>
        <w:t>de dos mil veintidós</w:t>
      </w:r>
      <w:r w:rsidR="00D8203F" w:rsidRPr="005813D8">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D8203F" w:rsidRPr="005813D8">
        <w:rPr>
          <w:rFonts w:eastAsia="Times New Roman" w:cs="Tahoma"/>
          <w:color w:val="auto"/>
          <w:szCs w:val="20"/>
          <w:lang w:val="es-ES" w:eastAsia="es-ES"/>
        </w:rPr>
        <w:t>Sistema de Acceso a la Información Mexiquense (SAIMEX)</w:t>
      </w:r>
      <w:r w:rsidR="00D8203F" w:rsidRPr="005813D8">
        <w:rPr>
          <w:rFonts w:eastAsia="Times New Roman" w:cs="Tahoma"/>
          <w:color w:val="auto"/>
          <w:szCs w:val="24"/>
          <w:lang w:eastAsia="es-ES"/>
        </w:rPr>
        <w:t>.</w:t>
      </w:r>
    </w:p>
    <w:p w14:paraId="7D034060" w14:textId="77777777" w:rsidR="00EF640A" w:rsidRPr="005813D8" w:rsidRDefault="00EF640A" w:rsidP="00275717">
      <w:pPr>
        <w:spacing w:after="0"/>
        <w:rPr>
          <w:rFonts w:eastAsia="Times New Roman" w:cs="Tahoma"/>
          <w:color w:val="auto"/>
          <w:szCs w:val="24"/>
          <w:lang w:val="es-ES" w:eastAsia="es-ES"/>
        </w:rPr>
      </w:pPr>
    </w:p>
    <w:p w14:paraId="79CDDFD7" w14:textId="77777777" w:rsidR="00D8203F" w:rsidRPr="005813D8" w:rsidRDefault="00D8203F" w:rsidP="00275717">
      <w:pPr>
        <w:spacing w:after="0"/>
        <w:rPr>
          <w:rFonts w:eastAsia="Times New Roman" w:cs="Tahoma"/>
          <w:color w:val="000000"/>
          <w:szCs w:val="24"/>
          <w:lang w:eastAsia="es-ES"/>
        </w:rPr>
      </w:pPr>
      <w:r w:rsidRPr="005813D8">
        <w:rPr>
          <w:rFonts w:eastAsia="Times New Roman" w:cs="Tahoma"/>
          <w:color w:val="000000"/>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6A1125E0" w14:textId="77777777" w:rsidR="00D8203F" w:rsidRPr="005813D8" w:rsidRDefault="00D8203F" w:rsidP="00275717">
      <w:pPr>
        <w:spacing w:after="0"/>
        <w:rPr>
          <w:rFonts w:eastAsia="Times New Roman" w:cs="Tahoma"/>
          <w:bCs/>
          <w:iCs/>
          <w:color w:val="auto"/>
          <w:lang w:val="es-ES" w:eastAsia="es-ES"/>
        </w:rPr>
      </w:pPr>
    </w:p>
    <w:p w14:paraId="2EE6FC6F" w14:textId="77777777" w:rsidR="00D8203F" w:rsidRPr="005813D8" w:rsidRDefault="00D8203F" w:rsidP="00275717">
      <w:pPr>
        <w:spacing w:after="0"/>
        <w:jc w:val="center"/>
        <w:rPr>
          <w:rFonts w:eastAsia="Times New Roman" w:cs="Tahoma"/>
          <w:b/>
          <w:color w:val="auto"/>
          <w:lang w:val="es-ES" w:eastAsia="es-ES"/>
        </w:rPr>
      </w:pPr>
      <w:r w:rsidRPr="005813D8">
        <w:rPr>
          <w:rFonts w:eastAsia="Times New Roman" w:cs="Tahoma"/>
          <w:b/>
          <w:color w:val="auto"/>
          <w:lang w:val="es-ES" w:eastAsia="es-ES"/>
        </w:rPr>
        <w:t>C O N S I D E R A N D O S:</w:t>
      </w:r>
    </w:p>
    <w:p w14:paraId="33FAEC0B" w14:textId="77777777" w:rsidR="00D8203F" w:rsidRPr="005813D8" w:rsidRDefault="00D8203F" w:rsidP="00275717">
      <w:pPr>
        <w:autoSpaceDE w:val="0"/>
        <w:autoSpaceDN w:val="0"/>
        <w:adjustRightInd w:val="0"/>
        <w:spacing w:after="0"/>
        <w:rPr>
          <w:rFonts w:eastAsia="Times New Roman" w:cs="Tahoma"/>
          <w:b/>
          <w:color w:val="auto"/>
          <w:szCs w:val="24"/>
          <w:lang w:val="es-ES" w:eastAsia="es-ES"/>
        </w:rPr>
      </w:pPr>
      <w:r w:rsidRPr="005813D8">
        <w:rPr>
          <w:rFonts w:eastAsia="Calibri" w:cs="Tahoma"/>
          <w:b/>
          <w:color w:val="000000"/>
          <w:szCs w:val="24"/>
          <w:lang w:val="es-ES" w:eastAsia="es-MX"/>
        </w:rPr>
        <w:t>PRIMERO</w:t>
      </w:r>
      <w:r w:rsidRPr="005813D8">
        <w:rPr>
          <w:rFonts w:eastAsia="Calibri" w:cs="Tahoma"/>
          <w:color w:val="000000"/>
          <w:szCs w:val="24"/>
          <w:lang w:val="es-ES" w:eastAsia="es-MX"/>
        </w:rPr>
        <w:t xml:space="preserve">. </w:t>
      </w:r>
      <w:r w:rsidRPr="005813D8">
        <w:rPr>
          <w:rFonts w:eastAsia="Times New Roman" w:cs="Tahoma"/>
          <w:b/>
          <w:color w:val="auto"/>
          <w:szCs w:val="24"/>
          <w:lang w:val="es-ES" w:eastAsia="es-ES"/>
        </w:rPr>
        <w:t>Competencia.</w:t>
      </w:r>
    </w:p>
    <w:p w14:paraId="3C3E37F0" w14:textId="77777777" w:rsidR="00D8203F" w:rsidRPr="005813D8" w:rsidRDefault="00D8203F" w:rsidP="00275717">
      <w:pPr>
        <w:autoSpaceDE w:val="0"/>
        <w:autoSpaceDN w:val="0"/>
        <w:adjustRightInd w:val="0"/>
        <w:spacing w:after="0"/>
        <w:rPr>
          <w:rFonts w:eastAsia="Times New Roman" w:cs="Tahoma"/>
          <w:b/>
          <w:color w:val="auto"/>
          <w:szCs w:val="24"/>
          <w:lang w:val="es-ES" w:eastAsia="es-ES"/>
        </w:rPr>
      </w:pPr>
    </w:p>
    <w:p w14:paraId="39F4D924" w14:textId="6214F536" w:rsidR="00D8203F" w:rsidRPr="005813D8" w:rsidRDefault="00D8203F" w:rsidP="00275717">
      <w:pPr>
        <w:spacing w:after="0"/>
        <w:rPr>
          <w:rFonts w:eastAsia="Calibri" w:cs="Times New Roman"/>
          <w:color w:val="000000"/>
        </w:rPr>
      </w:pPr>
      <w:r w:rsidRPr="005813D8">
        <w:rPr>
          <w:rFonts w:eastAsia="Calibri" w:cs="Times New Roman"/>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CA1B00" w:rsidRPr="005813D8">
        <w:rPr>
          <w:rFonts w:eastAsia="Calibri" w:cs="Times New Roman"/>
          <w:color w:val="000000"/>
        </w:rPr>
        <w:t>trigésimo, trigésimo primero y trigésimo segundo</w:t>
      </w:r>
      <w:r w:rsidRPr="005813D8">
        <w:rPr>
          <w:rFonts w:eastAsia="Calibri" w:cs="Times New Roman"/>
          <w:color w:val="000000"/>
        </w:rPr>
        <w:t>, fracciones I, II, III, IV y V de la Constitución Política del Estado Libre y Soberano de México; 1°, 8°, 9°, 10, 37 y 42, fracciones I, II y III, de la Ley General de Transparencia y Acceso a la Información Pública; 1°, 2°, fracciones II y IV; 13,</w:t>
      </w:r>
      <w:r w:rsidR="0035784F" w:rsidRPr="005813D8">
        <w:rPr>
          <w:rFonts w:eastAsia="Calibri" w:cs="Times New Roman"/>
          <w:color w:val="000000"/>
        </w:rPr>
        <w:t xml:space="preserve"> </w:t>
      </w:r>
      <w:r w:rsidRPr="005813D8">
        <w:rPr>
          <w:rFonts w:eastAsia="Calibri" w:cs="Times New Roman"/>
          <w:color w:val="000000"/>
        </w:rPr>
        <w:t>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13B0396" w14:textId="77777777" w:rsidR="00D8203F" w:rsidRPr="005813D8" w:rsidRDefault="00D8203F" w:rsidP="00275717">
      <w:pPr>
        <w:spacing w:after="0"/>
        <w:rPr>
          <w:rFonts w:eastAsia="Times New Roman" w:cs="Tahoma"/>
          <w:bCs/>
          <w:color w:val="auto"/>
          <w:lang w:eastAsia="es-ES"/>
        </w:rPr>
      </w:pPr>
    </w:p>
    <w:p w14:paraId="50054C3C" w14:textId="52831F40" w:rsidR="00D8203F" w:rsidRPr="005813D8" w:rsidRDefault="00D8203F" w:rsidP="00275717">
      <w:pPr>
        <w:spacing w:after="0"/>
        <w:rPr>
          <w:rFonts w:eastAsia="Times New Roman" w:cs="Tahoma"/>
          <w:b/>
          <w:color w:val="auto"/>
          <w:lang w:eastAsia="es-ES"/>
        </w:rPr>
      </w:pPr>
      <w:r w:rsidRPr="005813D8">
        <w:rPr>
          <w:rFonts w:eastAsia="Times New Roman" w:cs="Tahoma"/>
          <w:b/>
          <w:color w:val="auto"/>
          <w:lang w:eastAsia="es-ES"/>
        </w:rPr>
        <w:t>SEGUNDO. Causales de procedencia</w:t>
      </w:r>
      <w:r w:rsidR="00D30581" w:rsidRPr="005813D8">
        <w:rPr>
          <w:rFonts w:eastAsia="Times New Roman" w:cs="Tahoma"/>
          <w:b/>
          <w:color w:val="auto"/>
          <w:lang w:eastAsia="es-ES"/>
        </w:rPr>
        <w:t>.</w:t>
      </w:r>
    </w:p>
    <w:p w14:paraId="764A8338" w14:textId="77777777" w:rsidR="00D8203F" w:rsidRPr="005813D8" w:rsidRDefault="00D8203F" w:rsidP="00275717">
      <w:pPr>
        <w:spacing w:after="0"/>
        <w:rPr>
          <w:rFonts w:eastAsia="Times New Roman" w:cs="Tahoma"/>
          <w:bCs/>
          <w:color w:val="auto"/>
          <w:lang w:eastAsia="es-ES"/>
        </w:rPr>
      </w:pPr>
    </w:p>
    <w:p w14:paraId="7F14A16F" w14:textId="77777777" w:rsidR="00D8203F" w:rsidRPr="005813D8" w:rsidRDefault="00D8203F" w:rsidP="00275717">
      <w:pPr>
        <w:spacing w:after="0"/>
        <w:rPr>
          <w:rFonts w:eastAsia="Times New Roman" w:cs="Tahoma"/>
          <w:bCs/>
          <w:color w:val="auto"/>
          <w:lang w:eastAsia="es-ES"/>
        </w:rPr>
      </w:pPr>
      <w:r w:rsidRPr="005813D8">
        <w:rPr>
          <w:rFonts w:eastAsia="Times New Roman" w:cs="Tahoma"/>
          <w:bCs/>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5821B1B" w14:textId="77777777" w:rsidR="00D8203F" w:rsidRPr="005813D8" w:rsidRDefault="00D8203F" w:rsidP="00275717">
      <w:pPr>
        <w:spacing w:after="0"/>
        <w:rPr>
          <w:rFonts w:eastAsia="Times New Roman" w:cs="Tahoma"/>
          <w:bCs/>
          <w:color w:val="auto"/>
          <w:lang w:eastAsia="es-ES"/>
        </w:rPr>
      </w:pPr>
      <w:r w:rsidRPr="005813D8">
        <w:rPr>
          <w:rFonts w:eastAsia="Times New Roman" w:cs="Tahoma"/>
          <w:bCs/>
          <w:color w:val="auto"/>
          <w:lang w:eastAsia="es-ES"/>
        </w:rPr>
        <w:t> </w:t>
      </w:r>
    </w:p>
    <w:p w14:paraId="4B8E0DB6" w14:textId="44CB3EE0" w:rsidR="005813D8" w:rsidRPr="005813D8" w:rsidRDefault="005813D8" w:rsidP="00275717">
      <w:pPr>
        <w:spacing w:after="0"/>
        <w:rPr>
          <w:rFonts w:eastAsia="Times New Roman" w:cs="Tahoma"/>
          <w:color w:val="auto"/>
          <w:szCs w:val="24"/>
          <w:lang w:eastAsia="es-ES"/>
        </w:rPr>
      </w:pPr>
      <w:r w:rsidRPr="005813D8">
        <w:rPr>
          <w:rFonts w:eastAsia="Times New Roman" w:cs="Tahoma"/>
          <w:color w:val="auto"/>
          <w:szCs w:val="24"/>
          <w:lang w:eastAsia="es-ES"/>
        </w:rPr>
        <w:t>En el presente caso, </w:t>
      </w:r>
      <w:r w:rsidRPr="005813D8">
        <w:rPr>
          <w:rFonts w:eastAsia="Times New Roman" w:cs="Tahoma"/>
          <w:b/>
          <w:bCs/>
          <w:color w:val="auto"/>
          <w:szCs w:val="24"/>
          <w:lang w:eastAsia="es-ES"/>
        </w:rPr>
        <w:t>no se actualiza ninguna de las causales de improcedencia</w:t>
      </w:r>
      <w:r w:rsidRPr="005813D8">
        <w:rPr>
          <w:rFonts w:eastAsia="Times New Roman" w:cs="Tahoma"/>
          <w:color w:val="auto"/>
          <w:szCs w:val="24"/>
          <w:lang w:eastAsia="es-ES"/>
        </w:rPr>
        <w:t xml:space="preserve"> establecidas en el ordenamiento jurídico previamente señalado, en sus fracciones I a VI, toda vez que: este Instituto no tiene conocimiento de que se haya presentado el Recurso de manera extemporánea; </w:t>
      </w:r>
      <w:r w:rsidRPr="005813D8">
        <w:rPr>
          <w:rFonts w:eastAsia="Times New Roman" w:cs="Tahoma"/>
          <w:color w:val="auto"/>
          <w:szCs w:val="24"/>
          <w:lang w:eastAsia="es-ES"/>
        </w:rPr>
        <w:lastRenderedPageBreak/>
        <w:t>se encuentre en trámite algún medio de defensa presentado por el Recurrente ante otra instancia; no existió prevención alguna; la veracidad de la respuesta no formó parte del agravio; ni se realizó una consulta mediante el pedimento de información.</w:t>
      </w:r>
    </w:p>
    <w:p w14:paraId="23B0D91C" w14:textId="77777777" w:rsidR="005813D8" w:rsidRPr="005813D8" w:rsidRDefault="005813D8" w:rsidP="00275717">
      <w:pPr>
        <w:spacing w:after="0"/>
        <w:rPr>
          <w:rFonts w:eastAsia="Times New Roman" w:cs="Tahoma"/>
          <w:color w:val="auto"/>
          <w:lang w:eastAsia="es-ES"/>
        </w:rPr>
      </w:pPr>
    </w:p>
    <w:p w14:paraId="1A4B2EC5" w14:textId="5F48BC16" w:rsidR="00417CA3" w:rsidRDefault="00417CA3" w:rsidP="00275717">
      <w:pPr>
        <w:spacing w:after="0"/>
        <w:rPr>
          <w:rFonts w:eastAsia="Times New Roman" w:cs="Tahoma"/>
          <w:bCs/>
          <w:color w:val="auto"/>
          <w:lang w:eastAsia="es-ES"/>
        </w:rPr>
      </w:pPr>
      <w:r>
        <w:rPr>
          <w:rFonts w:eastAsia="Times New Roman" w:cs="Tahoma"/>
          <w:bCs/>
          <w:color w:val="auto"/>
          <w:lang w:eastAsia="es-ES"/>
        </w:rPr>
        <w:t>Asimismo, se actualiza la causal de procedencia del Recurso de Revisión señalada en el artículo 179, fracción III, de la Ley en cita, pues el Recurrente se inconformó con la inexistencia de la información.</w:t>
      </w:r>
    </w:p>
    <w:p w14:paraId="35FDA8FD" w14:textId="77777777" w:rsidR="00417CA3" w:rsidRDefault="00417CA3" w:rsidP="00275717">
      <w:pPr>
        <w:spacing w:after="0"/>
        <w:rPr>
          <w:rFonts w:eastAsia="Times New Roman" w:cs="Tahoma"/>
          <w:bCs/>
          <w:color w:val="auto"/>
          <w:lang w:eastAsia="es-ES"/>
        </w:rPr>
      </w:pPr>
    </w:p>
    <w:p w14:paraId="446B39A1" w14:textId="514DF004" w:rsidR="00B23031" w:rsidRPr="00B23031" w:rsidRDefault="00B23031" w:rsidP="00275717">
      <w:pPr>
        <w:spacing w:after="0"/>
        <w:rPr>
          <w:rFonts w:eastAsia="Times New Roman" w:cs="Tahoma"/>
          <w:color w:val="auto"/>
          <w:lang w:eastAsia="es-ES"/>
        </w:rPr>
      </w:pPr>
      <w:r w:rsidRPr="00B23031">
        <w:rPr>
          <w:rFonts w:eastAsia="Times New Roman" w:cs="Tahoma"/>
          <w:b/>
          <w:bCs/>
          <w:color w:val="auto"/>
          <w:lang w:eastAsia="es-ES"/>
        </w:rPr>
        <w:t>TERCERO. Causales de sobreseimiento.</w:t>
      </w:r>
    </w:p>
    <w:p w14:paraId="608E9E3E" w14:textId="77777777" w:rsidR="00B23031" w:rsidRPr="00B23031" w:rsidRDefault="00B23031" w:rsidP="00275717">
      <w:pPr>
        <w:spacing w:after="0"/>
        <w:rPr>
          <w:rFonts w:eastAsia="Times New Roman" w:cs="Tahoma"/>
          <w:color w:val="auto"/>
          <w:lang w:eastAsia="es-ES"/>
        </w:rPr>
      </w:pPr>
      <w:r w:rsidRPr="00B23031">
        <w:rPr>
          <w:rFonts w:eastAsia="Times New Roman" w:cs="Tahoma"/>
          <w:color w:val="auto"/>
          <w:lang w:eastAsia="es-ES"/>
        </w:rPr>
        <w:t> </w:t>
      </w:r>
    </w:p>
    <w:p w14:paraId="5A5998AC" w14:textId="77777777" w:rsidR="00B23031" w:rsidRPr="00B23031" w:rsidRDefault="00B23031" w:rsidP="00275717">
      <w:pPr>
        <w:spacing w:after="0"/>
        <w:rPr>
          <w:rFonts w:eastAsia="Times New Roman" w:cs="Tahoma"/>
          <w:color w:val="auto"/>
          <w:lang w:eastAsia="es-ES"/>
        </w:rPr>
      </w:pPr>
      <w:r w:rsidRPr="00B23031">
        <w:rPr>
          <w:rFonts w:eastAsia="Times New Roman" w:cs="Tahoma"/>
          <w:color w:val="auto"/>
          <w:lang w:eastAsia="es-ES"/>
        </w:rPr>
        <w:t>Por ser de previo y especial pronunciamiento, este Instituto analiza si se actualiza alguna causal de sobreseimiento.</w:t>
      </w:r>
    </w:p>
    <w:p w14:paraId="3A42EAC2" w14:textId="77777777" w:rsidR="00B23031" w:rsidRPr="00B23031" w:rsidRDefault="00B23031" w:rsidP="00275717">
      <w:pPr>
        <w:spacing w:after="0"/>
        <w:rPr>
          <w:rFonts w:eastAsia="Times New Roman" w:cs="Tahoma"/>
          <w:color w:val="auto"/>
          <w:lang w:eastAsia="es-ES"/>
        </w:rPr>
      </w:pPr>
    </w:p>
    <w:p w14:paraId="56A1ADED" w14:textId="77777777" w:rsidR="00417CA3" w:rsidRPr="00417CA3" w:rsidRDefault="00417CA3" w:rsidP="00275717">
      <w:pPr>
        <w:spacing w:after="0"/>
        <w:rPr>
          <w:rFonts w:eastAsia="Times New Roman" w:cs="Tahoma"/>
          <w:bCs/>
          <w:color w:val="auto"/>
          <w:lang w:eastAsia="es-ES"/>
        </w:rPr>
      </w:pPr>
      <w:r w:rsidRPr="00417CA3">
        <w:rPr>
          <w:rFonts w:eastAsia="Times New Roman" w:cs="Tahoma"/>
          <w:bCs/>
          <w:color w:val="auto"/>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417CA3">
        <w:rPr>
          <w:rFonts w:eastAsia="Times New Roman" w:cs="Tahoma"/>
          <w:b/>
          <w:bCs/>
          <w:color w:val="auto"/>
          <w:lang w:eastAsia="es-ES"/>
        </w:rPr>
        <w:t>que no se actualizan los supuestos de sobreseimiento previstos en las fracciones I, II, IV y V</w:t>
      </w:r>
      <w:r w:rsidRPr="00417CA3">
        <w:rPr>
          <w:rFonts w:eastAsia="Times New Roman" w:cs="Tahoma"/>
          <w:bCs/>
          <w:color w:val="auto"/>
          <w:lang w:eastAsia="es-ES"/>
        </w:rPr>
        <w:t xml:space="preserve">, del artículo en comento, lo anterior, en virtud de que no hay constancias en el expediente en que se actúa, de que la Recurrente se haya desistido del recurso, haya fallecido, o bien, se haya actualizado alguna causal de improcedencia. </w:t>
      </w:r>
    </w:p>
    <w:p w14:paraId="139A36DD" w14:textId="77777777" w:rsidR="00417CA3" w:rsidRPr="00417CA3" w:rsidRDefault="00417CA3" w:rsidP="00275717">
      <w:pPr>
        <w:spacing w:after="0"/>
        <w:rPr>
          <w:rFonts w:eastAsia="Times New Roman" w:cs="Tahoma"/>
          <w:bCs/>
          <w:color w:val="auto"/>
          <w:lang w:eastAsia="es-ES"/>
        </w:rPr>
      </w:pPr>
    </w:p>
    <w:p w14:paraId="1E3786FE" w14:textId="77777777" w:rsidR="00417CA3" w:rsidRPr="00417CA3" w:rsidRDefault="00417CA3" w:rsidP="00275717">
      <w:pPr>
        <w:spacing w:after="0"/>
        <w:rPr>
          <w:rFonts w:eastAsia="Times New Roman" w:cs="Tahoma"/>
          <w:bCs/>
          <w:color w:val="auto"/>
          <w:lang w:eastAsia="es-ES"/>
        </w:rPr>
      </w:pPr>
      <w:r w:rsidRPr="00417CA3">
        <w:rPr>
          <w:rFonts w:eastAsia="Times New Roman" w:cs="Tahoma"/>
          <w:bCs/>
          <w:color w:val="auto"/>
          <w:lang w:eastAsia="es-ES"/>
        </w:rPr>
        <w:t xml:space="preserve">No obstante, por lo que hace a la hipótesis prevista en la fracción III, del artículo 192 de la Ley de la Materia, a saber, que el Sujeto Obligado durante la sustanciación del Recurso de Revisión modifique su respuesta </w:t>
      </w:r>
    </w:p>
    <w:p w14:paraId="5342756B" w14:textId="77777777" w:rsidR="00417CA3" w:rsidRPr="00417CA3" w:rsidRDefault="00417CA3" w:rsidP="00275717">
      <w:pPr>
        <w:spacing w:after="0"/>
        <w:rPr>
          <w:rFonts w:eastAsia="Times New Roman" w:cs="Tahoma"/>
          <w:bCs/>
          <w:color w:val="auto"/>
          <w:lang w:eastAsia="es-ES"/>
        </w:rPr>
      </w:pPr>
    </w:p>
    <w:p w14:paraId="379F7E16" w14:textId="77777777" w:rsidR="00417CA3" w:rsidRPr="00417CA3" w:rsidRDefault="00417CA3" w:rsidP="00275717">
      <w:pPr>
        <w:spacing w:after="0"/>
        <w:rPr>
          <w:rFonts w:eastAsia="Times New Roman" w:cs="Tahoma"/>
          <w:bCs/>
          <w:color w:val="auto"/>
          <w:lang w:eastAsia="es-ES"/>
        </w:rPr>
      </w:pPr>
      <w:r w:rsidRPr="00417CA3">
        <w:rPr>
          <w:rFonts w:eastAsia="Times New Roman" w:cs="Tahoma"/>
          <w:bCs/>
          <w:color w:val="auto"/>
          <w:lang w:eastAsia="es-ES"/>
        </w:rPr>
        <w:t xml:space="preserve">En efecto, toda vez que durante la sustanciación del Recurso de Revisión </w:t>
      </w:r>
      <w:r w:rsidRPr="00417CA3">
        <w:rPr>
          <w:rFonts w:eastAsia="Calibri" w:cs="Tahoma"/>
          <w:bCs/>
          <w:color w:val="000000"/>
        </w:rPr>
        <w:t xml:space="preserve">06056/INFOEM/IP/RR/2021, el Ayuntamiento de Cuautitlán Izcalli aclaro su respuesta inicial, </w:t>
      </w:r>
      <w:r w:rsidRPr="00417CA3">
        <w:rPr>
          <w:rFonts w:eastAsia="Calibri" w:cs="Tahoma"/>
          <w:bCs/>
          <w:color w:val="000000"/>
        </w:rPr>
        <w:lastRenderedPageBreak/>
        <w:t xml:space="preserve">a través del desahogo del requerimiento de información adicional, lo conducente es entrar al estudio de la causal de sobreseimiento prevista en la </w:t>
      </w:r>
      <w:r w:rsidRPr="00417CA3">
        <w:rPr>
          <w:rFonts w:eastAsia="Calibri" w:cs="Tahoma"/>
          <w:b/>
          <w:color w:val="000000"/>
        </w:rPr>
        <w:t>fracción III</w:t>
      </w:r>
      <w:r w:rsidRPr="00417CA3">
        <w:rPr>
          <w:rFonts w:eastAsia="Calibri" w:cs="Tahoma"/>
          <w:bCs/>
          <w:color w:val="000000"/>
        </w:rPr>
        <w:t xml:space="preserve"> del artículo 192 de la Ley de Transparencia y Acceso a la Información Pública del Estado de México y Municipios. </w:t>
      </w:r>
    </w:p>
    <w:p w14:paraId="7CB4E143" w14:textId="77777777" w:rsidR="00417CA3" w:rsidRPr="00417CA3" w:rsidRDefault="00417CA3" w:rsidP="00275717">
      <w:pPr>
        <w:spacing w:after="0"/>
        <w:rPr>
          <w:rFonts w:eastAsia="Times New Roman" w:cs="Tahoma"/>
          <w:bCs/>
          <w:color w:val="auto"/>
          <w:lang w:eastAsia="es-ES"/>
        </w:rPr>
      </w:pPr>
    </w:p>
    <w:p w14:paraId="2855A89B" w14:textId="2BB00F69" w:rsidR="005813D8" w:rsidRDefault="00417CA3" w:rsidP="00275717">
      <w:pPr>
        <w:spacing w:after="0"/>
        <w:rPr>
          <w:rFonts w:eastAsia="Calibri" w:cs="Tahoma"/>
          <w:bCs/>
          <w:color w:val="auto"/>
          <w:lang w:val="es-ES" w:eastAsia="es-ES_tradnl"/>
        </w:rPr>
      </w:pPr>
      <w:r w:rsidRPr="00417CA3">
        <w:rPr>
          <w:rFonts w:eastAsia="Times New Roman" w:cs="Tahoma"/>
          <w:bCs/>
          <w:color w:val="auto"/>
          <w:lang w:eastAsia="es-ES"/>
        </w:rPr>
        <w:t>Así, con la finalidad de verificar si se actualiza la causal de sobreseimiento, es necesario precisar que el hoy Recurrente, solicitó</w:t>
      </w:r>
      <w:r w:rsidR="00646B18">
        <w:rPr>
          <w:rFonts w:eastAsia="Times New Roman" w:cs="Tahoma"/>
          <w:bCs/>
          <w:color w:val="auto"/>
          <w:lang w:eastAsia="es-ES"/>
        </w:rPr>
        <w:t xml:space="preserve"> los convenios o</w:t>
      </w:r>
      <w:r w:rsidR="00CF4C9A" w:rsidRPr="00CF4C9A">
        <w:rPr>
          <w:rFonts w:eastAsia="Calibri" w:cs="Tahoma"/>
          <w:bCs/>
          <w:color w:val="auto"/>
          <w:lang w:val="es-ES" w:eastAsia="es-ES_tradnl"/>
        </w:rPr>
        <w:t xml:space="preserve"> contratos celebrados</w:t>
      </w:r>
      <w:r w:rsidR="00646B18">
        <w:rPr>
          <w:rFonts w:eastAsia="Calibri" w:cs="Tahoma"/>
          <w:bCs/>
          <w:color w:val="auto"/>
          <w:lang w:val="es-ES" w:eastAsia="es-ES_tradnl"/>
        </w:rPr>
        <w:t xml:space="preserve"> por el Ayuntamiento</w:t>
      </w:r>
      <w:r w:rsidR="00CF4C9A" w:rsidRPr="00CF4C9A">
        <w:rPr>
          <w:rFonts w:eastAsia="Calibri" w:cs="Tahoma"/>
          <w:bCs/>
          <w:color w:val="auto"/>
          <w:lang w:val="es-ES" w:eastAsia="es-ES_tradnl"/>
        </w:rPr>
        <w:t xml:space="preserve"> con las organizaciones Causa en Común, Ciudadanos por una causa en común A</w:t>
      </w:r>
      <w:r w:rsidR="00CF4C9A">
        <w:rPr>
          <w:rFonts w:eastAsia="Calibri" w:cs="Tahoma"/>
          <w:bCs/>
          <w:color w:val="auto"/>
          <w:lang w:val="es-ES" w:eastAsia="es-ES_tradnl"/>
        </w:rPr>
        <w:t>.</w:t>
      </w:r>
      <w:r w:rsidR="00CF4C9A" w:rsidRPr="00CF4C9A">
        <w:rPr>
          <w:rFonts w:eastAsia="Calibri" w:cs="Tahoma"/>
          <w:bCs/>
          <w:color w:val="auto"/>
          <w:lang w:val="es-ES" w:eastAsia="es-ES_tradnl"/>
        </w:rPr>
        <w:t>C</w:t>
      </w:r>
      <w:r w:rsidR="00CF4C9A">
        <w:rPr>
          <w:rFonts w:eastAsia="Calibri" w:cs="Tahoma"/>
          <w:bCs/>
          <w:color w:val="auto"/>
          <w:lang w:val="es-ES" w:eastAsia="es-ES_tradnl"/>
        </w:rPr>
        <w:t>.</w:t>
      </w:r>
      <w:r w:rsidR="00646B18">
        <w:rPr>
          <w:rFonts w:eastAsia="Calibri" w:cs="Tahoma"/>
          <w:bCs/>
          <w:color w:val="auto"/>
          <w:lang w:val="es-ES" w:eastAsia="es-ES_tradnl"/>
        </w:rPr>
        <w:t>,</w:t>
      </w:r>
      <w:r w:rsidR="00CF4C9A" w:rsidRPr="00CF4C9A">
        <w:rPr>
          <w:rFonts w:eastAsia="Calibri" w:cs="Tahoma"/>
          <w:bCs/>
          <w:color w:val="auto"/>
          <w:lang w:val="es-ES" w:eastAsia="es-ES_tradnl"/>
        </w:rPr>
        <w:t xml:space="preserve"> y Horizonte y Oportunidad A</w:t>
      </w:r>
      <w:r w:rsidR="00CF4C9A">
        <w:rPr>
          <w:rFonts w:eastAsia="Calibri" w:cs="Tahoma"/>
          <w:bCs/>
          <w:color w:val="auto"/>
          <w:lang w:val="es-ES" w:eastAsia="es-ES_tradnl"/>
        </w:rPr>
        <w:t>.</w:t>
      </w:r>
      <w:r w:rsidR="00CF4C9A" w:rsidRPr="00CF4C9A">
        <w:rPr>
          <w:rFonts w:eastAsia="Calibri" w:cs="Tahoma"/>
          <w:bCs/>
          <w:color w:val="auto"/>
          <w:lang w:val="es-ES" w:eastAsia="es-ES_tradnl"/>
        </w:rPr>
        <w:t>C</w:t>
      </w:r>
      <w:r w:rsidR="00CF4C9A">
        <w:rPr>
          <w:rFonts w:eastAsia="Calibri" w:cs="Tahoma"/>
          <w:bCs/>
          <w:color w:val="auto"/>
          <w:lang w:val="es-ES" w:eastAsia="es-ES_tradnl"/>
        </w:rPr>
        <w:t>.</w:t>
      </w:r>
      <w:r w:rsidR="00646B18">
        <w:rPr>
          <w:rFonts w:eastAsia="Calibri" w:cs="Tahoma"/>
          <w:bCs/>
          <w:color w:val="auto"/>
          <w:lang w:val="es-ES" w:eastAsia="es-ES_tradnl"/>
        </w:rPr>
        <w:t>,</w:t>
      </w:r>
      <w:r w:rsidR="00CF4C9A">
        <w:rPr>
          <w:rFonts w:eastAsia="Calibri" w:cs="Tahoma"/>
          <w:bCs/>
          <w:color w:val="auto"/>
          <w:lang w:val="es-ES" w:eastAsia="es-ES_tradnl"/>
        </w:rPr>
        <w:t xml:space="preserve"> del </w:t>
      </w:r>
      <w:r w:rsidR="00757468">
        <w:rPr>
          <w:rFonts w:eastAsia="Calibri" w:cs="Tahoma"/>
          <w:bCs/>
          <w:color w:val="auto"/>
          <w:lang w:val="es-ES" w:eastAsia="es-ES_tradnl"/>
        </w:rPr>
        <w:t>primero</w:t>
      </w:r>
      <w:r w:rsidR="00CF4C9A">
        <w:rPr>
          <w:rFonts w:eastAsia="Calibri" w:cs="Tahoma"/>
          <w:bCs/>
          <w:color w:val="auto"/>
          <w:lang w:val="es-ES" w:eastAsia="es-ES_tradnl"/>
        </w:rPr>
        <w:t xml:space="preserve"> enero de dos mil diez al trece de diciembre de dos mil veintiuno</w:t>
      </w:r>
      <w:r w:rsidR="00757468">
        <w:rPr>
          <w:rFonts w:eastAsia="Calibri" w:cs="Tahoma"/>
          <w:bCs/>
          <w:color w:val="auto"/>
          <w:lang w:val="es-ES" w:eastAsia="es-ES_tradnl"/>
        </w:rPr>
        <w:t>.</w:t>
      </w:r>
    </w:p>
    <w:p w14:paraId="63A3DE54" w14:textId="34D04A54" w:rsidR="005813D8" w:rsidRDefault="005813D8" w:rsidP="00275717">
      <w:pPr>
        <w:spacing w:after="0"/>
        <w:rPr>
          <w:rFonts w:eastAsia="Calibri" w:cs="Tahoma"/>
          <w:bCs/>
          <w:color w:val="auto"/>
          <w:lang w:val="es-ES" w:eastAsia="es-ES_tradnl"/>
        </w:rPr>
      </w:pPr>
    </w:p>
    <w:p w14:paraId="39332C27" w14:textId="19996A21" w:rsidR="00757468" w:rsidRDefault="00C870AA" w:rsidP="00275717">
      <w:pPr>
        <w:spacing w:after="0"/>
        <w:rPr>
          <w:rFonts w:eastAsia="Calibri" w:cs="Tahoma"/>
          <w:bCs/>
          <w:color w:val="auto"/>
          <w:lang w:val="es-ES" w:eastAsia="es-ES_tradnl"/>
        </w:rPr>
      </w:pPr>
      <w:r>
        <w:rPr>
          <w:rFonts w:eastAsia="Calibri" w:cs="Tahoma"/>
          <w:bCs/>
          <w:color w:val="auto"/>
          <w:lang w:val="es-ES" w:eastAsia="es-ES_tradnl"/>
        </w:rPr>
        <w:t>En respuesta</w:t>
      </w:r>
      <w:r w:rsidR="00CF4C9A">
        <w:rPr>
          <w:rFonts w:eastAsia="Calibri" w:cs="Tahoma"/>
          <w:bCs/>
          <w:color w:val="auto"/>
          <w:lang w:val="es-ES" w:eastAsia="es-ES_tradnl"/>
        </w:rPr>
        <w:t>, el Sujeto Obligado</w:t>
      </w:r>
      <w:r w:rsidR="00757468">
        <w:rPr>
          <w:rFonts w:eastAsia="Calibri" w:cs="Tahoma"/>
          <w:bCs/>
          <w:color w:val="auto"/>
          <w:lang w:val="es-ES" w:eastAsia="es-ES_tradnl"/>
        </w:rPr>
        <w:t xml:space="preserve">, a través de diversas unidades administrativas, precisaron que no habían celebrado ningún Convenio o Contrato con las asociaciones civiles, mientras que la Dirección </w:t>
      </w:r>
      <w:r w:rsidR="00275717">
        <w:rPr>
          <w:rFonts w:eastAsia="Calibri" w:cs="Tahoma"/>
          <w:bCs/>
          <w:color w:val="auto"/>
          <w:lang w:val="es-ES" w:eastAsia="es-ES_tradnl"/>
        </w:rPr>
        <w:t xml:space="preserve">General </w:t>
      </w:r>
      <w:r w:rsidR="00757468">
        <w:rPr>
          <w:rFonts w:eastAsia="Calibri" w:cs="Tahoma"/>
          <w:bCs/>
          <w:color w:val="auto"/>
          <w:lang w:val="es-ES" w:eastAsia="es-ES_tradnl"/>
        </w:rPr>
        <w:t xml:space="preserve">de Seguridad Ciudadana, indicó que el </w:t>
      </w:r>
      <w:r w:rsidR="00757468" w:rsidRPr="00757468">
        <w:rPr>
          <w:rFonts w:eastAsia="Calibri" w:cs="Tahoma"/>
          <w:bCs/>
          <w:color w:val="auto"/>
          <w:lang w:val="es-ES" w:eastAsia="es-ES_tradnl"/>
        </w:rPr>
        <w:t>veintiocho de septiembre de dos mil veintiuno,</w:t>
      </w:r>
      <w:r w:rsidR="00757468">
        <w:rPr>
          <w:rFonts w:eastAsia="Calibri" w:cs="Tahoma"/>
          <w:bCs/>
          <w:color w:val="auto"/>
          <w:lang w:val="es-ES" w:eastAsia="es-ES_tradnl"/>
        </w:rPr>
        <w:t xml:space="preserve"> celebro un convenio</w:t>
      </w:r>
      <w:r w:rsidR="00757468" w:rsidRPr="00757468">
        <w:rPr>
          <w:rFonts w:eastAsia="Calibri" w:cs="Tahoma"/>
          <w:bCs/>
          <w:color w:val="auto"/>
          <w:lang w:val="es-ES" w:eastAsia="es-ES_tradnl"/>
        </w:rPr>
        <w:t xml:space="preserve"> con el apoyo del Fondo Canadá para Iniciativas Locales, Causa en Común, en donde se formalizó el inició de una nueva fase del proyecto “Ser Mujer Policía en México”</w:t>
      </w:r>
      <w:r w:rsidR="00757468">
        <w:rPr>
          <w:rFonts w:eastAsia="Calibri" w:cs="Tahoma"/>
          <w:bCs/>
          <w:color w:val="auto"/>
          <w:lang w:val="es-ES" w:eastAsia="es-ES_tradnl"/>
        </w:rPr>
        <w:t>.</w:t>
      </w:r>
    </w:p>
    <w:p w14:paraId="57B1A484" w14:textId="77777777" w:rsidR="00CF4C9A" w:rsidRDefault="00CF4C9A" w:rsidP="00275717">
      <w:pPr>
        <w:spacing w:after="0"/>
        <w:rPr>
          <w:rFonts w:eastAsia="Calibri" w:cs="Tahoma"/>
          <w:bCs/>
          <w:color w:val="auto"/>
          <w:lang w:val="es-ES" w:eastAsia="es-ES_tradnl"/>
        </w:rPr>
      </w:pPr>
    </w:p>
    <w:p w14:paraId="5DF77025" w14:textId="22E174CC" w:rsidR="00757468" w:rsidRDefault="005813D8" w:rsidP="00275717">
      <w:pPr>
        <w:spacing w:after="0"/>
        <w:rPr>
          <w:rFonts w:eastAsia="Times New Roman" w:cs="Tahoma"/>
          <w:bCs/>
          <w:iCs/>
          <w:color w:val="auto"/>
          <w:lang w:eastAsia="es-ES"/>
        </w:rPr>
      </w:pPr>
      <w:r w:rsidRPr="005813D8">
        <w:rPr>
          <w:rFonts w:eastAsia="Calibri" w:cs="Tahoma"/>
          <w:bCs/>
          <w:color w:val="auto"/>
          <w:lang w:val="es-ES" w:eastAsia="es-ES_tradnl"/>
        </w:rPr>
        <w:t xml:space="preserve">Ante tal </w:t>
      </w:r>
      <w:r w:rsidR="00C870AA">
        <w:rPr>
          <w:rFonts w:eastAsia="Calibri" w:cs="Tahoma"/>
          <w:bCs/>
          <w:color w:val="auto"/>
          <w:lang w:val="es-ES" w:eastAsia="es-ES_tradnl"/>
        </w:rPr>
        <w:t>circunstancia,</w:t>
      </w:r>
      <w:r w:rsidRPr="005813D8">
        <w:rPr>
          <w:rFonts w:eastAsia="Calibri" w:cs="Tahoma"/>
          <w:bCs/>
          <w:color w:val="auto"/>
          <w:lang w:val="es-ES" w:eastAsia="es-ES_tradnl"/>
        </w:rPr>
        <w:t xml:space="preserve"> el Recurrente interpuso Recurso de Revisión </w:t>
      </w:r>
      <w:r w:rsidR="00CF4C9A">
        <w:rPr>
          <w:rFonts w:eastAsia="Calibri" w:cs="Tahoma"/>
          <w:bCs/>
          <w:color w:val="auto"/>
          <w:lang w:val="es-ES" w:eastAsia="es-ES_tradnl"/>
        </w:rPr>
        <w:t xml:space="preserve">en donde </w:t>
      </w:r>
      <w:r w:rsidR="00757468">
        <w:rPr>
          <w:rFonts w:eastAsia="Calibri" w:cs="Tahoma"/>
          <w:bCs/>
          <w:color w:val="auto"/>
          <w:lang w:val="es-ES" w:eastAsia="es-ES_tradnl"/>
        </w:rPr>
        <w:t xml:space="preserve">se inconformó de la inexistencia de la información, al señalar que en sus archivos debían obrar la información peticionada, lo cual actualiza la causal de procedencia,  establecida en el artículo 179, fracción III, de la Ley de la materia; </w:t>
      </w:r>
      <w:r w:rsidR="00757468">
        <w:rPr>
          <w:rFonts w:eastAsia="Times New Roman" w:cs="Tahoma"/>
          <w:bCs/>
          <w:iCs/>
          <w:color w:val="auto"/>
          <w:lang w:eastAsia="es-ES"/>
        </w:rPr>
        <w:t>a</w:t>
      </w:r>
      <w:r w:rsidR="00757468" w:rsidRPr="00757468">
        <w:rPr>
          <w:rFonts w:eastAsia="Times New Roman" w:cs="Tahoma"/>
          <w:bCs/>
          <w:iCs/>
          <w:color w:val="auto"/>
          <w:lang w:eastAsia="es-ES"/>
        </w:rPr>
        <w:t xml:space="preserve">sí las cosas, una vez interpuesto y notificado el Recurso de Revisión a las partes, el Sujeto Obligado, </w:t>
      </w:r>
      <w:r w:rsidR="00565650">
        <w:rPr>
          <w:rFonts w:eastAsia="Times New Roman" w:cs="Tahoma"/>
          <w:bCs/>
          <w:iCs/>
          <w:color w:val="auto"/>
          <w:lang w:eastAsia="es-ES"/>
        </w:rPr>
        <w:t>a través de la Dirección General de Seguridad Ciudadana, precisó que del primero de enero de dos mil diez al veinte de enero de dos mil veintidós, únicamente había firmado dos convenios de colaboración con la organización “Causa en Común A.C.”, la cual se encontraba integrada por “Ciudadanos por una causa en común A.C.” y “Horizonte y Oportunidad A.C.”,</w:t>
      </w:r>
    </w:p>
    <w:p w14:paraId="64F01464" w14:textId="694B385C" w:rsidR="00565650" w:rsidRDefault="00565650" w:rsidP="00275717">
      <w:pPr>
        <w:spacing w:after="0"/>
        <w:rPr>
          <w:rFonts w:eastAsia="Times New Roman" w:cs="Tahoma"/>
          <w:bCs/>
          <w:iCs/>
          <w:color w:val="auto"/>
          <w:lang w:eastAsia="es-ES"/>
        </w:rPr>
      </w:pPr>
    </w:p>
    <w:p w14:paraId="05BE212E" w14:textId="56AA6FC5" w:rsidR="00565650" w:rsidRDefault="00565650" w:rsidP="00275717">
      <w:pPr>
        <w:pStyle w:val="Prrafodelista"/>
        <w:numPr>
          <w:ilvl w:val="0"/>
          <w:numId w:val="33"/>
        </w:numPr>
        <w:spacing w:after="0"/>
        <w:rPr>
          <w:rFonts w:eastAsia="Times New Roman" w:cs="Tahoma"/>
          <w:bCs/>
          <w:color w:val="auto"/>
          <w:lang w:eastAsia="es-ES"/>
        </w:rPr>
      </w:pPr>
      <w:r>
        <w:rPr>
          <w:rFonts w:eastAsia="Times New Roman" w:cs="Tahoma"/>
          <w:bCs/>
          <w:color w:val="auto"/>
          <w:lang w:eastAsia="es-ES"/>
        </w:rPr>
        <w:lastRenderedPageBreak/>
        <w:t>El primero, fue celebrado el dieciocho de diciembre de dos mil diecinueve, que tuvo por objetivo sumar esfuerzos, recursos y conocimientos, para diagnosticar, evaluar y mejorar los procesos de comunicación y difusión sobre la labor de la Policía Municipal, a fin de contribuir una relación de confianza entre los ciudadanos y los policías.</w:t>
      </w:r>
    </w:p>
    <w:p w14:paraId="638EAA29" w14:textId="77777777" w:rsidR="00565650" w:rsidRDefault="00565650" w:rsidP="00275717">
      <w:pPr>
        <w:pStyle w:val="Prrafodelista"/>
        <w:spacing w:after="0"/>
        <w:rPr>
          <w:rFonts w:eastAsia="Times New Roman" w:cs="Tahoma"/>
          <w:bCs/>
          <w:color w:val="auto"/>
          <w:lang w:eastAsia="es-ES"/>
        </w:rPr>
      </w:pPr>
    </w:p>
    <w:p w14:paraId="76BA3F86" w14:textId="654301D7" w:rsidR="00565650" w:rsidRPr="00565650" w:rsidRDefault="00565650" w:rsidP="00275717">
      <w:pPr>
        <w:pStyle w:val="Prrafodelista"/>
        <w:numPr>
          <w:ilvl w:val="0"/>
          <w:numId w:val="33"/>
        </w:numPr>
        <w:spacing w:after="0"/>
        <w:rPr>
          <w:rFonts w:eastAsia="Times New Roman" w:cs="Tahoma"/>
          <w:bCs/>
          <w:color w:val="auto"/>
          <w:lang w:eastAsia="es-ES"/>
        </w:rPr>
      </w:pPr>
      <w:r>
        <w:rPr>
          <w:rFonts w:eastAsia="Times New Roman" w:cs="Tahoma"/>
          <w:bCs/>
          <w:color w:val="auto"/>
          <w:lang w:eastAsia="es-ES"/>
        </w:rPr>
        <w:t>El Segundo, fue realizado el veintiocho de septiembre de dos mil veintiuno y su objetivo fue evaluar la breca de género en la carrera policial y generar recomendaciones para sensibilizar a los elementos de la Dirección General de Seguridad Ciudadana.</w:t>
      </w:r>
    </w:p>
    <w:p w14:paraId="78963293" w14:textId="7AF4E5B1" w:rsidR="00757468" w:rsidRDefault="00757468" w:rsidP="00275717">
      <w:pPr>
        <w:spacing w:after="0"/>
        <w:rPr>
          <w:rFonts w:eastAsia="Times New Roman" w:cs="Tahoma"/>
          <w:bCs/>
          <w:color w:val="auto"/>
          <w:lang w:eastAsia="es-ES"/>
        </w:rPr>
      </w:pPr>
    </w:p>
    <w:p w14:paraId="351F2A43" w14:textId="19E5C4ED" w:rsidR="00757468" w:rsidRPr="00757468" w:rsidRDefault="007D68B0" w:rsidP="00275717">
      <w:pPr>
        <w:spacing w:after="0"/>
        <w:rPr>
          <w:rFonts w:eastAsia="Times New Roman" w:cs="Tahoma"/>
          <w:bCs/>
          <w:iCs/>
          <w:color w:val="auto"/>
          <w:lang w:eastAsia="es-ES"/>
        </w:rPr>
      </w:pPr>
      <w:r>
        <w:rPr>
          <w:rFonts w:eastAsia="Times New Roman" w:cs="Tahoma"/>
          <w:bCs/>
          <w:color w:val="auto"/>
          <w:lang w:eastAsia="es-ES"/>
        </w:rPr>
        <w:t>Además, proporcionó los dos Convenios de Colaboración referidos; l</w:t>
      </w:r>
      <w:r w:rsidR="00757468" w:rsidRPr="00757468">
        <w:rPr>
          <w:rFonts w:eastAsia="Times New Roman" w:cs="Tahoma"/>
          <w:bCs/>
          <w:iCs/>
          <w:color w:val="auto"/>
          <w:lang w:eastAsia="es-ES"/>
        </w:rPr>
        <w:t xml:space="preserve">o anterior, se desprende de las documentales que obran en los expedientes de referencia, materia de la presente resolución, consistente en: la solicitud de acceso a la información; la respuesta, el escrito recursal y el </w:t>
      </w:r>
      <w:r w:rsidR="005070F6">
        <w:rPr>
          <w:rFonts w:eastAsia="Times New Roman" w:cs="Tahoma"/>
          <w:bCs/>
          <w:iCs/>
          <w:color w:val="auto"/>
          <w:lang w:eastAsia="es-ES"/>
        </w:rPr>
        <w:t>Informe Justificado</w:t>
      </w:r>
      <w:r w:rsidR="00757468" w:rsidRPr="00757468">
        <w:rPr>
          <w:rFonts w:eastAsia="Times New Roman" w:cs="Tahoma"/>
          <w:bCs/>
          <w:iCs/>
          <w:color w:val="auto"/>
          <w:lang w:eastAsia="es-ES"/>
        </w:rPr>
        <w:t xml:space="preserve">; </w:t>
      </w:r>
      <w:r w:rsidR="00757468" w:rsidRPr="00757468">
        <w:rPr>
          <w:rFonts w:eastAsia="Times New Roman" w:cs="Tahoma"/>
          <w:bCs/>
          <w:color w:val="auto"/>
          <w:lang w:eastAsia="es-ES"/>
        </w:rPr>
        <w:t>instrumentales que se toman en cuenta a efecto de resolver el presente medio de impugnación, conforme a lo dispuesto por el artículo 185, fracción IV, de la Ley de Transparencia y Acceso a la Información Pública del Estado de México y Municipios.</w:t>
      </w:r>
    </w:p>
    <w:p w14:paraId="1A7EF0B5" w14:textId="1EC07DE5" w:rsidR="00C2512E" w:rsidRDefault="00C2512E" w:rsidP="00275717">
      <w:pPr>
        <w:spacing w:after="0"/>
        <w:rPr>
          <w:rFonts w:eastAsia="Calibri" w:cs="Tahoma"/>
          <w:bCs/>
          <w:color w:val="auto"/>
          <w:lang w:eastAsia="es-ES_tradnl"/>
        </w:rPr>
      </w:pPr>
    </w:p>
    <w:p w14:paraId="59AA8874" w14:textId="4E7C929B" w:rsidR="005070F6" w:rsidRDefault="005070F6" w:rsidP="00275717">
      <w:pPr>
        <w:spacing w:after="0"/>
        <w:rPr>
          <w:rFonts w:eastAsia="Calibri" w:cs="Tahoma"/>
          <w:bCs/>
          <w:color w:val="auto"/>
          <w:lang w:eastAsia="es-ES_tradnl"/>
        </w:rPr>
      </w:pPr>
      <w:r>
        <w:rPr>
          <w:rFonts w:eastAsia="Calibri" w:cs="Tahoma"/>
          <w:bCs/>
          <w:color w:val="auto"/>
          <w:lang w:eastAsia="es-ES_tradnl"/>
        </w:rPr>
        <w:t xml:space="preserve">Ahora bien, </w:t>
      </w:r>
      <w:r w:rsidR="008F4AC4">
        <w:rPr>
          <w:rFonts w:eastAsia="Calibri" w:cs="Tahoma"/>
          <w:bCs/>
          <w:color w:val="auto"/>
          <w:lang w:eastAsia="es-ES_tradnl"/>
        </w:rPr>
        <w:t xml:space="preserve">tanto </w:t>
      </w:r>
      <w:r>
        <w:rPr>
          <w:rFonts w:eastAsia="Calibri" w:cs="Tahoma"/>
          <w:bCs/>
          <w:color w:val="auto"/>
          <w:lang w:eastAsia="es-ES_tradnl"/>
        </w:rPr>
        <w:t>en respuesta</w:t>
      </w:r>
      <w:r w:rsidR="008F4AC4">
        <w:rPr>
          <w:rFonts w:eastAsia="Calibri" w:cs="Tahoma"/>
          <w:bCs/>
          <w:color w:val="auto"/>
          <w:lang w:eastAsia="es-ES_tradnl"/>
        </w:rPr>
        <w:t>, como en Informe Justificado</w:t>
      </w:r>
      <w:r>
        <w:rPr>
          <w:rFonts w:eastAsia="Calibri" w:cs="Tahoma"/>
          <w:bCs/>
          <w:color w:val="auto"/>
          <w:lang w:eastAsia="es-ES_tradnl"/>
        </w:rPr>
        <w:t>, la Dirección de Fomento Económico, de Medio Ambiente, de Administración,</w:t>
      </w:r>
      <w:r w:rsidR="008F4AC4">
        <w:rPr>
          <w:rFonts w:eastAsia="Calibri" w:cs="Tahoma"/>
          <w:bCs/>
          <w:color w:val="auto"/>
          <w:lang w:eastAsia="es-ES_tradnl"/>
        </w:rPr>
        <w:t xml:space="preserve"> de Desarrollo Social, de Educación, la Consejería Jurídica, la Presidencia Municipal y la Secretaría del Ayuntamiento, aludieron a que no obraba en sus archivos la información, al no haber celebrado algún contrato o convenio con </w:t>
      </w:r>
      <w:r w:rsidR="008F4AC4" w:rsidRPr="00CF4C9A">
        <w:rPr>
          <w:rFonts w:eastAsia="Calibri" w:cs="Tahoma"/>
          <w:bCs/>
          <w:color w:val="auto"/>
          <w:lang w:val="es-ES" w:eastAsia="es-ES_tradnl"/>
        </w:rPr>
        <w:t>Causa en Común, Ciudadanos por una causa en común A</w:t>
      </w:r>
      <w:r w:rsidR="008F4AC4">
        <w:rPr>
          <w:rFonts w:eastAsia="Calibri" w:cs="Tahoma"/>
          <w:bCs/>
          <w:color w:val="auto"/>
          <w:lang w:val="es-ES" w:eastAsia="es-ES_tradnl"/>
        </w:rPr>
        <w:t>.</w:t>
      </w:r>
      <w:r w:rsidR="008F4AC4" w:rsidRPr="00CF4C9A">
        <w:rPr>
          <w:rFonts w:eastAsia="Calibri" w:cs="Tahoma"/>
          <w:bCs/>
          <w:color w:val="auto"/>
          <w:lang w:val="es-ES" w:eastAsia="es-ES_tradnl"/>
        </w:rPr>
        <w:t>C</w:t>
      </w:r>
      <w:r w:rsidR="008F4AC4">
        <w:rPr>
          <w:rFonts w:eastAsia="Calibri" w:cs="Tahoma"/>
          <w:bCs/>
          <w:color w:val="auto"/>
          <w:lang w:val="es-ES" w:eastAsia="es-ES_tradnl"/>
        </w:rPr>
        <w:t>.,</w:t>
      </w:r>
      <w:r w:rsidR="008F4AC4" w:rsidRPr="00CF4C9A">
        <w:rPr>
          <w:rFonts w:eastAsia="Calibri" w:cs="Tahoma"/>
          <w:bCs/>
          <w:color w:val="auto"/>
          <w:lang w:val="es-ES" w:eastAsia="es-ES_tradnl"/>
        </w:rPr>
        <w:t xml:space="preserve"> y Horizonte y Oportunidad A</w:t>
      </w:r>
      <w:r w:rsidR="008F4AC4">
        <w:rPr>
          <w:rFonts w:eastAsia="Calibri" w:cs="Tahoma"/>
          <w:bCs/>
          <w:color w:val="auto"/>
          <w:lang w:val="es-ES" w:eastAsia="es-ES_tradnl"/>
        </w:rPr>
        <w:t>.</w:t>
      </w:r>
      <w:r w:rsidR="008F4AC4" w:rsidRPr="00CF4C9A">
        <w:rPr>
          <w:rFonts w:eastAsia="Calibri" w:cs="Tahoma"/>
          <w:bCs/>
          <w:color w:val="auto"/>
          <w:lang w:val="es-ES" w:eastAsia="es-ES_tradnl"/>
        </w:rPr>
        <w:t>C</w:t>
      </w:r>
      <w:r w:rsidR="008F4AC4">
        <w:rPr>
          <w:rFonts w:eastAsia="Calibri" w:cs="Tahoma"/>
          <w:bCs/>
          <w:color w:val="auto"/>
          <w:lang w:val="es-ES" w:eastAsia="es-ES_tradnl"/>
        </w:rPr>
        <w:t>.</w:t>
      </w:r>
    </w:p>
    <w:p w14:paraId="3885C703" w14:textId="1C113441" w:rsidR="005070F6" w:rsidRDefault="005070F6" w:rsidP="00275717">
      <w:pPr>
        <w:spacing w:after="0"/>
        <w:rPr>
          <w:rFonts w:eastAsia="Calibri" w:cs="Tahoma"/>
          <w:bCs/>
          <w:color w:val="auto"/>
          <w:lang w:eastAsia="es-ES_tradnl"/>
        </w:rPr>
      </w:pPr>
    </w:p>
    <w:p w14:paraId="65EF72CE" w14:textId="77777777" w:rsidR="008F4AC4" w:rsidRDefault="008F4AC4" w:rsidP="00275717">
      <w:pPr>
        <w:spacing w:after="0"/>
        <w:rPr>
          <w:rFonts w:eastAsia="Times New Roman" w:cs="Tahoma"/>
          <w:bCs/>
          <w:color w:val="auto"/>
          <w:lang w:eastAsia="es-ES"/>
        </w:rPr>
      </w:pPr>
      <w:r>
        <w:rPr>
          <w:rFonts w:eastAsia="Times New Roman" w:cs="Tahoma"/>
          <w:bCs/>
          <w:color w:val="auto"/>
          <w:lang w:eastAsia="es-ES"/>
        </w:rPr>
        <w:t>Al respecto, es señalar que este Instituto, no tiene atribuciones para pronunciarse sobre la veracidad de la información; apoya lo anterior, el Criterio histórico 31/10, emitido por el Pleno del entonces Instituto Federal de Acceso a la Información y Protección de Datos, que a continuación se cita:</w:t>
      </w:r>
    </w:p>
    <w:p w14:paraId="2E142FB7" w14:textId="77777777" w:rsidR="008F4AC4" w:rsidRDefault="008F4AC4" w:rsidP="00275717">
      <w:pPr>
        <w:spacing w:after="0"/>
        <w:rPr>
          <w:rFonts w:eastAsia="Times New Roman" w:cs="Tahoma"/>
          <w:bCs/>
          <w:color w:val="auto"/>
          <w:lang w:eastAsia="es-ES"/>
        </w:rPr>
      </w:pPr>
    </w:p>
    <w:p w14:paraId="57774204" w14:textId="77777777" w:rsidR="008F4AC4" w:rsidRDefault="008F4AC4" w:rsidP="00275717">
      <w:pPr>
        <w:spacing w:after="0"/>
        <w:ind w:left="567" w:right="567"/>
        <w:rPr>
          <w:rFonts w:eastAsia="Times New Roman" w:cs="Tahoma"/>
          <w:bCs/>
          <w:i/>
          <w:color w:val="auto"/>
          <w:sz w:val="20"/>
          <w:szCs w:val="20"/>
          <w:lang w:eastAsia="es-ES"/>
        </w:rPr>
      </w:pPr>
      <w:r>
        <w:rPr>
          <w:rFonts w:eastAsia="Times New Roman" w:cs="Tahoma"/>
          <w:b/>
          <w:bCs/>
          <w:i/>
          <w:color w:val="auto"/>
          <w:sz w:val="20"/>
          <w:szCs w:val="20"/>
          <w:lang w:eastAsia="es-ES"/>
        </w:rPr>
        <w:lastRenderedPageBreak/>
        <w:t xml:space="preserve">“El Instituto Federal de Acceso a la Información y Protección de Datos </w:t>
      </w:r>
      <w:r>
        <w:rPr>
          <w:rFonts w:eastAsia="Times New Roman" w:cs="Tahoma"/>
          <w:b/>
          <w:bCs/>
          <w:i/>
          <w:color w:val="auto"/>
          <w:sz w:val="20"/>
          <w:szCs w:val="20"/>
          <w:u w:val="single"/>
          <w:lang w:eastAsia="es-ES"/>
        </w:rPr>
        <w:t xml:space="preserve">no cuenta con facultades para pronunciarse respecto de la veracidad de los documentos proporcionados por los sujetos obligados. </w:t>
      </w:r>
      <w:r>
        <w:rPr>
          <w:rFonts w:eastAsia="Times New Roman" w:cs="Tahoma"/>
          <w:bCs/>
          <w:i/>
          <w:color w:val="auto"/>
          <w:sz w:val="20"/>
          <w:szCs w:val="20"/>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B0E6353" w14:textId="3E2A9B24" w:rsidR="008F4AC4" w:rsidRDefault="008F4AC4" w:rsidP="00275717">
      <w:pPr>
        <w:spacing w:after="0"/>
        <w:rPr>
          <w:rFonts w:eastAsia="Calibri" w:cs="Tahoma"/>
          <w:bCs/>
          <w:color w:val="auto"/>
          <w:lang w:eastAsia="es-ES_tradnl"/>
        </w:rPr>
      </w:pPr>
    </w:p>
    <w:p w14:paraId="3F42917E" w14:textId="2F552E87" w:rsidR="00C758B1" w:rsidRPr="00C758B1" w:rsidRDefault="00C758B1" w:rsidP="00275717">
      <w:pPr>
        <w:spacing w:after="0"/>
        <w:rPr>
          <w:rFonts w:eastAsia="Times New Roman" w:cs="Tahoma"/>
          <w:color w:val="auto"/>
          <w:lang w:eastAsia="es-ES"/>
        </w:rPr>
      </w:pPr>
      <w:r w:rsidRPr="00C758B1">
        <w:rPr>
          <w:rFonts w:eastAsia="Times New Roman" w:cs="Tahoma"/>
          <w:iCs/>
          <w:color w:val="auto"/>
          <w:lang w:val="es-ES" w:eastAsia="es-ES"/>
        </w:rPr>
        <w:t xml:space="preserve">Conforme a lo anterior, se logra vislumbrar </w:t>
      </w:r>
      <w:r>
        <w:rPr>
          <w:rFonts w:eastAsia="Times New Roman" w:cs="Tahoma"/>
          <w:iCs/>
          <w:color w:val="auto"/>
          <w:lang w:val="es-ES" w:eastAsia="es-ES"/>
        </w:rPr>
        <w:t>dichas áreas precisaron</w:t>
      </w:r>
      <w:r w:rsidRPr="00C758B1">
        <w:rPr>
          <w:rFonts w:eastAsia="Times New Roman" w:cs="Tahoma"/>
          <w:iCs/>
          <w:color w:val="auto"/>
          <w:lang w:val="es-ES" w:eastAsia="es-ES"/>
        </w:rPr>
        <w:t xml:space="preserve"> </w:t>
      </w:r>
      <w:r>
        <w:rPr>
          <w:rFonts w:eastAsia="Times New Roman" w:cs="Tahoma"/>
          <w:iCs/>
          <w:color w:val="auto"/>
          <w:lang w:val="es-ES" w:eastAsia="es-ES"/>
        </w:rPr>
        <w:t>que lo requerido</w:t>
      </w:r>
      <w:r w:rsidRPr="00C758B1">
        <w:rPr>
          <w:rFonts w:eastAsia="Times New Roman" w:cs="Tahoma"/>
          <w:iCs/>
          <w:color w:val="auto"/>
          <w:lang w:val="es-ES" w:eastAsia="es-ES"/>
        </w:rPr>
        <w:t xml:space="preserve"> era inexistente, ya que no había</w:t>
      </w:r>
      <w:r>
        <w:rPr>
          <w:rFonts w:eastAsia="Times New Roman" w:cs="Tahoma"/>
          <w:iCs/>
          <w:color w:val="auto"/>
          <w:lang w:val="es-ES" w:eastAsia="es-ES"/>
        </w:rPr>
        <w:t>n</w:t>
      </w:r>
      <w:r w:rsidRPr="00C758B1">
        <w:rPr>
          <w:rFonts w:eastAsia="Times New Roman" w:cs="Tahoma"/>
          <w:iCs/>
          <w:color w:val="auto"/>
          <w:lang w:val="es-ES" w:eastAsia="es-ES"/>
        </w:rPr>
        <w:t xml:space="preserve"> </w:t>
      </w:r>
      <w:r>
        <w:rPr>
          <w:rFonts w:eastAsia="Times New Roman" w:cs="Tahoma"/>
          <w:iCs/>
          <w:color w:val="auto"/>
          <w:lang w:val="es-ES" w:eastAsia="es-ES"/>
        </w:rPr>
        <w:t>celebrado ningún convenio o contrato con las asociaciones referidas</w:t>
      </w:r>
      <w:r w:rsidRPr="00C758B1">
        <w:rPr>
          <w:rFonts w:eastAsia="Times New Roman" w:cs="Tahoma"/>
          <w:iCs/>
          <w:color w:val="auto"/>
          <w:lang w:val="es-ES" w:eastAsia="es-ES"/>
        </w:rPr>
        <w:t xml:space="preserve">; </w:t>
      </w:r>
      <w:r w:rsidRPr="00C758B1">
        <w:rPr>
          <w:rFonts w:eastAsia="Times New Roman" w:cs="Tahoma"/>
          <w:bCs/>
          <w:color w:val="auto"/>
          <w:lang w:eastAsia="es-ES"/>
        </w:rPr>
        <w:t>al</w:t>
      </w:r>
      <w:r w:rsidRPr="00C758B1">
        <w:rPr>
          <w:rFonts w:eastAsia="Times New Roman" w:cs="Tahoma"/>
          <w:color w:val="auto"/>
          <w:lang w:eastAsia="es-ES"/>
        </w:rPr>
        <w:t xml:space="preserve"> respecto, el Criterio 14/17, emitido por el Instituto Nacional de Transparencia, Acceso a la Información Pública y Protección de Datos Personales en el Estado de México y Municipios, señala lo siguiente:</w:t>
      </w:r>
    </w:p>
    <w:p w14:paraId="77D469BC" w14:textId="77777777" w:rsidR="00C758B1" w:rsidRPr="00C758B1" w:rsidRDefault="00C758B1" w:rsidP="00275717">
      <w:pPr>
        <w:spacing w:after="0"/>
        <w:rPr>
          <w:rFonts w:eastAsia="Times New Roman" w:cs="Tahoma"/>
          <w:color w:val="auto"/>
          <w:lang w:eastAsia="es-ES"/>
        </w:rPr>
      </w:pPr>
    </w:p>
    <w:p w14:paraId="2AE93EC5" w14:textId="77777777" w:rsidR="00C758B1" w:rsidRPr="00C758B1" w:rsidRDefault="00C758B1" w:rsidP="00275717">
      <w:pPr>
        <w:spacing w:after="0"/>
        <w:ind w:left="567" w:right="567"/>
        <w:rPr>
          <w:rFonts w:eastAsia="Times New Roman" w:cs="Tahoma"/>
          <w:bCs/>
          <w:i/>
          <w:color w:val="auto"/>
          <w:sz w:val="20"/>
          <w:szCs w:val="20"/>
          <w:lang w:val="es-ES" w:eastAsia="es-ES"/>
        </w:rPr>
      </w:pPr>
      <w:r w:rsidRPr="00C758B1">
        <w:rPr>
          <w:rFonts w:eastAsia="Times New Roman" w:cs="Tahoma"/>
          <w:bCs/>
          <w:i/>
          <w:color w:val="auto"/>
          <w:sz w:val="20"/>
          <w:szCs w:val="20"/>
          <w:lang w:val="es-ES" w:eastAsia="es-ES"/>
        </w:rPr>
        <w:t>“</w:t>
      </w:r>
      <w:r w:rsidRPr="00C758B1">
        <w:rPr>
          <w:rFonts w:eastAsia="Times New Roman" w:cs="Tahoma"/>
          <w:b/>
          <w:bCs/>
          <w:i/>
          <w:color w:val="auto"/>
          <w:sz w:val="20"/>
          <w:szCs w:val="20"/>
          <w:lang w:val="es-ES" w:eastAsia="es-ES"/>
        </w:rPr>
        <w:t xml:space="preserve">Inexistencia. </w:t>
      </w:r>
      <w:r w:rsidRPr="00C758B1">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14:paraId="5119CD94" w14:textId="77777777" w:rsidR="00C758B1" w:rsidRPr="00C758B1" w:rsidRDefault="00C758B1" w:rsidP="00275717">
      <w:pPr>
        <w:spacing w:after="0"/>
        <w:rPr>
          <w:rFonts w:eastAsia="Times New Roman" w:cs="Tahoma"/>
          <w:color w:val="auto"/>
          <w:lang w:eastAsia="es-ES"/>
        </w:rPr>
      </w:pPr>
    </w:p>
    <w:p w14:paraId="65F08194" w14:textId="77777777" w:rsidR="00C758B1" w:rsidRPr="00C758B1" w:rsidRDefault="00C758B1" w:rsidP="00275717">
      <w:pPr>
        <w:spacing w:after="0"/>
        <w:rPr>
          <w:rFonts w:eastAsia="Times New Roman" w:cs="Tahoma"/>
          <w:color w:val="auto"/>
          <w:lang w:val="es-ES" w:eastAsia="es-ES"/>
        </w:rPr>
      </w:pPr>
      <w:r w:rsidRPr="00C758B1">
        <w:rPr>
          <w:rFonts w:eastAsia="Times New Roman" w:cs="Tahoma"/>
          <w:color w:val="auto"/>
          <w:lang w:eastAsia="es-ES"/>
        </w:rPr>
        <w:t xml:space="preserve">Del citado criterio, se desprende que la inexistencia de la información, es una cuestión de hecho que se le atribuye a la misma, cuando ésta no se encuentra en los archivos del sujeto obligado. </w:t>
      </w:r>
      <w:r w:rsidRPr="00C758B1">
        <w:rPr>
          <w:rFonts w:eastAsia="Times New Roman" w:cs="Tahoma"/>
          <w:color w:val="auto"/>
          <w:lang w:val="es-ES" w:eastAsia="es-ES"/>
        </w:rPr>
        <w:t xml:space="preserve">En ese orden de ideas, según Trujillo, Humberto (2019), en el “Diccionario de Transparencia y Acceso a la Información Pública” (p. 171), la inexistencia de la información, es cuando la </w:t>
      </w:r>
      <w:r w:rsidRPr="00C758B1">
        <w:rPr>
          <w:rFonts w:eastAsia="Times New Roman" w:cs="Tahoma"/>
          <w:color w:val="auto"/>
          <w:lang w:val="es-ES" w:eastAsia="es-ES"/>
        </w:rPr>
        <w:lastRenderedPageBreak/>
        <w:t>información requerida no se encuentra en los archivos públicos, reservados o clasificados, de los sujetos obligados.</w:t>
      </w:r>
    </w:p>
    <w:p w14:paraId="56A7EA4C" w14:textId="77777777" w:rsidR="00C758B1" w:rsidRPr="00C758B1" w:rsidRDefault="00C758B1" w:rsidP="00275717">
      <w:pPr>
        <w:spacing w:after="0"/>
        <w:rPr>
          <w:rFonts w:eastAsia="Times New Roman" w:cs="Tahoma"/>
          <w:color w:val="auto"/>
          <w:lang w:val="es-ES" w:eastAsia="es-ES"/>
        </w:rPr>
      </w:pPr>
    </w:p>
    <w:p w14:paraId="02D45628" w14:textId="77777777" w:rsidR="00C758B1" w:rsidRPr="00C758B1" w:rsidRDefault="00C758B1" w:rsidP="00275717">
      <w:pPr>
        <w:spacing w:after="0"/>
        <w:rPr>
          <w:rFonts w:eastAsia="Times New Roman" w:cs="Tahoma"/>
          <w:bCs/>
          <w:color w:val="auto"/>
          <w:lang w:eastAsia="es-ES"/>
        </w:rPr>
      </w:pPr>
      <w:r w:rsidRPr="00C758B1">
        <w:rPr>
          <w:rFonts w:eastAsia="Times New Roman" w:cs="Tahoma"/>
          <w:color w:val="auto"/>
          <w:lang w:val="es-ES" w:eastAsia="es-ES"/>
        </w:rPr>
        <w:t>Así</w:t>
      </w:r>
      <w:r w:rsidRPr="00C758B1">
        <w:rPr>
          <w:rFonts w:eastAsia="Times New Roman" w:cs="Tahoma"/>
          <w:color w:val="auto"/>
          <w:lang w:eastAsia="es-ES"/>
        </w:rPr>
        <w:t xml:space="preserve">, es posible concluir que la </w:t>
      </w:r>
      <w:r w:rsidRPr="00C758B1">
        <w:rPr>
          <w:rFonts w:eastAsia="Times New Roman" w:cs="Tahoma"/>
          <w:b/>
          <w:color w:val="auto"/>
          <w:lang w:eastAsia="es-ES"/>
        </w:rPr>
        <w:t>inexistencia</w:t>
      </w:r>
      <w:r w:rsidRPr="00C758B1">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C758B1">
        <w:rPr>
          <w:rFonts w:eastAsia="Times New Roman" w:cs="Tahoma"/>
          <w:bCs/>
          <w:color w:val="auto"/>
          <w:lang w:eastAsia="es-ES"/>
        </w:rPr>
        <w:t>no basta con que los sujetos obligados señalen dicha circunstancia, sino que también debe de señalar las razones por las cuales no contaba con lo peticionado, es decir, las circunstancias que dan lugar a la inexistencia, lo cual aconteció, en el presente caso.</w:t>
      </w:r>
    </w:p>
    <w:p w14:paraId="4D005549" w14:textId="77777777" w:rsidR="00C758B1" w:rsidRPr="00C758B1" w:rsidRDefault="00C758B1" w:rsidP="00275717">
      <w:pPr>
        <w:spacing w:after="0"/>
        <w:rPr>
          <w:rFonts w:eastAsia="Times New Roman" w:cs="Tahoma"/>
          <w:bCs/>
          <w:color w:val="auto"/>
          <w:lang w:eastAsia="es-ES"/>
        </w:rPr>
      </w:pPr>
    </w:p>
    <w:p w14:paraId="20D4C1B0" w14:textId="570073C5" w:rsidR="00C758B1" w:rsidRPr="00C758B1" w:rsidRDefault="00C758B1" w:rsidP="00275717">
      <w:pPr>
        <w:spacing w:after="0"/>
        <w:rPr>
          <w:rFonts w:eastAsia="Times New Roman" w:cs="Tahoma"/>
          <w:color w:val="auto"/>
          <w:lang w:val="es-ES" w:eastAsia="es-ES"/>
        </w:rPr>
      </w:pPr>
      <w:r w:rsidRPr="00C758B1">
        <w:rPr>
          <w:rFonts w:eastAsia="Times New Roman" w:cs="Tahoma"/>
          <w:color w:val="auto"/>
          <w:lang w:val="es-ES" w:eastAsia="es-ES"/>
        </w:rPr>
        <w:t>Así, se logra colegir que la información solicitada por la ahora Recurrente es inexistente</w:t>
      </w:r>
      <w:r>
        <w:rPr>
          <w:rFonts w:eastAsia="Times New Roman" w:cs="Tahoma"/>
          <w:color w:val="auto"/>
          <w:lang w:val="es-ES" w:eastAsia="es-ES"/>
        </w:rPr>
        <w:t xml:space="preserve"> en las áreas referidas</w:t>
      </w:r>
      <w:r w:rsidRPr="00C758B1">
        <w:rPr>
          <w:rFonts w:eastAsia="Times New Roman" w:cs="Tahoma"/>
          <w:color w:val="auto"/>
          <w:lang w:val="es-ES" w:eastAsia="es-ES"/>
        </w:rPr>
        <w:t xml:space="preserve">, </w:t>
      </w:r>
      <w:r>
        <w:rPr>
          <w:rFonts w:eastAsia="Times New Roman" w:cs="Tahoma"/>
          <w:color w:val="auto"/>
          <w:lang w:val="es-ES" w:eastAsia="es-ES"/>
        </w:rPr>
        <w:t xml:space="preserve">pues estas realizaron </w:t>
      </w:r>
      <w:r w:rsidRPr="00C758B1">
        <w:rPr>
          <w:rFonts w:eastAsia="Times New Roman" w:cs="Tahoma"/>
          <w:color w:val="auto"/>
          <w:lang w:val="es-ES" w:eastAsia="es-ES"/>
        </w:rPr>
        <w:t xml:space="preserve">una búsqueda de manera exhaustiva y razonable en sus archivos, </w:t>
      </w:r>
      <w:r>
        <w:rPr>
          <w:rFonts w:eastAsia="Times New Roman" w:cs="Tahoma"/>
          <w:color w:val="auto"/>
          <w:lang w:val="es-ES" w:eastAsia="es-ES"/>
        </w:rPr>
        <w:t>e indicaron las razones por las cuales no contaban con esta, a saber, por que no habían celebrado ningún contrato o convenio.</w:t>
      </w:r>
    </w:p>
    <w:p w14:paraId="1D17538F" w14:textId="77777777" w:rsidR="00C758B1" w:rsidRPr="00C758B1" w:rsidRDefault="00C758B1" w:rsidP="00275717">
      <w:pPr>
        <w:spacing w:after="0"/>
        <w:rPr>
          <w:rFonts w:eastAsia="Times New Roman" w:cs="Tahoma"/>
          <w:color w:val="auto"/>
          <w:lang w:val="es-ES" w:eastAsia="es-ES"/>
        </w:rPr>
      </w:pPr>
    </w:p>
    <w:p w14:paraId="22ED4787" w14:textId="6B3E7196" w:rsidR="00C758B1" w:rsidRPr="00C758B1" w:rsidRDefault="00C758B1" w:rsidP="00275717">
      <w:pPr>
        <w:spacing w:after="0"/>
        <w:rPr>
          <w:rFonts w:eastAsia="Times New Roman" w:cs="Tahoma"/>
          <w:color w:val="auto"/>
          <w:lang w:val="es-ES" w:eastAsia="es-ES"/>
        </w:rPr>
      </w:pPr>
      <w:r w:rsidRPr="00C758B1">
        <w:rPr>
          <w:rFonts w:eastAsia="Times New Roman" w:cs="Tahoma"/>
          <w:color w:val="auto"/>
          <w:lang w:val="es-ES" w:eastAsia="es-ES"/>
        </w:rPr>
        <w:t xml:space="preserve">Por tales consideraciones, se desprende </w:t>
      </w:r>
      <w:r>
        <w:rPr>
          <w:rFonts w:eastAsia="Times New Roman" w:cs="Tahoma"/>
          <w:color w:val="auto"/>
          <w:lang w:val="es-ES" w:eastAsia="es-ES"/>
        </w:rPr>
        <w:t xml:space="preserve">que </w:t>
      </w:r>
      <w:r>
        <w:rPr>
          <w:rFonts w:eastAsia="Calibri" w:cs="Tahoma"/>
          <w:bCs/>
          <w:color w:val="auto"/>
          <w:lang w:eastAsia="es-ES_tradnl"/>
        </w:rPr>
        <w:t xml:space="preserve">la Dirección de Fomento Económico, de Medio Ambiente, de Administración, de Desarrollo Social, de Educación, la Consejería Jurídica, la Presidencia Municipal y la Secretaría del Ayuntamiento, señalaron las </w:t>
      </w:r>
      <w:r w:rsidRPr="00C758B1">
        <w:rPr>
          <w:rFonts w:eastAsia="Times New Roman" w:cs="Tahoma"/>
          <w:color w:val="auto"/>
          <w:lang w:val="es-ES" w:eastAsia="es-ES"/>
        </w:rPr>
        <w:t xml:space="preserve">razones por las cuales no contaba con lo peticionado; </w:t>
      </w:r>
      <w:r w:rsidRPr="00C758B1">
        <w:rPr>
          <w:rFonts w:eastAsia="Times New Roman" w:cs="Tahoma"/>
          <w:color w:val="000000"/>
          <w:lang w:eastAsia="es-ES"/>
        </w:rPr>
        <w:t xml:space="preserve">al respecto, se trae a colación, el </w:t>
      </w:r>
      <w:r w:rsidRPr="00C758B1">
        <w:rPr>
          <w:rFonts w:eastAsia="Times New Roman" w:cs="Tahoma"/>
          <w:color w:val="auto"/>
          <w:lang w:val="es-ES" w:eastAsia="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03DDD0D3" w14:textId="77777777" w:rsidR="00C758B1" w:rsidRPr="00C758B1" w:rsidRDefault="00C758B1" w:rsidP="00275717">
      <w:pPr>
        <w:spacing w:after="0"/>
        <w:rPr>
          <w:rFonts w:eastAsia="Times New Roman" w:cs="Tahoma"/>
          <w:color w:val="auto"/>
          <w:lang w:val="es-ES" w:eastAsia="es-ES"/>
        </w:rPr>
      </w:pPr>
    </w:p>
    <w:p w14:paraId="6FA0ECC4" w14:textId="77777777" w:rsidR="00C758B1" w:rsidRPr="00C758B1" w:rsidRDefault="00C758B1" w:rsidP="00275717">
      <w:pPr>
        <w:spacing w:after="0"/>
        <w:rPr>
          <w:rFonts w:eastAsia="Times New Roman" w:cs="Tahoma"/>
          <w:bCs/>
          <w:color w:val="auto"/>
          <w:lang w:eastAsia="es-ES"/>
        </w:rPr>
      </w:pPr>
      <w:r w:rsidRPr="00C758B1">
        <w:rPr>
          <w:rFonts w:eastAsia="Times New Roman" w:cs="Tahoma"/>
          <w:color w:val="auto"/>
          <w:lang w:val="es-ES" w:eastAsia="es-ES"/>
        </w:rPr>
        <w:t xml:space="preserve">De la misma manera, </w:t>
      </w:r>
      <w:r w:rsidRPr="00C758B1">
        <w:rPr>
          <w:rFonts w:eastAsia="Times New Roman" w:cs="Tahoma"/>
          <w:bCs/>
          <w:color w:val="auto"/>
          <w:lang w:eastAsia="es-ES"/>
        </w:rPr>
        <w:t xml:space="preserve">el Criterio 07/17, emitido por el Instituto Nacional de Transparencia, Acceso a la Información y Protección de Datos Personales, establece que no será necesario que el Comité de Transparencia declare formalmente la inexistencia, cuando del análisis a la </w:t>
      </w:r>
      <w:r w:rsidRPr="00C758B1">
        <w:rPr>
          <w:rFonts w:eastAsia="Times New Roman" w:cs="Tahoma"/>
          <w:bCs/>
          <w:color w:val="auto"/>
          <w:lang w:eastAsia="es-ES"/>
        </w:rPr>
        <w:lastRenderedPageBreak/>
        <w:t>normatividad aplicables no se desprenda obligación alguna de contar con la información solicitada, ni se advierta algún otro elemento de convicción que apunto a su existencia.</w:t>
      </w:r>
    </w:p>
    <w:p w14:paraId="0BA80B4D" w14:textId="77777777" w:rsidR="00C758B1" w:rsidRPr="00C758B1" w:rsidRDefault="00C758B1" w:rsidP="00275717">
      <w:pPr>
        <w:spacing w:after="0"/>
        <w:rPr>
          <w:rFonts w:eastAsia="Times New Roman" w:cs="Tahoma"/>
          <w:color w:val="auto"/>
          <w:lang w:val="es-ES" w:eastAsia="es-ES"/>
        </w:rPr>
      </w:pPr>
    </w:p>
    <w:p w14:paraId="48C63242" w14:textId="3079B041" w:rsidR="00C758B1" w:rsidRPr="00C758B1" w:rsidRDefault="00C758B1" w:rsidP="00275717">
      <w:pPr>
        <w:spacing w:after="0"/>
        <w:rPr>
          <w:rFonts w:eastAsia="Times New Roman" w:cs="Tahoma"/>
          <w:color w:val="auto"/>
          <w:lang w:eastAsia="es-ES"/>
        </w:rPr>
      </w:pPr>
      <w:r w:rsidRPr="00C758B1">
        <w:rPr>
          <w:rFonts w:eastAsia="Times New Roman" w:cs="Tahoma"/>
          <w:color w:val="000000"/>
          <w:lang w:eastAsia="es-ES"/>
        </w:rPr>
        <w:t xml:space="preserve">En ese orden de ideas, dicho criterio aplica al caso en concreto, ya que, no </w:t>
      </w:r>
      <w:r>
        <w:rPr>
          <w:rFonts w:eastAsia="Times New Roman" w:cs="Tahoma"/>
          <w:color w:val="000000"/>
          <w:lang w:eastAsia="es-ES"/>
        </w:rPr>
        <w:t>existe</w:t>
      </w:r>
      <w:r w:rsidRPr="00C758B1">
        <w:rPr>
          <w:rFonts w:eastAsia="Times New Roman" w:cs="Tahoma"/>
          <w:color w:val="000000"/>
          <w:lang w:eastAsia="es-ES"/>
        </w:rPr>
        <w:t xml:space="preserve"> indicio </w:t>
      </w:r>
      <w:r>
        <w:rPr>
          <w:rFonts w:eastAsia="Times New Roman" w:cs="Tahoma"/>
          <w:color w:val="000000"/>
          <w:lang w:eastAsia="es-ES"/>
        </w:rPr>
        <w:t>alguno, de que las áreas mencionadas, hayan celebrado algún convenio o contrato, con las asociaciones señaladas en la solicitud,</w:t>
      </w:r>
      <w:r w:rsidRPr="00C758B1">
        <w:rPr>
          <w:rFonts w:eastAsia="Times New Roman" w:cs="Tahoma"/>
          <w:color w:val="000000"/>
          <w:lang w:eastAsia="es-ES"/>
        </w:rPr>
        <w:t xml:space="preserve"> </w:t>
      </w:r>
      <w:r w:rsidRPr="00C758B1">
        <w:rPr>
          <w:rFonts w:eastAsia="Times New Roman" w:cs="Tahoma"/>
          <w:bCs/>
          <w:color w:val="auto"/>
          <w:lang w:eastAsia="es-ES"/>
        </w:rPr>
        <w:t xml:space="preserve">por lo cual, </w:t>
      </w:r>
      <w:r w:rsidRPr="00C758B1">
        <w:rPr>
          <w:rFonts w:eastAsia="Times New Roman" w:cs="Tahoma"/>
          <w:color w:val="auto"/>
          <w:lang w:eastAsia="es-ES"/>
        </w:rPr>
        <w:t xml:space="preserve">se considera </w:t>
      </w:r>
      <w:r>
        <w:rPr>
          <w:rFonts w:eastAsia="Times New Roman" w:cs="Tahoma"/>
          <w:color w:val="auto"/>
          <w:lang w:eastAsia="es-ES"/>
        </w:rPr>
        <w:t>las unidades administrativas, indicaron</w:t>
      </w:r>
      <w:r w:rsidRPr="00C758B1">
        <w:rPr>
          <w:rFonts w:eastAsia="Times New Roman" w:cs="Tahoma"/>
          <w:color w:val="auto"/>
          <w:lang w:eastAsia="es-ES"/>
        </w:rPr>
        <w:t xml:space="preserve"> las razones por las cuales no contaba con lo requerido, por lo que, cumplió con el segundo párrafo, del artículo 19 de la Ley de Transparencia y Acceso a la Información Pública del Estado de México y Municipios.</w:t>
      </w:r>
    </w:p>
    <w:p w14:paraId="038E94E4" w14:textId="77777777" w:rsidR="008F4AC4" w:rsidRDefault="008F4AC4" w:rsidP="00275717">
      <w:pPr>
        <w:spacing w:after="0"/>
        <w:rPr>
          <w:rFonts w:eastAsia="Calibri" w:cs="Tahoma"/>
          <w:bCs/>
          <w:color w:val="auto"/>
          <w:lang w:eastAsia="es-ES_tradnl"/>
        </w:rPr>
      </w:pPr>
    </w:p>
    <w:p w14:paraId="6561C35D" w14:textId="77777777" w:rsidR="00275717" w:rsidRDefault="00C758B1" w:rsidP="00275717">
      <w:pPr>
        <w:spacing w:after="0"/>
        <w:ind w:right="-93"/>
        <w:rPr>
          <w:rFonts w:eastAsia="Calibri" w:cs="Tahoma"/>
          <w:bCs/>
          <w:color w:val="auto"/>
          <w:lang w:val="es-ES" w:eastAsia="es-ES_tradnl"/>
        </w:rPr>
      </w:pPr>
      <w:r>
        <w:rPr>
          <w:rFonts w:eastAsia="Calibri" w:cs="Tahoma"/>
          <w:bCs/>
          <w:color w:val="auto"/>
          <w:lang w:eastAsia="es-ES_tradnl"/>
        </w:rPr>
        <w:t xml:space="preserve">No obstante, lo anterior, la Dirección General de Seguridad </w:t>
      </w:r>
      <w:r w:rsidR="00275717">
        <w:rPr>
          <w:rFonts w:eastAsia="Calibri" w:cs="Tahoma"/>
          <w:bCs/>
          <w:color w:val="auto"/>
          <w:lang w:eastAsia="es-ES_tradnl"/>
        </w:rPr>
        <w:t>Ciudadana</w:t>
      </w:r>
      <w:r>
        <w:rPr>
          <w:rFonts w:eastAsia="Calibri" w:cs="Tahoma"/>
          <w:bCs/>
          <w:color w:val="auto"/>
          <w:lang w:eastAsia="es-ES_tradnl"/>
        </w:rPr>
        <w:t>,</w:t>
      </w:r>
      <w:r w:rsidR="00275717">
        <w:rPr>
          <w:rFonts w:eastAsia="Calibri" w:cs="Tahoma"/>
          <w:bCs/>
          <w:color w:val="auto"/>
          <w:lang w:eastAsia="es-ES_tradnl"/>
        </w:rPr>
        <w:t xml:space="preserve"> </w:t>
      </w:r>
      <w:r w:rsidR="00275717">
        <w:rPr>
          <w:rFonts w:eastAsia="Calibri" w:cs="Tahoma"/>
          <w:bCs/>
          <w:color w:val="auto"/>
          <w:lang w:val="es-ES" w:eastAsia="es-ES_tradnl"/>
        </w:rPr>
        <w:t xml:space="preserve">indicó que el </w:t>
      </w:r>
      <w:r w:rsidR="00275717" w:rsidRPr="00757468">
        <w:rPr>
          <w:rFonts w:eastAsia="Calibri" w:cs="Tahoma"/>
          <w:bCs/>
          <w:color w:val="auto"/>
          <w:lang w:val="es-ES" w:eastAsia="es-ES_tradnl"/>
        </w:rPr>
        <w:t>veintiocho de septiembre de dos mil veintiuno,</w:t>
      </w:r>
      <w:r w:rsidR="00275717">
        <w:rPr>
          <w:rFonts w:eastAsia="Calibri" w:cs="Tahoma"/>
          <w:bCs/>
          <w:color w:val="auto"/>
          <w:lang w:val="es-ES" w:eastAsia="es-ES_tradnl"/>
        </w:rPr>
        <w:t xml:space="preserve"> celebro un convenio</w:t>
      </w:r>
      <w:r w:rsidR="00275717" w:rsidRPr="00757468">
        <w:rPr>
          <w:rFonts w:eastAsia="Calibri" w:cs="Tahoma"/>
          <w:bCs/>
          <w:color w:val="auto"/>
          <w:lang w:val="es-ES" w:eastAsia="es-ES_tradnl"/>
        </w:rPr>
        <w:t xml:space="preserve"> con el apoyo del Fondo Canadá para Iniciativas Locales, Causa en Común, en donde se formalizó el inició de una nueva fase del proyecto “Ser Mujer Policía en México”</w:t>
      </w:r>
      <w:r w:rsidR="00275717">
        <w:rPr>
          <w:rFonts w:eastAsia="Calibri" w:cs="Tahoma"/>
          <w:bCs/>
          <w:color w:val="auto"/>
          <w:lang w:val="es-ES" w:eastAsia="es-ES_tradnl"/>
        </w:rPr>
        <w:t>; sin embargo, no proporcionó el convenio respectivo, ni acredito que se haya celebrado con las asociaciones señaladas en el requerimiento de información, lo cual da como resultado que la respuesta resulte incongruente.</w:t>
      </w:r>
    </w:p>
    <w:p w14:paraId="3188CAA2" w14:textId="77777777" w:rsidR="00275717" w:rsidRDefault="00275717" w:rsidP="00275717">
      <w:pPr>
        <w:spacing w:after="0"/>
        <w:ind w:right="-93"/>
        <w:rPr>
          <w:rFonts w:eastAsia="Calibri" w:cs="Tahoma"/>
          <w:bCs/>
          <w:color w:val="auto"/>
          <w:lang w:val="es-ES" w:eastAsia="es-ES_tradnl"/>
        </w:rPr>
      </w:pPr>
    </w:p>
    <w:p w14:paraId="3913625B" w14:textId="1BC45112" w:rsidR="00275717" w:rsidRPr="00275717" w:rsidRDefault="00275717" w:rsidP="00275717">
      <w:pPr>
        <w:spacing w:after="0"/>
        <w:ind w:right="-93"/>
        <w:rPr>
          <w:rFonts w:eastAsia="Calibri" w:cs="Tahoma"/>
          <w:bCs/>
          <w:color w:val="auto"/>
          <w:lang w:val="es-ES"/>
        </w:rPr>
      </w:pPr>
      <w:r>
        <w:rPr>
          <w:rFonts w:eastAsia="Times New Roman" w:cs="Tahoma"/>
          <w:color w:val="auto"/>
          <w:lang w:val="es-ES" w:eastAsia="es-ES"/>
        </w:rPr>
        <w:t>S</w:t>
      </w:r>
      <w:r w:rsidRPr="00275717">
        <w:rPr>
          <w:rFonts w:eastAsia="Times New Roman" w:cs="Tahoma"/>
          <w:color w:val="auto"/>
          <w:lang w:val="es-ES" w:eastAsia="es-ES"/>
        </w:rPr>
        <w:t>obre dicha situación, el artículo 1.8, fracción IX, del Código Administrativo del Estado de México, establece que para que un acto administrativo tenga validez, deberá guardar congruencia con lo solicitado</w:t>
      </w:r>
      <w:r>
        <w:rPr>
          <w:rFonts w:eastAsia="Times New Roman" w:cs="Tahoma"/>
          <w:color w:val="auto"/>
          <w:lang w:val="es-ES" w:eastAsia="es-ES"/>
        </w:rPr>
        <w:t>; asimismo,</w:t>
      </w:r>
      <w:r w:rsidRPr="00275717">
        <w:rPr>
          <w:rFonts w:eastAsia="Times New Roman" w:cs="Tahoma"/>
          <w:color w:val="auto"/>
          <w:szCs w:val="20"/>
          <w:lang w:eastAsia="es-MX"/>
        </w:rPr>
        <w:t xml:space="preserve"> resulta necesario traer</w:t>
      </w:r>
      <w:r w:rsidRPr="00275717">
        <w:rPr>
          <w:rFonts w:eastAsia="Calibri" w:cs="Tahoma"/>
          <w:bCs/>
          <w:color w:val="auto"/>
          <w:lang w:val="es-ES"/>
        </w:rPr>
        <w:t xml:space="preserve"> por analogía, el Criterio 02/17, emitido por el Instituto Nacional de Transparencia, Acceso a la Información y Protección de Datos Personales, que señala lo siguiente:</w:t>
      </w:r>
    </w:p>
    <w:p w14:paraId="37B114BA" w14:textId="77777777" w:rsidR="00275717" w:rsidRPr="00275717" w:rsidRDefault="00275717" w:rsidP="00275717">
      <w:pPr>
        <w:spacing w:after="0"/>
        <w:rPr>
          <w:rFonts w:eastAsia="Calibri" w:cs="Tahoma"/>
          <w:bCs/>
          <w:color w:val="auto"/>
          <w:lang w:val="es-ES"/>
        </w:rPr>
      </w:pPr>
    </w:p>
    <w:p w14:paraId="1F74EAFB" w14:textId="77777777" w:rsidR="00275717" w:rsidRPr="00275717" w:rsidRDefault="00275717" w:rsidP="00275717">
      <w:pPr>
        <w:spacing w:after="0"/>
        <w:ind w:left="567" w:right="567"/>
        <w:rPr>
          <w:rFonts w:eastAsia="Calibri" w:cs="Tahoma"/>
          <w:i/>
          <w:color w:val="auto"/>
          <w:sz w:val="20"/>
          <w:szCs w:val="20"/>
        </w:rPr>
      </w:pPr>
      <w:r w:rsidRPr="00275717">
        <w:rPr>
          <w:rFonts w:eastAsia="Calibri" w:cs="Tahoma"/>
          <w:b/>
          <w:bCs/>
          <w:i/>
          <w:color w:val="auto"/>
          <w:sz w:val="20"/>
          <w:szCs w:val="20"/>
        </w:rPr>
        <w:t xml:space="preserve">“Congruencia y exhaustividad. Sus alcances para garantizar el derecho de acceso a la información. </w:t>
      </w:r>
      <w:r w:rsidRPr="00275717">
        <w:rPr>
          <w:rFonts w:eastAsia="Calibri" w:cs="Tahoma"/>
          <w:bCs/>
          <w:i/>
          <w:color w:val="auto"/>
          <w:sz w:val="20"/>
          <w:szCs w:val="2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w:t>
      </w:r>
      <w:r w:rsidRPr="00275717">
        <w:rPr>
          <w:rFonts w:eastAsia="Calibri" w:cs="Tahoma"/>
          <w:bCs/>
          <w:i/>
          <w:color w:val="auto"/>
          <w:sz w:val="20"/>
          <w:szCs w:val="20"/>
        </w:rPr>
        <w:lastRenderedPageBreak/>
        <w:t xml:space="preserve">exhaustividad. Para el efectivo ejercicio del derecho de acceso a la información, la congruencia implica que exista concordancia entre el requerimiento formulado por el particular y la respuesta proporcionada por el sujeto obligado; mientras que </w:t>
      </w:r>
      <w:r w:rsidRPr="00275717">
        <w:rPr>
          <w:rFonts w:eastAsia="Calibri" w:cs="Tahoma"/>
          <w:i/>
          <w:color w:val="auto"/>
          <w:sz w:val="20"/>
          <w:szCs w:val="20"/>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36756A1" w14:textId="77777777" w:rsidR="00275717" w:rsidRPr="00275717" w:rsidRDefault="00275717" w:rsidP="00275717">
      <w:pPr>
        <w:spacing w:after="0"/>
        <w:rPr>
          <w:rFonts w:eastAsia="Times New Roman" w:cs="Times New Roman"/>
          <w:color w:val="auto"/>
          <w:lang w:val="es-ES" w:eastAsia="es-ES"/>
        </w:rPr>
      </w:pPr>
    </w:p>
    <w:p w14:paraId="0E734837" w14:textId="048E7D5A" w:rsidR="00275717" w:rsidRPr="00275717" w:rsidRDefault="00275717" w:rsidP="00275717">
      <w:pPr>
        <w:spacing w:after="0"/>
        <w:rPr>
          <w:rFonts w:eastAsia="Times New Roman" w:cs="Times New Roman"/>
          <w:b/>
          <w:color w:val="auto"/>
          <w:lang w:val="es-ES" w:eastAsia="es-ES"/>
        </w:rPr>
      </w:pPr>
      <w:r w:rsidRPr="00275717">
        <w:rPr>
          <w:rFonts w:eastAsia="Times New Roman" w:cs="Times New Roman"/>
          <w:color w:val="auto"/>
          <w:lang w:eastAsia="es-ES"/>
        </w:rPr>
        <w:t xml:space="preserve">Del citado criterio, se desprende que </w:t>
      </w:r>
      <w:r w:rsidRPr="00275717">
        <w:rPr>
          <w:rFonts w:eastAsia="Times New Roman" w:cs="Times New Roman"/>
          <w:bCs/>
          <w:color w:val="auto"/>
          <w:lang w:eastAsia="es-ES"/>
        </w:rPr>
        <w:t>todo acto administrativo debe apegarse al</w:t>
      </w:r>
      <w:r w:rsidRPr="00275717">
        <w:rPr>
          <w:rFonts w:eastAsia="Times New Roman" w:cs="Times New Roman"/>
          <w:color w:val="auto"/>
          <w:lang w:val="es-ES" w:eastAsia="es-ES"/>
        </w:rPr>
        <w:t xml:space="preserve"> </w:t>
      </w:r>
      <w:r w:rsidRPr="00275717">
        <w:rPr>
          <w:rFonts w:eastAsia="Times New Roman" w:cs="Times New Roman"/>
          <w:b/>
          <w:color w:val="auto"/>
          <w:lang w:val="es-ES" w:eastAsia="es-ES"/>
        </w:rPr>
        <w:t xml:space="preserve">Principio de Congruencia, </w:t>
      </w:r>
      <w:r w:rsidRPr="00275717">
        <w:rPr>
          <w:rFonts w:eastAsia="Times New Roman" w:cs="Times New Roman"/>
          <w:color w:val="auto"/>
          <w:lang w:val="es-ES" w:eastAsia="es-ES"/>
        </w:rPr>
        <w:t>el cual</w:t>
      </w:r>
      <w:r w:rsidRPr="00275717">
        <w:rPr>
          <w:rFonts w:eastAsia="Times New Roman" w:cs="Times New Roman"/>
          <w:b/>
          <w:color w:val="auto"/>
          <w:lang w:val="es-ES" w:eastAsia="es-ES"/>
        </w:rPr>
        <w:t xml:space="preserve"> </w:t>
      </w:r>
      <w:r w:rsidRPr="00275717">
        <w:rPr>
          <w:rFonts w:eastAsia="Times New Roman" w:cs="Times New Roman"/>
          <w:color w:val="auto"/>
          <w:lang w:val="es-ES" w:eastAsia="es-ES"/>
        </w:rPr>
        <w:t>implica que exista concordancia entre el requerimiento formulado y la respuesta entregada; por tales consideraciones, en el presente caso, este Instituto considera que se incumplió con dicho principio, pues si bien el Ente Recurrido precisó que contaba con la información, no la proporcionó.</w:t>
      </w:r>
    </w:p>
    <w:p w14:paraId="03F6F185" w14:textId="5F5604DD" w:rsidR="005070F6" w:rsidRDefault="005070F6" w:rsidP="00275717">
      <w:pPr>
        <w:spacing w:after="0"/>
        <w:rPr>
          <w:rFonts w:eastAsia="Calibri" w:cs="Tahoma"/>
          <w:bCs/>
          <w:color w:val="auto"/>
          <w:lang w:val="es-ES" w:eastAsia="es-ES_tradnl"/>
        </w:rPr>
      </w:pPr>
    </w:p>
    <w:p w14:paraId="7436A256" w14:textId="77777777" w:rsidR="00E97C4E" w:rsidRDefault="00E97C4E" w:rsidP="00E97C4E">
      <w:pPr>
        <w:spacing w:after="0"/>
        <w:rPr>
          <w:rFonts w:eastAsia="Calibri" w:cs="Tahoma"/>
          <w:bCs/>
          <w:color w:val="auto"/>
          <w:lang w:val="es-ES" w:eastAsia="es-ES_tradnl"/>
        </w:rPr>
      </w:pPr>
      <w:r>
        <w:rPr>
          <w:rFonts w:eastAsia="Calibri" w:cs="Tahoma"/>
          <w:bCs/>
          <w:color w:val="auto"/>
          <w:lang w:val="es-ES" w:eastAsia="es-ES_tradnl"/>
        </w:rPr>
        <w:t>No obstante, durante la sustanciación del Medio de Impugnación, la Dirección General de Seguridad Ciudadana, precisó lo siguiente:</w:t>
      </w:r>
    </w:p>
    <w:p w14:paraId="3E3ACA36" w14:textId="77777777" w:rsidR="00E97C4E" w:rsidRDefault="00E97C4E" w:rsidP="00E97C4E">
      <w:pPr>
        <w:spacing w:after="0"/>
        <w:rPr>
          <w:rFonts w:eastAsia="Calibri" w:cs="Tahoma"/>
          <w:bCs/>
          <w:color w:val="auto"/>
          <w:lang w:val="es-ES" w:eastAsia="es-ES_tradnl"/>
        </w:rPr>
      </w:pPr>
    </w:p>
    <w:p w14:paraId="4B202796" w14:textId="4D014DFA" w:rsidR="00E97C4E" w:rsidRDefault="00E97C4E" w:rsidP="00E97C4E">
      <w:pPr>
        <w:pStyle w:val="Prrafodelista"/>
        <w:numPr>
          <w:ilvl w:val="0"/>
          <w:numId w:val="33"/>
        </w:numPr>
        <w:spacing w:after="0"/>
        <w:rPr>
          <w:rFonts w:eastAsia="Times New Roman" w:cs="Tahoma"/>
          <w:bCs/>
          <w:iCs/>
          <w:color w:val="auto"/>
          <w:lang w:eastAsia="es-ES"/>
        </w:rPr>
      </w:pPr>
      <w:r>
        <w:rPr>
          <w:rFonts w:eastAsia="Calibri" w:cs="Tahoma"/>
          <w:bCs/>
          <w:color w:val="auto"/>
          <w:lang w:val="es-ES" w:eastAsia="es-ES_tradnl"/>
        </w:rPr>
        <w:t>Q</w:t>
      </w:r>
      <w:r w:rsidRPr="00E97C4E">
        <w:rPr>
          <w:rFonts w:eastAsia="Calibri" w:cs="Tahoma"/>
          <w:bCs/>
          <w:color w:val="auto"/>
          <w:lang w:val="es-ES" w:eastAsia="es-ES_tradnl"/>
        </w:rPr>
        <w:t xml:space="preserve">ue del primero de enero de dos mil diez al </w:t>
      </w:r>
      <w:r w:rsidRPr="00E97C4E">
        <w:rPr>
          <w:rFonts w:eastAsia="Times New Roman" w:cs="Tahoma"/>
          <w:bCs/>
          <w:iCs/>
          <w:color w:val="auto"/>
          <w:lang w:eastAsia="es-ES"/>
        </w:rPr>
        <w:t>veinte de enero de dos mil veintidós, únicamente había firmado dos convenios de colaboración con la organización “Causa en Común A.C.”</w:t>
      </w:r>
      <w:r>
        <w:rPr>
          <w:rFonts w:eastAsia="Times New Roman" w:cs="Tahoma"/>
          <w:bCs/>
          <w:iCs/>
          <w:color w:val="auto"/>
          <w:lang w:eastAsia="es-ES"/>
        </w:rPr>
        <w:t xml:space="preserve">, el primero firmado el </w:t>
      </w:r>
      <w:r>
        <w:rPr>
          <w:rFonts w:eastAsia="Times New Roman" w:cs="Tahoma"/>
          <w:bCs/>
          <w:color w:val="auto"/>
          <w:lang w:eastAsia="es-ES"/>
        </w:rPr>
        <w:t xml:space="preserve">dieciocho de diciembre de dos mil diecinueve, el segundo, el veintiocho de septiembre de dos mil veintiuno </w:t>
      </w:r>
      <w:r>
        <w:rPr>
          <w:rFonts w:eastAsia="Times New Roman" w:cs="Tahoma"/>
          <w:bCs/>
          <w:iCs/>
          <w:color w:val="auto"/>
          <w:lang w:eastAsia="es-ES"/>
        </w:rPr>
        <w:t>y</w:t>
      </w:r>
    </w:p>
    <w:p w14:paraId="619B27CC" w14:textId="77777777" w:rsidR="00E97C4E" w:rsidRDefault="00E97C4E" w:rsidP="00E97C4E">
      <w:pPr>
        <w:pStyle w:val="Prrafodelista"/>
        <w:spacing w:after="0"/>
        <w:rPr>
          <w:rFonts w:eastAsia="Times New Roman" w:cs="Tahoma"/>
          <w:bCs/>
          <w:iCs/>
          <w:color w:val="auto"/>
          <w:lang w:eastAsia="es-ES"/>
        </w:rPr>
      </w:pPr>
    </w:p>
    <w:p w14:paraId="12079F55" w14:textId="0B5CDBAC" w:rsidR="00E97C4E" w:rsidRPr="00E97C4E" w:rsidRDefault="00E97C4E" w:rsidP="00E97C4E">
      <w:pPr>
        <w:pStyle w:val="Prrafodelista"/>
        <w:numPr>
          <w:ilvl w:val="0"/>
          <w:numId w:val="34"/>
        </w:numPr>
        <w:spacing w:after="0"/>
        <w:rPr>
          <w:rFonts w:eastAsia="Times New Roman" w:cs="Tahoma"/>
          <w:bCs/>
          <w:iCs/>
          <w:color w:val="auto"/>
          <w:lang w:eastAsia="es-ES"/>
        </w:rPr>
      </w:pPr>
      <w:r>
        <w:rPr>
          <w:rFonts w:eastAsia="Times New Roman" w:cs="Tahoma"/>
          <w:bCs/>
          <w:iCs/>
          <w:color w:val="auto"/>
          <w:lang w:eastAsia="es-ES"/>
        </w:rPr>
        <w:t xml:space="preserve">Que dicha asociación se integraba por las organizaciones requeridas, a saber, </w:t>
      </w:r>
      <w:r w:rsidRPr="00E97C4E">
        <w:rPr>
          <w:rFonts w:eastAsia="Times New Roman" w:cs="Tahoma"/>
          <w:bCs/>
          <w:iCs/>
          <w:color w:val="auto"/>
          <w:lang w:eastAsia="es-ES"/>
        </w:rPr>
        <w:t>por “Ciudadanos por una causa en común A.C.” y “Horizonte y Oportunidad A.C.”</w:t>
      </w:r>
      <w:r>
        <w:rPr>
          <w:rFonts w:eastAsia="Times New Roman" w:cs="Tahoma"/>
          <w:bCs/>
          <w:iCs/>
          <w:color w:val="auto"/>
          <w:lang w:eastAsia="es-ES"/>
        </w:rPr>
        <w:t>.</w:t>
      </w:r>
    </w:p>
    <w:p w14:paraId="1FAED1D8" w14:textId="0464104F" w:rsidR="00E97C4E" w:rsidRDefault="00E97C4E" w:rsidP="00275717">
      <w:pPr>
        <w:spacing w:after="0"/>
        <w:rPr>
          <w:rFonts w:eastAsia="Calibri" w:cs="Tahoma"/>
          <w:bCs/>
          <w:color w:val="auto"/>
          <w:lang w:eastAsia="es-ES_tradnl"/>
        </w:rPr>
      </w:pPr>
    </w:p>
    <w:p w14:paraId="31AE8771" w14:textId="522545F8" w:rsidR="00236A14" w:rsidRDefault="00E97C4E" w:rsidP="00275717">
      <w:pPr>
        <w:spacing w:after="0"/>
        <w:rPr>
          <w:rFonts w:eastAsia="Times New Roman" w:cs="Tahoma"/>
          <w:bCs/>
          <w:iCs/>
          <w:color w:val="auto"/>
          <w:lang w:eastAsia="es-ES"/>
        </w:rPr>
      </w:pPr>
      <w:r>
        <w:rPr>
          <w:rFonts w:eastAsia="Calibri" w:cs="Tahoma"/>
          <w:bCs/>
          <w:color w:val="auto"/>
          <w:lang w:eastAsia="es-ES_tradnl"/>
        </w:rPr>
        <w:t xml:space="preserve">Al respecto, cabe recordar que este Instituto, no tiene atribuciones para pronunciarse de la veracidad de la información; </w:t>
      </w:r>
      <w:r w:rsidR="00236A14">
        <w:rPr>
          <w:rFonts w:eastAsia="Calibri" w:cs="Tahoma"/>
          <w:bCs/>
          <w:color w:val="auto"/>
          <w:lang w:eastAsia="es-ES_tradnl"/>
        </w:rPr>
        <w:t xml:space="preserve">por lo cual, considera que la información que da cuenta de lo </w:t>
      </w:r>
      <w:r w:rsidR="00236A14">
        <w:rPr>
          <w:rFonts w:eastAsia="Calibri" w:cs="Tahoma"/>
          <w:bCs/>
          <w:color w:val="auto"/>
          <w:lang w:eastAsia="es-ES_tradnl"/>
        </w:rPr>
        <w:lastRenderedPageBreak/>
        <w:t xml:space="preserve">solicitado, son los convenios de colaboración celebrados en el dos mil diecinueve y dos mil veintiuno, con la asociación </w:t>
      </w:r>
      <w:r w:rsidR="00236A14" w:rsidRPr="00E97C4E">
        <w:rPr>
          <w:rFonts w:eastAsia="Times New Roman" w:cs="Tahoma"/>
          <w:bCs/>
          <w:iCs/>
          <w:color w:val="auto"/>
          <w:lang w:eastAsia="es-ES"/>
        </w:rPr>
        <w:t>Causa en Común A.C.</w:t>
      </w:r>
    </w:p>
    <w:p w14:paraId="7AFA0F3C" w14:textId="66277053" w:rsidR="00236A14" w:rsidRDefault="00236A14" w:rsidP="00275717">
      <w:pPr>
        <w:spacing w:after="0"/>
        <w:rPr>
          <w:rFonts w:eastAsia="Times New Roman" w:cs="Tahoma"/>
          <w:bCs/>
          <w:iCs/>
          <w:color w:val="auto"/>
          <w:lang w:eastAsia="es-ES"/>
        </w:rPr>
      </w:pPr>
    </w:p>
    <w:p w14:paraId="120CFFFD" w14:textId="46F9448B" w:rsidR="00236A14" w:rsidRDefault="00236A14" w:rsidP="00275717">
      <w:pPr>
        <w:spacing w:after="0"/>
        <w:rPr>
          <w:rFonts w:eastAsia="Times New Roman" w:cs="Tahoma"/>
          <w:bCs/>
          <w:iCs/>
          <w:color w:val="auto"/>
          <w:lang w:eastAsia="es-ES"/>
        </w:rPr>
      </w:pPr>
      <w:r>
        <w:rPr>
          <w:rFonts w:eastAsia="Times New Roman" w:cs="Tahoma"/>
          <w:bCs/>
          <w:iCs/>
          <w:color w:val="auto"/>
          <w:lang w:eastAsia="es-ES"/>
        </w:rPr>
        <w:t>En ese contexto, la Dirección General de Seguridad Ciudadana, proporcionó los dos Convenios de Colaboración, referidos, tal como se muestra a continuación:</w:t>
      </w:r>
    </w:p>
    <w:p w14:paraId="63C75658" w14:textId="294DBADE" w:rsidR="00236A14" w:rsidRDefault="00236A14" w:rsidP="00275717">
      <w:pPr>
        <w:spacing w:after="0"/>
        <w:rPr>
          <w:rFonts w:eastAsia="Times New Roman" w:cs="Tahoma"/>
          <w:bCs/>
          <w:iCs/>
          <w:color w:val="auto"/>
          <w:lang w:eastAsia="es-ES"/>
        </w:rPr>
      </w:pPr>
    </w:p>
    <w:p w14:paraId="1C5058E9" w14:textId="5569AF00" w:rsidR="00236A14" w:rsidRDefault="00236A14" w:rsidP="00236A14">
      <w:pPr>
        <w:spacing w:after="0"/>
        <w:jc w:val="center"/>
        <w:rPr>
          <w:rFonts w:eastAsia="Times New Roman" w:cs="Tahoma"/>
          <w:bCs/>
          <w:iCs/>
          <w:color w:val="auto"/>
          <w:lang w:eastAsia="es-ES"/>
        </w:rPr>
      </w:pPr>
      <w:r>
        <w:rPr>
          <w:noProof/>
          <w:lang w:eastAsia="es-MX"/>
        </w:rPr>
        <w:drawing>
          <wp:inline distT="0" distB="0" distL="0" distR="0" wp14:anchorId="3CE9E94D" wp14:editId="74A7FFAB">
            <wp:extent cx="4876800" cy="14382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6800" cy="1438275"/>
                    </a:xfrm>
                    <a:prstGeom prst="rect">
                      <a:avLst/>
                    </a:prstGeom>
                  </pic:spPr>
                </pic:pic>
              </a:graphicData>
            </a:graphic>
          </wp:inline>
        </w:drawing>
      </w:r>
    </w:p>
    <w:p w14:paraId="526B6D5D" w14:textId="1A57E350" w:rsidR="00236A14" w:rsidRDefault="00236A14" w:rsidP="00236A14">
      <w:pPr>
        <w:spacing w:after="0"/>
        <w:jc w:val="center"/>
        <w:rPr>
          <w:rFonts w:eastAsia="Times New Roman" w:cs="Tahoma"/>
          <w:bCs/>
          <w:iCs/>
          <w:color w:val="auto"/>
          <w:lang w:eastAsia="es-ES"/>
        </w:rPr>
      </w:pPr>
      <w:r>
        <w:rPr>
          <w:rFonts w:eastAsia="Times New Roman" w:cs="Tahoma"/>
          <w:bCs/>
          <w:iCs/>
          <w:color w:val="auto"/>
          <w:lang w:eastAsia="es-ES"/>
        </w:rPr>
        <w:t>…</w:t>
      </w:r>
    </w:p>
    <w:p w14:paraId="38B831BB" w14:textId="2F177480" w:rsidR="00236A14" w:rsidRDefault="008F4087" w:rsidP="00236A14">
      <w:pPr>
        <w:spacing w:after="0"/>
        <w:jc w:val="center"/>
        <w:rPr>
          <w:rFonts w:eastAsia="Times New Roman" w:cs="Tahoma"/>
          <w:bCs/>
          <w:iCs/>
          <w:color w:val="auto"/>
          <w:lang w:eastAsia="es-ES"/>
        </w:rPr>
      </w:pPr>
      <w:r>
        <w:rPr>
          <w:noProof/>
          <w:lang w:eastAsia="es-MX"/>
        </w:rPr>
        <w:drawing>
          <wp:inline distT="0" distB="0" distL="0" distR="0" wp14:anchorId="383359C0" wp14:editId="2506FB7C">
            <wp:extent cx="4600575" cy="13049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00575" cy="1304925"/>
                    </a:xfrm>
                    <a:prstGeom prst="rect">
                      <a:avLst/>
                    </a:prstGeom>
                  </pic:spPr>
                </pic:pic>
              </a:graphicData>
            </a:graphic>
          </wp:inline>
        </w:drawing>
      </w:r>
    </w:p>
    <w:p w14:paraId="31DD22F9" w14:textId="53E13A3E" w:rsidR="008F4087" w:rsidRDefault="008F4087" w:rsidP="00236A14">
      <w:pPr>
        <w:spacing w:after="0"/>
        <w:jc w:val="center"/>
        <w:rPr>
          <w:rFonts w:eastAsia="Times New Roman" w:cs="Tahoma"/>
          <w:bCs/>
          <w:iCs/>
          <w:color w:val="auto"/>
          <w:lang w:eastAsia="es-ES"/>
        </w:rPr>
      </w:pPr>
      <w:r>
        <w:rPr>
          <w:rFonts w:eastAsia="Times New Roman" w:cs="Tahoma"/>
          <w:bCs/>
          <w:iCs/>
          <w:color w:val="auto"/>
          <w:lang w:eastAsia="es-ES"/>
        </w:rPr>
        <w:t>…</w:t>
      </w:r>
    </w:p>
    <w:p w14:paraId="36F0BBD3" w14:textId="63B6444D" w:rsidR="008F4087" w:rsidRDefault="008F4087" w:rsidP="00236A14">
      <w:pPr>
        <w:spacing w:after="0"/>
        <w:jc w:val="center"/>
        <w:rPr>
          <w:rFonts w:eastAsia="Times New Roman" w:cs="Tahoma"/>
          <w:bCs/>
          <w:iCs/>
          <w:color w:val="auto"/>
          <w:lang w:eastAsia="es-ES"/>
        </w:rPr>
      </w:pPr>
      <w:r>
        <w:rPr>
          <w:noProof/>
          <w:lang w:eastAsia="es-MX"/>
        </w:rPr>
        <w:drawing>
          <wp:inline distT="0" distB="0" distL="0" distR="0" wp14:anchorId="5FB1B0B8" wp14:editId="3ED57CC1">
            <wp:extent cx="4600575" cy="4381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00575" cy="438150"/>
                    </a:xfrm>
                    <a:prstGeom prst="rect">
                      <a:avLst/>
                    </a:prstGeom>
                  </pic:spPr>
                </pic:pic>
              </a:graphicData>
            </a:graphic>
          </wp:inline>
        </w:drawing>
      </w:r>
    </w:p>
    <w:p w14:paraId="1AAB7065" w14:textId="77777777" w:rsidR="00236A14" w:rsidRDefault="00236A14" w:rsidP="00236A14">
      <w:pPr>
        <w:spacing w:after="0"/>
        <w:jc w:val="center"/>
        <w:rPr>
          <w:rFonts w:eastAsia="Times New Roman" w:cs="Tahoma"/>
          <w:bCs/>
          <w:iCs/>
          <w:color w:val="auto"/>
          <w:lang w:eastAsia="es-ES"/>
        </w:rPr>
      </w:pPr>
    </w:p>
    <w:p w14:paraId="012211E5" w14:textId="553B4F8D" w:rsidR="00236A14" w:rsidRDefault="00236A14" w:rsidP="00236A14">
      <w:pPr>
        <w:spacing w:after="0"/>
        <w:jc w:val="center"/>
        <w:rPr>
          <w:rFonts w:eastAsia="Times New Roman" w:cs="Tahoma"/>
          <w:bCs/>
          <w:iCs/>
          <w:color w:val="auto"/>
          <w:lang w:eastAsia="es-ES"/>
        </w:rPr>
      </w:pPr>
      <w:r>
        <w:rPr>
          <w:noProof/>
          <w:lang w:eastAsia="es-MX"/>
        </w:rPr>
        <w:drawing>
          <wp:inline distT="0" distB="0" distL="0" distR="0" wp14:anchorId="47B61993" wp14:editId="30000800">
            <wp:extent cx="4829175" cy="12382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29175" cy="1238250"/>
                    </a:xfrm>
                    <a:prstGeom prst="rect">
                      <a:avLst/>
                    </a:prstGeom>
                  </pic:spPr>
                </pic:pic>
              </a:graphicData>
            </a:graphic>
          </wp:inline>
        </w:drawing>
      </w:r>
    </w:p>
    <w:p w14:paraId="5F67BC26" w14:textId="0AEC91CE" w:rsidR="00236A14" w:rsidRDefault="00236A14" w:rsidP="00236A14">
      <w:pPr>
        <w:spacing w:after="0"/>
        <w:jc w:val="center"/>
        <w:rPr>
          <w:rFonts w:eastAsia="Times New Roman" w:cs="Tahoma"/>
          <w:bCs/>
          <w:iCs/>
          <w:color w:val="auto"/>
          <w:lang w:eastAsia="es-ES"/>
        </w:rPr>
      </w:pPr>
      <w:r>
        <w:rPr>
          <w:rFonts w:eastAsia="Times New Roman" w:cs="Tahoma"/>
          <w:bCs/>
          <w:iCs/>
          <w:color w:val="auto"/>
          <w:lang w:eastAsia="es-ES"/>
        </w:rPr>
        <w:t>…</w:t>
      </w:r>
    </w:p>
    <w:p w14:paraId="30A24708" w14:textId="70516248" w:rsidR="008F4087" w:rsidRDefault="008F4087" w:rsidP="00236A14">
      <w:pPr>
        <w:spacing w:after="0"/>
        <w:jc w:val="center"/>
        <w:rPr>
          <w:rFonts w:eastAsia="Times New Roman" w:cs="Tahoma"/>
          <w:bCs/>
          <w:iCs/>
          <w:color w:val="auto"/>
          <w:lang w:eastAsia="es-ES"/>
        </w:rPr>
      </w:pPr>
      <w:r>
        <w:rPr>
          <w:noProof/>
          <w:lang w:eastAsia="es-MX"/>
        </w:rPr>
        <w:lastRenderedPageBreak/>
        <w:drawing>
          <wp:inline distT="0" distB="0" distL="0" distR="0" wp14:anchorId="7D34469C" wp14:editId="5985C296">
            <wp:extent cx="4667250" cy="14192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67250" cy="1419225"/>
                    </a:xfrm>
                    <a:prstGeom prst="rect">
                      <a:avLst/>
                    </a:prstGeom>
                  </pic:spPr>
                </pic:pic>
              </a:graphicData>
            </a:graphic>
          </wp:inline>
        </w:drawing>
      </w:r>
    </w:p>
    <w:p w14:paraId="50B3DB60" w14:textId="42DBF255" w:rsidR="008F4087" w:rsidRDefault="008F4087" w:rsidP="00236A14">
      <w:pPr>
        <w:spacing w:after="0"/>
        <w:jc w:val="center"/>
        <w:rPr>
          <w:rFonts w:eastAsia="Times New Roman" w:cs="Tahoma"/>
          <w:bCs/>
          <w:iCs/>
          <w:color w:val="auto"/>
          <w:lang w:eastAsia="es-ES"/>
        </w:rPr>
      </w:pPr>
      <w:r>
        <w:rPr>
          <w:rFonts w:eastAsia="Times New Roman" w:cs="Tahoma"/>
          <w:bCs/>
          <w:iCs/>
          <w:color w:val="auto"/>
          <w:lang w:eastAsia="es-ES"/>
        </w:rPr>
        <w:t>…</w:t>
      </w:r>
    </w:p>
    <w:p w14:paraId="7B983C8D" w14:textId="5A47CD34" w:rsidR="00236A14" w:rsidRDefault="008F4087" w:rsidP="00236A14">
      <w:pPr>
        <w:spacing w:after="0"/>
        <w:jc w:val="center"/>
        <w:rPr>
          <w:rFonts w:eastAsia="Times New Roman" w:cs="Tahoma"/>
          <w:bCs/>
          <w:iCs/>
          <w:color w:val="auto"/>
          <w:lang w:eastAsia="es-ES"/>
        </w:rPr>
      </w:pPr>
      <w:r>
        <w:rPr>
          <w:noProof/>
          <w:lang w:eastAsia="es-MX"/>
        </w:rPr>
        <w:drawing>
          <wp:inline distT="0" distB="0" distL="0" distR="0" wp14:anchorId="0C43515B" wp14:editId="0D94BC0B">
            <wp:extent cx="4619625" cy="6381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9625" cy="638175"/>
                    </a:xfrm>
                    <a:prstGeom prst="rect">
                      <a:avLst/>
                    </a:prstGeom>
                  </pic:spPr>
                </pic:pic>
              </a:graphicData>
            </a:graphic>
          </wp:inline>
        </w:drawing>
      </w:r>
    </w:p>
    <w:p w14:paraId="0D79BB00" w14:textId="791C8B9A" w:rsidR="00E97C4E" w:rsidRDefault="00E97C4E" w:rsidP="00275717">
      <w:pPr>
        <w:spacing w:after="0"/>
        <w:rPr>
          <w:rFonts w:eastAsia="Calibri" w:cs="Tahoma"/>
          <w:bCs/>
          <w:color w:val="auto"/>
          <w:lang w:eastAsia="es-ES_tradnl"/>
        </w:rPr>
      </w:pPr>
    </w:p>
    <w:p w14:paraId="57249C10" w14:textId="438455D9" w:rsidR="008F4087" w:rsidRDefault="008F4087" w:rsidP="00275717">
      <w:pPr>
        <w:spacing w:after="0"/>
        <w:rPr>
          <w:rFonts w:eastAsia="Calibri" w:cs="Tahoma"/>
          <w:bCs/>
          <w:color w:val="auto"/>
          <w:lang w:eastAsia="es-ES_tradnl"/>
        </w:rPr>
      </w:pPr>
      <w:r>
        <w:rPr>
          <w:rFonts w:eastAsia="Calibri" w:cs="Tahoma"/>
          <w:bCs/>
          <w:color w:val="auto"/>
          <w:lang w:eastAsia="es-ES_tradnl"/>
        </w:rPr>
        <w:t xml:space="preserve">Conforme a lo anterior, se logra vislumbrar que la Dirección General de Seguridad Ciudadana, proporcionó los documentos que obraban en sus archivos y daban cuenta de lo solicitado, estos son, los dos Convenios de Colaboración celebrados por el Ayuntamiento de Nezahualcóyotl y  </w:t>
      </w:r>
    </w:p>
    <w:p w14:paraId="0C4A1C72" w14:textId="5F13D1BF" w:rsidR="008F4087" w:rsidRDefault="00942EE2" w:rsidP="00942EE2">
      <w:pPr>
        <w:spacing w:after="0"/>
        <w:rPr>
          <w:rFonts w:eastAsia="Calibri" w:cs="Tahoma"/>
          <w:bCs/>
          <w:color w:val="auto"/>
          <w:lang w:eastAsia="es-ES_tradnl"/>
        </w:rPr>
      </w:pPr>
      <w:r>
        <w:rPr>
          <w:rFonts w:eastAsia="Calibri" w:cs="Tahoma"/>
          <w:bCs/>
          <w:color w:val="auto"/>
          <w:lang w:eastAsia="es-ES_tradnl"/>
        </w:rPr>
        <w:t>C</w:t>
      </w:r>
      <w:r w:rsidRPr="00942EE2">
        <w:rPr>
          <w:rFonts w:eastAsia="Calibri" w:cs="Tahoma"/>
          <w:bCs/>
          <w:color w:val="auto"/>
          <w:lang w:eastAsia="es-ES_tradnl"/>
        </w:rPr>
        <w:t>ausa en Común A.C</w:t>
      </w:r>
      <w:r>
        <w:rPr>
          <w:rFonts w:eastAsia="Calibri" w:cs="Tahoma"/>
          <w:bCs/>
          <w:color w:val="auto"/>
          <w:lang w:eastAsia="es-ES_tradnl"/>
        </w:rPr>
        <w:t xml:space="preserve"> (integrada por </w:t>
      </w:r>
      <w:r w:rsidRPr="00942EE2">
        <w:rPr>
          <w:rFonts w:eastAsia="Calibri" w:cs="Tahoma"/>
          <w:bCs/>
          <w:color w:val="auto"/>
          <w:lang w:eastAsia="es-ES_tradnl"/>
        </w:rPr>
        <w:t>Ciudadanos por una causa en común A.C. y Horizonte y Oportunidad A.C.</w:t>
      </w:r>
      <w:r>
        <w:rPr>
          <w:rFonts w:eastAsia="Calibri" w:cs="Tahoma"/>
          <w:bCs/>
          <w:color w:val="auto"/>
          <w:lang w:eastAsia="es-ES_tradnl"/>
        </w:rPr>
        <w:t>), del primero de enero de dos mil diez al treinta y uno de diciembre de dos mil veintiuno.</w:t>
      </w:r>
    </w:p>
    <w:p w14:paraId="1F81780A" w14:textId="77777777" w:rsidR="008F4087" w:rsidRDefault="008F4087" w:rsidP="00275717">
      <w:pPr>
        <w:spacing w:after="0"/>
        <w:rPr>
          <w:rFonts w:eastAsia="Calibri" w:cs="Tahoma"/>
          <w:bCs/>
          <w:color w:val="auto"/>
          <w:lang w:eastAsia="es-ES_tradnl"/>
        </w:rPr>
      </w:pPr>
    </w:p>
    <w:p w14:paraId="38B0DA4D" w14:textId="77777777" w:rsidR="00C2512E" w:rsidRPr="00C2512E" w:rsidRDefault="00C2512E" w:rsidP="00275717">
      <w:pPr>
        <w:spacing w:after="0"/>
        <w:rPr>
          <w:rFonts w:eastAsia="Calibri" w:cs="Tahoma"/>
          <w:bCs/>
          <w:color w:val="auto"/>
          <w:lang w:eastAsia="es-ES_tradnl"/>
        </w:rPr>
      </w:pPr>
      <w:r w:rsidRPr="00C2512E">
        <w:rPr>
          <w:rFonts w:eastAsia="Calibri" w:cs="Tahoma"/>
          <w:bCs/>
          <w:color w:val="auto"/>
          <w:lang w:eastAsia="es-ES_tradnl"/>
        </w:rPr>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3B38327" w14:textId="77777777" w:rsidR="00C2512E" w:rsidRPr="00C2512E" w:rsidRDefault="00C2512E" w:rsidP="00275717">
      <w:pPr>
        <w:spacing w:after="0"/>
        <w:rPr>
          <w:rFonts w:eastAsia="Calibri" w:cs="Tahoma"/>
          <w:bCs/>
          <w:color w:val="auto"/>
          <w:lang w:eastAsia="es-ES_tradnl"/>
        </w:rPr>
      </w:pPr>
    </w:p>
    <w:p w14:paraId="48BB5E70" w14:textId="77777777" w:rsidR="00C2512E" w:rsidRPr="00C2512E" w:rsidRDefault="00C2512E" w:rsidP="00275717">
      <w:pPr>
        <w:spacing w:after="0"/>
        <w:rPr>
          <w:rFonts w:eastAsia="Calibri" w:cs="Tahoma"/>
          <w:bCs/>
          <w:color w:val="auto"/>
          <w:lang w:eastAsia="es-ES_tradnl"/>
        </w:rPr>
      </w:pPr>
      <w:r w:rsidRPr="00C2512E">
        <w:rPr>
          <w:rFonts w:eastAsia="Calibri" w:cs="Tahoma"/>
          <w:bCs/>
          <w:color w:val="auto"/>
          <w:lang w:eastAsia="es-ES_tradnl"/>
        </w:rPr>
        <w:t xml:space="preserve">De esta manera, el derecho de acceso a la información pública se satisface en aquellos casos en que se entregue el soporte documental en el que conste la información solicitada, sin necesidad de elaborar documentos ad hoc; lo cual, de conformidad con en el artículo 160 de la Ley de </w:t>
      </w:r>
      <w:r w:rsidRPr="00C2512E">
        <w:rPr>
          <w:rFonts w:eastAsia="Calibri" w:cs="Tahoma"/>
          <w:bCs/>
          <w:color w:val="auto"/>
          <w:lang w:eastAsia="es-ES_tradnl"/>
        </w:rPr>
        <w:lastRenderedPageBreak/>
        <w:t xml:space="preserve">Transparencia y Acceso a la Información Pública del Estado de México y Municipios, el cual refiere que los sujetos obligados deberán entregar la información que obre en sus archivos. </w:t>
      </w:r>
    </w:p>
    <w:p w14:paraId="5722BE7C" w14:textId="77777777" w:rsidR="00C2512E" w:rsidRPr="00C2512E" w:rsidRDefault="00C2512E" w:rsidP="00275717">
      <w:pPr>
        <w:spacing w:after="0"/>
        <w:rPr>
          <w:rFonts w:eastAsia="Calibri" w:cs="Tahoma"/>
          <w:bCs/>
          <w:color w:val="auto"/>
          <w:lang w:eastAsia="es-ES_tradnl"/>
        </w:rPr>
      </w:pPr>
    </w:p>
    <w:p w14:paraId="6AF2860B" w14:textId="5D1080C6" w:rsidR="00C2512E" w:rsidRDefault="00C2512E" w:rsidP="00275717">
      <w:pPr>
        <w:spacing w:after="0"/>
        <w:rPr>
          <w:rFonts w:eastAsia="Calibri" w:cs="Tahoma"/>
          <w:bCs/>
          <w:color w:val="auto"/>
          <w:lang w:eastAsia="es-ES_tradnl"/>
        </w:rPr>
      </w:pPr>
      <w:r w:rsidRPr="00C2512E">
        <w:rPr>
          <w:rFonts w:eastAsia="Calibri" w:cs="Tahoma"/>
          <w:bCs/>
          <w:color w:val="auto"/>
          <w:lang w:eastAsia="es-ES_tradnl"/>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w:t>
      </w:r>
      <w:r w:rsidR="00942EE2">
        <w:rPr>
          <w:rFonts w:eastAsia="Calibri" w:cs="Tahoma"/>
          <w:bCs/>
          <w:color w:val="auto"/>
          <w:lang w:eastAsia="es-ES_tradnl"/>
        </w:rPr>
        <w:t>los únicos convenios de colaboración celebrados con las asociaciones señaladas en el requerimiento de información.</w:t>
      </w:r>
    </w:p>
    <w:p w14:paraId="3B194F5B" w14:textId="77777777" w:rsidR="002345A9" w:rsidRPr="00C2512E" w:rsidRDefault="002345A9" w:rsidP="00275717">
      <w:pPr>
        <w:spacing w:after="0"/>
        <w:rPr>
          <w:rFonts w:eastAsia="Calibri" w:cs="Tahoma"/>
          <w:bCs/>
          <w:color w:val="auto"/>
          <w:lang w:eastAsia="es-ES_tradnl"/>
        </w:rPr>
      </w:pPr>
    </w:p>
    <w:p w14:paraId="7342CE5D" w14:textId="61A51EA3" w:rsidR="00C2512E" w:rsidRPr="00C2512E" w:rsidRDefault="00C2512E" w:rsidP="00275717">
      <w:pPr>
        <w:spacing w:after="0"/>
        <w:rPr>
          <w:rFonts w:eastAsia="Calibri" w:cs="Tahoma"/>
          <w:bCs/>
          <w:color w:val="auto"/>
          <w:lang w:eastAsia="es-ES_tradnl"/>
        </w:rPr>
      </w:pPr>
      <w:r w:rsidRPr="00C2512E">
        <w:rPr>
          <w:rFonts w:eastAsia="Calibri" w:cs="Tahoma"/>
          <w:bCs/>
          <w:color w:val="auto"/>
          <w:lang w:eastAsia="es-ES_tradnl"/>
        </w:rPr>
        <w:t>Por todo lo expuesto y toda vez, que, durante la sustanciación del presente Medio de Impugnación, el Ente Recurrido, modificó su actuar, proporcionó la información que da cuenta de lo requerido, en término</w:t>
      </w:r>
      <w:r w:rsidR="00942EE2">
        <w:rPr>
          <w:rFonts w:eastAsia="Calibri" w:cs="Tahoma"/>
          <w:bCs/>
          <w:color w:val="auto"/>
          <w:lang w:eastAsia="es-ES_tradnl"/>
        </w:rPr>
        <w:t xml:space="preserve"> </w:t>
      </w:r>
      <w:r w:rsidRPr="00C2512E">
        <w:rPr>
          <w:rFonts w:eastAsia="Calibri" w:cs="Tahoma"/>
          <w:bCs/>
          <w:color w:val="auto"/>
          <w:lang w:eastAsia="es-ES_tradnl"/>
        </w:rPr>
        <w:t>de los artículos 12</w:t>
      </w:r>
      <w:r w:rsidR="00942EE2">
        <w:rPr>
          <w:rFonts w:eastAsia="Calibri" w:cs="Tahoma"/>
          <w:bCs/>
          <w:color w:val="auto"/>
          <w:lang w:eastAsia="es-ES_tradnl"/>
        </w:rPr>
        <w:t xml:space="preserve"> </w:t>
      </w:r>
      <w:r w:rsidRPr="00C2512E">
        <w:rPr>
          <w:rFonts w:eastAsia="Calibri" w:cs="Tahoma"/>
          <w:bCs/>
          <w:color w:val="auto"/>
          <w:lang w:eastAsia="es-ES_tradnl"/>
        </w:rPr>
        <w:t>y 160 de la Ley de Transparencia y Acceso a la Información Pública del Estado de México y Municipios; se considera que la impugnación que se dirime ha quedado sin materia.</w:t>
      </w:r>
    </w:p>
    <w:p w14:paraId="64F3C9A8" w14:textId="77777777" w:rsidR="00C2512E" w:rsidRPr="00C2512E" w:rsidRDefault="00C2512E" w:rsidP="00275717">
      <w:pPr>
        <w:spacing w:after="0"/>
        <w:rPr>
          <w:rFonts w:eastAsia="Calibri" w:cs="Tahoma"/>
          <w:bCs/>
          <w:color w:val="auto"/>
          <w:lang w:eastAsia="es-ES_tradnl"/>
        </w:rPr>
      </w:pPr>
    </w:p>
    <w:p w14:paraId="778C263E" w14:textId="77777777" w:rsidR="00C2512E" w:rsidRPr="00636F39" w:rsidRDefault="00C2512E" w:rsidP="00275717">
      <w:pPr>
        <w:spacing w:after="0"/>
        <w:rPr>
          <w:rFonts w:eastAsia="Calibri" w:cs="Tahoma"/>
          <w:b/>
          <w:bCs/>
          <w:color w:val="auto"/>
          <w:lang w:eastAsia="es-ES_tradnl"/>
        </w:rPr>
      </w:pPr>
      <w:r w:rsidRPr="00636F39">
        <w:rPr>
          <w:rFonts w:eastAsia="Calibri" w:cs="Tahoma"/>
          <w:b/>
          <w:bCs/>
          <w:color w:val="auto"/>
          <w:lang w:eastAsia="es-ES_tradnl"/>
        </w:rPr>
        <w:t xml:space="preserve">CUARTO. Decisión. </w:t>
      </w:r>
    </w:p>
    <w:p w14:paraId="56A40E29" w14:textId="77777777" w:rsidR="00C2512E" w:rsidRPr="00C2512E" w:rsidRDefault="00C2512E" w:rsidP="00275717">
      <w:pPr>
        <w:spacing w:after="0"/>
        <w:rPr>
          <w:rFonts w:eastAsia="Calibri" w:cs="Tahoma"/>
          <w:bCs/>
          <w:color w:val="auto"/>
          <w:lang w:eastAsia="es-ES_tradnl"/>
        </w:rPr>
      </w:pPr>
    </w:p>
    <w:p w14:paraId="6EC01BA0" w14:textId="77777777" w:rsidR="00C2512E" w:rsidRPr="00C2512E" w:rsidRDefault="00C2512E" w:rsidP="00275717">
      <w:pPr>
        <w:spacing w:after="0"/>
        <w:rPr>
          <w:rFonts w:eastAsia="Calibri" w:cs="Tahoma"/>
          <w:bCs/>
          <w:color w:val="auto"/>
          <w:lang w:eastAsia="es-ES_tradnl"/>
        </w:rPr>
      </w:pPr>
      <w:r w:rsidRPr="00C2512E">
        <w:rPr>
          <w:rFonts w:eastAsia="Calibri" w:cs="Tahoma"/>
          <w:bCs/>
          <w:color w:val="auto"/>
          <w:lang w:eastAsia="es-ES_tradnl"/>
        </w:rPr>
        <w:t xml:space="preserve">Con fundamento en lo dispuesto en el artículo 186, fracción I, de la Ley de Transparencia y Acceso a la Información Pública del Estado de México y Municipios, se considera procedente </w:t>
      </w:r>
      <w:r w:rsidRPr="00942EE2">
        <w:rPr>
          <w:rFonts w:eastAsia="Calibri" w:cs="Tahoma"/>
          <w:b/>
          <w:color w:val="auto"/>
          <w:lang w:eastAsia="es-ES_tradnl"/>
        </w:rPr>
        <w:t>SOBRESEER</w:t>
      </w:r>
      <w:r w:rsidRPr="00C2512E">
        <w:rPr>
          <w:rFonts w:eastAsia="Calibri" w:cs="Tahoma"/>
          <w:bCs/>
          <w:color w:val="auto"/>
          <w:lang w:eastAsia="es-ES_tradnl"/>
        </w:rPr>
        <w:t xml:space="preserve"> el Recurso de Revisión, en virtud de que se actualiza la hipótesis normativa prevista en la fracción III, del artículo 192, del citado ordenamiento legal.</w:t>
      </w:r>
    </w:p>
    <w:p w14:paraId="5AF0B612" w14:textId="77777777" w:rsidR="00C2512E" w:rsidRPr="00C2512E" w:rsidRDefault="00C2512E" w:rsidP="00275717">
      <w:pPr>
        <w:spacing w:after="0"/>
        <w:rPr>
          <w:rFonts w:eastAsia="Calibri" w:cs="Tahoma"/>
          <w:bCs/>
          <w:color w:val="auto"/>
          <w:lang w:eastAsia="es-ES_tradnl"/>
        </w:rPr>
      </w:pPr>
    </w:p>
    <w:p w14:paraId="5F85AE93" w14:textId="77777777" w:rsidR="00C2512E" w:rsidRPr="00417CA3" w:rsidRDefault="00C2512E" w:rsidP="00275717">
      <w:pPr>
        <w:spacing w:after="0"/>
        <w:rPr>
          <w:rFonts w:eastAsia="Calibri" w:cs="Tahoma"/>
          <w:b/>
          <w:color w:val="auto"/>
          <w:lang w:eastAsia="es-ES_tradnl"/>
        </w:rPr>
      </w:pPr>
      <w:r w:rsidRPr="00417CA3">
        <w:rPr>
          <w:rFonts w:eastAsia="Calibri" w:cs="Tahoma"/>
          <w:b/>
          <w:color w:val="auto"/>
          <w:lang w:eastAsia="es-ES_tradnl"/>
        </w:rPr>
        <w:t>Términos de la Resolución para conocimiento del Particular.</w:t>
      </w:r>
    </w:p>
    <w:p w14:paraId="268715AB" w14:textId="77777777" w:rsidR="00C2512E" w:rsidRPr="00C2512E" w:rsidRDefault="00C2512E" w:rsidP="00275717">
      <w:pPr>
        <w:spacing w:after="0"/>
        <w:rPr>
          <w:rFonts w:eastAsia="Calibri" w:cs="Tahoma"/>
          <w:bCs/>
          <w:color w:val="auto"/>
          <w:lang w:eastAsia="es-ES_tradnl"/>
        </w:rPr>
      </w:pPr>
    </w:p>
    <w:p w14:paraId="6BD08B8D" w14:textId="18D67066" w:rsidR="00C2512E" w:rsidRPr="00C2512E" w:rsidRDefault="00C2512E" w:rsidP="00275717">
      <w:pPr>
        <w:spacing w:after="0"/>
        <w:rPr>
          <w:rFonts w:eastAsia="Calibri" w:cs="Tahoma"/>
          <w:bCs/>
          <w:color w:val="auto"/>
          <w:lang w:eastAsia="es-ES_tradnl"/>
        </w:rPr>
      </w:pPr>
      <w:r w:rsidRPr="00C2512E">
        <w:rPr>
          <w:rFonts w:eastAsia="Calibri" w:cs="Tahoma"/>
          <w:bCs/>
          <w:color w:val="auto"/>
          <w:lang w:eastAsia="es-ES_tradnl"/>
        </w:rPr>
        <w:t xml:space="preserve">Se le hace del conocimiento al Particular, que si bien </w:t>
      </w:r>
      <w:r w:rsidR="00942EE2">
        <w:rPr>
          <w:rFonts w:eastAsia="Calibri" w:cs="Tahoma"/>
          <w:bCs/>
          <w:color w:val="auto"/>
          <w:lang w:eastAsia="es-ES_tradnl"/>
        </w:rPr>
        <w:t xml:space="preserve">en un principio se le daba la razón, pues el Sujeto Obligado no atendió de manera correcta la solicitud de información, también lo es, que subsanó su actuar y proporcionó la única información que obraba en sus archivos y daba </w:t>
      </w:r>
      <w:r w:rsidR="00942EE2">
        <w:rPr>
          <w:rFonts w:eastAsia="Calibri" w:cs="Tahoma"/>
          <w:bCs/>
          <w:color w:val="auto"/>
          <w:lang w:eastAsia="es-ES_tradnl"/>
        </w:rPr>
        <w:lastRenderedPageBreak/>
        <w:t>cuenta de lo solicitado, a saber, los dos Convenios de Colaboración celebrados con C</w:t>
      </w:r>
      <w:r w:rsidR="00942EE2" w:rsidRPr="00942EE2">
        <w:rPr>
          <w:rFonts w:eastAsia="Calibri" w:cs="Tahoma"/>
          <w:bCs/>
          <w:color w:val="auto"/>
          <w:lang w:eastAsia="es-ES_tradnl"/>
        </w:rPr>
        <w:t>ausa en Común A.C</w:t>
      </w:r>
      <w:r w:rsidR="007165B0">
        <w:rPr>
          <w:rFonts w:eastAsia="Calibri" w:cs="Tahoma"/>
          <w:bCs/>
          <w:color w:val="auto"/>
          <w:lang w:eastAsia="es-ES_tradnl"/>
        </w:rPr>
        <w:t>.; l</w:t>
      </w:r>
      <w:r w:rsidRPr="00C2512E">
        <w:rPr>
          <w:rFonts w:eastAsia="Calibri" w:cs="Tahoma"/>
          <w:bCs/>
          <w:color w:val="auto"/>
          <w:lang w:eastAsia="es-ES_tradnl"/>
        </w:rPr>
        <w:t>a labor de este Instituto, es apoyar a la población a acceder a la información pública y garantizar la protección de los datos personales.</w:t>
      </w:r>
    </w:p>
    <w:p w14:paraId="573E8484" w14:textId="77777777" w:rsidR="00C2512E" w:rsidRPr="00C2512E" w:rsidRDefault="00C2512E" w:rsidP="00275717">
      <w:pPr>
        <w:spacing w:after="0"/>
        <w:rPr>
          <w:rFonts w:eastAsia="Calibri" w:cs="Tahoma"/>
          <w:bCs/>
          <w:color w:val="auto"/>
          <w:lang w:eastAsia="es-ES_tradnl"/>
        </w:rPr>
      </w:pPr>
    </w:p>
    <w:p w14:paraId="146EA9CD" w14:textId="04649174" w:rsidR="00C2512E" w:rsidRPr="00636F39" w:rsidRDefault="00C2512E" w:rsidP="00275717">
      <w:pPr>
        <w:spacing w:after="0"/>
        <w:jc w:val="center"/>
        <w:rPr>
          <w:rFonts w:eastAsia="Calibri" w:cs="Tahoma"/>
          <w:b/>
          <w:bCs/>
          <w:color w:val="auto"/>
          <w:lang w:eastAsia="es-ES_tradnl"/>
        </w:rPr>
      </w:pPr>
      <w:r w:rsidRPr="00636F39">
        <w:rPr>
          <w:rFonts w:eastAsia="Calibri" w:cs="Tahoma"/>
          <w:b/>
          <w:bCs/>
          <w:color w:val="auto"/>
          <w:lang w:eastAsia="es-ES_tradnl"/>
        </w:rPr>
        <w:t>R E S U E L V E:</w:t>
      </w:r>
    </w:p>
    <w:p w14:paraId="7474DBE3" w14:textId="77777777" w:rsidR="00C2512E" w:rsidRPr="00C2512E" w:rsidRDefault="00C2512E" w:rsidP="00275717">
      <w:pPr>
        <w:spacing w:after="0"/>
        <w:rPr>
          <w:rFonts w:eastAsia="Calibri" w:cs="Tahoma"/>
          <w:bCs/>
          <w:color w:val="auto"/>
          <w:lang w:eastAsia="es-ES_tradnl"/>
        </w:rPr>
      </w:pPr>
    </w:p>
    <w:p w14:paraId="42247911" w14:textId="3341477C" w:rsidR="00C2512E" w:rsidRPr="00C2512E" w:rsidRDefault="00C2512E" w:rsidP="00275717">
      <w:pPr>
        <w:spacing w:after="0"/>
        <w:rPr>
          <w:rFonts w:eastAsia="Calibri" w:cs="Tahoma"/>
          <w:bCs/>
          <w:color w:val="auto"/>
          <w:lang w:eastAsia="es-ES_tradnl"/>
        </w:rPr>
      </w:pPr>
      <w:r w:rsidRPr="00636F39">
        <w:rPr>
          <w:rFonts w:eastAsia="Calibri" w:cs="Tahoma"/>
          <w:b/>
          <w:bCs/>
          <w:color w:val="auto"/>
          <w:lang w:eastAsia="es-ES_tradnl"/>
        </w:rPr>
        <w:t>PRIMERO</w:t>
      </w:r>
      <w:r w:rsidRPr="00C2512E">
        <w:rPr>
          <w:rFonts w:eastAsia="Calibri" w:cs="Tahoma"/>
          <w:bCs/>
          <w:color w:val="auto"/>
          <w:lang w:eastAsia="es-ES_tradnl"/>
        </w:rPr>
        <w:t xml:space="preserve">. Se </w:t>
      </w:r>
      <w:r w:rsidRPr="00636F39">
        <w:rPr>
          <w:rFonts w:eastAsia="Calibri" w:cs="Tahoma"/>
          <w:b/>
          <w:bCs/>
          <w:color w:val="auto"/>
          <w:lang w:eastAsia="es-ES_tradnl"/>
        </w:rPr>
        <w:t>SOBRESEE</w:t>
      </w:r>
      <w:r w:rsidRPr="00C2512E">
        <w:rPr>
          <w:rFonts w:eastAsia="Calibri" w:cs="Tahoma"/>
          <w:bCs/>
          <w:color w:val="auto"/>
          <w:lang w:eastAsia="es-ES_tradnl"/>
        </w:rPr>
        <w:t xml:space="preserve"> el Recurso de Revisión con número </w:t>
      </w:r>
      <w:r w:rsidR="0036431D" w:rsidRPr="00636F39">
        <w:rPr>
          <w:rFonts w:eastAsia="Calibri" w:cs="Tahoma"/>
          <w:b/>
          <w:bCs/>
          <w:color w:val="auto"/>
          <w:lang w:eastAsia="es-ES_tradnl"/>
        </w:rPr>
        <w:t>00096/INFOEM/IP/RR/2022</w:t>
      </w:r>
      <w:r w:rsidRPr="00C2512E">
        <w:rPr>
          <w:rFonts w:eastAsia="Calibri" w:cs="Tahoma"/>
          <w:bCs/>
          <w:color w:val="auto"/>
          <w:lang w:eastAsia="es-ES_tradnl"/>
        </w:rPr>
        <w:t xml:space="preserve">, porque el Sujeto Obligado, al modificar la respuesta a la solicitud de acceso a la información con número </w:t>
      </w:r>
      <w:r w:rsidR="0036431D" w:rsidRPr="00636F39">
        <w:rPr>
          <w:rFonts w:eastAsia="Calibri" w:cs="Tahoma"/>
          <w:b/>
          <w:bCs/>
          <w:color w:val="auto"/>
          <w:lang w:eastAsia="es-ES_tradnl"/>
        </w:rPr>
        <w:t>00575/NEZA/IP/2021</w:t>
      </w:r>
      <w:r w:rsidRPr="00C2512E">
        <w:rPr>
          <w:rFonts w:eastAsia="Calibri" w:cs="Tahoma"/>
          <w:bCs/>
          <w:color w:val="auto"/>
          <w:lang w:eastAsia="es-ES_tradnl"/>
        </w:rPr>
        <w:t xml:space="preserve">, el Medio de Impugnación, quedó sin materia, en términos de los Considerandos </w:t>
      </w:r>
      <w:r w:rsidRPr="00636F39">
        <w:rPr>
          <w:rFonts w:eastAsia="Calibri" w:cs="Tahoma"/>
          <w:b/>
          <w:bCs/>
          <w:color w:val="auto"/>
          <w:lang w:eastAsia="es-ES_tradnl"/>
        </w:rPr>
        <w:t>TERCERO</w:t>
      </w:r>
      <w:r w:rsidRPr="00C2512E">
        <w:rPr>
          <w:rFonts w:eastAsia="Calibri" w:cs="Tahoma"/>
          <w:bCs/>
          <w:color w:val="auto"/>
          <w:lang w:eastAsia="es-ES_tradnl"/>
        </w:rPr>
        <w:t xml:space="preserve"> y </w:t>
      </w:r>
      <w:r w:rsidRPr="00636F39">
        <w:rPr>
          <w:rFonts w:eastAsia="Calibri" w:cs="Tahoma"/>
          <w:b/>
          <w:bCs/>
          <w:color w:val="auto"/>
          <w:lang w:eastAsia="es-ES_tradnl"/>
        </w:rPr>
        <w:t xml:space="preserve">CUARTO </w:t>
      </w:r>
      <w:r w:rsidRPr="00C2512E">
        <w:rPr>
          <w:rFonts w:eastAsia="Calibri" w:cs="Tahoma"/>
          <w:bCs/>
          <w:color w:val="auto"/>
          <w:lang w:eastAsia="es-ES_tradnl"/>
        </w:rPr>
        <w:t>de la presente Resolución.</w:t>
      </w:r>
    </w:p>
    <w:p w14:paraId="0C4566B5" w14:textId="77777777" w:rsidR="00C2512E" w:rsidRPr="00C2512E" w:rsidRDefault="00C2512E" w:rsidP="00275717">
      <w:pPr>
        <w:spacing w:after="0"/>
        <w:rPr>
          <w:rFonts w:eastAsia="Calibri" w:cs="Tahoma"/>
          <w:bCs/>
          <w:color w:val="auto"/>
          <w:lang w:eastAsia="es-ES_tradnl"/>
        </w:rPr>
      </w:pPr>
    </w:p>
    <w:p w14:paraId="5D81E5F3" w14:textId="77777777" w:rsidR="00C2512E" w:rsidRPr="00C2512E" w:rsidRDefault="00C2512E" w:rsidP="00275717">
      <w:pPr>
        <w:spacing w:after="0"/>
        <w:rPr>
          <w:rFonts w:eastAsia="Calibri" w:cs="Tahoma"/>
          <w:bCs/>
          <w:color w:val="auto"/>
          <w:lang w:eastAsia="es-ES_tradnl"/>
        </w:rPr>
      </w:pPr>
      <w:r w:rsidRPr="00636F39">
        <w:rPr>
          <w:rFonts w:eastAsia="Calibri" w:cs="Tahoma"/>
          <w:b/>
          <w:bCs/>
          <w:color w:val="auto"/>
          <w:lang w:eastAsia="es-ES_tradnl"/>
        </w:rPr>
        <w:t>SEGUNDO. NOTIFÍQUESE</w:t>
      </w:r>
      <w:r w:rsidRPr="00C2512E">
        <w:rPr>
          <w:rFonts w:eastAsia="Calibri" w:cs="Tahoma"/>
          <w:bCs/>
          <w:color w:val="auto"/>
          <w:lang w:eastAsia="es-ES_tradnl"/>
        </w:rPr>
        <w:t xml:space="preserve"> la presente Resolución al Titular de la Unidad de Transparencia del Sujeto Obligado.</w:t>
      </w:r>
    </w:p>
    <w:p w14:paraId="5B5F7DF5" w14:textId="77777777" w:rsidR="00C2512E" w:rsidRPr="00C2512E" w:rsidRDefault="00C2512E" w:rsidP="00275717">
      <w:pPr>
        <w:spacing w:after="0"/>
        <w:rPr>
          <w:rFonts w:eastAsia="Calibri" w:cs="Tahoma"/>
          <w:bCs/>
          <w:color w:val="auto"/>
          <w:lang w:eastAsia="es-ES_tradnl"/>
        </w:rPr>
      </w:pPr>
    </w:p>
    <w:p w14:paraId="7970024F" w14:textId="77777777" w:rsidR="00C2512E" w:rsidRPr="00C2512E" w:rsidRDefault="00C2512E" w:rsidP="00275717">
      <w:pPr>
        <w:spacing w:after="0"/>
        <w:rPr>
          <w:rFonts w:eastAsia="Calibri" w:cs="Tahoma"/>
          <w:bCs/>
          <w:color w:val="auto"/>
          <w:lang w:eastAsia="es-ES_tradnl"/>
        </w:rPr>
      </w:pPr>
      <w:r w:rsidRPr="00636F39">
        <w:rPr>
          <w:rFonts w:eastAsia="Calibri" w:cs="Tahoma"/>
          <w:b/>
          <w:bCs/>
          <w:color w:val="auto"/>
          <w:lang w:eastAsia="es-ES_tradnl"/>
        </w:rPr>
        <w:t>TERCERO. NOTIFÍQUESE</w:t>
      </w:r>
      <w:r w:rsidRPr="00C2512E">
        <w:rPr>
          <w:rFonts w:eastAsia="Calibri" w:cs="Tahoma"/>
          <w:bCs/>
          <w:color w:val="auto"/>
          <w:lang w:eastAsia="es-ES_tradnl"/>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9157687" w14:textId="77777777" w:rsidR="00C2512E" w:rsidRPr="00C2512E" w:rsidRDefault="00C2512E" w:rsidP="00275717">
      <w:pPr>
        <w:spacing w:after="0"/>
        <w:rPr>
          <w:rFonts w:eastAsia="Calibri" w:cs="Tahoma"/>
          <w:bCs/>
          <w:color w:val="auto"/>
          <w:lang w:eastAsia="es-ES_tradnl"/>
        </w:rPr>
      </w:pPr>
    </w:p>
    <w:p w14:paraId="1229123E" w14:textId="67CD1CF2" w:rsidR="00B8334A" w:rsidRDefault="0036431D" w:rsidP="00B8334A">
      <w:pPr>
        <w:spacing w:after="0"/>
        <w:rPr>
          <w:rFonts w:eastAsia="Calibri" w:cs="Tahoma"/>
          <w:bCs/>
          <w:color w:val="auto"/>
          <w:lang w:eastAsia="es-ES_tradnl"/>
        </w:rPr>
      </w:pPr>
      <w:r w:rsidRPr="0036431D">
        <w:rPr>
          <w:rFonts w:eastAsia="Calibri" w:cs="Tahoma"/>
          <w:bCs/>
          <w:color w:val="auto"/>
          <w:lang w:eastAsia="es-ES_tradnl"/>
        </w:rPr>
        <w:t xml:space="preserve">ASÍ LO RESUELVE, POR </w:t>
      </w:r>
      <w:r w:rsidRPr="00F45B94">
        <w:rPr>
          <w:rFonts w:eastAsia="Calibri" w:cs="Tahoma"/>
          <w:b/>
          <w:color w:val="auto"/>
          <w:lang w:eastAsia="es-ES_tradnl"/>
        </w:rPr>
        <w:t>UNANIMIDAD</w:t>
      </w:r>
      <w:r w:rsidRPr="0036431D">
        <w:rPr>
          <w:rFonts w:eastAsia="Calibri" w:cs="Tahoma"/>
          <w:bCs/>
          <w:color w:val="auto"/>
          <w:lang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NUEVE DE MARZO DE DOS MIL VEINTIDÓS, ANTE EL SECRETARIO TÉCNICO DEL PLENO, ALEXIS TAPIA RAMÍREZ.</w:t>
      </w:r>
      <w:r w:rsidR="00B8334A">
        <w:rPr>
          <w:rFonts w:eastAsia="Calibri" w:cs="Tahoma"/>
          <w:bCs/>
          <w:color w:val="auto"/>
          <w:lang w:eastAsia="es-ES_tradnl"/>
        </w:rPr>
        <w:br w:type="page"/>
      </w:r>
    </w:p>
    <w:p w14:paraId="11F49683" w14:textId="77777777" w:rsidR="00636F39" w:rsidRDefault="00636F39" w:rsidP="00275717">
      <w:pPr>
        <w:spacing w:after="0"/>
        <w:rPr>
          <w:rFonts w:eastAsia="Calibri" w:cs="Tahoma"/>
          <w:bCs/>
          <w:color w:val="auto"/>
          <w:lang w:eastAsia="es-ES_tradnl"/>
        </w:rPr>
      </w:pPr>
    </w:p>
    <w:sectPr w:rsidR="00636F39" w:rsidSect="001136B4">
      <w:headerReference w:type="even" r:id="rId14"/>
      <w:headerReference w:type="default" r:id="rId15"/>
      <w:footerReference w:type="even" r:id="rId16"/>
      <w:footerReference w:type="default" r:id="rId17"/>
      <w:headerReference w:type="first" r:id="rId18"/>
      <w:footerReference w:type="first" r:id="rId19"/>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05886" w14:textId="77777777" w:rsidR="007F40D4" w:rsidRDefault="007F40D4" w:rsidP="00D8203F">
      <w:pPr>
        <w:spacing w:after="0" w:line="240" w:lineRule="auto"/>
      </w:pPr>
      <w:r>
        <w:separator/>
      </w:r>
    </w:p>
  </w:endnote>
  <w:endnote w:type="continuationSeparator" w:id="0">
    <w:p w14:paraId="60D6E967" w14:textId="77777777" w:rsidR="007F40D4" w:rsidRDefault="007F40D4" w:rsidP="00D82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72340"/>
      <w:docPartObj>
        <w:docPartGallery w:val="Page Numbers (Bottom of Page)"/>
        <w:docPartUnique/>
      </w:docPartObj>
    </w:sdtPr>
    <w:sdtEndPr/>
    <w:sdtContent>
      <w:sdt>
        <w:sdtPr>
          <w:id w:val="458851427"/>
          <w:docPartObj>
            <w:docPartGallery w:val="Page Numbers (Top of Page)"/>
            <w:docPartUnique/>
          </w:docPartObj>
        </w:sdtPr>
        <w:sdtEndPr/>
        <w:sdtContent>
          <w:p w14:paraId="555A052A" w14:textId="77777777" w:rsidR="00011C57" w:rsidRDefault="00924CF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7984F74B" w14:textId="77777777" w:rsidR="00011C57" w:rsidRDefault="007F40D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500765"/>
      <w:docPartObj>
        <w:docPartGallery w:val="Page Numbers (Bottom of Page)"/>
        <w:docPartUnique/>
      </w:docPartObj>
    </w:sdtPr>
    <w:sdtEndPr/>
    <w:sdtContent>
      <w:sdt>
        <w:sdtPr>
          <w:id w:val="2034073797"/>
          <w:docPartObj>
            <w:docPartGallery w:val="Page Numbers (Top of Page)"/>
            <w:docPartUnique/>
          </w:docPartObj>
        </w:sdtPr>
        <w:sdtEndPr/>
        <w:sdtContent>
          <w:p w14:paraId="66F7D9E7" w14:textId="77777777" w:rsidR="00011C57" w:rsidRDefault="00924CF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E680B">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E680B">
              <w:rPr>
                <w:b/>
                <w:bCs/>
                <w:noProof/>
              </w:rPr>
              <w:t>18</w:t>
            </w:r>
            <w:r>
              <w:rPr>
                <w:b/>
                <w:bCs/>
                <w:sz w:val="24"/>
                <w:szCs w:val="24"/>
              </w:rPr>
              <w:fldChar w:fldCharType="end"/>
            </w:r>
          </w:p>
        </w:sdtContent>
      </w:sdt>
    </w:sdtContent>
  </w:sdt>
  <w:p w14:paraId="4D6F5526" w14:textId="77777777" w:rsidR="00011C57" w:rsidRDefault="007F40D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208838"/>
      <w:docPartObj>
        <w:docPartGallery w:val="Page Numbers (Bottom of Page)"/>
        <w:docPartUnique/>
      </w:docPartObj>
    </w:sdtPr>
    <w:sdtEndPr/>
    <w:sdtContent>
      <w:sdt>
        <w:sdtPr>
          <w:id w:val="-1769616900"/>
          <w:docPartObj>
            <w:docPartGallery w:val="Page Numbers (Top of Page)"/>
            <w:docPartUnique/>
          </w:docPartObj>
        </w:sdtPr>
        <w:sdtEndPr/>
        <w:sdtContent>
          <w:p w14:paraId="2A6947B3" w14:textId="77777777" w:rsidR="00011C57" w:rsidRDefault="00924CF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E680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E680B">
              <w:rPr>
                <w:b/>
                <w:bCs/>
                <w:noProof/>
              </w:rPr>
              <w:t>18</w:t>
            </w:r>
            <w:r>
              <w:rPr>
                <w:b/>
                <w:bCs/>
                <w:sz w:val="24"/>
                <w:szCs w:val="24"/>
              </w:rPr>
              <w:fldChar w:fldCharType="end"/>
            </w:r>
          </w:p>
        </w:sdtContent>
      </w:sdt>
    </w:sdtContent>
  </w:sdt>
  <w:p w14:paraId="23F05C85" w14:textId="77777777" w:rsidR="00011C57" w:rsidRDefault="007F40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475F2" w14:textId="77777777" w:rsidR="007F40D4" w:rsidRDefault="007F40D4" w:rsidP="00D8203F">
      <w:pPr>
        <w:spacing w:after="0" w:line="240" w:lineRule="auto"/>
      </w:pPr>
      <w:r>
        <w:separator/>
      </w:r>
    </w:p>
  </w:footnote>
  <w:footnote w:type="continuationSeparator" w:id="0">
    <w:p w14:paraId="4C4E3CAC" w14:textId="77777777" w:rsidR="007F40D4" w:rsidRDefault="007F40D4" w:rsidP="00D82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30"/>
      <w:gridCol w:w="3860"/>
    </w:tblGrid>
    <w:tr w:rsidR="00011C57" w:rsidRPr="00330DA7" w14:paraId="757EF26E" w14:textId="77777777" w:rsidTr="00B0279C">
      <w:trPr>
        <w:trHeight w:val="144"/>
        <w:jc w:val="right"/>
      </w:trPr>
      <w:tc>
        <w:tcPr>
          <w:tcW w:w="2530" w:type="dxa"/>
          <w:vAlign w:val="center"/>
        </w:tcPr>
        <w:p w14:paraId="704CC7D5"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3860" w:type="dxa"/>
          <w:vAlign w:val="center"/>
        </w:tcPr>
        <w:p w14:paraId="4C9B1B9B" w14:textId="77777777" w:rsidR="00011C57" w:rsidRPr="00330DA7" w:rsidRDefault="00924CF0" w:rsidP="00B0279C">
          <w:pPr>
            <w:tabs>
              <w:tab w:val="right" w:pos="8838"/>
            </w:tabs>
            <w:spacing w:line="276" w:lineRule="auto"/>
            <w:ind w:left="-74" w:right="-105"/>
            <w:jc w:val="left"/>
            <w:rPr>
              <w:rFonts w:eastAsia="Calibri" w:cs="Tahoma"/>
              <w:bCs/>
            </w:rPr>
          </w:pPr>
          <w:r w:rsidRPr="005754CF">
            <w:rPr>
              <w:rFonts w:eastAsia="Calibri" w:cs="Tahoma"/>
              <w:bCs/>
            </w:rPr>
            <w:t>03371/INFOEM/IP/RR/2020</w:t>
          </w:r>
        </w:p>
      </w:tc>
    </w:tr>
    <w:tr w:rsidR="00011C57" w:rsidRPr="00330DA7" w14:paraId="64450472" w14:textId="77777777" w:rsidTr="00B0279C">
      <w:trPr>
        <w:trHeight w:val="283"/>
        <w:jc w:val="right"/>
      </w:trPr>
      <w:tc>
        <w:tcPr>
          <w:tcW w:w="2530" w:type="dxa"/>
          <w:vAlign w:val="center"/>
        </w:tcPr>
        <w:p w14:paraId="22276019"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Sujeto Obligado:</w:t>
          </w:r>
        </w:p>
      </w:tc>
      <w:tc>
        <w:tcPr>
          <w:tcW w:w="3860" w:type="dxa"/>
          <w:vAlign w:val="center"/>
        </w:tcPr>
        <w:p w14:paraId="5B9E558E" w14:textId="77777777" w:rsidR="00011C57" w:rsidRPr="005754CF" w:rsidRDefault="00924CF0" w:rsidP="00B0279C">
          <w:pPr>
            <w:tabs>
              <w:tab w:val="left" w:pos="2834"/>
              <w:tab w:val="right" w:pos="8838"/>
            </w:tabs>
            <w:spacing w:line="276" w:lineRule="auto"/>
            <w:ind w:left="-74" w:right="-105"/>
            <w:jc w:val="left"/>
            <w:rPr>
              <w:rFonts w:eastAsia="Calibri" w:cs="Tahoma"/>
              <w:highlight w:val="yellow"/>
            </w:rPr>
          </w:pPr>
          <w:r w:rsidRPr="005754CF">
            <w:rPr>
              <w:rFonts w:eastAsia="Calibri" w:cs="Tahoma"/>
            </w:rPr>
            <w:t>Secretaría Ejecutiva del Sistema Estatal Anticorrupción</w:t>
          </w:r>
        </w:p>
      </w:tc>
    </w:tr>
    <w:tr w:rsidR="00011C57" w:rsidRPr="00330DA7" w14:paraId="2A4EE535" w14:textId="77777777" w:rsidTr="00B0279C">
      <w:trPr>
        <w:trHeight w:val="283"/>
        <w:jc w:val="right"/>
      </w:trPr>
      <w:tc>
        <w:tcPr>
          <w:tcW w:w="2530" w:type="dxa"/>
          <w:vAlign w:val="center"/>
        </w:tcPr>
        <w:p w14:paraId="46C87DC7"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3860" w:type="dxa"/>
          <w:vAlign w:val="center"/>
        </w:tcPr>
        <w:p w14:paraId="148E1882" w14:textId="77777777" w:rsidR="00011C57" w:rsidRPr="005754CF" w:rsidRDefault="00924CF0" w:rsidP="00B0279C">
          <w:pPr>
            <w:tabs>
              <w:tab w:val="right" w:pos="8838"/>
            </w:tabs>
            <w:spacing w:line="276" w:lineRule="auto"/>
            <w:ind w:left="-74" w:right="-105"/>
            <w:jc w:val="left"/>
            <w:rPr>
              <w:rFonts w:eastAsia="Calibri" w:cs="Tahoma"/>
            </w:rPr>
          </w:pPr>
          <w:r w:rsidRPr="00330DA7">
            <w:rPr>
              <w:rFonts w:eastAsia="Calibri" w:cs="Tahoma"/>
            </w:rPr>
            <w:t>Luis Gustavo Parra Noriega</w:t>
          </w:r>
        </w:p>
      </w:tc>
    </w:tr>
  </w:tbl>
  <w:p w14:paraId="2FBBDBA6" w14:textId="77777777" w:rsidR="00011C57" w:rsidRDefault="007F40D4" w:rsidP="00B0279C">
    <w:pPr>
      <w:pStyle w:val="Encabezado"/>
    </w:pPr>
    <w:r>
      <w:rPr>
        <w:noProof/>
      </w:rPr>
      <w:pict w14:anchorId="7EB532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5" o:spid="_x0000_s2050"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5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30"/>
      <w:gridCol w:w="3424"/>
    </w:tblGrid>
    <w:tr w:rsidR="00011C57" w:rsidRPr="00330DA7" w14:paraId="542E7F84" w14:textId="77777777" w:rsidTr="00C00BEF">
      <w:trPr>
        <w:trHeight w:val="144"/>
        <w:jc w:val="right"/>
      </w:trPr>
      <w:tc>
        <w:tcPr>
          <w:tcW w:w="2530" w:type="dxa"/>
          <w:vAlign w:val="bottom"/>
        </w:tcPr>
        <w:p w14:paraId="225A1910"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3424" w:type="dxa"/>
          <w:vAlign w:val="center"/>
        </w:tcPr>
        <w:p w14:paraId="31A5F9CB" w14:textId="77777777" w:rsidR="00C00BEF" w:rsidRDefault="00C00BEF" w:rsidP="00B0279C">
          <w:pPr>
            <w:tabs>
              <w:tab w:val="right" w:pos="8838"/>
            </w:tabs>
            <w:spacing w:line="276" w:lineRule="auto"/>
            <w:ind w:left="-74" w:right="-105"/>
            <w:jc w:val="left"/>
            <w:rPr>
              <w:rFonts w:eastAsia="Calibri" w:cs="Tahoma"/>
            </w:rPr>
          </w:pPr>
        </w:p>
        <w:p w14:paraId="75804045" w14:textId="6EC90A88" w:rsidR="00011C57" w:rsidRPr="00D65B00" w:rsidRDefault="001D638F" w:rsidP="00B0279C">
          <w:pPr>
            <w:tabs>
              <w:tab w:val="right" w:pos="8838"/>
            </w:tabs>
            <w:spacing w:line="276" w:lineRule="auto"/>
            <w:ind w:left="-74" w:right="-105"/>
            <w:jc w:val="left"/>
            <w:rPr>
              <w:rFonts w:eastAsia="Calibri" w:cs="Tahoma"/>
            </w:rPr>
          </w:pPr>
          <w:r>
            <w:rPr>
              <w:rFonts w:eastAsia="Calibri" w:cs="Tahoma"/>
            </w:rPr>
            <w:t>00096/INFOEM/IP/RR/2022</w:t>
          </w:r>
        </w:p>
      </w:tc>
    </w:tr>
    <w:tr w:rsidR="00011C57" w:rsidRPr="00330DA7" w14:paraId="12309B75" w14:textId="77777777" w:rsidTr="00C00BEF">
      <w:trPr>
        <w:trHeight w:val="283"/>
        <w:jc w:val="right"/>
      </w:trPr>
      <w:tc>
        <w:tcPr>
          <w:tcW w:w="2530" w:type="dxa"/>
        </w:tcPr>
        <w:p w14:paraId="16DECCE3" w14:textId="77777777" w:rsidR="00011C57" w:rsidRPr="00330DA7" w:rsidRDefault="00924CF0" w:rsidP="006D24CC">
          <w:pPr>
            <w:tabs>
              <w:tab w:val="right" w:pos="8838"/>
            </w:tabs>
            <w:spacing w:line="276" w:lineRule="auto"/>
            <w:ind w:left="-74" w:right="-105"/>
            <w:jc w:val="left"/>
            <w:rPr>
              <w:rFonts w:eastAsia="Calibri" w:cs="Tahoma"/>
              <w:b/>
            </w:rPr>
          </w:pPr>
          <w:r w:rsidRPr="00330DA7">
            <w:rPr>
              <w:rFonts w:eastAsia="Calibri" w:cs="Tahoma"/>
              <w:b/>
            </w:rPr>
            <w:t>Sujeto Obligado:</w:t>
          </w:r>
        </w:p>
      </w:tc>
      <w:tc>
        <w:tcPr>
          <w:tcW w:w="3424" w:type="dxa"/>
          <w:vAlign w:val="center"/>
        </w:tcPr>
        <w:p w14:paraId="7C66E373" w14:textId="068F533A" w:rsidR="00011C57" w:rsidRPr="00D65B00" w:rsidRDefault="001D638F" w:rsidP="00D65B00">
          <w:pPr>
            <w:tabs>
              <w:tab w:val="left" w:pos="2834"/>
              <w:tab w:val="right" w:pos="8838"/>
            </w:tabs>
            <w:spacing w:line="276" w:lineRule="auto"/>
            <w:ind w:left="-74" w:right="-105"/>
            <w:rPr>
              <w:rFonts w:eastAsia="Calibri" w:cs="Tahoma"/>
              <w:highlight w:val="yellow"/>
            </w:rPr>
          </w:pPr>
          <w:r w:rsidRPr="001D638F">
            <w:rPr>
              <w:rFonts w:eastAsia="Calibri" w:cs="Tahoma"/>
            </w:rPr>
            <w:t>Ayuntamiento de Nezahualcóyotl</w:t>
          </w:r>
        </w:p>
      </w:tc>
    </w:tr>
    <w:tr w:rsidR="00011C57" w:rsidRPr="00330DA7" w14:paraId="6881DCB9" w14:textId="77777777" w:rsidTr="00C00BEF">
      <w:trPr>
        <w:trHeight w:val="283"/>
        <w:jc w:val="right"/>
      </w:trPr>
      <w:tc>
        <w:tcPr>
          <w:tcW w:w="2530" w:type="dxa"/>
          <w:vAlign w:val="center"/>
        </w:tcPr>
        <w:p w14:paraId="6DC88189"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3424" w:type="dxa"/>
          <w:vAlign w:val="center"/>
        </w:tcPr>
        <w:p w14:paraId="401E6127" w14:textId="77777777" w:rsidR="00011C57" w:rsidRPr="005754CF" w:rsidRDefault="00924CF0" w:rsidP="00B0279C">
          <w:pPr>
            <w:tabs>
              <w:tab w:val="right" w:pos="8838"/>
            </w:tabs>
            <w:spacing w:line="276" w:lineRule="auto"/>
            <w:ind w:left="-74" w:right="-105"/>
            <w:jc w:val="left"/>
            <w:rPr>
              <w:rFonts w:eastAsia="Calibri" w:cs="Tahoma"/>
            </w:rPr>
          </w:pPr>
          <w:r w:rsidRPr="00330DA7">
            <w:rPr>
              <w:rFonts w:eastAsia="Calibri" w:cs="Tahoma"/>
            </w:rPr>
            <w:t>Luis Gustavo Parra Noriega</w:t>
          </w:r>
        </w:p>
      </w:tc>
    </w:tr>
  </w:tbl>
  <w:p w14:paraId="58FD90F4" w14:textId="77777777" w:rsidR="00011C57" w:rsidRDefault="007F40D4">
    <w:pPr>
      <w:pStyle w:val="Encabezado"/>
    </w:pPr>
    <w:r>
      <w:rPr>
        <w:noProof/>
      </w:rPr>
      <w:pict w14:anchorId="08725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6" o:spid="_x0000_s2051" type="#_x0000_t75" style="position:absolute;left:0;text-align:left;margin-left:-108.85pt;margin-top:-127.35pt;width:663.5pt;height:12in;z-index:-25165875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686"/>
    </w:tblGrid>
    <w:tr w:rsidR="00011C57" w:rsidRPr="00330DA7" w14:paraId="2FB24069" w14:textId="77777777" w:rsidTr="0D93760F">
      <w:trPr>
        <w:trHeight w:val="144"/>
      </w:trPr>
      <w:tc>
        <w:tcPr>
          <w:tcW w:w="2410" w:type="dxa"/>
          <w:vAlign w:val="center"/>
        </w:tcPr>
        <w:p w14:paraId="1B6F5EF3"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Recurso de Revisión:</w:t>
          </w:r>
        </w:p>
      </w:tc>
      <w:tc>
        <w:tcPr>
          <w:tcW w:w="3686" w:type="dxa"/>
          <w:vAlign w:val="center"/>
        </w:tcPr>
        <w:p w14:paraId="1A9A621A" w14:textId="5FA0ACDE" w:rsidR="00011C57" w:rsidRPr="00D8203F" w:rsidRDefault="001D638F" w:rsidP="0099703C">
          <w:pPr>
            <w:tabs>
              <w:tab w:val="right" w:pos="8838"/>
            </w:tabs>
            <w:spacing w:line="276" w:lineRule="auto"/>
            <w:ind w:right="-105"/>
            <w:jc w:val="left"/>
            <w:rPr>
              <w:rFonts w:eastAsia="Calibri" w:cs="Tahoma"/>
            </w:rPr>
          </w:pPr>
          <w:r>
            <w:rPr>
              <w:rFonts w:eastAsia="Calibri" w:cs="Tahoma"/>
            </w:rPr>
            <w:t>00096/INFOEM/IP/RR/2022</w:t>
          </w:r>
        </w:p>
      </w:tc>
    </w:tr>
    <w:tr w:rsidR="00011C57" w:rsidRPr="00330DA7" w14:paraId="569CFEB5" w14:textId="77777777" w:rsidTr="0D93760F">
      <w:trPr>
        <w:trHeight w:val="705"/>
      </w:trPr>
      <w:tc>
        <w:tcPr>
          <w:tcW w:w="2410" w:type="dxa"/>
          <w:vAlign w:val="center"/>
        </w:tcPr>
        <w:p w14:paraId="645DC220"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Recurrente:</w:t>
          </w:r>
        </w:p>
      </w:tc>
      <w:tc>
        <w:tcPr>
          <w:tcW w:w="3686" w:type="dxa"/>
          <w:vAlign w:val="center"/>
        </w:tcPr>
        <w:p w14:paraId="7BED387D" w14:textId="27728A52" w:rsidR="00011C57" w:rsidRPr="00330DA7" w:rsidRDefault="0D93760F" w:rsidP="0D93760F">
          <w:pPr>
            <w:tabs>
              <w:tab w:val="left" w:pos="3122"/>
              <w:tab w:val="right" w:pos="8838"/>
            </w:tabs>
            <w:spacing w:line="276" w:lineRule="auto"/>
            <w:ind w:right="-105"/>
            <w:jc w:val="left"/>
            <w:rPr>
              <w:rFonts w:eastAsia="Calibri"/>
              <w:highlight w:val="black"/>
            </w:rPr>
          </w:pPr>
          <w:r w:rsidRPr="0D93760F">
            <w:rPr>
              <w:rFonts w:eastAsia="Calibri" w:cs="Tahoma"/>
              <w:highlight w:val="black"/>
            </w:rPr>
            <w:t>XXXXXXXXXXXXXXXXXXXXXXXXXXXXXXX</w:t>
          </w:r>
        </w:p>
      </w:tc>
    </w:tr>
    <w:tr w:rsidR="00011C57" w:rsidRPr="00330DA7" w14:paraId="2CCCDD19" w14:textId="77777777" w:rsidTr="0D93760F">
      <w:trPr>
        <w:trHeight w:val="283"/>
      </w:trPr>
      <w:tc>
        <w:tcPr>
          <w:tcW w:w="2410" w:type="dxa"/>
        </w:tcPr>
        <w:p w14:paraId="5FE443CA" w14:textId="77777777" w:rsidR="00011C57" w:rsidRPr="00330DA7" w:rsidRDefault="00924CF0" w:rsidP="006D24CC">
          <w:pPr>
            <w:tabs>
              <w:tab w:val="right" w:pos="8838"/>
            </w:tabs>
            <w:spacing w:line="276" w:lineRule="auto"/>
            <w:ind w:left="-74" w:right="-105"/>
            <w:jc w:val="left"/>
            <w:rPr>
              <w:rFonts w:eastAsia="Calibri" w:cs="Tahoma"/>
              <w:b/>
            </w:rPr>
          </w:pPr>
          <w:r w:rsidRPr="00330DA7">
            <w:rPr>
              <w:rFonts w:eastAsia="Calibri" w:cs="Tahoma"/>
              <w:b/>
            </w:rPr>
            <w:t>Sujeto Obligado:</w:t>
          </w:r>
        </w:p>
      </w:tc>
      <w:tc>
        <w:tcPr>
          <w:tcW w:w="3686" w:type="dxa"/>
          <w:vAlign w:val="center"/>
        </w:tcPr>
        <w:p w14:paraId="530974A6" w14:textId="7DA1C972" w:rsidR="00011C57" w:rsidRPr="00D8203F" w:rsidRDefault="001D638F" w:rsidP="0099703C">
          <w:pPr>
            <w:tabs>
              <w:tab w:val="left" w:pos="2834"/>
              <w:tab w:val="right" w:pos="8838"/>
            </w:tabs>
            <w:spacing w:line="276" w:lineRule="auto"/>
            <w:ind w:right="-105"/>
            <w:rPr>
              <w:rFonts w:eastAsia="Calibri" w:cs="Tahoma"/>
              <w:highlight w:val="yellow"/>
            </w:rPr>
          </w:pPr>
          <w:r>
            <w:rPr>
              <w:rFonts w:eastAsia="Calibri" w:cs="Tahoma"/>
            </w:rPr>
            <w:t xml:space="preserve">Ayuntamiento de Nezahualcóyotl </w:t>
          </w:r>
        </w:p>
      </w:tc>
    </w:tr>
    <w:tr w:rsidR="00011C57" w:rsidRPr="00330DA7" w14:paraId="6A0D177B" w14:textId="77777777" w:rsidTr="0D93760F">
      <w:trPr>
        <w:trHeight w:val="283"/>
      </w:trPr>
      <w:tc>
        <w:tcPr>
          <w:tcW w:w="2410" w:type="dxa"/>
          <w:vAlign w:val="center"/>
        </w:tcPr>
        <w:p w14:paraId="4A4AC4EC" w14:textId="77777777" w:rsidR="00011C57" w:rsidRPr="00330DA7" w:rsidRDefault="00924CF0" w:rsidP="00B0279C">
          <w:pPr>
            <w:tabs>
              <w:tab w:val="right" w:pos="8838"/>
            </w:tabs>
            <w:spacing w:line="276" w:lineRule="auto"/>
            <w:ind w:left="-74" w:right="-105"/>
            <w:jc w:val="left"/>
            <w:rPr>
              <w:rFonts w:eastAsia="Calibri" w:cs="Tahoma"/>
              <w:b/>
            </w:rPr>
          </w:pPr>
          <w:r w:rsidRPr="00330DA7">
            <w:rPr>
              <w:rFonts w:eastAsia="Calibri" w:cs="Tahoma"/>
              <w:b/>
            </w:rPr>
            <w:t>Comisionado Ponente:</w:t>
          </w:r>
        </w:p>
      </w:tc>
      <w:tc>
        <w:tcPr>
          <w:tcW w:w="3686" w:type="dxa"/>
          <w:vAlign w:val="center"/>
        </w:tcPr>
        <w:p w14:paraId="31717E75" w14:textId="77777777" w:rsidR="00011C57" w:rsidRPr="005754CF" w:rsidRDefault="00924CF0" w:rsidP="0099703C">
          <w:pPr>
            <w:tabs>
              <w:tab w:val="right" w:pos="8838"/>
            </w:tabs>
            <w:spacing w:line="276" w:lineRule="auto"/>
            <w:ind w:right="-105"/>
            <w:jc w:val="left"/>
            <w:rPr>
              <w:rFonts w:eastAsia="Calibri" w:cs="Tahoma"/>
            </w:rPr>
          </w:pPr>
          <w:r w:rsidRPr="00330DA7">
            <w:rPr>
              <w:rFonts w:eastAsia="Calibri" w:cs="Tahoma"/>
            </w:rPr>
            <w:t>Luis Gustavo Parra Noriega</w:t>
          </w:r>
        </w:p>
      </w:tc>
    </w:tr>
  </w:tbl>
  <w:p w14:paraId="134AC6BE" w14:textId="77777777" w:rsidR="00011C57" w:rsidRDefault="007F40D4" w:rsidP="00B0279C">
    <w:pPr>
      <w:pStyle w:val="Encabezado"/>
    </w:pPr>
    <w:r>
      <w:rPr>
        <w:noProof/>
      </w:rPr>
      <w:pict w14:anchorId="26A3A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49" type="#_x0000_t75" style="position:absolute;left:0;text-align:left;margin-left:0;margin-top:0;width:663.5pt;height:12in;z-index:-251657728;mso-position-horizontal:center;mso-position-horizontal-relative:margin;mso-position-vertical:center;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77D5"/>
    <w:multiLevelType w:val="hybridMultilevel"/>
    <w:tmpl w:val="DA90532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52E554F"/>
    <w:multiLevelType w:val="hybridMultilevel"/>
    <w:tmpl w:val="E400605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9D675C"/>
    <w:multiLevelType w:val="hybridMultilevel"/>
    <w:tmpl w:val="1DFCD368"/>
    <w:lvl w:ilvl="0" w:tplc="DA5A3ECE">
      <w:start w:val="1"/>
      <w:numFmt w:val="lowerRoman"/>
      <w:lvlText w:val="%1."/>
      <w:lvlJc w:val="left"/>
      <w:pPr>
        <w:ind w:left="1440" w:hanging="360"/>
      </w:pPr>
      <w:rPr>
        <w:rFonts w:ascii="Palatino Linotype" w:hAnsi="Palatino Linotype" w:hint="default"/>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F060AC4"/>
    <w:multiLevelType w:val="hybridMultilevel"/>
    <w:tmpl w:val="6812F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9754F"/>
    <w:multiLevelType w:val="hybridMultilevel"/>
    <w:tmpl w:val="4ABC7128"/>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6D32D4"/>
    <w:multiLevelType w:val="hybridMultilevel"/>
    <w:tmpl w:val="428C77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81149B"/>
    <w:multiLevelType w:val="hybridMultilevel"/>
    <w:tmpl w:val="B018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BA29DD"/>
    <w:multiLevelType w:val="hybridMultilevel"/>
    <w:tmpl w:val="BCA0CD4C"/>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1B794B"/>
    <w:multiLevelType w:val="hybridMultilevel"/>
    <w:tmpl w:val="178CC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086AB4"/>
    <w:multiLevelType w:val="hybridMultilevel"/>
    <w:tmpl w:val="961C5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83E13B8"/>
    <w:multiLevelType w:val="hybridMultilevel"/>
    <w:tmpl w:val="F12E2416"/>
    <w:lvl w:ilvl="0" w:tplc="080A000F">
      <w:start w:val="1"/>
      <w:numFmt w:val="decimal"/>
      <w:lvlText w:val="%1."/>
      <w:lvlJc w:val="left"/>
      <w:pPr>
        <w:ind w:left="1440" w:hanging="360"/>
      </w:pPr>
      <w:rPr>
        <w:rFonts w:hint="default"/>
        <w:sz w:val="2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28A924B3"/>
    <w:multiLevelType w:val="hybridMultilevel"/>
    <w:tmpl w:val="2EAA7A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D73AC0"/>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2CEA5692"/>
    <w:multiLevelType w:val="hybridMultilevel"/>
    <w:tmpl w:val="BCA0CD4C"/>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D23733"/>
    <w:multiLevelType w:val="hybridMultilevel"/>
    <w:tmpl w:val="EBA6F676"/>
    <w:lvl w:ilvl="0" w:tplc="C51C7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F10EB9"/>
    <w:multiLevelType w:val="hybridMultilevel"/>
    <w:tmpl w:val="298682E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3B8631FE"/>
    <w:multiLevelType w:val="hybridMultilevel"/>
    <w:tmpl w:val="1D12A9B0"/>
    <w:lvl w:ilvl="0" w:tplc="080A001B">
      <w:start w:val="1"/>
      <w:numFmt w:val="low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nsid w:val="3FF270B6"/>
    <w:multiLevelType w:val="hybridMultilevel"/>
    <w:tmpl w:val="A79ED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32A6F72"/>
    <w:multiLevelType w:val="hybridMultilevel"/>
    <w:tmpl w:val="71F43B6E"/>
    <w:lvl w:ilvl="0" w:tplc="080A0001">
      <w:start w:val="1"/>
      <w:numFmt w:val="bullet"/>
      <w:lvlText w:val=""/>
      <w:lvlJc w:val="left"/>
      <w:pPr>
        <w:ind w:left="720" w:hanging="360"/>
      </w:pPr>
      <w:rPr>
        <w:rFonts w:ascii="Symbol" w:hAnsi="Symbol" w:hint="default"/>
      </w:rPr>
    </w:lvl>
    <w:lvl w:ilvl="1" w:tplc="DA5A3ECE">
      <w:start w:val="1"/>
      <w:numFmt w:val="lowerRoman"/>
      <w:lvlText w:val="%2."/>
      <w:lvlJc w:val="left"/>
      <w:pPr>
        <w:ind w:left="1440" w:hanging="360"/>
      </w:pPr>
      <w:rPr>
        <w:rFonts w:ascii="Palatino Linotype" w:hAnsi="Palatino Linotype" w:hint="default"/>
        <w:sz w:val="2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3E785D"/>
    <w:multiLevelType w:val="hybridMultilevel"/>
    <w:tmpl w:val="A2D43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9A603DD"/>
    <w:multiLevelType w:val="hybridMultilevel"/>
    <w:tmpl w:val="E400605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31F677D"/>
    <w:multiLevelType w:val="hybridMultilevel"/>
    <w:tmpl w:val="5DA287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A0A57A8"/>
    <w:multiLevelType w:val="hybridMultilevel"/>
    <w:tmpl w:val="407C5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nsid w:val="70036345"/>
    <w:multiLevelType w:val="hybridMultilevel"/>
    <w:tmpl w:val="3BE06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06B081D"/>
    <w:multiLevelType w:val="hybridMultilevel"/>
    <w:tmpl w:val="EC7CE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07930CC"/>
    <w:multiLevelType w:val="hybridMultilevel"/>
    <w:tmpl w:val="EBA6F676"/>
    <w:lvl w:ilvl="0" w:tplc="C51C7D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5837861"/>
    <w:multiLevelType w:val="hybridMultilevel"/>
    <w:tmpl w:val="036EF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9310EE7"/>
    <w:multiLevelType w:val="hybridMultilevel"/>
    <w:tmpl w:val="F1DE93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1"/>
  </w:num>
  <w:num w:numId="6">
    <w:abstractNumId w:val="10"/>
  </w:num>
  <w:num w:numId="7">
    <w:abstractNumId w:val="21"/>
  </w:num>
  <w:num w:numId="8">
    <w:abstractNumId w:val="23"/>
  </w:num>
  <w:num w:numId="9">
    <w:abstractNumId w:val="6"/>
  </w:num>
  <w:num w:numId="10">
    <w:abstractNumId w:val="22"/>
  </w:num>
  <w:num w:numId="11">
    <w:abstractNumId w:val="24"/>
  </w:num>
  <w:num w:numId="12">
    <w:abstractNumId w:val="7"/>
  </w:num>
  <w:num w:numId="13">
    <w:abstractNumId w:val="2"/>
  </w:num>
  <w:num w:numId="14">
    <w:abstractNumId w:val="12"/>
  </w:num>
  <w:num w:numId="15">
    <w:abstractNumId w:val="15"/>
  </w:num>
  <w:num w:numId="16">
    <w:abstractNumId w:val="5"/>
  </w:num>
  <w:num w:numId="17">
    <w:abstractNumId w:val="4"/>
  </w:num>
  <w:num w:numId="18">
    <w:abstractNumId w:val="20"/>
  </w:num>
  <w:num w:numId="19">
    <w:abstractNumId w:val="3"/>
  </w:num>
  <w:num w:numId="20">
    <w:abstractNumId w:val="8"/>
  </w:num>
  <w:num w:numId="21">
    <w:abstractNumId w:val="27"/>
  </w:num>
  <w:num w:numId="22">
    <w:abstractNumId w:val="11"/>
  </w:num>
  <w:num w:numId="23">
    <w:abstractNumId w:val="13"/>
  </w:num>
  <w:num w:numId="24">
    <w:abstractNumId w:val="17"/>
  </w:num>
  <w:num w:numId="25">
    <w:abstractNumId w:val="1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0"/>
  </w:num>
  <w:num w:numId="29">
    <w:abstractNumId w:val="18"/>
  </w:num>
  <w:num w:numId="30">
    <w:abstractNumId w:val="16"/>
  </w:num>
  <w:num w:numId="31">
    <w:abstractNumId w:val="31"/>
  </w:num>
  <w:num w:numId="32">
    <w:abstractNumId w:val="19"/>
  </w:num>
  <w:num w:numId="33">
    <w:abstractNumId w:val="2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03F"/>
    <w:rsid w:val="00002000"/>
    <w:rsid w:val="00005411"/>
    <w:rsid w:val="0001464C"/>
    <w:rsid w:val="00033495"/>
    <w:rsid w:val="00041034"/>
    <w:rsid w:val="000437E4"/>
    <w:rsid w:val="000530D1"/>
    <w:rsid w:val="00060676"/>
    <w:rsid w:val="0006659E"/>
    <w:rsid w:val="00072F70"/>
    <w:rsid w:val="00077108"/>
    <w:rsid w:val="000805DC"/>
    <w:rsid w:val="00092BC4"/>
    <w:rsid w:val="000B38F1"/>
    <w:rsid w:val="000D5539"/>
    <w:rsid w:val="000E518D"/>
    <w:rsid w:val="000E7811"/>
    <w:rsid w:val="0010753F"/>
    <w:rsid w:val="001136B4"/>
    <w:rsid w:val="0013003D"/>
    <w:rsid w:val="00136745"/>
    <w:rsid w:val="001372C2"/>
    <w:rsid w:val="00147995"/>
    <w:rsid w:val="00152501"/>
    <w:rsid w:val="00155617"/>
    <w:rsid w:val="0016479F"/>
    <w:rsid w:val="00176419"/>
    <w:rsid w:val="00191AE4"/>
    <w:rsid w:val="00192BF8"/>
    <w:rsid w:val="00193B5F"/>
    <w:rsid w:val="001971E7"/>
    <w:rsid w:val="001A0FE6"/>
    <w:rsid w:val="001B1F7E"/>
    <w:rsid w:val="001B4FE3"/>
    <w:rsid w:val="001B5B28"/>
    <w:rsid w:val="001B6B5E"/>
    <w:rsid w:val="001C12E6"/>
    <w:rsid w:val="001C5F8F"/>
    <w:rsid w:val="001D4BEF"/>
    <w:rsid w:val="001D638F"/>
    <w:rsid w:val="001E601D"/>
    <w:rsid w:val="001E61B0"/>
    <w:rsid w:val="001F6315"/>
    <w:rsid w:val="00202FD6"/>
    <w:rsid w:val="00205C3E"/>
    <w:rsid w:val="00212C5B"/>
    <w:rsid w:val="00221964"/>
    <w:rsid w:val="00224C52"/>
    <w:rsid w:val="00232543"/>
    <w:rsid w:val="002345A9"/>
    <w:rsid w:val="002351AB"/>
    <w:rsid w:val="00236A14"/>
    <w:rsid w:val="0023761E"/>
    <w:rsid w:val="002419D5"/>
    <w:rsid w:val="002513F1"/>
    <w:rsid w:val="002625D0"/>
    <w:rsid w:val="00273C8F"/>
    <w:rsid w:val="00273D56"/>
    <w:rsid w:val="002751C6"/>
    <w:rsid w:val="00275717"/>
    <w:rsid w:val="00277532"/>
    <w:rsid w:val="00283FB5"/>
    <w:rsid w:val="002878DE"/>
    <w:rsid w:val="00292E42"/>
    <w:rsid w:val="00296195"/>
    <w:rsid w:val="002B7026"/>
    <w:rsid w:val="002C230E"/>
    <w:rsid w:val="002C425A"/>
    <w:rsid w:val="002C6689"/>
    <w:rsid w:val="002D1940"/>
    <w:rsid w:val="002D4507"/>
    <w:rsid w:val="002E32AB"/>
    <w:rsid w:val="002E5BC9"/>
    <w:rsid w:val="002F13CE"/>
    <w:rsid w:val="002F1649"/>
    <w:rsid w:val="002F1ACA"/>
    <w:rsid w:val="002F7105"/>
    <w:rsid w:val="0030159C"/>
    <w:rsid w:val="00304EDC"/>
    <w:rsid w:val="00324ADE"/>
    <w:rsid w:val="00324EC3"/>
    <w:rsid w:val="00325503"/>
    <w:rsid w:val="00327C5F"/>
    <w:rsid w:val="0033169F"/>
    <w:rsid w:val="00335515"/>
    <w:rsid w:val="00337795"/>
    <w:rsid w:val="0034646A"/>
    <w:rsid w:val="00350913"/>
    <w:rsid w:val="00351215"/>
    <w:rsid w:val="003512B5"/>
    <w:rsid w:val="00351BBE"/>
    <w:rsid w:val="0035784F"/>
    <w:rsid w:val="0036431D"/>
    <w:rsid w:val="0037052D"/>
    <w:rsid w:val="00371D10"/>
    <w:rsid w:val="0037486D"/>
    <w:rsid w:val="00376DE8"/>
    <w:rsid w:val="003778C6"/>
    <w:rsid w:val="00395577"/>
    <w:rsid w:val="003B0D6C"/>
    <w:rsid w:val="003B1737"/>
    <w:rsid w:val="003B2792"/>
    <w:rsid w:val="003B5A0A"/>
    <w:rsid w:val="003B7B49"/>
    <w:rsid w:val="003C67AD"/>
    <w:rsid w:val="003D66E7"/>
    <w:rsid w:val="003E713C"/>
    <w:rsid w:val="003F0EAA"/>
    <w:rsid w:val="003F3FDB"/>
    <w:rsid w:val="003F594A"/>
    <w:rsid w:val="00416FD2"/>
    <w:rsid w:val="00417CA3"/>
    <w:rsid w:val="0042237E"/>
    <w:rsid w:val="00426064"/>
    <w:rsid w:val="00431386"/>
    <w:rsid w:val="004436D4"/>
    <w:rsid w:val="00444B06"/>
    <w:rsid w:val="00446040"/>
    <w:rsid w:val="00450E27"/>
    <w:rsid w:val="00454109"/>
    <w:rsid w:val="004820EA"/>
    <w:rsid w:val="004954EF"/>
    <w:rsid w:val="00495E03"/>
    <w:rsid w:val="004B71D1"/>
    <w:rsid w:val="004D102C"/>
    <w:rsid w:val="004D3EDF"/>
    <w:rsid w:val="004D556A"/>
    <w:rsid w:val="004E5C8E"/>
    <w:rsid w:val="00501BDA"/>
    <w:rsid w:val="00502445"/>
    <w:rsid w:val="005070F6"/>
    <w:rsid w:val="00523A2F"/>
    <w:rsid w:val="005345A9"/>
    <w:rsid w:val="00543DD3"/>
    <w:rsid w:val="0055608D"/>
    <w:rsid w:val="0056275B"/>
    <w:rsid w:val="00562EBC"/>
    <w:rsid w:val="00565650"/>
    <w:rsid w:val="005670FF"/>
    <w:rsid w:val="005703B8"/>
    <w:rsid w:val="005813D8"/>
    <w:rsid w:val="0058799A"/>
    <w:rsid w:val="00590E15"/>
    <w:rsid w:val="00593B72"/>
    <w:rsid w:val="005A4818"/>
    <w:rsid w:val="005B3BAB"/>
    <w:rsid w:val="005C64C9"/>
    <w:rsid w:val="005E03C3"/>
    <w:rsid w:val="005E0F61"/>
    <w:rsid w:val="005E21DD"/>
    <w:rsid w:val="005F2AA8"/>
    <w:rsid w:val="005F4D3B"/>
    <w:rsid w:val="005F573C"/>
    <w:rsid w:val="005F7156"/>
    <w:rsid w:val="00601EA2"/>
    <w:rsid w:val="0060238A"/>
    <w:rsid w:val="00616387"/>
    <w:rsid w:val="00616923"/>
    <w:rsid w:val="00621403"/>
    <w:rsid w:val="006311A9"/>
    <w:rsid w:val="006313B6"/>
    <w:rsid w:val="006319BF"/>
    <w:rsid w:val="00635D9F"/>
    <w:rsid w:val="00636F39"/>
    <w:rsid w:val="00646B18"/>
    <w:rsid w:val="0065125A"/>
    <w:rsid w:val="00652BB7"/>
    <w:rsid w:val="00652D8D"/>
    <w:rsid w:val="00654565"/>
    <w:rsid w:val="0067778A"/>
    <w:rsid w:val="006900B8"/>
    <w:rsid w:val="00691F6B"/>
    <w:rsid w:val="006A2FB4"/>
    <w:rsid w:val="006A4ACF"/>
    <w:rsid w:val="006A574E"/>
    <w:rsid w:val="006C0BE4"/>
    <w:rsid w:val="006C526C"/>
    <w:rsid w:val="006F0034"/>
    <w:rsid w:val="006F47EF"/>
    <w:rsid w:val="0070107C"/>
    <w:rsid w:val="00711D42"/>
    <w:rsid w:val="0071218A"/>
    <w:rsid w:val="007138B4"/>
    <w:rsid w:val="007165B0"/>
    <w:rsid w:val="00722333"/>
    <w:rsid w:val="00730406"/>
    <w:rsid w:val="00740517"/>
    <w:rsid w:val="00740AC4"/>
    <w:rsid w:val="00752CBF"/>
    <w:rsid w:val="00757468"/>
    <w:rsid w:val="00764A1C"/>
    <w:rsid w:val="007758CF"/>
    <w:rsid w:val="00777341"/>
    <w:rsid w:val="00782C2E"/>
    <w:rsid w:val="00784A13"/>
    <w:rsid w:val="007851A6"/>
    <w:rsid w:val="007A23FE"/>
    <w:rsid w:val="007B0411"/>
    <w:rsid w:val="007C5768"/>
    <w:rsid w:val="007D4E6D"/>
    <w:rsid w:val="007D68B0"/>
    <w:rsid w:val="007E5CAF"/>
    <w:rsid w:val="007F329C"/>
    <w:rsid w:val="007F40D4"/>
    <w:rsid w:val="007F4B96"/>
    <w:rsid w:val="007F6748"/>
    <w:rsid w:val="007F6888"/>
    <w:rsid w:val="007F68DC"/>
    <w:rsid w:val="007F79FE"/>
    <w:rsid w:val="00806798"/>
    <w:rsid w:val="00813C48"/>
    <w:rsid w:val="008145EC"/>
    <w:rsid w:val="00814BE4"/>
    <w:rsid w:val="00821623"/>
    <w:rsid w:val="00830C85"/>
    <w:rsid w:val="00841FEB"/>
    <w:rsid w:val="0084321B"/>
    <w:rsid w:val="0084339B"/>
    <w:rsid w:val="008441BB"/>
    <w:rsid w:val="00846D35"/>
    <w:rsid w:val="00847200"/>
    <w:rsid w:val="008632F0"/>
    <w:rsid w:val="0086681E"/>
    <w:rsid w:val="00875A4D"/>
    <w:rsid w:val="00887C2C"/>
    <w:rsid w:val="008A050C"/>
    <w:rsid w:val="008A0F99"/>
    <w:rsid w:val="008A5840"/>
    <w:rsid w:val="008B6A10"/>
    <w:rsid w:val="008C1900"/>
    <w:rsid w:val="008D0436"/>
    <w:rsid w:val="008D06D2"/>
    <w:rsid w:val="008D2AA0"/>
    <w:rsid w:val="008D4095"/>
    <w:rsid w:val="008D589F"/>
    <w:rsid w:val="008E2904"/>
    <w:rsid w:val="008F0993"/>
    <w:rsid w:val="008F32C2"/>
    <w:rsid w:val="008F4087"/>
    <w:rsid w:val="008F4AC4"/>
    <w:rsid w:val="0090299E"/>
    <w:rsid w:val="00903752"/>
    <w:rsid w:val="00911965"/>
    <w:rsid w:val="00917722"/>
    <w:rsid w:val="00924CF0"/>
    <w:rsid w:val="00941F99"/>
    <w:rsid w:val="00942EE2"/>
    <w:rsid w:val="009479DF"/>
    <w:rsid w:val="0095259E"/>
    <w:rsid w:val="00953BD3"/>
    <w:rsid w:val="009638C6"/>
    <w:rsid w:val="009639F0"/>
    <w:rsid w:val="00966490"/>
    <w:rsid w:val="00966655"/>
    <w:rsid w:val="00976739"/>
    <w:rsid w:val="009900F6"/>
    <w:rsid w:val="009A2721"/>
    <w:rsid w:val="009A7A9A"/>
    <w:rsid w:val="009B2E42"/>
    <w:rsid w:val="009B44DB"/>
    <w:rsid w:val="009C4E38"/>
    <w:rsid w:val="009C55B6"/>
    <w:rsid w:val="009D3092"/>
    <w:rsid w:val="009E048A"/>
    <w:rsid w:val="009E13D1"/>
    <w:rsid w:val="009F273D"/>
    <w:rsid w:val="00A021D0"/>
    <w:rsid w:val="00A0231D"/>
    <w:rsid w:val="00A10F3C"/>
    <w:rsid w:val="00A22A88"/>
    <w:rsid w:val="00A2355B"/>
    <w:rsid w:val="00A300C4"/>
    <w:rsid w:val="00A43DE3"/>
    <w:rsid w:val="00A47768"/>
    <w:rsid w:val="00A636D9"/>
    <w:rsid w:val="00A71605"/>
    <w:rsid w:val="00A92E13"/>
    <w:rsid w:val="00A95528"/>
    <w:rsid w:val="00A955E1"/>
    <w:rsid w:val="00AA2C3A"/>
    <w:rsid w:val="00AA478B"/>
    <w:rsid w:val="00AA7D70"/>
    <w:rsid w:val="00AC3E38"/>
    <w:rsid w:val="00AC473C"/>
    <w:rsid w:val="00AD046B"/>
    <w:rsid w:val="00AD0556"/>
    <w:rsid w:val="00AD4046"/>
    <w:rsid w:val="00AD4556"/>
    <w:rsid w:val="00AD6A80"/>
    <w:rsid w:val="00AE03DF"/>
    <w:rsid w:val="00AF09A1"/>
    <w:rsid w:val="00B033BC"/>
    <w:rsid w:val="00B21952"/>
    <w:rsid w:val="00B23031"/>
    <w:rsid w:val="00B248AF"/>
    <w:rsid w:val="00B33B4C"/>
    <w:rsid w:val="00B54CFD"/>
    <w:rsid w:val="00B662F8"/>
    <w:rsid w:val="00B7264D"/>
    <w:rsid w:val="00B82893"/>
    <w:rsid w:val="00B8334A"/>
    <w:rsid w:val="00B92E09"/>
    <w:rsid w:val="00B96BE1"/>
    <w:rsid w:val="00BA1F27"/>
    <w:rsid w:val="00BB394B"/>
    <w:rsid w:val="00BC3B00"/>
    <w:rsid w:val="00BD016C"/>
    <w:rsid w:val="00BD08C5"/>
    <w:rsid w:val="00BE14C6"/>
    <w:rsid w:val="00BE3263"/>
    <w:rsid w:val="00BE3F5F"/>
    <w:rsid w:val="00BF27BE"/>
    <w:rsid w:val="00BF44C3"/>
    <w:rsid w:val="00C00BEF"/>
    <w:rsid w:val="00C035DB"/>
    <w:rsid w:val="00C07FA6"/>
    <w:rsid w:val="00C138ED"/>
    <w:rsid w:val="00C212E3"/>
    <w:rsid w:val="00C2512E"/>
    <w:rsid w:val="00C25690"/>
    <w:rsid w:val="00C3697C"/>
    <w:rsid w:val="00C376BD"/>
    <w:rsid w:val="00C40AC9"/>
    <w:rsid w:val="00C435D5"/>
    <w:rsid w:val="00C43F93"/>
    <w:rsid w:val="00C44AF0"/>
    <w:rsid w:val="00C54877"/>
    <w:rsid w:val="00C60536"/>
    <w:rsid w:val="00C65A34"/>
    <w:rsid w:val="00C70651"/>
    <w:rsid w:val="00C758B1"/>
    <w:rsid w:val="00C831F7"/>
    <w:rsid w:val="00C86FBC"/>
    <w:rsid w:val="00C870AA"/>
    <w:rsid w:val="00C92DAA"/>
    <w:rsid w:val="00C93CBC"/>
    <w:rsid w:val="00CA1B00"/>
    <w:rsid w:val="00CC42FB"/>
    <w:rsid w:val="00CC7B75"/>
    <w:rsid w:val="00CE17DA"/>
    <w:rsid w:val="00CF4C9A"/>
    <w:rsid w:val="00D03A98"/>
    <w:rsid w:val="00D03BBC"/>
    <w:rsid w:val="00D0584A"/>
    <w:rsid w:val="00D06558"/>
    <w:rsid w:val="00D142A7"/>
    <w:rsid w:val="00D30581"/>
    <w:rsid w:val="00D34ADA"/>
    <w:rsid w:val="00D4040E"/>
    <w:rsid w:val="00D409E7"/>
    <w:rsid w:val="00D41BDB"/>
    <w:rsid w:val="00D451C6"/>
    <w:rsid w:val="00D50360"/>
    <w:rsid w:val="00D56A74"/>
    <w:rsid w:val="00D715B0"/>
    <w:rsid w:val="00D75842"/>
    <w:rsid w:val="00D8203F"/>
    <w:rsid w:val="00D86243"/>
    <w:rsid w:val="00D91B6D"/>
    <w:rsid w:val="00D93C72"/>
    <w:rsid w:val="00D974CF"/>
    <w:rsid w:val="00DD1AF9"/>
    <w:rsid w:val="00DD3DE5"/>
    <w:rsid w:val="00DE351D"/>
    <w:rsid w:val="00DE680B"/>
    <w:rsid w:val="00DF084F"/>
    <w:rsid w:val="00DF5F5D"/>
    <w:rsid w:val="00E1071F"/>
    <w:rsid w:val="00E24DAE"/>
    <w:rsid w:val="00E27548"/>
    <w:rsid w:val="00E30966"/>
    <w:rsid w:val="00E33C78"/>
    <w:rsid w:val="00E461AC"/>
    <w:rsid w:val="00E53178"/>
    <w:rsid w:val="00E5479A"/>
    <w:rsid w:val="00E56E00"/>
    <w:rsid w:val="00E637F3"/>
    <w:rsid w:val="00E77820"/>
    <w:rsid w:val="00E91068"/>
    <w:rsid w:val="00E915C0"/>
    <w:rsid w:val="00E97C4E"/>
    <w:rsid w:val="00EA776B"/>
    <w:rsid w:val="00EC0586"/>
    <w:rsid w:val="00EC3F60"/>
    <w:rsid w:val="00EC7552"/>
    <w:rsid w:val="00EF640A"/>
    <w:rsid w:val="00EF700D"/>
    <w:rsid w:val="00EF75FB"/>
    <w:rsid w:val="00F03DD0"/>
    <w:rsid w:val="00F053C6"/>
    <w:rsid w:val="00F10871"/>
    <w:rsid w:val="00F16379"/>
    <w:rsid w:val="00F22CD0"/>
    <w:rsid w:val="00F236A7"/>
    <w:rsid w:val="00F42CAA"/>
    <w:rsid w:val="00F45A0F"/>
    <w:rsid w:val="00F45B94"/>
    <w:rsid w:val="00F46BC9"/>
    <w:rsid w:val="00F551BD"/>
    <w:rsid w:val="00F61040"/>
    <w:rsid w:val="00F66D38"/>
    <w:rsid w:val="00F856D9"/>
    <w:rsid w:val="00F97409"/>
    <w:rsid w:val="00F97C83"/>
    <w:rsid w:val="00FA4CDC"/>
    <w:rsid w:val="00FA4CF7"/>
    <w:rsid w:val="00FB6C24"/>
    <w:rsid w:val="00FC5E8D"/>
    <w:rsid w:val="00FC60F9"/>
    <w:rsid w:val="00FC6764"/>
    <w:rsid w:val="00FD3A19"/>
    <w:rsid w:val="00FD4D46"/>
    <w:rsid w:val="00FE03F9"/>
    <w:rsid w:val="00FE1E4A"/>
    <w:rsid w:val="00FF7458"/>
    <w:rsid w:val="0D9376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E4E857"/>
  <w15:chartTrackingRefBased/>
  <w15:docId w15:val="{FC29865A-8719-42FC-8C2A-7E7D616B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C4E"/>
    <w:pPr>
      <w:spacing w:line="360" w:lineRule="auto"/>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8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820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203F"/>
    <w:rPr>
      <w:rFonts w:ascii="Palatino Linotype" w:hAnsi="Palatino Linotype"/>
      <w:color w:val="000000" w:themeColor="text1"/>
    </w:rPr>
  </w:style>
  <w:style w:type="paragraph" w:styleId="Piedepgina">
    <w:name w:val="footer"/>
    <w:basedOn w:val="Normal"/>
    <w:link w:val="PiedepginaCar"/>
    <w:uiPriority w:val="99"/>
    <w:unhideWhenUsed/>
    <w:rsid w:val="00D820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203F"/>
    <w:rPr>
      <w:rFonts w:ascii="Palatino Linotype" w:hAnsi="Palatino Linotype"/>
      <w:color w:val="000000" w:themeColor="text1"/>
    </w:rPr>
  </w:style>
  <w:style w:type="paragraph" w:styleId="Prrafodelista">
    <w:name w:val="List Paragraph"/>
    <w:basedOn w:val="Normal"/>
    <w:uiPriority w:val="34"/>
    <w:qFormat/>
    <w:rsid w:val="00D8203F"/>
    <w:pPr>
      <w:ind w:left="720"/>
      <w:contextualSpacing/>
    </w:pPr>
  </w:style>
  <w:style w:type="character" w:styleId="Hipervnculo">
    <w:name w:val="Hyperlink"/>
    <w:basedOn w:val="Fuentedeprrafopredeter"/>
    <w:uiPriority w:val="99"/>
    <w:unhideWhenUsed/>
    <w:rsid w:val="00D8203F"/>
    <w:rPr>
      <w:color w:val="0563C1" w:themeColor="hyperlink"/>
      <w:u w:val="single"/>
    </w:rPr>
  </w:style>
  <w:style w:type="character" w:styleId="Refdecomentario">
    <w:name w:val="annotation reference"/>
    <w:basedOn w:val="Fuentedeprrafopredeter"/>
    <w:uiPriority w:val="99"/>
    <w:semiHidden/>
    <w:unhideWhenUsed/>
    <w:rsid w:val="002C6689"/>
    <w:rPr>
      <w:sz w:val="16"/>
      <w:szCs w:val="16"/>
    </w:rPr>
  </w:style>
  <w:style w:type="paragraph" w:styleId="Textocomentario">
    <w:name w:val="annotation text"/>
    <w:basedOn w:val="Normal"/>
    <w:link w:val="TextocomentarioCar"/>
    <w:uiPriority w:val="99"/>
    <w:semiHidden/>
    <w:unhideWhenUsed/>
    <w:rsid w:val="002C66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6689"/>
    <w:rPr>
      <w:rFonts w:ascii="Palatino Linotype" w:hAnsi="Palatino Linotype"/>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2C6689"/>
    <w:rPr>
      <w:b/>
      <w:bCs/>
    </w:rPr>
  </w:style>
  <w:style w:type="character" w:customStyle="1" w:styleId="AsuntodelcomentarioCar">
    <w:name w:val="Asunto del comentario Car"/>
    <w:basedOn w:val="TextocomentarioCar"/>
    <w:link w:val="Asuntodelcomentario"/>
    <w:uiPriority w:val="99"/>
    <w:semiHidden/>
    <w:rsid w:val="002C6689"/>
    <w:rPr>
      <w:rFonts w:ascii="Palatino Linotype" w:hAnsi="Palatino Linotype"/>
      <w:b/>
      <w:bCs/>
      <w:color w:val="000000" w:themeColor="text1"/>
      <w:sz w:val="20"/>
      <w:szCs w:val="20"/>
    </w:rPr>
  </w:style>
  <w:style w:type="character" w:customStyle="1" w:styleId="Mencinsinresolver1">
    <w:name w:val="Mención sin resolver1"/>
    <w:basedOn w:val="Fuentedeprrafopredeter"/>
    <w:uiPriority w:val="99"/>
    <w:semiHidden/>
    <w:unhideWhenUsed/>
    <w:rsid w:val="00251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80207">
      <w:bodyDiv w:val="1"/>
      <w:marLeft w:val="0"/>
      <w:marRight w:val="0"/>
      <w:marTop w:val="0"/>
      <w:marBottom w:val="0"/>
      <w:divBdr>
        <w:top w:val="none" w:sz="0" w:space="0" w:color="auto"/>
        <w:left w:val="none" w:sz="0" w:space="0" w:color="auto"/>
        <w:bottom w:val="none" w:sz="0" w:space="0" w:color="auto"/>
        <w:right w:val="none" w:sz="0" w:space="0" w:color="auto"/>
      </w:divBdr>
    </w:div>
    <w:div w:id="221673005">
      <w:bodyDiv w:val="1"/>
      <w:marLeft w:val="0"/>
      <w:marRight w:val="0"/>
      <w:marTop w:val="0"/>
      <w:marBottom w:val="0"/>
      <w:divBdr>
        <w:top w:val="none" w:sz="0" w:space="0" w:color="auto"/>
        <w:left w:val="none" w:sz="0" w:space="0" w:color="auto"/>
        <w:bottom w:val="none" w:sz="0" w:space="0" w:color="auto"/>
        <w:right w:val="none" w:sz="0" w:space="0" w:color="auto"/>
      </w:divBdr>
    </w:div>
    <w:div w:id="236674019">
      <w:bodyDiv w:val="1"/>
      <w:marLeft w:val="0"/>
      <w:marRight w:val="0"/>
      <w:marTop w:val="0"/>
      <w:marBottom w:val="0"/>
      <w:divBdr>
        <w:top w:val="none" w:sz="0" w:space="0" w:color="auto"/>
        <w:left w:val="none" w:sz="0" w:space="0" w:color="auto"/>
        <w:bottom w:val="none" w:sz="0" w:space="0" w:color="auto"/>
        <w:right w:val="none" w:sz="0" w:space="0" w:color="auto"/>
      </w:divBdr>
    </w:div>
    <w:div w:id="351684440">
      <w:bodyDiv w:val="1"/>
      <w:marLeft w:val="0"/>
      <w:marRight w:val="0"/>
      <w:marTop w:val="0"/>
      <w:marBottom w:val="0"/>
      <w:divBdr>
        <w:top w:val="none" w:sz="0" w:space="0" w:color="auto"/>
        <w:left w:val="none" w:sz="0" w:space="0" w:color="auto"/>
        <w:bottom w:val="none" w:sz="0" w:space="0" w:color="auto"/>
        <w:right w:val="none" w:sz="0" w:space="0" w:color="auto"/>
      </w:divBdr>
    </w:div>
    <w:div w:id="485173481">
      <w:bodyDiv w:val="1"/>
      <w:marLeft w:val="0"/>
      <w:marRight w:val="0"/>
      <w:marTop w:val="0"/>
      <w:marBottom w:val="0"/>
      <w:divBdr>
        <w:top w:val="none" w:sz="0" w:space="0" w:color="auto"/>
        <w:left w:val="none" w:sz="0" w:space="0" w:color="auto"/>
        <w:bottom w:val="none" w:sz="0" w:space="0" w:color="auto"/>
        <w:right w:val="none" w:sz="0" w:space="0" w:color="auto"/>
      </w:divBdr>
    </w:div>
    <w:div w:id="546142157">
      <w:bodyDiv w:val="1"/>
      <w:marLeft w:val="0"/>
      <w:marRight w:val="0"/>
      <w:marTop w:val="0"/>
      <w:marBottom w:val="0"/>
      <w:divBdr>
        <w:top w:val="none" w:sz="0" w:space="0" w:color="auto"/>
        <w:left w:val="none" w:sz="0" w:space="0" w:color="auto"/>
        <w:bottom w:val="none" w:sz="0" w:space="0" w:color="auto"/>
        <w:right w:val="none" w:sz="0" w:space="0" w:color="auto"/>
      </w:divBdr>
    </w:div>
    <w:div w:id="551186618">
      <w:bodyDiv w:val="1"/>
      <w:marLeft w:val="0"/>
      <w:marRight w:val="0"/>
      <w:marTop w:val="0"/>
      <w:marBottom w:val="0"/>
      <w:divBdr>
        <w:top w:val="none" w:sz="0" w:space="0" w:color="auto"/>
        <w:left w:val="none" w:sz="0" w:space="0" w:color="auto"/>
        <w:bottom w:val="none" w:sz="0" w:space="0" w:color="auto"/>
        <w:right w:val="none" w:sz="0" w:space="0" w:color="auto"/>
      </w:divBdr>
    </w:div>
    <w:div w:id="594291301">
      <w:bodyDiv w:val="1"/>
      <w:marLeft w:val="0"/>
      <w:marRight w:val="0"/>
      <w:marTop w:val="0"/>
      <w:marBottom w:val="0"/>
      <w:divBdr>
        <w:top w:val="none" w:sz="0" w:space="0" w:color="auto"/>
        <w:left w:val="none" w:sz="0" w:space="0" w:color="auto"/>
        <w:bottom w:val="none" w:sz="0" w:space="0" w:color="auto"/>
        <w:right w:val="none" w:sz="0" w:space="0" w:color="auto"/>
      </w:divBdr>
    </w:div>
    <w:div w:id="653991791">
      <w:bodyDiv w:val="1"/>
      <w:marLeft w:val="0"/>
      <w:marRight w:val="0"/>
      <w:marTop w:val="0"/>
      <w:marBottom w:val="0"/>
      <w:divBdr>
        <w:top w:val="none" w:sz="0" w:space="0" w:color="auto"/>
        <w:left w:val="none" w:sz="0" w:space="0" w:color="auto"/>
        <w:bottom w:val="none" w:sz="0" w:space="0" w:color="auto"/>
        <w:right w:val="none" w:sz="0" w:space="0" w:color="auto"/>
      </w:divBdr>
    </w:div>
    <w:div w:id="681132400">
      <w:bodyDiv w:val="1"/>
      <w:marLeft w:val="0"/>
      <w:marRight w:val="0"/>
      <w:marTop w:val="0"/>
      <w:marBottom w:val="0"/>
      <w:divBdr>
        <w:top w:val="none" w:sz="0" w:space="0" w:color="auto"/>
        <w:left w:val="none" w:sz="0" w:space="0" w:color="auto"/>
        <w:bottom w:val="none" w:sz="0" w:space="0" w:color="auto"/>
        <w:right w:val="none" w:sz="0" w:space="0" w:color="auto"/>
      </w:divBdr>
    </w:div>
    <w:div w:id="1091388285">
      <w:bodyDiv w:val="1"/>
      <w:marLeft w:val="0"/>
      <w:marRight w:val="0"/>
      <w:marTop w:val="0"/>
      <w:marBottom w:val="0"/>
      <w:divBdr>
        <w:top w:val="none" w:sz="0" w:space="0" w:color="auto"/>
        <w:left w:val="none" w:sz="0" w:space="0" w:color="auto"/>
        <w:bottom w:val="none" w:sz="0" w:space="0" w:color="auto"/>
        <w:right w:val="none" w:sz="0" w:space="0" w:color="auto"/>
      </w:divBdr>
    </w:div>
    <w:div w:id="1172454315">
      <w:bodyDiv w:val="1"/>
      <w:marLeft w:val="0"/>
      <w:marRight w:val="0"/>
      <w:marTop w:val="0"/>
      <w:marBottom w:val="0"/>
      <w:divBdr>
        <w:top w:val="none" w:sz="0" w:space="0" w:color="auto"/>
        <w:left w:val="none" w:sz="0" w:space="0" w:color="auto"/>
        <w:bottom w:val="none" w:sz="0" w:space="0" w:color="auto"/>
        <w:right w:val="none" w:sz="0" w:space="0" w:color="auto"/>
      </w:divBdr>
    </w:div>
    <w:div w:id="1252356476">
      <w:bodyDiv w:val="1"/>
      <w:marLeft w:val="0"/>
      <w:marRight w:val="0"/>
      <w:marTop w:val="0"/>
      <w:marBottom w:val="0"/>
      <w:divBdr>
        <w:top w:val="none" w:sz="0" w:space="0" w:color="auto"/>
        <w:left w:val="none" w:sz="0" w:space="0" w:color="auto"/>
        <w:bottom w:val="none" w:sz="0" w:space="0" w:color="auto"/>
        <w:right w:val="none" w:sz="0" w:space="0" w:color="auto"/>
      </w:divBdr>
    </w:div>
    <w:div w:id="1510557283">
      <w:bodyDiv w:val="1"/>
      <w:marLeft w:val="0"/>
      <w:marRight w:val="0"/>
      <w:marTop w:val="0"/>
      <w:marBottom w:val="0"/>
      <w:divBdr>
        <w:top w:val="none" w:sz="0" w:space="0" w:color="auto"/>
        <w:left w:val="none" w:sz="0" w:space="0" w:color="auto"/>
        <w:bottom w:val="none" w:sz="0" w:space="0" w:color="auto"/>
        <w:right w:val="none" w:sz="0" w:space="0" w:color="auto"/>
      </w:divBdr>
    </w:div>
    <w:div w:id="1666591127">
      <w:bodyDiv w:val="1"/>
      <w:marLeft w:val="0"/>
      <w:marRight w:val="0"/>
      <w:marTop w:val="0"/>
      <w:marBottom w:val="0"/>
      <w:divBdr>
        <w:top w:val="none" w:sz="0" w:space="0" w:color="auto"/>
        <w:left w:val="none" w:sz="0" w:space="0" w:color="auto"/>
        <w:bottom w:val="none" w:sz="0" w:space="0" w:color="auto"/>
        <w:right w:val="none" w:sz="0" w:space="0" w:color="auto"/>
      </w:divBdr>
    </w:div>
    <w:div w:id="1814132257">
      <w:bodyDiv w:val="1"/>
      <w:marLeft w:val="0"/>
      <w:marRight w:val="0"/>
      <w:marTop w:val="0"/>
      <w:marBottom w:val="0"/>
      <w:divBdr>
        <w:top w:val="none" w:sz="0" w:space="0" w:color="auto"/>
        <w:left w:val="none" w:sz="0" w:space="0" w:color="auto"/>
        <w:bottom w:val="none" w:sz="0" w:space="0" w:color="auto"/>
        <w:right w:val="none" w:sz="0" w:space="0" w:color="auto"/>
      </w:divBdr>
    </w:div>
    <w:div w:id="1952976648">
      <w:bodyDiv w:val="1"/>
      <w:marLeft w:val="0"/>
      <w:marRight w:val="0"/>
      <w:marTop w:val="0"/>
      <w:marBottom w:val="0"/>
      <w:divBdr>
        <w:top w:val="none" w:sz="0" w:space="0" w:color="auto"/>
        <w:left w:val="none" w:sz="0" w:space="0" w:color="auto"/>
        <w:bottom w:val="none" w:sz="0" w:space="0" w:color="auto"/>
        <w:right w:val="none" w:sz="0" w:space="0" w:color="auto"/>
      </w:divBdr>
    </w:div>
    <w:div w:id="1966037166">
      <w:bodyDiv w:val="1"/>
      <w:marLeft w:val="0"/>
      <w:marRight w:val="0"/>
      <w:marTop w:val="0"/>
      <w:marBottom w:val="0"/>
      <w:divBdr>
        <w:top w:val="none" w:sz="0" w:space="0" w:color="auto"/>
        <w:left w:val="none" w:sz="0" w:space="0" w:color="auto"/>
        <w:bottom w:val="none" w:sz="0" w:space="0" w:color="auto"/>
        <w:right w:val="none" w:sz="0" w:space="0" w:color="auto"/>
      </w:divBdr>
    </w:div>
    <w:div w:id="2025666133">
      <w:bodyDiv w:val="1"/>
      <w:marLeft w:val="0"/>
      <w:marRight w:val="0"/>
      <w:marTop w:val="0"/>
      <w:marBottom w:val="0"/>
      <w:divBdr>
        <w:top w:val="none" w:sz="0" w:space="0" w:color="auto"/>
        <w:left w:val="none" w:sz="0" w:space="0" w:color="auto"/>
        <w:bottom w:val="none" w:sz="0" w:space="0" w:color="auto"/>
        <w:right w:val="none" w:sz="0" w:space="0" w:color="auto"/>
      </w:divBdr>
    </w:div>
    <w:div w:id="209728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A91605"/>
    <w:rsid w:val="00A91605"/>
    <w:rsid w:val="00C435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64309-A1C2-40C4-A8BD-0776465F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4341</Words>
  <Characters>23881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USUARIO</cp:lastModifiedBy>
  <cp:revision>2</cp:revision>
  <dcterms:created xsi:type="dcterms:W3CDTF">2022-05-17T16:31:00Z</dcterms:created>
  <dcterms:modified xsi:type="dcterms:W3CDTF">2022-05-17T16:31:00Z</dcterms:modified>
</cp:coreProperties>
</file>