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819" w:rsidRDefault="00A02C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Palatino Linotype" w:hAnsi="Palatino Linotype" w:cs="Palatino Linotype"/>
          <w:b/>
        </w:rPr>
        <w:t>veintitrés de febrero de dos mil veintidós</w:t>
      </w:r>
      <w:r>
        <w:rPr>
          <w:rFonts w:ascii="Palatino Linotype" w:eastAsia="Palatino Linotype" w:hAnsi="Palatino Linotype" w:cs="Palatino Linotype"/>
        </w:rPr>
        <w:t xml:space="preserve">. </w:t>
      </w:r>
    </w:p>
    <w:p w:rsidR="00A60819" w:rsidRDefault="00A02C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00049/INFOEM/IP/RR/2022</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r w:rsidR="00BE1ECB" w:rsidRPr="00BE1ECB">
        <w:rPr>
          <w:rFonts w:ascii="Palatino Linotype" w:eastAsia="Palatino Linotype" w:hAnsi="Palatino Linotype" w:cs="Palatino Linotype"/>
          <w:b/>
        </w:rPr>
        <w:t>xxxxxxx xxxxxx xxxxxx</w:t>
      </w:r>
      <w:bookmarkStart w:id="0" w:name="_GoBack"/>
      <w:bookmarkEnd w:id="0"/>
      <w:r>
        <w:rPr>
          <w:rFonts w:ascii="Palatino Linotype" w:eastAsia="Palatino Linotype" w:hAnsi="Palatino Linotype" w:cs="Palatino Linotype"/>
          <w:b/>
        </w:rPr>
        <w:t xml:space="preserve">, </w:t>
      </w:r>
      <w:r>
        <w:rPr>
          <w:rFonts w:ascii="Palatino Linotype" w:eastAsia="Palatino Linotype" w:hAnsi="Palatino Linotype" w:cs="Palatino Linotype"/>
        </w:rPr>
        <w:t>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por parte del </w:t>
      </w:r>
      <w:r>
        <w:rPr>
          <w:rFonts w:ascii="Palatino Linotype" w:eastAsia="Palatino Linotype" w:hAnsi="Palatino Linotype" w:cs="Palatino Linotype"/>
          <w:b/>
        </w:rPr>
        <w:t xml:space="preserve">Ayuntamiento de Ayapango,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A60819" w:rsidRDefault="00A02CB7">
      <w:pPr>
        <w:spacing w:before="240"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rPr>
        <w:t>I. A N T E C E D E N T E S</w:t>
      </w:r>
    </w:p>
    <w:p w:rsidR="00A60819" w:rsidRDefault="00A02CB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catorce de diciembre de dos mil veintiuno,</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00125/AYAPANGO/IP/2021, </w:t>
      </w:r>
      <w:r>
        <w:rPr>
          <w:rFonts w:ascii="Palatino Linotype" w:eastAsia="Palatino Linotype" w:hAnsi="Palatino Linotype" w:cs="Palatino Linotype"/>
        </w:rPr>
        <w:t xml:space="preserve">mediante la cual requirió la información siguiente: </w:t>
      </w:r>
    </w:p>
    <w:p w:rsidR="00A60819" w:rsidRDefault="00A02CB7">
      <w:pPr>
        <w:ind w:left="851" w:right="902"/>
        <w:jc w:val="both"/>
        <w:rPr>
          <w:rFonts w:ascii="Palatino Linotype" w:eastAsia="Palatino Linotype" w:hAnsi="Palatino Linotype" w:cs="Palatino Linotype"/>
          <w:b/>
          <w:i/>
          <w:sz w:val="22"/>
          <w:szCs w:val="22"/>
        </w:rPr>
      </w:pPr>
      <w:bookmarkStart w:id="1" w:name="_heading=h.gjdgxs" w:colFirst="0" w:colLast="0"/>
      <w:bookmarkEnd w:id="1"/>
      <w:r>
        <w:rPr>
          <w:rFonts w:ascii="Palatino Linotype" w:eastAsia="Palatino Linotype" w:hAnsi="Palatino Linotype" w:cs="Palatino Linotype"/>
          <w:i/>
          <w:sz w:val="22"/>
          <w:szCs w:val="22"/>
        </w:rPr>
        <w:t>“SOLICITO AL SUJETO OBLIGADO ME INFORME QUE UNIDAD ADMINISTRATIVA SE ENCARGA DE LAS ENAJENACIONES DE BIENES MUEBLES Y DE QUE DIRECCIÓN GENERAL DEPENDE DICHA UNIDAD ADMINISTRATIVA.” (sic)</w:t>
      </w:r>
    </w:p>
    <w:p w:rsidR="00A60819" w:rsidRDefault="00A60819">
      <w:pPr>
        <w:ind w:right="900"/>
        <w:jc w:val="both"/>
        <w:rPr>
          <w:rFonts w:ascii="Palatino Linotype" w:eastAsia="Palatino Linotype" w:hAnsi="Palatino Linotype" w:cs="Palatino Linotype"/>
        </w:rPr>
      </w:pPr>
    </w:p>
    <w:p w:rsidR="00A60819" w:rsidRDefault="00A02C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Archivos adjuntos:</w:t>
      </w:r>
      <w:r>
        <w:rPr>
          <w:rFonts w:ascii="Palatino Linotype" w:eastAsia="Palatino Linotype" w:hAnsi="Palatino Linotype" w:cs="Palatino Linotype"/>
        </w:rPr>
        <w:t xml:space="preserve"> Ninguno</w:t>
      </w:r>
    </w:p>
    <w:p w:rsidR="00A60819" w:rsidRDefault="00A02C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A60819" w:rsidRDefault="00A60819">
      <w:pPr>
        <w:spacing w:before="240" w:after="240" w:line="360" w:lineRule="auto"/>
        <w:jc w:val="both"/>
        <w:rPr>
          <w:rFonts w:ascii="Palatino Linotype" w:eastAsia="Palatino Linotype" w:hAnsi="Palatino Linotype" w:cs="Palatino Linotype"/>
          <w:b/>
        </w:rPr>
      </w:pPr>
    </w:p>
    <w:p w:rsidR="00A60819" w:rsidRDefault="00A02CB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veintidós de diciembre de dos mil veintiuno</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su respuesta a la solicitud de acceso a la información a través de </w:t>
      </w:r>
      <w:r>
        <w:rPr>
          <w:rFonts w:ascii="Palatino Linotype" w:eastAsia="Palatino Linotype" w:hAnsi="Palatino Linotype" w:cs="Palatino Linotype"/>
          <w:b/>
        </w:rPr>
        <w:t>SAIMEX</w:t>
      </w:r>
      <w:r>
        <w:rPr>
          <w:rFonts w:ascii="Palatino Linotype" w:eastAsia="Palatino Linotype" w:hAnsi="Palatino Linotype" w:cs="Palatino Linotype"/>
        </w:rPr>
        <w:t xml:space="preserve">, sustancialmente en los términos siguientes:   </w:t>
      </w:r>
    </w:p>
    <w:p w:rsidR="00A60819" w:rsidRDefault="00A02CB7">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BUENA TARDE Aprovecho este medio para saludarle, al tiempo que hago entrega de la respuesta emitida por la Secretaria de Ayuntamiento del H. Ayuntamiento de Ayapango, a la solicitud con numero 00125/AYAPANGO/IP/2021. Sin otro particular, me dispongo a sus ordenes. ATENTAMENTE C. ANA KAREN GONZÁLEZ GONZÁLEZ TITULAR DE LA UNIDAD DE INFORMACIÓN PÚBLICA</w:t>
      </w:r>
    </w:p>
    <w:p w:rsidR="00A60819" w:rsidRDefault="00A02CB7">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rsidR="00A60819" w:rsidRDefault="00A02CB7">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 L.L.L ANA KAREN GONZÁLEZ GONZÁLEZ” (sic)</w:t>
      </w:r>
    </w:p>
    <w:p w:rsidR="00A60819" w:rsidRDefault="00A60819">
      <w:pPr>
        <w:ind w:left="851" w:right="900"/>
        <w:jc w:val="both"/>
        <w:rPr>
          <w:rFonts w:ascii="Palatino Linotype" w:eastAsia="Palatino Linotype" w:hAnsi="Palatino Linotype" w:cs="Palatino Linotype"/>
          <w:i/>
          <w:sz w:val="22"/>
          <w:szCs w:val="22"/>
        </w:rPr>
      </w:pPr>
    </w:p>
    <w:p w:rsidR="00A60819" w:rsidRDefault="00A02CB7">
      <w:pPr>
        <w:spacing w:line="360" w:lineRule="auto"/>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Archivos adjuntos: </w:t>
      </w:r>
      <w:r>
        <w:rPr>
          <w:rFonts w:ascii="Palatino Linotype" w:eastAsia="Palatino Linotype" w:hAnsi="Palatino Linotype" w:cs="Palatino Linotype"/>
          <w:b/>
          <w:i/>
          <w:sz w:val="22"/>
          <w:szCs w:val="22"/>
        </w:rPr>
        <w:t xml:space="preserve">“solicitud 125.pdf”: </w:t>
      </w:r>
      <w:r>
        <w:rPr>
          <w:rFonts w:ascii="Palatino Linotype" w:eastAsia="Palatino Linotype" w:hAnsi="Palatino Linotype" w:cs="Palatino Linotype"/>
          <w:sz w:val="22"/>
          <w:szCs w:val="22"/>
        </w:rPr>
        <w:t xml:space="preserve">Oficio de una hoja signado por el Secretario del Ayuntamiento, el cual se inserta a continuación para mator referencia: </w:t>
      </w:r>
      <w:r>
        <w:rPr>
          <w:noProof/>
          <w:lang w:val="es-MX"/>
        </w:rPr>
        <mc:AlternateContent>
          <mc:Choice Requires="wpg">
            <w:drawing>
              <wp:anchor distT="0" distB="0" distL="114300" distR="114300" simplePos="0" relativeHeight="251658240" behindDoc="0" locked="0" layoutInCell="1" hidden="0" allowOverlap="1">
                <wp:simplePos x="0" y="0"/>
                <wp:positionH relativeFrom="column">
                  <wp:posOffset>647700</wp:posOffset>
                </wp:positionH>
                <wp:positionV relativeFrom="paragraph">
                  <wp:posOffset>825500</wp:posOffset>
                </wp:positionV>
                <wp:extent cx="4724400" cy="3686175"/>
                <wp:effectExtent l="0" t="0" r="0" b="0"/>
                <wp:wrapNone/>
                <wp:docPr id="34" name="Conector recto de flecha 34"/>
                <wp:cNvGraphicFramePr/>
                <a:graphic xmlns:a="http://schemas.openxmlformats.org/drawingml/2006/main">
                  <a:graphicData uri="http://schemas.microsoft.com/office/word/2010/wordprocessingShape">
                    <wps:wsp>
                      <wps:cNvCnPr/>
                      <wps:spPr>
                        <a:xfrm>
                          <a:off x="2988563" y="1941675"/>
                          <a:ext cx="4714875" cy="367665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647700</wp:posOffset>
                </wp:positionH>
                <wp:positionV relativeFrom="paragraph">
                  <wp:posOffset>825500</wp:posOffset>
                </wp:positionV>
                <wp:extent cx="4724400" cy="3686175"/>
                <wp:effectExtent b="0" l="0" r="0" t="0"/>
                <wp:wrapNone/>
                <wp:docPr id="3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4724400" cy="3686175"/>
                        </a:xfrm>
                        <a:prstGeom prst="rect"/>
                        <a:ln/>
                      </pic:spPr>
                    </pic:pic>
                  </a:graphicData>
                </a:graphic>
              </wp:anchor>
            </w:drawing>
          </mc:Fallback>
        </mc:AlternateContent>
      </w:r>
    </w:p>
    <w:p w:rsidR="00A60819" w:rsidRDefault="00A02CB7">
      <w:pPr>
        <w:spacing w:line="360" w:lineRule="auto"/>
        <w:ind w:left="851" w:right="902"/>
        <w:jc w:val="center"/>
        <w:rPr>
          <w:rFonts w:ascii="Palatino Linotype" w:eastAsia="Palatino Linotype" w:hAnsi="Palatino Linotype" w:cs="Palatino Linotype"/>
          <w:sz w:val="22"/>
          <w:szCs w:val="22"/>
        </w:rPr>
      </w:pPr>
      <w:r>
        <w:rPr>
          <w:noProof/>
          <w:lang w:val="es-MX"/>
        </w:rPr>
        <w:lastRenderedPageBreak/>
        <w:drawing>
          <wp:anchor distT="0" distB="0" distL="114300" distR="114300" simplePos="0" relativeHeight="251659264" behindDoc="0" locked="0" layoutInCell="1" hidden="0" allowOverlap="1">
            <wp:simplePos x="0" y="0"/>
            <wp:positionH relativeFrom="column">
              <wp:posOffset>110491</wp:posOffset>
            </wp:positionH>
            <wp:positionV relativeFrom="paragraph">
              <wp:posOffset>0</wp:posOffset>
            </wp:positionV>
            <wp:extent cx="5610225" cy="6153150"/>
            <wp:effectExtent l="0" t="0" r="0" b="0"/>
            <wp:wrapTopAndBottom distT="0" distB="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10225" cy="6153150"/>
                    </a:xfrm>
                    <a:prstGeom prst="rect">
                      <a:avLst/>
                    </a:prstGeom>
                    <a:ln/>
                  </pic:spPr>
                </pic:pic>
              </a:graphicData>
            </a:graphic>
          </wp:anchor>
        </w:drawing>
      </w:r>
    </w:p>
    <w:p w:rsidR="00A60819" w:rsidRDefault="00A02CB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diez de enero de dos mil </w:t>
      </w:r>
      <w:r>
        <w:rPr>
          <w:rFonts w:ascii="Palatino Linotype" w:eastAsia="Palatino Linotype" w:hAnsi="Palatino Linotype" w:cs="Palatino Linotype"/>
          <w:b/>
        </w:rPr>
        <w:lastRenderedPageBreak/>
        <w:t>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rsidR="00A60819" w:rsidRDefault="00A02CB7">
      <w:pPr>
        <w:tabs>
          <w:tab w:val="left" w:pos="2745"/>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r>
        <w:rPr>
          <w:rFonts w:ascii="Palatino Linotype" w:eastAsia="Palatino Linotype" w:hAnsi="Palatino Linotype" w:cs="Palatino Linotype"/>
          <w:b/>
        </w:rPr>
        <w:tab/>
      </w:r>
    </w:p>
    <w:p w:rsidR="00A60819" w:rsidRDefault="00A60819">
      <w:pPr>
        <w:spacing w:line="360" w:lineRule="auto"/>
        <w:ind w:left="851" w:right="900"/>
        <w:jc w:val="both"/>
        <w:rPr>
          <w:rFonts w:ascii="Palatino Linotype" w:eastAsia="Palatino Linotype" w:hAnsi="Palatino Linotype" w:cs="Palatino Linotype"/>
          <w:i/>
          <w:sz w:val="2"/>
          <w:szCs w:val="2"/>
        </w:rPr>
      </w:pPr>
    </w:p>
    <w:p w:rsidR="00A60819" w:rsidRDefault="00A02CB7">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al sujeto obligado me informe que unidad administrativa se encarga de las Enajenaciones de Bienes Muebles y de qué Dirección general depende dicha unidad administrativa.” (sic)</w:t>
      </w:r>
    </w:p>
    <w:p w:rsidR="00A60819" w:rsidRDefault="00A60819">
      <w:pPr>
        <w:spacing w:line="360" w:lineRule="auto"/>
        <w:jc w:val="both"/>
        <w:rPr>
          <w:rFonts w:ascii="Palatino Linotype" w:eastAsia="Palatino Linotype" w:hAnsi="Palatino Linotype" w:cs="Palatino Linotype"/>
          <w:sz w:val="2"/>
          <w:szCs w:val="2"/>
        </w:rPr>
      </w:pPr>
    </w:p>
    <w:p w:rsidR="00A60819" w:rsidRDefault="00A02C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w:t>
      </w:r>
    </w:p>
    <w:p w:rsidR="00A60819" w:rsidRDefault="00A60819">
      <w:pPr>
        <w:spacing w:line="360" w:lineRule="auto"/>
        <w:jc w:val="both"/>
        <w:rPr>
          <w:rFonts w:ascii="Palatino Linotype" w:eastAsia="Palatino Linotype" w:hAnsi="Palatino Linotype" w:cs="Palatino Linotype"/>
          <w:sz w:val="2"/>
          <w:szCs w:val="2"/>
        </w:rPr>
      </w:pPr>
    </w:p>
    <w:p w:rsidR="00A60819" w:rsidRDefault="00A02CB7">
      <w:pPr>
        <w:ind w:left="851" w:right="900"/>
        <w:jc w:val="both"/>
        <w:rPr>
          <w:rFonts w:ascii="Palatino Linotype" w:eastAsia="Palatino Linotype" w:hAnsi="Palatino Linotype" w:cs="Palatino Linotype"/>
          <w:i/>
          <w:sz w:val="22"/>
          <w:szCs w:val="22"/>
        </w:rPr>
      </w:pPr>
      <w:bookmarkStart w:id="2" w:name="_heading=h.30j0zll" w:colFirst="0" w:colLast="0"/>
      <w:bookmarkEnd w:id="2"/>
      <w:r>
        <w:rPr>
          <w:rFonts w:ascii="Palatino Linotype" w:eastAsia="Palatino Linotype" w:hAnsi="Palatino Linotype" w:cs="Palatino Linotype"/>
          <w:i/>
          <w:sz w:val="22"/>
          <w:szCs w:val="22"/>
        </w:rPr>
        <w:t xml:space="preserve"> “Se le solicito al sujeto obligado informara ¿Qué unidad administrativa se encarga de EJECUTAR el procedimiento de enajenación de bienes muebles?” (sic)</w:t>
      </w:r>
    </w:p>
    <w:p w:rsidR="00A60819" w:rsidRDefault="00A02CB7">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Anexos: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adjuntó archivos.</w:t>
      </w:r>
    </w:p>
    <w:p w:rsidR="00A60819" w:rsidRDefault="00A02CB7">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a efecto de que analizara sobre su admisión o su desechamiento.</w:t>
      </w:r>
    </w:p>
    <w:p w:rsidR="00A60819" w:rsidRDefault="00A02CB7">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 Admisión del Recurso de revisión.</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Con fecha</w:t>
      </w:r>
      <w:r>
        <w:rPr>
          <w:rFonts w:ascii="Palatino Linotype" w:eastAsia="Palatino Linotype" w:hAnsi="Palatino Linotype" w:cs="Palatino Linotype"/>
          <w:b/>
        </w:rPr>
        <w:t xml:space="preserve"> trece de enero de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rsidR="00A60819" w:rsidRDefault="00A02C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6. Manifestaciones</w:t>
      </w:r>
      <w:r>
        <w:rPr>
          <w:rFonts w:ascii="Palatino Linotype" w:eastAsia="Palatino Linotype" w:hAnsi="Palatino Linotype" w:cs="Palatino Linotype"/>
        </w:rPr>
        <w:t>.</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De las constancias que obran en el expediente electrónico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rindió su informe justificado en fecha </w:t>
      </w:r>
      <w:r>
        <w:rPr>
          <w:rFonts w:ascii="Palatino Linotype" w:eastAsia="Palatino Linotype" w:hAnsi="Palatino Linotype" w:cs="Palatino Linotype"/>
          <w:b/>
        </w:rPr>
        <w:t>once de febrero de dos mil veintidós</w:t>
      </w:r>
      <w:r>
        <w:rPr>
          <w:rFonts w:ascii="Palatino Linotype" w:eastAsia="Palatino Linotype" w:hAnsi="Palatino Linotype" w:cs="Palatino Linotype"/>
        </w:rPr>
        <w:t xml:space="preserve">, el cual se puso a la vista del Recurrente mediante acuerdo de fecha diecisiete de febrero de dos mil veintidós, asimismo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rsidR="00A60819" w:rsidRDefault="00A02CB7">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extent cx="5610225" cy="2409825"/>
            <wp:effectExtent l="0" t="0" r="0" b="0"/>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610225" cy="2409825"/>
                    </a:xfrm>
                    <a:prstGeom prst="rect">
                      <a:avLst/>
                    </a:prstGeom>
                    <a:ln/>
                  </pic:spPr>
                </pic:pic>
              </a:graphicData>
            </a:graphic>
          </wp:inline>
        </w:drawing>
      </w:r>
    </w:p>
    <w:p w:rsidR="00A60819" w:rsidRDefault="00A02C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Pr>
          <w:rFonts w:ascii="Palatino Linotype" w:eastAsia="Palatino Linotype" w:hAnsi="Palatino Linotype" w:cs="Palatino Linotype"/>
          <w:b/>
        </w:rPr>
        <w:t>veintitrés de febrero de dos mil veintidós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A60819" w:rsidRDefault="00A02CB7">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A60819" w:rsidRDefault="00A02CB7">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lastRenderedPageBreak/>
        <w:t>II. C O N S I D E R A N D O S</w:t>
      </w:r>
    </w:p>
    <w:p w:rsidR="00A60819" w:rsidRDefault="00A02C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A60819" w:rsidRDefault="00A02CB7">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A60819" w:rsidRDefault="00A02CB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la respuesta a la solicitud de información el día </w:t>
      </w:r>
      <w:r>
        <w:rPr>
          <w:rFonts w:ascii="Palatino Linotype" w:eastAsia="Palatino Linotype" w:hAnsi="Palatino Linotype" w:cs="Palatino Linotype"/>
          <w:b/>
        </w:rPr>
        <w:t xml:space="preserve">veintidós de diciembre de dos mil veintiuno, </w:t>
      </w:r>
      <w:r>
        <w:rPr>
          <w:rFonts w:ascii="Palatino Linotype" w:eastAsia="Palatino Linotype" w:hAnsi="Palatino Linotype" w:cs="Palatino Linotype"/>
        </w:rPr>
        <w:t xml:space="preserve">mientras que el recurso de revisión interpuesto por la parte recurrente, se tuvo por presentado el día </w:t>
      </w:r>
      <w:r>
        <w:rPr>
          <w:rFonts w:ascii="Palatino Linotype" w:eastAsia="Palatino Linotype" w:hAnsi="Palatino Linotype" w:cs="Palatino Linotype"/>
          <w:b/>
        </w:rPr>
        <w:t>diez de enero de dos mil veintidós</w:t>
      </w:r>
      <w:r>
        <w:rPr>
          <w:rFonts w:ascii="Palatino Linotype" w:eastAsia="Palatino Linotype" w:hAnsi="Palatino Linotype" w:cs="Palatino Linotype"/>
        </w:rPr>
        <w:t xml:space="preserve">, esto es, al </w:t>
      </w:r>
      <w:r>
        <w:rPr>
          <w:rFonts w:ascii="Palatino Linotype" w:eastAsia="Palatino Linotype" w:hAnsi="Palatino Linotype" w:cs="Palatino Linotype"/>
          <w:b/>
        </w:rPr>
        <w:t>primer día hábil</w:t>
      </w:r>
      <w:r>
        <w:rPr>
          <w:rFonts w:ascii="Palatino Linotype" w:eastAsia="Palatino Linotype" w:hAnsi="Palatino Linotype" w:cs="Palatino Linotype"/>
        </w:rPr>
        <w:t xml:space="preserve"> posterior en que tuvo conocimiento de la respuesta impugnada.</w:t>
      </w:r>
    </w:p>
    <w:p w:rsidR="00A60819" w:rsidRDefault="00A02CB7">
      <w:pPr>
        <w:spacing w:before="240" w:after="240" w:line="360" w:lineRule="auto"/>
        <w:jc w:val="both"/>
        <w:rPr>
          <w:rFonts w:ascii="Palatino Linotype" w:eastAsia="Palatino Linotype" w:hAnsi="Palatino Linotype" w:cs="Palatino Linotype"/>
        </w:rPr>
      </w:pPr>
      <w:bookmarkStart w:id="4" w:name="_heading=h.3znysh7" w:colFirst="0" w:colLast="0"/>
      <w:bookmarkEnd w:id="4"/>
      <w:r>
        <w:rPr>
          <w:rFonts w:ascii="Palatino Linotype" w:eastAsia="Palatino Linotype" w:hAnsi="Palatino Linotype" w:cs="Palatino Linotype"/>
        </w:rPr>
        <w:t xml:space="preserve">En este sentido, al considerar la fecha en que se formuló la solicitud y la fecha en que respondió a ésta el </w:t>
      </w:r>
      <w:r>
        <w:rPr>
          <w:rFonts w:ascii="Palatino Linotype" w:eastAsia="Palatino Linotype" w:hAnsi="Palatino Linotype" w:cs="Palatino Linotype"/>
          <w:b/>
        </w:rPr>
        <w:t>Sujeto Obligado</w:t>
      </w:r>
      <w:r>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A60819" w:rsidRDefault="00A02C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A60819" w:rsidRDefault="00A02C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advierte que resulta procedente la interposición del recurso, según lo manifestado por el recurrente en sus motivos de inconformidad, de acuerdo al artículo 179, fracción VI del ordenamiento legal citado, que a la letra dice: </w:t>
      </w:r>
    </w:p>
    <w:p w:rsidR="00A60819" w:rsidRDefault="00A02CB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A60819" w:rsidRDefault="00A02CB7">
      <w:pPr>
        <w:spacing w:before="120" w:after="120"/>
        <w:ind w:left="993"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A60819" w:rsidRDefault="00A02CB7">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 entrega de información que no corresponda con lo solicitado;”</w:t>
      </w:r>
    </w:p>
    <w:p w:rsidR="00A60819" w:rsidRDefault="00A02CB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Órgano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 oportuna.</w:t>
      </w:r>
    </w:p>
    <w:p w:rsidR="00A60819" w:rsidRDefault="00A02CB7">
      <w:pPr>
        <w:spacing w:before="240" w:after="240" w:line="360" w:lineRule="auto"/>
        <w:ind w:right="51"/>
        <w:jc w:val="both"/>
        <w:rPr>
          <w:rFonts w:ascii="Palatino Linotype" w:eastAsia="Palatino Linotype" w:hAnsi="Palatino Linotype" w:cs="Palatino Linotype"/>
        </w:rPr>
      </w:pPr>
      <w:bookmarkStart w:id="5" w:name="_heading=h.2et92p0" w:colFirst="0" w:colLast="0"/>
      <w:bookmarkEnd w:id="5"/>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Del análisis de la solicitud de información, motivo del recurso de revisión que ahora se resuelve se advierte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requirió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le proporcione, información consistente en lo siguiente:</w:t>
      </w:r>
    </w:p>
    <w:p w:rsidR="00A60819" w:rsidRDefault="00A02CB7">
      <w:pPr>
        <w:numPr>
          <w:ilvl w:val="0"/>
          <w:numId w:val="1"/>
        </w:numPr>
        <w:pBdr>
          <w:top w:val="nil"/>
          <w:left w:val="nil"/>
          <w:bottom w:val="nil"/>
          <w:right w:val="nil"/>
          <w:between w:val="nil"/>
        </w:pBdr>
        <w:spacing w:before="120" w:after="120" w:line="360" w:lineRule="auto"/>
        <w:ind w:right="49" w:hanging="35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Unidad administrativa que se encarga de las enajenaciones de bienes muebles.</w:t>
      </w:r>
    </w:p>
    <w:p w:rsidR="00A60819" w:rsidRDefault="00A02CB7">
      <w:pPr>
        <w:numPr>
          <w:ilvl w:val="0"/>
          <w:numId w:val="1"/>
        </w:numPr>
        <w:pBdr>
          <w:top w:val="nil"/>
          <w:left w:val="nil"/>
          <w:bottom w:val="nil"/>
          <w:right w:val="nil"/>
          <w:between w:val="nil"/>
        </w:pBdr>
        <w:spacing w:before="120" w:after="120" w:line="360" w:lineRule="auto"/>
        <w:ind w:right="49" w:hanging="35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Dirección General a la que depende dicha unidad administrativa.</w:t>
      </w:r>
    </w:p>
    <w:p w:rsidR="00A60819" w:rsidRDefault="00A02CB7">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el </w:t>
      </w:r>
      <w:r>
        <w:rPr>
          <w:rFonts w:ascii="Palatino Linotype" w:eastAsia="Palatino Linotype" w:hAnsi="Palatino Linotype" w:cs="Palatino Linotype"/>
          <w:b/>
        </w:rPr>
        <w:t>Sujeto Obligado</w:t>
      </w:r>
      <w:r>
        <w:rPr>
          <w:rFonts w:ascii="Palatino Linotype" w:eastAsia="Palatino Linotype" w:hAnsi="Palatino Linotype" w:cs="Palatino Linotype"/>
        </w:rPr>
        <w:t>, hizo del conocimiento del particular que la unidad encargada de las enajenaciones de muebles es el Comité de Arrendamientos, Adquisiciones de Inmuebles y enajenaciones.</w:t>
      </w:r>
    </w:p>
    <w:p w:rsidR="00A60819" w:rsidRDefault="00A02CB7">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argumentos, al no estar conforme con los términos de los mismos, presentó el recurso de revisión que nos ocupa, mediante el cual, señaló que se requirió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le informara qué unidad administrativa se encargaba de </w:t>
      </w:r>
      <w:r>
        <w:rPr>
          <w:rFonts w:ascii="Palatino Linotype" w:eastAsia="Palatino Linotype" w:hAnsi="Palatino Linotype" w:cs="Palatino Linotype"/>
          <w:i/>
        </w:rPr>
        <w:t>ejecutar</w:t>
      </w:r>
      <w:r>
        <w:rPr>
          <w:rFonts w:ascii="Palatino Linotype" w:eastAsia="Palatino Linotype" w:hAnsi="Palatino Linotype" w:cs="Palatino Linotype"/>
        </w:rPr>
        <w:t xml:space="preserve"> el procedimiento de enajenación de bienes muebles.</w:t>
      </w:r>
    </w:p>
    <w:p w:rsidR="00A60819" w:rsidRDefault="00A02C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Una vez admitido el recurso de revisión, en términos del artículo 185 fracción II</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w:t>
      </w:r>
    </w:p>
    <w:p w:rsidR="00A60819" w:rsidRDefault="00A02C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remitió su informe justificado, manifestó que la Enajenación de Bienes Muebles es un procedimiento administrativo el cual se encuentra regulado por la Ley de Adquisiciones del Estado de México y Municipios, por lo tanto no existe una Unidad Administrativa que tenga directamente dicho encargo, asimismo por cuanto hace a la Dirección General de la Unidad Administrativa que se solicita; cabe señalar que del organigrama aprobado en la Sesión de instalación de Cabildo, se advierte que no existe Dirección General como tal, ya que la estructura del Comité, es aprobada por los integrantes del Cabildo.</w:t>
      </w:r>
    </w:p>
    <w:p w:rsidR="00A60819" w:rsidRDefault="00A02CB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esta tesitura, 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rsidR="00A60819" w:rsidRDefault="00A02CB7">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A60819" w:rsidRDefault="00A02CB7">
      <w:pPr>
        <w:ind w:left="851" w:right="900"/>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60819" w:rsidRDefault="00A02CB7">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A60819" w:rsidRDefault="00A02CB7">
      <w:pPr>
        <w:spacing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A60819" w:rsidRDefault="00A02CB7">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60819" w:rsidRDefault="00A02C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refiere a que el derecho de acceso a la información pública se satisface en aquellos casos en que se entregue el documento en que conste la información pública, toda vez que, los Sujetos Obligados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Pr>
          <w:rFonts w:ascii="Palatino Linotype" w:eastAsia="Palatino Linotype" w:hAnsi="Palatino Linotype" w:cs="Palatino Linotype"/>
          <w:i/>
        </w:rPr>
        <w:t>ad hoc</w:t>
      </w:r>
      <w:r>
        <w:rPr>
          <w:rFonts w:ascii="Palatino Linotype" w:eastAsia="Palatino Linotype" w:hAnsi="Palatino Linotype" w:cs="Palatino Linotype"/>
        </w:rPr>
        <w:t>, para satisfacer el derecho de acceso a la información pública.</w:t>
      </w:r>
    </w:p>
    <w:p w:rsidR="00A60819" w:rsidRDefault="00A02C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ello el artículo 24 de la Ley de la materia</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A60819" w:rsidRDefault="00A02C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Pr>
          <w:rFonts w:ascii="Palatino Linotype" w:eastAsia="Palatino Linotype" w:hAnsi="Palatino Linotype" w:cs="Palatino Linotype"/>
          <w:b/>
        </w:rPr>
        <w:t>cualquier otro registro que documente el ejercicio de las facultades, funciones y competencias de los Sujetos Obligados</w:t>
      </w:r>
      <w:r>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señala lo siguiente: </w:t>
      </w:r>
    </w:p>
    <w:p w:rsidR="00A60819" w:rsidRDefault="00A02CB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A60819" w:rsidRDefault="00A02CB7">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60819" w:rsidRDefault="00A02CB7">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A60819" w:rsidRDefault="00A60819">
      <w:pPr>
        <w:ind w:left="851" w:right="899"/>
        <w:jc w:val="both"/>
        <w:rPr>
          <w:rFonts w:ascii="Palatino Linotype" w:eastAsia="Palatino Linotype" w:hAnsi="Palatino Linotype" w:cs="Palatino Linotype"/>
          <w:sz w:val="22"/>
          <w:szCs w:val="22"/>
        </w:rPr>
      </w:pPr>
    </w:p>
    <w:p w:rsidR="00A60819" w:rsidRDefault="00A02C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A60819" w:rsidRDefault="00A02CB7">
      <w:pPr>
        <w:spacing w:before="120" w:after="120"/>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A60819" w:rsidRDefault="00A02CB7">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60819" w:rsidRDefault="00A02CB7">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A60819" w:rsidRDefault="00A02CB7">
      <w:pPr>
        <w:spacing w:before="120" w:after="120"/>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1) Que se trate de información registrada en cualquier soporte documental, que en ejercicio de las atribuciones conferidas, sea generada por los Sujetos Obligados;</w:t>
      </w:r>
    </w:p>
    <w:p w:rsidR="00A60819" w:rsidRDefault="00A02CB7">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A60819" w:rsidRDefault="00A02CB7">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rsidR="00A60819" w:rsidRDefault="00A02C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tomando en consideración la materia de los requerimientos planteados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es</w:t>
      </w:r>
      <w:r>
        <w:rPr>
          <w:rFonts w:ascii="Palatino Linotype" w:eastAsia="Palatino Linotype" w:hAnsi="Palatino Linotype" w:cs="Palatino Linotype"/>
          <w:b/>
        </w:rPr>
        <w:t xml:space="preserve"> </w:t>
      </w:r>
      <w:r>
        <w:rPr>
          <w:rFonts w:ascii="Palatino Linotype" w:eastAsia="Palatino Linotype" w:hAnsi="Palatino Linotype" w:cs="Palatino Linotype"/>
        </w:rPr>
        <w:t>preciso referir, que de conformidad con el artículo 5 párrafo segundo de la Ley de Contratación Pública del Estado de México y Municipios, los ayuntamientos tienen a su cargo, entre otros, el procedimiento de enajenación de bienes muebles, como se lee a continuación:</w:t>
      </w:r>
    </w:p>
    <w:p w:rsidR="00A60819" w:rsidRDefault="00A02CB7">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w:t>
      </w:r>
      <w:r>
        <w:rPr>
          <w:rFonts w:ascii="Palatino Linotype" w:eastAsia="Palatino Linotype" w:hAnsi="Palatino Linotype" w:cs="Palatino Linotype"/>
          <w:i/>
          <w:sz w:val="22"/>
          <w:szCs w:val="22"/>
        </w:rPr>
        <w:t>...</w:t>
      </w:r>
    </w:p>
    <w:p w:rsidR="00A60819" w:rsidRDefault="00A02CB7">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entidades, tribunales administrativos y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i/>
          <w:sz w:val="22"/>
          <w:szCs w:val="22"/>
        </w:rPr>
        <w:t xml:space="preserve">, en el ámbito de su respectiva competencia, </w:t>
      </w:r>
      <w:r>
        <w:rPr>
          <w:rFonts w:ascii="Palatino Linotype" w:eastAsia="Palatino Linotype" w:hAnsi="Palatino Linotype" w:cs="Palatino Linotype"/>
          <w:b/>
          <w:i/>
          <w:sz w:val="22"/>
          <w:szCs w:val="22"/>
        </w:rPr>
        <w:t>tendrán a su cargo el trámite de los procedimientos de</w:t>
      </w:r>
      <w:r>
        <w:rPr>
          <w:rFonts w:ascii="Palatino Linotype" w:eastAsia="Palatino Linotype" w:hAnsi="Palatino Linotype" w:cs="Palatino Linotype"/>
          <w:i/>
          <w:sz w:val="22"/>
          <w:szCs w:val="22"/>
        </w:rPr>
        <w:t xml:space="preserve"> adquisición de bienes, contratación de servicios, arrendamientos y </w:t>
      </w:r>
      <w:r>
        <w:rPr>
          <w:rFonts w:ascii="Palatino Linotype" w:eastAsia="Palatino Linotype" w:hAnsi="Palatino Linotype" w:cs="Palatino Linotype"/>
          <w:b/>
          <w:i/>
          <w:sz w:val="22"/>
          <w:szCs w:val="22"/>
        </w:rPr>
        <w:t>enajenaciones de bienes muebles</w:t>
      </w:r>
      <w:r>
        <w:rPr>
          <w:rFonts w:ascii="Palatino Linotype" w:eastAsia="Palatino Linotype" w:hAnsi="Palatino Linotype" w:cs="Palatino Linotype"/>
          <w:i/>
          <w:sz w:val="22"/>
          <w:szCs w:val="22"/>
        </w:rPr>
        <w:t xml:space="preserve"> e inmuebles.”</w:t>
      </w:r>
    </w:p>
    <w:p w:rsidR="00A60819" w:rsidRDefault="00A02CB7">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Siendo imprescindible mencionar que las enajenaciones de bienes muebles o inmuebles de los municipios se realizan a través de </w:t>
      </w:r>
      <w:r>
        <w:rPr>
          <w:rFonts w:ascii="Palatino Linotype" w:eastAsia="Palatino Linotype" w:hAnsi="Palatino Linotype" w:cs="Palatino Linotype"/>
          <w:b/>
        </w:rPr>
        <w:t xml:space="preserve">subasta pública, </w:t>
      </w:r>
      <w:r>
        <w:rPr>
          <w:rFonts w:ascii="Palatino Linotype" w:eastAsia="Palatino Linotype" w:hAnsi="Palatino Linotype" w:cs="Palatino Linotype"/>
        </w:rPr>
        <w:t>trámite que corre a cargo de los ayuntamientos</w:t>
      </w:r>
      <w:r>
        <w:rPr>
          <w:rFonts w:ascii="Palatino Linotype" w:eastAsia="Palatino Linotype" w:hAnsi="Palatino Linotype" w:cs="Palatino Linotype"/>
          <w:b/>
        </w:rPr>
        <w:t xml:space="preserve">, </w:t>
      </w:r>
      <w:r>
        <w:rPr>
          <w:rFonts w:ascii="Palatino Linotype" w:eastAsia="Palatino Linotype" w:hAnsi="Palatino Linotype" w:cs="Palatino Linotype"/>
        </w:rPr>
        <w:t>como lo disponen los artículos 54 y 57 de la Ley de Contratación Pública, a saber:</w:t>
      </w:r>
    </w:p>
    <w:p w:rsidR="00A60819" w:rsidRDefault="00A02CB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54</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Las enajenaciones de bienes muebles</w:t>
      </w:r>
      <w:r>
        <w:rPr>
          <w:rFonts w:ascii="Palatino Linotype" w:eastAsia="Palatino Linotype" w:hAnsi="Palatino Linotype" w:cs="Palatino Linotype"/>
          <w:i/>
          <w:sz w:val="22"/>
          <w:szCs w:val="22"/>
        </w:rPr>
        <w:t xml:space="preserve"> e inmuebles del Estado y </w:t>
      </w:r>
      <w:r>
        <w:rPr>
          <w:rFonts w:ascii="Palatino Linotype" w:eastAsia="Palatino Linotype" w:hAnsi="Palatino Linotype" w:cs="Palatino Linotype"/>
          <w:b/>
          <w:i/>
          <w:sz w:val="22"/>
          <w:szCs w:val="22"/>
        </w:rPr>
        <w:t xml:space="preserve">de los municipios se realizarán a través de </w:t>
      </w:r>
      <w:r>
        <w:rPr>
          <w:rFonts w:ascii="Palatino Linotype" w:eastAsia="Palatino Linotype" w:hAnsi="Palatino Linotype" w:cs="Palatino Linotype"/>
          <w:b/>
          <w:i/>
          <w:sz w:val="22"/>
          <w:szCs w:val="22"/>
          <w:u w:val="single"/>
        </w:rPr>
        <w:t>subasta pública</w:t>
      </w:r>
      <w:r>
        <w:rPr>
          <w:rFonts w:ascii="Palatino Linotype" w:eastAsia="Palatino Linotype" w:hAnsi="Palatino Linotype" w:cs="Palatino Linotype"/>
          <w:i/>
          <w:sz w:val="22"/>
          <w:szCs w:val="22"/>
          <w:u w:val="single"/>
        </w:rPr>
        <w:t>.</w:t>
      </w:r>
    </w:p>
    <w:p w:rsidR="00A60819" w:rsidRDefault="00A02CB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60819" w:rsidRDefault="00A02CB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57.</w:t>
      </w:r>
      <w:r>
        <w:rPr>
          <w:rFonts w:ascii="Palatino Linotype" w:eastAsia="Palatino Linotype" w:hAnsi="Palatino Linotype" w:cs="Palatino Linotype"/>
          <w:i/>
          <w:sz w:val="22"/>
          <w:szCs w:val="22"/>
        </w:rPr>
        <w:t xml:space="preserve">- La Secretaría, las entidades, los tribunales administrativos y </w:t>
      </w:r>
      <w:r>
        <w:rPr>
          <w:rFonts w:ascii="Palatino Linotype" w:eastAsia="Palatino Linotype" w:hAnsi="Palatino Linotype" w:cs="Palatino Linotype"/>
          <w:b/>
          <w:i/>
          <w:sz w:val="22"/>
          <w:szCs w:val="22"/>
        </w:rPr>
        <w:t xml:space="preserve">los ayuntamientos </w:t>
      </w:r>
      <w:r>
        <w:rPr>
          <w:rFonts w:ascii="Palatino Linotype" w:eastAsia="Palatino Linotype" w:hAnsi="Palatino Linotype" w:cs="Palatino Linotype"/>
          <w:b/>
          <w:i/>
          <w:sz w:val="22"/>
          <w:szCs w:val="22"/>
          <w:u w:val="single"/>
        </w:rPr>
        <w:t>tendrán a su cargo el trámite de los procedimientos de subasta pública</w:t>
      </w:r>
      <w:r>
        <w:rPr>
          <w:rFonts w:ascii="Palatino Linotype" w:eastAsia="Palatino Linotype" w:hAnsi="Palatino Linotype" w:cs="Palatino Linotype"/>
          <w:i/>
          <w:sz w:val="22"/>
          <w:szCs w:val="22"/>
        </w:rPr>
        <w:t>.”</w:t>
      </w:r>
    </w:p>
    <w:p w:rsidR="00A60819" w:rsidRDefault="00A02CB7">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En tal sentido, del artículo 22 párrafo tercero de la Ley de Contratación, establece que los ayuntamientos se auxiliarán de un Comité de Arrendamientos, Adquisiciones de Inmuebles y Enajenaciones, órgano colegiado que cuenta con las siguientes atribuciones:</w:t>
      </w:r>
    </w:p>
    <w:p w:rsidR="00A60819" w:rsidRDefault="00A02CB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24</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comité de arrendamientos, adquisiciones de inmuebles y enajenaciones</w:t>
      </w:r>
      <w:r>
        <w:rPr>
          <w:rFonts w:ascii="Palatino Linotype" w:eastAsia="Palatino Linotype" w:hAnsi="Palatino Linotype" w:cs="Palatino Linotype"/>
          <w:i/>
          <w:sz w:val="22"/>
          <w:szCs w:val="22"/>
        </w:rPr>
        <w:t xml:space="preserve"> tendrá las funciones siguientes: </w:t>
      </w:r>
    </w:p>
    <w:p w:rsidR="00A60819" w:rsidRDefault="00A02CB7">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Dictaminar sobre la procedencia de los casos de excepción al procedimiento de licitación pública, tratándose de adquisición de inmuebles y arrendamientos.</w:t>
      </w:r>
    </w:p>
    <w:p w:rsidR="00A60819" w:rsidRDefault="00A02CB7">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Participar en los procedimientos de licitación, invitación restringida y adjudicación directa, hasta dejarlos en estado de dictar el fallo correspondiente, tratándose de adquisición de inmuebles y arrendamientos.</w:t>
      </w:r>
    </w:p>
    <w:p w:rsidR="00A60819" w:rsidRDefault="00A02CB7">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Emitir los dictámenes de adjudicación, tratándose de adquisiciones de inmuebles y arrendamientos. </w:t>
      </w:r>
    </w:p>
    <w:p w:rsidR="00A60819" w:rsidRDefault="00A02CB7">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Participar en los procedimientos de </w:t>
      </w:r>
      <w:r>
        <w:rPr>
          <w:rFonts w:ascii="Palatino Linotype" w:eastAsia="Palatino Linotype" w:hAnsi="Palatino Linotype" w:cs="Palatino Linotype"/>
          <w:b/>
          <w:i/>
          <w:sz w:val="22"/>
          <w:szCs w:val="22"/>
          <w:u w:val="single"/>
        </w:rPr>
        <w:t>subasta pública</w:t>
      </w:r>
      <w:r>
        <w:rPr>
          <w:rFonts w:ascii="Palatino Linotype" w:eastAsia="Palatino Linotype" w:hAnsi="Palatino Linotype" w:cs="Palatino Linotype"/>
          <w:b/>
          <w:i/>
          <w:sz w:val="22"/>
          <w:szCs w:val="22"/>
        </w:rPr>
        <w:t>, hasta dejarlos en estado de dictar el fallo de adjudicación</w:t>
      </w:r>
      <w:r>
        <w:rPr>
          <w:rFonts w:ascii="Palatino Linotype" w:eastAsia="Palatino Linotype" w:hAnsi="Palatino Linotype" w:cs="Palatino Linotype"/>
          <w:i/>
          <w:sz w:val="22"/>
          <w:szCs w:val="22"/>
        </w:rPr>
        <w:t xml:space="preserve">. </w:t>
      </w:r>
    </w:p>
    <w:p w:rsidR="00A60819" w:rsidRDefault="00A02CB7">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Las demás que establezca el reglamento de esta Ley.”</w:t>
      </w:r>
    </w:p>
    <w:p w:rsidR="0097363A" w:rsidRPr="0097363A" w:rsidRDefault="0097363A" w:rsidP="0097363A">
      <w:pPr>
        <w:spacing w:line="360" w:lineRule="auto"/>
        <w:jc w:val="both"/>
        <w:rPr>
          <w:rFonts w:ascii="Palatino Linotype" w:eastAsia="Batang" w:hAnsi="Palatino Linotype" w:cs="Arial"/>
          <w:iCs/>
          <w:lang w:val="es-AR" w:eastAsia="es-ES"/>
        </w:rPr>
      </w:pPr>
      <w:r>
        <w:rPr>
          <w:rFonts w:ascii="Palatino Linotype" w:eastAsia="Batang" w:hAnsi="Palatino Linotype" w:cs="Arial"/>
          <w:iCs/>
          <w:lang w:val="es-AR" w:eastAsia="es-ES"/>
        </w:rPr>
        <w:t xml:space="preserve">Asimismo, los artículos 51, </w:t>
      </w:r>
      <w:r w:rsidRPr="0097363A">
        <w:rPr>
          <w:rFonts w:ascii="Palatino Linotype" w:eastAsia="Batang" w:hAnsi="Palatino Linotype" w:cs="Arial"/>
          <w:iCs/>
          <w:lang w:val="es-AR" w:eastAsia="es-ES"/>
        </w:rPr>
        <w:t xml:space="preserve">54, 55, fracción I, y 56, </w:t>
      </w:r>
      <w:bookmarkStart w:id="6" w:name="_Hlk94554968"/>
      <w:r w:rsidRPr="0097363A">
        <w:rPr>
          <w:rFonts w:ascii="Palatino Linotype" w:eastAsia="Batang" w:hAnsi="Palatino Linotype" w:cs="Arial"/>
          <w:iCs/>
          <w:lang w:val="es-AR" w:eastAsia="es-ES"/>
        </w:rPr>
        <w:t xml:space="preserve">del </w:t>
      </w:r>
      <w:bookmarkStart w:id="7" w:name="_Hlk94557003"/>
      <w:r w:rsidRPr="0097363A">
        <w:rPr>
          <w:rFonts w:ascii="Palatino Linotype" w:eastAsia="Batang" w:hAnsi="Palatino Linotype" w:cs="Arial"/>
          <w:iCs/>
          <w:lang w:val="es-AR" w:eastAsia="es-ES"/>
        </w:rPr>
        <w:t>Reglamento de la Ley de Contratación Pública del Estado de México y Municipios</w:t>
      </w:r>
      <w:bookmarkEnd w:id="7"/>
      <w:r w:rsidRPr="0097363A">
        <w:rPr>
          <w:rFonts w:ascii="Palatino Linotype" w:eastAsia="Batang" w:hAnsi="Palatino Linotype" w:cs="Arial"/>
          <w:iCs/>
          <w:lang w:val="es-AR" w:eastAsia="es-ES"/>
        </w:rPr>
        <w:t>,</w:t>
      </w:r>
      <w:r>
        <w:rPr>
          <w:rFonts w:ascii="Palatino Linotype" w:eastAsia="Batang" w:hAnsi="Palatino Linotype" w:cs="Arial"/>
          <w:iCs/>
          <w:lang w:val="es-AR" w:eastAsia="es-ES"/>
        </w:rPr>
        <w:t xml:space="preserve"> disponen lo siguiente</w:t>
      </w:r>
      <w:r w:rsidRPr="0097363A">
        <w:rPr>
          <w:rFonts w:ascii="Palatino Linotype" w:eastAsia="Batang" w:hAnsi="Palatino Linotype" w:cs="Arial"/>
          <w:iCs/>
          <w:lang w:val="es-AR" w:eastAsia="es-ES"/>
        </w:rPr>
        <w:t>:</w:t>
      </w:r>
      <w:bookmarkEnd w:id="6"/>
    </w:p>
    <w:p w:rsidR="0097363A" w:rsidRPr="0097363A" w:rsidRDefault="0097363A" w:rsidP="0097363A">
      <w:pPr>
        <w:autoSpaceDE w:val="0"/>
        <w:autoSpaceDN w:val="0"/>
        <w:adjustRightInd w:val="0"/>
        <w:ind w:left="850" w:right="901"/>
        <w:jc w:val="both"/>
        <w:rPr>
          <w:rFonts w:ascii="Palatino Linotype" w:eastAsia="Batang" w:hAnsi="Palatino Linotype" w:cs="Arial"/>
          <w:b/>
          <w:bCs/>
          <w:i/>
          <w:iCs/>
          <w:sz w:val="22"/>
          <w:szCs w:val="22"/>
          <w:lang w:val="es-AR" w:eastAsia="es-ES"/>
        </w:rPr>
      </w:pPr>
    </w:p>
    <w:p w:rsidR="0097363A" w:rsidRPr="0097363A" w:rsidRDefault="0097363A" w:rsidP="0097363A">
      <w:pPr>
        <w:autoSpaceDE w:val="0"/>
        <w:autoSpaceDN w:val="0"/>
        <w:adjustRightInd w:val="0"/>
        <w:ind w:left="850" w:right="901"/>
        <w:jc w:val="center"/>
        <w:rPr>
          <w:rFonts w:ascii="Palatino Linotype" w:eastAsia="Batang" w:hAnsi="Palatino Linotype" w:cs="Arial"/>
          <w:b/>
          <w:bCs/>
          <w:i/>
          <w:iCs/>
          <w:sz w:val="22"/>
          <w:szCs w:val="22"/>
          <w:lang w:val="es-AR" w:eastAsia="es-ES"/>
        </w:rPr>
      </w:pPr>
      <w:r w:rsidRPr="0097363A">
        <w:rPr>
          <w:rFonts w:ascii="Palatino Linotype" w:eastAsia="Batang" w:hAnsi="Palatino Linotype" w:cs="Arial"/>
          <w:b/>
          <w:bCs/>
          <w:i/>
          <w:iCs/>
          <w:sz w:val="22"/>
          <w:szCs w:val="22"/>
          <w:lang w:val="es-AR" w:eastAsia="es-ES"/>
        </w:rPr>
        <w:t>“Reglamento de la Ley de Contratación Pública del Estado de México y Municipios</w:t>
      </w:r>
    </w:p>
    <w:p w:rsidR="0097363A" w:rsidRPr="0097363A" w:rsidRDefault="0097363A" w:rsidP="0097363A">
      <w:pPr>
        <w:autoSpaceDE w:val="0"/>
        <w:autoSpaceDN w:val="0"/>
        <w:adjustRightInd w:val="0"/>
        <w:ind w:left="850" w:right="901"/>
        <w:jc w:val="both"/>
        <w:rPr>
          <w:rFonts w:ascii="Palatino Linotype" w:eastAsia="Batang" w:hAnsi="Palatino Linotype" w:cs="Arial"/>
          <w:b/>
          <w:bCs/>
          <w:i/>
          <w:iCs/>
          <w:sz w:val="22"/>
          <w:szCs w:val="22"/>
          <w:lang w:val="es-AR" w:eastAsia="es-ES"/>
        </w:rPr>
      </w:pPr>
      <w:r w:rsidRPr="0097363A">
        <w:rPr>
          <w:rFonts w:ascii="Palatino Linotype" w:eastAsia="Batang" w:hAnsi="Palatino Linotype" w:cs="Arial"/>
          <w:b/>
          <w:bCs/>
          <w:i/>
          <w:iCs/>
          <w:sz w:val="22"/>
          <w:szCs w:val="22"/>
          <w:lang w:val="es-AR" w:eastAsia="es-ES"/>
        </w:rPr>
        <w:t>Artículo 51.-</w:t>
      </w:r>
      <w:r w:rsidRPr="0097363A">
        <w:rPr>
          <w:rFonts w:ascii="Palatino Linotype" w:eastAsia="Batang" w:hAnsi="Palatino Linotype" w:cs="Arial"/>
          <w:i/>
          <w:iCs/>
          <w:sz w:val="22"/>
          <w:szCs w:val="22"/>
          <w:lang w:val="es-AR" w:eastAsia="es-ES"/>
        </w:rPr>
        <w:t xml:space="preserve"> La Secretaría, organismos auxiliares, tribunales administrativos y </w:t>
      </w:r>
      <w:r w:rsidRPr="0097363A">
        <w:rPr>
          <w:rFonts w:ascii="Palatino Linotype" w:eastAsia="Batang" w:hAnsi="Palatino Linotype" w:cs="Arial"/>
          <w:b/>
          <w:bCs/>
          <w:i/>
          <w:iCs/>
          <w:sz w:val="22"/>
          <w:szCs w:val="22"/>
          <w:lang w:val="es-AR" w:eastAsia="es-ES"/>
        </w:rPr>
        <w:t>municipios, se auxiliarán de un Comité de Arrendamientos, Adquisiciones de Inmuebles y Enajenaciones, para el desahogo de sus procedimientos, con arreglo a lo establecido en la Ley.</w:t>
      </w:r>
    </w:p>
    <w:p w:rsidR="0097363A" w:rsidRDefault="0097363A" w:rsidP="0097363A">
      <w:pPr>
        <w:autoSpaceDE w:val="0"/>
        <w:autoSpaceDN w:val="0"/>
        <w:adjustRightInd w:val="0"/>
        <w:ind w:left="850" w:right="901"/>
        <w:jc w:val="both"/>
        <w:rPr>
          <w:rFonts w:ascii="Palatino Linotype" w:eastAsia="Batang" w:hAnsi="Palatino Linotype" w:cs="Arial"/>
          <w:b/>
          <w:bCs/>
          <w:i/>
          <w:iCs/>
          <w:sz w:val="22"/>
          <w:szCs w:val="22"/>
          <w:lang w:val="es-AR" w:eastAsia="es-ES"/>
        </w:rPr>
      </w:pPr>
      <w:r>
        <w:rPr>
          <w:rFonts w:ascii="Palatino Linotype" w:eastAsia="Batang" w:hAnsi="Palatino Linotype" w:cs="Arial"/>
          <w:b/>
          <w:bCs/>
          <w:i/>
          <w:iCs/>
          <w:sz w:val="22"/>
          <w:szCs w:val="22"/>
          <w:lang w:val="es-AR" w:eastAsia="es-ES"/>
        </w:rPr>
        <w:t>…</w:t>
      </w:r>
    </w:p>
    <w:p w:rsidR="0097363A" w:rsidRPr="0097363A" w:rsidRDefault="0097363A" w:rsidP="0097363A">
      <w:pPr>
        <w:autoSpaceDE w:val="0"/>
        <w:autoSpaceDN w:val="0"/>
        <w:adjustRightInd w:val="0"/>
        <w:ind w:left="850" w:right="901"/>
        <w:jc w:val="both"/>
        <w:rPr>
          <w:rFonts w:ascii="Palatino Linotype" w:eastAsia="Batang" w:hAnsi="Palatino Linotype" w:cs="Arial"/>
          <w:b/>
          <w:bCs/>
          <w:i/>
          <w:iCs/>
          <w:sz w:val="22"/>
          <w:szCs w:val="22"/>
          <w:lang w:val="es-AR" w:eastAsia="es-ES"/>
        </w:rPr>
      </w:pPr>
    </w:p>
    <w:p w:rsidR="0097363A" w:rsidRPr="0097363A" w:rsidRDefault="0097363A" w:rsidP="0097363A">
      <w:pPr>
        <w:autoSpaceDE w:val="0"/>
        <w:autoSpaceDN w:val="0"/>
        <w:adjustRightInd w:val="0"/>
        <w:ind w:left="850" w:right="901"/>
        <w:jc w:val="both"/>
        <w:rPr>
          <w:rFonts w:ascii="Palatino Linotype" w:eastAsia="Batang" w:hAnsi="Palatino Linotype" w:cs="Arial"/>
          <w:i/>
          <w:iCs/>
          <w:sz w:val="22"/>
          <w:szCs w:val="22"/>
          <w:lang w:val="es-AR" w:eastAsia="es-ES"/>
        </w:rPr>
      </w:pPr>
      <w:r w:rsidRPr="0097363A">
        <w:rPr>
          <w:rFonts w:ascii="Palatino Linotype" w:eastAsia="Batang" w:hAnsi="Palatino Linotype" w:cs="Arial"/>
          <w:b/>
          <w:bCs/>
          <w:i/>
          <w:iCs/>
          <w:sz w:val="22"/>
          <w:szCs w:val="22"/>
          <w:lang w:val="es-AR" w:eastAsia="es-ES"/>
        </w:rPr>
        <w:t>Artículo 54.-</w:t>
      </w:r>
      <w:r w:rsidRPr="0097363A">
        <w:rPr>
          <w:rFonts w:ascii="Palatino Linotype" w:eastAsia="Batang" w:hAnsi="Palatino Linotype" w:cs="Arial"/>
          <w:i/>
          <w:iCs/>
          <w:sz w:val="22"/>
          <w:szCs w:val="22"/>
          <w:lang w:val="es-AR" w:eastAsia="es-ES"/>
        </w:rPr>
        <w:t xml:space="preserve"> Además de las establecidas en la Ley, el Comité de Arrendamientos, Adquisiciones de Inmuebles y Enajenaciones tendrá las siguientes funciones:</w:t>
      </w:r>
    </w:p>
    <w:p w:rsidR="0097363A" w:rsidRPr="0097363A" w:rsidRDefault="0097363A" w:rsidP="0097363A">
      <w:pPr>
        <w:autoSpaceDE w:val="0"/>
        <w:autoSpaceDN w:val="0"/>
        <w:adjustRightInd w:val="0"/>
        <w:ind w:left="850" w:right="901"/>
        <w:jc w:val="both"/>
        <w:rPr>
          <w:rFonts w:ascii="Palatino Linotype" w:eastAsia="Batang" w:hAnsi="Palatino Linotype" w:cs="Arial"/>
          <w:i/>
          <w:iCs/>
          <w:sz w:val="22"/>
          <w:szCs w:val="22"/>
          <w:lang w:val="es-AR" w:eastAsia="es-ES"/>
        </w:rPr>
      </w:pPr>
    </w:p>
    <w:p w:rsidR="0097363A" w:rsidRPr="0097363A" w:rsidRDefault="0097363A" w:rsidP="0097363A">
      <w:pPr>
        <w:autoSpaceDE w:val="0"/>
        <w:autoSpaceDN w:val="0"/>
        <w:adjustRightInd w:val="0"/>
        <w:ind w:left="850" w:right="901"/>
        <w:jc w:val="both"/>
        <w:rPr>
          <w:rFonts w:ascii="Palatino Linotype" w:eastAsia="Batang" w:hAnsi="Palatino Linotype" w:cs="Arial"/>
          <w:i/>
          <w:iCs/>
          <w:sz w:val="22"/>
          <w:szCs w:val="22"/>
          <w:lang w:val="es-AR" w:eastAsia="es-ES"/>
        </w:rPr>
      </w:pPr>
      <w:r w:rsidRPr="0097363A">
        <w:rPr>
          <w:rFonts w:ascii="Palatino Linotype" w:eastAsia="Batang" w:hAnsi="Palatino Linotype" w:cs="Arial"/>
          <w:b/>
          <w:bCs/>
          <w:i/>
          <w:iCs/>
          <w:sz w:val="22"/>
          <w:szCs w:val="22"/>
          <w:lang w:val="es-AR" w:eastAsia="es-ES"/>
        </w:rPr>
        <w:t>I.</w:t>
      </w:r>
      <w:r w:rsidRPr="0097363A">
        <w:rPr>
          <w:rFonts w:ascii="Palatino Linotype" w:eastAsia="Batang" w:hAnsi="Palatino Linotype" w:cs="Arial"/>
          <w:i/>
          <w:iCs/>
          <w:sz w:val="22"/>
          <w:szCs w:val="22"/>
          <w:lang w:val="es-AR" w:eastAsia="es-ES"/>
        </w:rPr>
        <w:t xml:space="preserve"> Expedir su manual de operación;</w:t>
      </w:r>
    </w:p>
    <w:p w:rsidR="0097363A" w:rsidRPr="0097363A" w:rsidRDefault="0097363A" w:rsidP="0097363A">
      <w:pPr>
        <w:autoSpaceDE w:val="0"/>
        <w:autoSpaceDN w:val="0"/>
        <w:adjustRightInd w:val="0"/>
        <w:ind w:left="850" w:right="901"/>
        <w:jc w:val="both"/>
        <w:rPr>
          <w:rFonts w:ascii="Palatino Linotype" w:eastAsia="Batang" w:hAnsi="Palatino Linotype" w:cs="Arial"/>
          <w:i/>
          <w:iCs/>
          <w:sz w:val="22"/>
          <w:szCs w:val="22"/>
          <w:lang w:val="es-AR" w:eastAsia="es-ES"/>
        </w:rPr>
      </w:pPr>
      <w:r w:rsidRPr="0097363A">
        <w:rPr>
          <w:rFonts w:ascii="Palatino Linotype" w:eastAsia="Batang" w:hAnsi="Palatino Linotype" w:cs="Arial"/>
          <w:b/>
          <w:bCs/>
          <w:i/>
          <w:iCs/>
          <w:sz w:val="22"/>
          <w:szCs w:val="22"/>
          <w:lang w:val="es-AR" w:eastAsia="es-ES"/>
        </w:rPr>
        <w:t>II.</w:t>
      </w:r>
      <w:r w:rsidRPr="0097363A">
        <w:rPr>
          <w:rFonts w:ascii="Palatino Linotype" w:eastAsia="Batang" w:hAnsi="Palatino Linotype" w:cs="Arial"/>
          <w:i/>
          <w:iCs/>
          <w:sz w:val="22"/>
          <w:szCs w:val="22"/>
          <w:lang w:val="es-AR" w:eastAsia="es-ES"/>
        </w:rPr>
        <w:t xml:space="preserve"> Revisar y validar el programa anual de arrendamiento; así como formular las observaciones y recomendaciones que estimen convenientes;</w:t>
      </w:r>
    </w:p>
    <w:p w:rsidR="0097363A" w:rsidRPr="0097363A" w:rsidRDefault="0097363A" w:rsidP="0097363A">
      <w:pPr>
        <w:autoSpaceDE w:val="0"/>
        <w:autoSpaceDN w:val="0"/>
        <w:adjustRightInd w:val="0"/>
        <w:ind w:left="850" w:right="901"/>
        <w:jc w:val="both"/>
        <w:rPr>
          <w:rFonts w:ascii="Palatino Linotype" w:eastAsia="Batang" w:hAnsi="Palatino Linotype" w:cs="Arial"/>
          <w:i/>
          <w:iCs/>
          <w:sz w:val="22"/>
          <w:szCs w:val="22"/>
          <w:lang w:val="es-AR" w:eastAsia="es-ES"/>
        </w:rPr>
      </w:pPr>
      <w:r w:rsidRPr="0097363A">
        <w:rPr>
          <w:rFonts w:ascii="Palatino Linotype" w:eastAsia="Batang" w:hAnsi="Palatino Linotype" w:cs="Arial"/>
          <w:b/>
          <w:bCs/>
          <w:i/>
          <w:iCs/>
          <w:sz w:val="22"/>
          <w:szCs w:val="22"/>
          <w:lang w:val="es-AR" w:eastAsia="es-ES"/>
        </w:rPr>
        <w:t>III.</w:t>
      </w:r>
      <w:r w:rsidRPr="0097363A">
        <w:rPr>
          <w:rFonts w:ascii="Palatino Linotype" w:eastAsia="Batang" w:hAnsi="Palatino Linotype" w:cs="Arial"/>
          <w:i/>
          <w:iCs/>
          <w:sz w:val="22"/>
          <w:szCs w:val="22"/>
          <w:lang w:val="es-AR" w:eastAsia="es-ES"/>
        </w:rPr>
        <w:t xml:space="preserve"> </w:t>
      </w:r>
      <w:r w:rsidRPr="0097363A">
        <w:rPr>
          <w:rFonts w:ascii="Palatino Linotype" w:eastAsia="Batang" w:hAnsi="Palatino Linotype" w:cs="Arial"/>
          <w:b/>
          <w:bCs/>
          <w:i/>
          <w:iCs/>
          <w:sz w:val="22"/>
          <w:szCs w:val="22"/>
          <w:lang w:val="es-AR" w:eastAsia="es-ES"/>
        </w:rPr>
        <w:t>Analizar la documentación de los actos relacionados con</w:t>
      </w:r>
      <w:r w:rsidRPr="0097363A">
        <w:rPr>
          <w:rFonts w:ascii="Palatino Linotype" w:eastAsia="Batang" w:hAnsi="Palatino Linotype" w:cs="Arial"/>
          <w:i/>
          <w:iCs/>
          <w:sz w:val="22"/>
          <w:szCs w:val="22"/>
          <w:lang w:val="es-AR" w:eastAsia="es-ES"/>
        </w:rPr>
        <w:t xml:space="preserve"> arrendamiento, adquisiciones de inmuebles y </w:t>
      </w:r>
      <w:r w:rsidRPr="0097363A">
        <w:rPr>
          <w:rFonts w:ascii="Palatino Linotype" w:eastAsia="Batang" w:hAnsi="Palatino Linotype" w:cs="Arial"/>
          <w:b/>
          <w:bCs/>
          <w:i/>
          <w:iCs/>
          <w:sz w:val="22"/>
          <w:szCs w:val="22"/>
          <w:lang w:val="es-AR" w:eastAsia="es-ES"/>
        </w:rPr>
        <w:t>enajenaciones de muebles</w:t>
      </w:r>
      <w:r w:rsidRPr="0097363A">
        <w:rPr>
          <w:rFonts w:ascii="Palatino Linotype" w:eastAsia="Batang" w:hAnsi="Palatino Linotype" w:cs="Arial"/>
          <w:i/>
          <w:iCs/>
          <w:sz w:val="22"/>
          <w:szCs w:val="22"/>
          <w:lang w:val="es-AR" w:eastAsia="es-ES"/>
        </w:rPr>
        <w:t xml:space="preserve"> e inmuebles, y emitir la opinión correspondiente;</w:t>
      </w:r>
    </w:p>
    <w:p w:rsidR="0097363A" w:rsidRPr="0097363A" w:rsidRDefault="0097363A" w:rsidP="0097363A">
      <w:pPr>
        <w:autoSpaceDE w:val="0"/>
        <w:autoSpaceDN w:val="0"/>
        <w:adjustRightInd w:val="0"/>
        <w:ind w:left="850" w:right="901"/>
        <w:jc w:val="both"/>
        <w:rPr>
          <w:rFonts w:ascii="Palatino Linotype" w:eastAsia="Batang" w:hAnsi="Palatino Linotype" w:cs="Arial"/>
          <w:i/>
          <w:iCs/>
          <w:sz w:val="22"/>
          <w:szCs w:val="22"/>
          <w:lang w:val="es-AR" w:eastAsia="es-ES"/>
        </w:rPr>
      </w:pPr>
      <w:r w:rsidRPr="0097363A">
        <w:rPr>
          <w:rFonts w:ascii="Palatino Linotype" w:eastAsia="Batang" w:hAnsi="Palatino Linotype" w:cs="Arial"/>
          <w:b/>
          <w:bCs/>
          <w:i/>
          <w:iCs/>
          <w:sz w:val="22"/>
          <w:szCs w:val="22"/>
          <w:lang w:val="es-AR" w:eastAsia="es-ES"/>
        </w:rPr>
        <w:t>IV.</w:t>
      </w:r>
      <w:r w:rsidRPr="0097363A">
        <w:rPr>
          <w:rFonts w:ascii="Palatino Linotype" w:eastAsia="Batang" w:hAnsi="Palatino Linotype" w:cs="Arial"/>
          <w:i/>
          <w:iCs/>
          <w:sz w:val="22"/>
          <w:szCs w:val="22"/>
          <w:lang w:val="es-AR" w:eastAsia="es-ES"/>
        </w:rPr>
        <w:t xml:space="preserve"> Dictaminar sobre las solicitudes para adquirir inmuebles, arrendamientos y subarrendamientos;</w:t>
      </w:r>
    </w:p>
    <w:p w:rsidR="0097363A" w:rsidRPr="0097363A" w:rsidRDefault="0097363A" w:rsidP="0097363A">
      <w:pPr>
        <w:autoSpaceDE w:val="0"/>
        <w:autoSpaceDN w:val="0"/>
        <w:adjustRightInd w:val="0"/>
        <w:ind w:left="850" w:right="901"/>
        <w:jc w:val="both"/>
        <w:rPr>
          <w:rFonts w:ascii="Palatino Linotype" w:eastAsia="Batang" w:hAnsi="Palatino Linotype" w:cs="Arial"/>
          <w:i/>
          <w:iCs/>
          <w:sz w:val="22"/>
          <w:szCs w:val="22"/>
          <w:lang w:val="es-AR" w:eastAsia="es-ES"/>
        </w:rPr>
      </w:pPr>
      <w:r w:rsidRPr="0097363A">
        <w:rPr>
          <w:rFonts w:ascii="Palatino Linotype" w:eastAsia="Batang" w:hAnsi="Palatino Linotype" w:cs="Arial"/>
          <w:b/>
          <w:bCs/>
          <w:i/>
          <w:iCs/>
          <w:sz w:val="22"/>
          <w:szCs w:val="22"/>
          <w:lang w:val="es-AR" w:eastAsia="es-ES"/>
        </w:rPr>
        <w:t>V.</w:t>
      </w:r>
      <w:r w:rsidRPr="0097363A">
        <w:rPr>
          <w:rFonts w:ascii="Palatino Linotype" w:eastAsia="Batang" w:hAnsi="Palatino Linotype" w:cs="Arial"/>
          <w:i/>
          <w:iCs/>
          <w:sz w:val="22"/>
          <w:szCs w:val="22"/>
          <w:lang w:val="es-AR" w:eastAsia="es-ES"/>
        </w:rPr>
        <w:t xml:space="preserve"> </w:t>
      </w:r>
      <w:r w:rsidRPr="0097363A">
        <w:rPr>
          <w:rFonts w:ascii="Palatino Linotype" w:eastAsia="Batang" w:hAnsi="Palatino Linotype" w:cs="Arial"/>
          <w:b/>
          <w:bCs/>
          <w:i/>
          <w:iCs/>
          <w:sz w:val="22"/>
          <w:szCs w:val="22"/>
          <w:lang w:val="es-AR" w:eastAsia="es-ES"/>
        </w:rPr>
        <w:t>Dictaminar sobre las propuestas de enajenación de bienes muebles</w:t>
      </w:r>
      <w:r w:rsidRPr="0097363A">
        <w:rPr>
          <w:rFonts w:ascii="Palatino Linotype" w:eastAsia="Batang" w:hAnsi="Palatino Linotype" w:cs="Arial"/>
          <w:i/>
          <w:iCs/>
          <w:sz w:val="22"/>
          <w:szCs w:val="22"/>
          <w:lang w:val="es-AR" w:eastAsia="es-ES"/>
        </w:rPr>
        <w:t xml:space="preserve"> e inmuebles;</w:t>
      </w:r>
    </w:p>
    <w:p w:rsidR="0097363A" w:rsidRPr="0097363A" w:rsidRDefault="0097363A" w:rsidP="0097363A">
      <w:pPr>
        <w:autoSpaceDE w:val="0"/>
        <w:autoSpaceDN w:val="0"/>
        <w:adjustRightInd w:val="0"/>
        <w:ind w:left="850" w:right="901"/>
        <w:jc w:val="both"/>
        <w:rPr>
          <w:rFonts w:ascii="Palatino Linotype" w:eastAsia="Batang" w:hAnsi="Palatino Linotype" w:cs="Arial"/>
          <w:i/>
          <w:iCs/>
          <w:sz w:val="22"/>
          <w:szCs w:val="22"/>
          <w:lang w:val="es-AR" w:eastAsia="es-ES"/>
        </w:rPr>
      </w:pPr>
      <w:r w:rsidRPr="0097363A">
        <w:rPr>
          <w:rFonts w:ascii="Palatino Linotype" w:eastAsia="Batang" w:hAnsi="Palatino Linotype" w:cs="Arial"/>
          <w:b/>
          <w:bCs/>
          <w:i/>
          <w:iCs/>
          <w:sz w:val="22"/>
          <w:szCs w:val="22"/>
          <w:lang w:val="es-AR" w:eastAsia="es-ES"/>
        </w:rPr>
        <w:t>VI</w:t>
      </w:r>
      <w:r w:rsidRPr="0097363A">
        <w:rPr>
          <w:rFonts w:ascii="Palatino Linotype" w:eastAsia="Batang" w:hAnsi="Palatino Linotype" w:cs="Arial"/>
          <w:i/>
          <w:iCs/>
          <w:sz w:val="22"/>
          <w:szCs w:val="22"/>
          <w:lang w:val="es-AR" w:eastAsia="es-ES"/>
        </w:rPr>
        <w:t>. Solicitar asesoría técnica a las cámaras de comercio, industria de la construcción, de empresas inmobiliarias y colegios de profesionales o de las confederaciones que las agrupan;</w:t>
      </w:r>
    </w:p>
    <w:p w:rsidR="0097363A" w:rsidRPr="0097363A" w:rsidRDefault="0097363A" w:rsidP="0097363A">
      <w:pPr>
        <w:autoSpaceDE w:val="0"/>
        <w:autoSpaceDN w:val="0"/>
        <w:adjustRightInd w:val="0"/>
        <w:ind w:left="850" w:right="901"/>
        <w:jc w:val="both"/>
        <w:rPr>
          <w:rFonts w:ascii="Palatino Linotype" w:eastAsia="Batang" w:hAnsi="Palatino Linotype" w:cs="Arial"/>
          <w:i/>
          <w:iCs/>
          <w:sz w:val="22"/>
          <w:szCs w:val="22"/>
          <w:lang w:val="es-AR" w:eastAsia="es-ES"/>
        </w:rPr>
      </w:pPr>
      <w:r w:rsidRPr="0097363A">
        <w:rPr>
          <w:rFonts w:ascii="Palatino Linotype" w:eastAsia="Batang" w:hAnsi="Palatino Linotype" w:cs="Arial"/>
          <w:b/>
          <w:bCs/>
          <w:i/>
          <w:iCs/>
          <w:sz w:val="22"/>
          <w:szCs w:val="22"/>
          <w:lang w:val="es-AR" w:eastAsia="es-ES"/>
        </w:rPr>
        <w:t>VII. Implementar acciones y emitir acuerdos que considere necesarios para el mejoramiento del procedimiento para</w:t>
      </w:r>
      <w:r w:rsidRPr="0097363A">
        <w:rPr>
          <w:rFonts w:ascii="Palatino Linotype" w:eastAsia="Batang" w:hAnsi="Palatino Linotype" w:cs="Arial"/>
          <w:i/>
          <w:iCs/>
          <w:sz w:val="22"/>
          <w:szCs w:val="22"/>
          <w:lang w:val="es-AR" w:eastAsia="es-ES"/>
        </w:rPr>
        <w:t xml:space="preserve"> arrendamiento, adquisiciones de inmuebles y </w:t>
      </w:r>
      <w:r w:rsidRPr="0097363A">
        <w:rPr>
          <w:rFonts w:ascii="Palatino Linotype" w:eastAsia="Batang" w:hAnsi="Palatino Linotype" w:cs="Arial"/>
          <w:b/>
          <w:bCs/>
          <w:i/>
          <w:iCs/>
          <w:sz w:val="22"/>
          <w:szCs w:val="22"/>
          <w:lang w:val="es-AR" w:eastAsia="es-ES"/>
        </w:rPr>
        <w:t>enajenaciones de muebles</w:t>
      </w:r>
      <w:r w:rsidRPr="0097363A">
        <w:rPr>
          <w:rFonts w:ascii="Palatino Linotype" w:eastAsia="Batang" w:hAnsi="Palatino Linotype" w:cs="Arial"/>
          <w:i/>
          <w:iCs/>
          <w:sz w:val="22"/>
          <w:szCs w:val="22"/>
          <w:lang w:val="es-AR" w:eastAsia="es-ES"/>
        </w:rPr>
        <w:t xml:space="preserve"> e inmuebles;</w:t>
      </w:r>
    </w:p>
    <w:p w:rsidR="0097363A" w:rsidRPr="0097363A" w:rsidRDefault="0097363A" w:rsidP="0097363A">
      <w:pPr>
        <w:autoSpaceDE w:val="0"/>
        <w:autoSpaceDN w:val="0"/>
        <w:adjustRightInd w:val="0"/>
        <w:ind w:left="850" w:right="901"/>
        <w:jc w:val="both"/>
        <w:rPr>
          <w:rFonts w:ascii="Palatino Linotype" w:eastAsia="Batang" w:hAnsi="Palatino Linotype" w:cs="Arial"/>
          <w:i/>
          <w:iCs/>
          <w:sz w:val="22"/>
          <w:szCs w:val="22"/>
          <w:lang w:val="es-AR" w:eastAsia="es-ES"/>
        </w:rPr>
      </w:pPr>
      <w:r w:rsidRPr="0097363A">
        <w:rPr>
          <w:rFonts w:ascii="Palatino Linotype" w:eastAsia="Batang" w:hAnsi="Palatino Linotype" w:cs="Arial"/>
          <w:b/>
          <w:bCs/>
          <w:i/>
          <w:iCs/>
          <w:sz w:val="22"/>
          <w:szCs w:val="22"/>
          <w:lang w:val="es-AR" w:eastAsia="es-ES"/>
        </w:rPr>
        <w:t>VIII.</w:t>
      </w:r>
      <w:r w:rsidRPr="0097363A">
        <w:rPr>
          <w:rFonts w:ascii="Palatino Linotype" w:eastAsia="Batang" w:hAnsi="Palatino Linotype" w:cs="Arial"/>
          <w:i/>
          <w:iCs/>
          <w:sz w:val="22"/>
          <w:szCs w:val="22"/>
          <w:lang w:val="es-AR" w:eastAsia="es-ES"/>
        </w:rPr>
        <w:t xml:space="preserve"> Evaluar las propuestas o posturas que se presenten en los procedimientos de licitación pública, subasta pública, invitación restringida o adjudicación directa;</w:t>
      </w:r>
    </w:p>
    <w:p w:rsidR="0097363A" w:rsidRPr="0097363A" w:rsidRDefault="0097363A" w:rsidP="0097363A">
      <w:pPr>
        <w:autoSpaceDE w:val="0"/>
        <w:autoSpaceDN w:val="0"/>
        <w:adjustRightInd w:val="0"/>
        <w:ind w:left="850" w:right="901"/>
        <w:jc w:val="both"/>
        <w:rPr>
          <w:rFonts w:ascii="Palatino Linotype" w:eastAsia="Batang" w:hAnsi="Palatino Linotype" w:cs="Arial"/>
          <w:i/>
          <w:iCs/>
          <w:sz w:val="22"/>
          <w:szCs w:val="22"/>
          <w:lang w:val="es-AR" w:eastAsia="es-ES"/>
        </w:rPr>
      </w:pPr>
      <w:r w:rsidRPr="0097363A">
        <w:rPr>
          <w:rFonts w:ascii="Palatino Linotype" w:eastAsia="Batang" w:hAnsi="Palatino Linotype" w:cs="Arial"/>
          <w:b/>
          <w:bCs/>
          <w:i/>
          <w:iCs/>
          <w:sz w:val="22"/>
          <w:szCs w:val="22"/>
          <w:lang w:val="es-AR" w:eastAsia="es-ES"/>
        </w:rPr>
        <w:t>IX.</w:t>
      </w:r>
      <w:r w:rsidRPr="0097363A">
        <w:rPr>
          <w:rFonts w:ascii="Palatino Linotype" w:eastAsia="Batang" w:hAnsi="Palatino Linotype" w:cs="Arial"/>
          <w:i/>
          <w:iCs/>
          <w:sz w:val="22"/>
          <w:szCs w:val="22"/>
          <w:lang w:val="es-AR" w:eastAsia="es-ES"/>
        </w:rPr>
        <w:t xml:space="preserve"> </w:t>
      </w:r>
      <w:r w:rsidRPr="0097363A">
        <w:rPr>
          <w:rFonts w:ascii="Palatino Linotype" w:eastAsia="Batang" w:hAnsi="Palatino Linotype" w:cs="Arial"/>
          <w:b/>
          <w:bCs/>
          <w:i/>
          <w:iCs/>
          <w:sz w:val="22"/>
          <w:szCs w:val="22"/>
          <w:lang w:val="es-AR" w:eastAsia="es-ES"/>
        </w:rPr>
        <w:t>Emitir los dictámenes</w:t>
      </w:r>
      <w:r w:rsidRPr="0097363A">
        <w:rPr>
          <w:rFonts w:ascii="Palatino Linotype" w:eastAsia="Batang" w:hAnsi="Palatino Linotype" w:cs="Arial"/>
          <w:i/>
          <w:iCs/>
          <w:sz w:val="22"/>
          <w:szCs w:val="22"/>
          <w:lang w:val="es-AR" w:eastAsia="es-ES"/>
        </w:rPr>
        <w:t xml:space="preserve"> de adjudicación, </w:t>
      </w:r>
      <w:r w:rsidRPr="0097363A">
        <w:rPr>
          <w:rFonts w:ascii="Palatino Linotype" w:eastAsia="Batang" w:hAnsi="Palatino Linotype" w:cs="Arial"/>
          <w:b/>
          <w:bCs/>
          <w:i/>
          <w:iCs/>
          <w:sz w:val="22"/>
          <w:szCs w:val="22"/>
          <w:lang w:val="es-AR" w:eastAsia="es-ES"/>
        </w:rPr>
        <w:t xml:space="preserve">que servirán para la emisión del fallo en </w:t>
      </w:r>
      <w:r w:rsidRPr="0097363A">
        <w:rPr>
          <w:rFonts w:ascii="Palatino Linotype" w:eastAsia="Batang" w:hAnsi="Palatino Linotype" w:cs="Arial"/>
          <w:i/>
          <w:iCs/>
          <w:sz w:val="22"/>
          <w:szCs w:val="22"/>
          <w:lang w:val="es-AR" w:eastAsia="es-ES"/>
        </w:rPr>
        <w:t xml:space="preserve">los arrendamientos, adquisiciones de inmuebles y </w:t>
      </w:r>
      <w:r w:rsidRPr="0097363A">
        <w:rPr>
          <w:rFonts w:ascii="Palatino Linotype" w:eastAsia="Batang" w:hAnsi="Palatino Linotype" w:cs="Arial"/>
          <w:b/>
          <w:bCs/>
          <w:i/>
          <w:iCs/>
          <w:sz w:val="22"/>
          <w:szCs w:val="22"/>
          <w:lang w:val="es-AR" w:eastAsia="es-ES"/>
        </w:rPr>
        <w:t>enajenaciones</w:t>
      </w:r>
      <w:r w:rsidRPr="0097363A">
        <w:rPr>
          <w:rFonts w:ascii="Palatino Linotype" w:eastAsia="Batang" w:hAnsi="Palatino Linotype" w:cs="Arial"/>
          <w:i/>
          <w:iCs/>
          <w:sz w:val="22"/>
          <w:szCs w:val="22"/>
          <w:lang w:val="es-AR" w:eastAsia="es-ES"/>
        </w:rPr>
        <w:t>;</w:t>
      </w:r>
    </w:p>
    <w:p w:rsidR="0097363A" w:rsidRPr="0097363A" w:rsidRDefault="0097363A" w:rsidP="0097363A">
      <w:pPr>
        <w:autoSpaceDE w:val="0"/>
        <w:autoSpaceDN w:val="0"/>
        <w:adjustRightInd w:val="0"/>
        <w:ind w:left="850" w:right="901"/>
        <w:jc w:val="both"/>
        <w:rPr>
          <w:rFonts w:ascii="Palatino Linotype" w:eastAsia="Batang" w:hAnsi="Palatino Linotype" w:cs="Arial"/>
          <w:i/>
          <w:iCs/>
          <w:sz w:val="22"/>
          <w:szCs w:val="22"/>
          <w:lang w:val="es-AR" w:eastAsia="es-ES"/>
        </w:rPr>
      </w:pPr>
      <w:r w:rsidRPr="0097363A">
        <w:rPr>
          <w:rFonts w:ascii="Palatino Linotype" w:eastAsia="Batang" w:hAnsi="Palatino Linotype" w:cs="Arial"/>
          <w:b/>
          <w:bCs/>
          <w:i/>
          <w:iCs/>
          <w:sz w:val="22"/>
          <w:szCs w:val="22"/>
          <w:lang w:val="es-AR" w:eastAsia="es-ES"/>
        </w:rPr>
        <w:t>X.</w:t>
      </w:r>
      <w:r w:rsidRPr="0097363A">
        <w:rPr>
          <w:rFonts w:ascii="Palatino Linotype" w:eastAsia="Batang" w:hAnsi="Palatino Linotype" w:cs="Arial"/>
          <w:i/>
          <w:iCs/>
          <w:sz w:val="22"/>
          <w:szCs w:val="22"/>
          <w:lang w:val="es-AR" w:eastAsia="es-ES"/>
        </w:rPr>
        <w:t xml:space="preserve"> Crear subcomités y grupos de trabajo de orden administrativo y técnico que considere necesarios para el desarrollo de sus funciones; y</w:t>
      </w:r>
    </w:p>
    <w:p w:rsidR="0097363A" w:rsidRPr="0097363A" w:rsidRDefault="0097363A" w:rsidP="0097363A">
      <w:pPr>
        <w:autoSpaceDE w:val="0"/>
        <w:autoSpaceDN w:val="0"/>
        <w:adjustRightInd w:val="0"/>
        <w:ind w:left="850" w:right="901"/>
        <w:jc w:val="both"/>
        <w:rPr>
          <w:rFonts w:ascii="Palatino Linotype" w:eastAsia="Batang" w:hAnsi="Palatino Linotype" w:cs="Arial"/>
          <w:i/>
          <w:iCs/>
          <w:sz w:val="22"/>
          <w:szCs w:val="22"/>
          <w:lang w:val="es-AR" w:eastAsia="es-ES"/>
        </w:rPr>
      </w:pPr>
      <w:r w:rsidRPr="0097363A">
        <w:rPr>
          <w:rFonts w:ascii="Palatino Linotype" w:eastAsia="Batang" w:hAnsi="Palatino Linotype" w:cs="Arial"/>
          <w:b/>
          <w:bCs/>
          <w:i/>
          <w:iCs/>
          <w:sz w:val="22"/>
          <w:szCs w:val="22"/>
          <w:lang w:val="es-AR" w:eastAsia="es-ES"/>
        </w:rPr>
        <w:t>XI.</w:t>
      </w:r>
      <w:r w:rsidRPr="0097363A">
        <w:rPr>
          <w:rFonts w:ascii="Palatino Linotype" w:eastAsia="Batang" w:hAnsi="Palatino Linotype" w:cs="Arial"/>
          <w:i/>
          <w:iCs/>
          <w:sz w:val="22"/>
          <w:szCs w:val="22"/>
          <w:lang w:val="es-AR" w:eastAsia="es-ES"/>
        </w:rPr>
        <w:t xml:space="preserve"> Las demás que sean necesarias para el cumplimiento de sus funciones.</w:t>
      </w:r>
    </w:p>
    <w:p w:rsidR="0097363A" w:rsidRPr="0097363A" w:rsidRDefault="0097363A" w:rsidP="0097363A">
      <w:pPr>
        <w:autoSpaceDE w:val="0"/>
        <w:autoSpaceDN w:val="0"/>
        <w:adjustRightInd w:val="0"/>
        <w:ind w:left="850" w:right="901"/>
        <w:jc w:val="both"/>
        <w:rPr>
          <w:rFonts w:ascii="Palatino Linotype" w:eastAsia="Batang" w:hAnsi="Palatino Linotype" w:cs="Arial"/>
          <w:i/>
          <w:iCs/>
          <w:sz w:val="22"/>
          <w:szCs w:val="22"/>
          <w:lang w:val="es-AR" w:eastAsia="es-ES"/>
        </w:rPr>
      </w:pPr>
    </w:p>
    <w:p w:rsidR="0097363A" w:rsidRPr="0097363A" w:rsidRDefault="0097363A" w:rsidP="0097363A">
      <w:pPr>
        <w:autoSpaceDE w:val="0"/>
        <w:autoSpaceDN w:val="0"/>
        <w:adjustRightInd w:val="0"/>
        <w:ind w:left="850" w:right="901"/>
        <w:jc w:val="both"/>
        <w:rPr>
          <w:rFonts w:ascii="Palatino Linotype" w:eastAsia="Batang" w:hAnsi="Palatino Linotype" w:cs="Arial"/>
          <w:i/>
          <w:iCs/>
          <w:sz w:val="22"/>
          <w:szCs w:val="22"/>
          <w:lang w:val="es-AR" w:eastAsia="es-ES"/>
        </w:rPr>
      </w:pPr>
      <w:r w:rsidRPr="0097363A">
        <w:rPr>
          <w:rFonts w:ascii="Palatino Linotype" w:eastAsia="Batang" w:hAnsi="Palatino Linotype" w:cs="Arial"/>
          <w:b/>
          <w:bCs/>
          <w:i/>
          <w:iCs/>
          <w:sz w:val="22"/>
          <w:szCs w:val="22"/>
          <w:lang w:val="es-AR" w:eastAsia="es-ES"/>
        </w:rPr>
        <w:t>Artículo 55.-</w:t>
      </w:r>
      <w:r w:rsidRPr="0097363A">
        <w:rPr>
          <w:rFonts w:ascii="Palatino Linotype" w:eastAsia="Batang" w:hAnsi="Palatino Linotype" w:cs="Arial"/>
          <w:i/>
          <w:iCs/>
          <w:sz w:val="22"/>
          <w:szCs w:val="22"/>
          <w:lang w:val="es-AR" w:eastAsia="es-ES"/>
        </w:rPr>
        <w:t xml:space="preserve"> Los integrantes del comité tendrán las siguientes funciones:</w:t>
      </w:r>
    </w:p>
    <w:p w:rsidR="0097363A" w:rsidRPr="0097363A" w:rsidRDefault="0097363A" w:rsidP="0097363A">
      <w:pPr>
        <w:autoSpaceDE w:val="0"/>
        <w:autoSpaceDN w:val="0"/>
        <w:adjustRightInd w:val="0"/>
        <w:ind w:left="850" w:right="901"/>
        <w:jc w:val="both"/>
        <w:rPr>
          <w:rFonts w:ascii="Palatino Linotype" w:eastAsia="Batang" w:hAnsi="Palatino Linotype" w:cs="Arial"/>
          <w:i/>
          <w:iCs/>
          <w:sz w:val="22"/>
          <w:szCs w:val="22"/>
          <w:lang w:val="es-AR" w:eastAsia="es-ES"/>
        </w:rPr>
      </w:pPr>
    </w:p>
    <w:p w:rsidR="0097363A" w:rsidRPr="0097363A" w:rsidRDefault="0097363A" w:rsidP="0097363A">
      <w:pPr>
        <w:autoSpaceDE w:val="0"/>
        <w:autoSpaceDN w:val="0"/>
        <w:adjustRightInd w:val="0"/>
        <w:ind w:left="850" w:right="901"/>
        <w:jc w:val="both"/>
        <w:rPr>
          <w:rFonts w:ascii="Palatino Linotype" w:eastAsia="Batang" w:hAnsi="Palatino Linotype" w:cs="Arial"/>
          <w:i/>
          <w:iCs/>
          <w:sz w:val="22"/>
          <w:szCs w:val="22"/>
          <w:lang w:val="es-AR" w:eastAsia="es-ES"/>
        </w:rPr>
      </w:pPr>
      <w:r w:rsidRPr="0097363A">
        <w:rPr>
          <w:rFonts w:ascii="Palatino Linotype" w:eastAsia="Batang" w:hAnsi="Palatino Linotype" w:cs="Arial"/>
          <w:b/>
          <w:bCs/>
          <w:i/>
          <w:iCs/>
          <w:sz w:val="22"/>
          <w:szCs w:val="22"/>
          <w:lang w:val="es-AR" w:eastAsia="es-ES"/>
        </w:rPr>
        <w:t>I. Presidente:</w:t>
      </w:r>
      <w:r w:rsidRPr="0097363A">
        <w:rPr>
          <w:rFonts w:ascii="Palatino Linotype" w:eastAsia="Batang" w:hAnsi="Palatino Linotype" w:cs="Arial"/>
          <w:i/>
          <w:iCs/>
          <w:sz w:val="22"/>
          <w:szCs w:val="22"/>
          <w:lang w:val="es-AR" w:eastAsia="es-ES"/>
        </w:rPr>
        <w:t xml:space="preserve"> </w:t>
      </w:r>
      <w:r w:rsidRPr="0097363A">
        <w:rPr>
          <w:rFonts w:ascii="Palatino Linotype" w:eastAsia="Batang" w:hAnsi="Palatino Linotype" w:cs="Arial"/>
          <w:b/>
          <w:bCs/>
          <w:i/>
          <w:iCs/>
          <w:sz w:val="22"/>
          <w:szCs w:val="22"/>
          <w:lang w:val="es-AR" w:eastAsia="es-ES"/>
        </w:rPr>
        <w:t>Representar legalmente al comité, autorizar la convocatoria y el orden del día de las sesiones; convocar a sus integrantes cuando sea necesario, y emitir su voto, así como firmar las actas de los actos en los que haya participado;</w:t>
      </w:r>
      <w:r w:rsidRPr="0097363A">
        <w:rPr>
          <w:rFonts w:ascii="Palatino Linotype" w:eastAsia="Batang" w:hAnsi="Palatino Linotype" w:cs="Arial"/>
          <w:b/>
          <w:bCs/>
          <w:i/>
          <w:iCs/>
          <w:sz w:val="22"/>
          <w:szCs w:val="22"/>
          <w:lang w:val="es-AR" w:eastAsia="es-ES"/>
        </w:rPr>
        <w:cr/>
      </w:r>
    </w:p>
    <w:p w:rsidR="0097363A" w:rsidRPr="0097363A" w:rsidRDefault="0097363A" w:rsidP="0097363A">
      <w:pPr>
        <w:autoSpaceDE w:val="0"/>
        <w:autoSpaceDN w:val="0"/>
        <w:adjustRightInd w:val="0"/>
        <w:ind w:left="850" w:right="901"/>
        <w:jc w:val="both"/>
        <w:rPr>
          <w:rFonts w:ascii="Palatino Linotype" w:hAnsi="Palatino Linotype"/>
          <w:i/>
          <w:iCs/>
          <w:sz w:val="22"/>
          <w:szCs w:val="22"/>
          <w:lang w:eastAsia="es-ES"/>
        </w:rPr>
      </w:pPr>
      <w:r w:rsidRPr="0097363A">
        <w:rPr>
          <w:rFonts w:ascii="Palatino Linotype" w:hAnsi="Palatino Linotype"/>
          <w:b/>
          <w:bCs/>
          <w:i/>
          <w:iCs/>
          <w:sz w:val="22"/>
          <w:szCs w:val="22"/>
          <w:lang w:eastAsia="es-ES"/>
        </w:rPr>
        <w:t xml:space="preserve">Artículo 56.- Es responsabilidad del titular de la unidad administrativa de la Secretaría encargada del control patrimonial, </w:t>
      </w:r>
      <w:bookmarkStart w:id="8" w:name="_Hlk94554861"/>
      <w:r w:rsidRPr="0097363A">
        <w:rPr>
          <w:rFonts w:ascii="Palatino Linotype" w:hAnsi="Palatino Linotype"/>
          <w:b/>
          <w:bCs/>
          <w:i/>
          <w:iCs/>
          <w:sz w:val="22"/>
          <w:szCs w:val="22"/>
          <w:lang w:eastAsia="es-ES"/>
        </w:rPr>
        <w:t>autorizar con su firma la convocatoria, las bases, emitir el fallo de adjudicación, así como suscribir los contratos que se deriven de los procedimientos de arrendamientos, adquisiciones de inmuebles y enajenaciones</w:t>
      </w:r>
      <w:bookmarkEnd w:id="8"/>
      <w:r w:rsidRPr="0097363A">
        <w:rPr>
          <w:rFonts w:ascii="Palatino Linotype" w:hAnsi="Palatino Linotype"/>
          <w:b/>
          <w:bCs/>
          <w:i/>
          <w:iCs/>
          <w:sz w:val="22"/>
          <w:szCs w:val="22"/>
          <w:lang w:eastAsia="es-ES"/>
        </w:rPr>
        <w:t>.”</w:t>
      </w:r>
      <w:r w:rsidRPr="0097363A">
        <w:rPr>
          <w:rFonts w:ascii="Palatino Linotype" w:hAnsi="Palatino Linotype"/>
          <w:i/>
          <w:iCs/>
          <w:sz w:val="22"/>
          <w:szCs w:val="22"/>
          <w:lang w:eastAsia="es-ES"/>
        </w:rPr>
        <w:t>(Sic)</w:t>
      </w:r>
    </w:p>
    <w:p w:rsidR="00A60819" w:rsidRDefault="00A02C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Como se advierte, tanto la Ley de Contratación y su Reglamento dotan al Comité de Arrendamientos, Adquisiciones de Inmuebles y Enajenaciones, de atribuciones para participar en el procedimiento de subasta pública, mediante el cual son enajenados los bienes muebles e inmuebles de determinado ente público, sin embargo, dicha participación consiste en el análisis de la documentación de los actos relacionados con dichas enajenaciones, la emisión de la opinión correspondiente, el dictamen de las propuestas sobre la enajenación, y evaluar las propuestas o posturas que se presenten para la subasta pública, es decir, que su función se limita únicamente deliberar, de manera colegiada, respecto del procedimiento de subasta pública.</w:t>
      </w:r>
    </w:p>
    <w:p w:rsidR="00A60819" w:rsidRDefault="00A02C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Bajo tales consideraciones, </w:t>
      </w:r>
      <w:r>
        <w:rPr>
          <w:rFonts w:ascii="Palatino Linotype" w:eastAsia="Palatino Linotype" w:hAnsi="Palatino Linotype" w:cs="Palatino Linotype"/>
        </w:rPr>
        <w:t xml:space="preserve">no debe perderse de vista  que el Recurrente solicitó que se le informara cuál es la unidad administrativa que se encarga de las enajenaciones de bienes muebles y a cuál dirección general depende; a lo que el Sujeto obligado informó que, es el Comité de Arrendamientos, Adquisiciones de Inmuebles y Enajenaciones, por lo que señala que no es una unidad administrativa que dependa de alguna Dirección General quien se encarga de lo anterior, sin embargo dicho Comité debe estar integrado por servidores públicos del Ayuntamiento, pertenecientes a sus áreas o unidades administrativas. </w:t>
      </w:r>
    </w:p>
    <w:p w:rsidR="00A60819" w:rsidRDefault="00A60819">
      <w:pPr>
        <w:spacing w:line="360" w:lineRule="auto"/>
        <w:jc w:val="both"/>
        <w:rPr>
          <w:rFonts w:ascii="Palatino Linotype" w:eastAsia="Palatino Linotype" w:hAnsi="Palatino Linotype" w:cs="Palatino Linotype"/>
        </w:rPr>
      </w:pPr>
    </w:p>
    <w:p w:rsidR="00A60819" w:rsidRDefault="00A02C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respecto del motivo de inconformidad expresado por el Recurrente en el sentido de que se le indique qué unidad administrativa </w:t>
      </w:r>
      <w:r>
        <w:rPr>
          <w:rFonts w:ascii="Palatino Linotype" w:eastAsia="Palatino Linotype" w:hAnsi="Palatino Linotype" w:cs="Palatino Linotype"/>
          <w:b/>
        </w:rPr>
        <w:t>ejecuta</w:t>
      </w:r>
      <w:r>
        <w:rPr>
          <w:rFonts w:ascii="Palatino Linotype" w:eastAsia="Palatino Linotype" w:hAnsi="Palatino Linotype" w:cs="Palatino Linotype"/>
        </w:rPr>
        <w:t xml:space="preserve"> las enajenaciones, se debe advertir que el Diccionario Panhispánico del Español Jurídico define en verbo ejecutar en su primera acepción como </w:t>
      </w:r>
      <w:r>
        <w:rPr>
          <w:rFonts w:ascii="Palatino Linotype" w:eastAsia="Palatino Linotype" w:hAnsi="Palatino Linotype" w:cs="Palatino Linotype"/>
          <w:b/>
        </w:rPr>
        <w:t>proceder a dar cumplimiento a una disposición una resolución judicial o administrativa, un acto o un contrato</w:t>
      </w:r>
      <w:r>
        <w:rPr>
          <w:rFonts w:ascii="Palatino Linotype" w:eastAsia="Palatino Linotype" w:hAnsi="Palatino Linotype" w:cs="Palatino Linotype"/>
          <w:b/>
          <w:vertAlign w:val="superscript"/>
        </w:rPr>
        <w:footnoteReference w:id="3"/>
      </w:r>
      <w:r>
        <w:rPr>
          <w:rFonts w:ascii="Palatino Linotype" w:eastAsia="Palatino Linotype" w:hAnsi="Palatino Linotype" w:cs="Palatino Linotype"/>
        </w:rPr>
        <w:t>.</w:t>
      </w:r>
    </w:p>
    <w:p w:rsidR="00A60819" w:rsidRDefault="00A60819">
      <w:pPr>
        <w:spacing w:line="360" w:lineRule="auto"/>
        <w:jc w:val="both"/>
        <w:rPr>
          <w:rFonts w:ascii="Palatino Linotype" w:eastAsia="Palatino Linotype" w:hAnsi="Palatino Linotype" w:cs="Palatino Linotype"/>
        </w:rPr>
      </w:pPr>
    </w:p>
    <w:p w:rsidR="00A60819" w:rsidRDefault="00A02C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que se desprende que la ejecución de la enajenación debe entenderse como el cumplimiento de dicha enajenación, es decir, la transmisión de la titularidad o propiedad del bien mueble enajenado; por tanto, es viable colegir que se trata del último paso en el procedimiento de enajenación, por lo que no puede considerarse que el particular haya ampliado su solicitud original dado que en ella se requirió información respecto del procedimiento completo, puesto que al señalar que requería el nombre de la unidad administrativa que se encarga de las enajenaciones, es evidente que se hace referencia al procedimiento en su totalidad, y no únicamente al inicio del mismo.</w:t>
      </w:r>
    </w:p>
    <w:p w:rsidR="00A60819" w:rsidRDefault="00A02CB7">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sentido, el </w:t>
      </w:r>
      <w:r>
        <w:rPr>
          <w:rFonts w:ascii="Palatino Linotype" w:eastAsia="Palatino Linotype" w:hAnsi="Palatino Linotype" w:cs="Palatino Linotype"/>
        </w:rPr>
        <w:t>artículo</w:t>
      </w:r>
      <w:r>
        <w:rPr>
          <w:rFonts w:ascii="Palatino Linotype" w:eastAsia="Palatino Linotype" w:hAnsi="Palatino Linotype" w:cs="Palatino Linotype"/>
          <w:color w:val="000000"/>
        </w:rPr>
        <w:t xml:space="preserve"> 92 fracciones II y III de la Ley de Transparencia y Acceso a la Información Pública del Estado de México y Municipios, establece como información pública de oficio, que los Sujetos Obligados deben poner a disposición del público en sus respectivos medios electrónicos, la información relativa a la estructura orgánica, así como las facultades de cada área, como se lee enseguida:</w:t>
      </w:r>
    </w:p>
    <w:p w:rsidR="00A60819" w:rsidRDefault="00A02CB7">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92</w:t>
      </w:r>
      <w:r>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60819" w:rsidRDefault="00A02CB7">
      <w:pPr>
        <w:spacing w:before="120" w:after="120"/>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A60819" w:rsidRDefault="00A02CB7">
      <w:pPr>
        <w:spacing w:before="120" w:after="120"/>
        <w:ind w:left="567"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rsidR="00A60819" w:rsidRDefault="00A02CB7">
      <w:pPr>
        <w:spacing w:before="120" w:after="120"/>
        <w:ind w:left="567"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Las facultades de cada área;”</w:t>
      </w:r>
    </w:p>
    <w:p w:rsidR="00A60819" w:rsidRDefault="00A02C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Como se advierte, la Ley establece que los Sujetos Obligados deben poner a disposición del público, la estructura orgánica en un formato que permita vincular cada parte de la estructura, las atribuciones y responsabilidades que le corresponden a cada servidor público, así como las facultades de cada área prevista en el reglamento interior, estatuto orgánico o normatividad equivalente respectiva, entendidas éstas como las aptitudes o potestades que les otorga la ley para para llevar a cabo actos administrativos y/o legales válidos, de los cuales surgen obligaciones, derechos y atribuciones; información a través de la cual, de manera enunciativa, más no limitativa, el derecho de acceso del particular pudiera quedar satisfecho.</w:t>
      </w:r>
    </w:p>
    <w:p w:rsidR="00A60819" w:rsidRDefault="00A02C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menciona que no pasa desapercibido para este Órgano Garante el particular, al no ser experto en la materia omitió señalar de manera concreta el o los documentos a los que pretende acceder, lo cierto es que es obligación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dar a la solicitud una interpretación que le dé una expresión documental, por tal motivo, privilegiando el principio de máxima publicidad, se deberá proceder a la entrega de los documentos, que hubiere generado en el ejercicio de sus facultades o actividad sin importar su fuente o fecha de elaboración, en los que obre la denominación de la unidad administrativa que tiene a su cargo las enajenaciones de bienes muebles municipales, así como la denominación de la Dirección General o  área a la que dicha unidad depende jerárquicamente, de ser el caso.</w:t>
      </w:r>
    </w:p>
    <w:p w:rsidR="00A60819" w:rsidRDefault="00A02CB7">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Como sustento a lo anterior es aplicable el Criterio 16/17, emitido por el Instituto Federal de Acceso a la Información y Protección de Datos, ahora Instituto Nacional de Transparencia, Acceso a la Información y Protección de Datos Personales, establece lo siguiente: </w:t>
      </w:r>
    </w:p>
    <w:p w:rsidR="00A60819" w:rsidRDefault="00A02CB7">
      <w:pPr>
        <w:pBdr>
          <w:top w:val="nil"/>
          <w:left w:val="nil"/>
          <w:bottom w:val="nil"/>
          <w:right w:val="nil"/>
          <w:between w:val="nil"/>
        </w:pBdr>
        <w:spacing w:after="120"/>
        <w:ind w:left="851" w:right="902"/>
        <w:jc w:val="both"/>
        <w:rPr>
          <w:rFonts w:ascii="Palatino Linotype" w:eastAsia="Palatino Linotype" w:hAnsi="Palatino Linotype" w:cs="Palatino Linotype"/>
          <w:color w:val="000000"/>
          <w:sz w:val="22"/>
          <w:szCs w:val="22"/>
        </w:rPr>
      </w:pPr>
      <w:r>
        <w:rPr>
          <w:color w:val="000000"/>
          <w:sz w:val="22"/>
          <w:szCs w:val="22"/>
        </w:rPr>
        <w:t xml:space="preserve"> “</w:t>
      </w:r>
      <w:r>
        <w:rPr>
          <w:rFonts w:ascii="Palatino Linotype" w:eastAsia="Palatino Linotype" w:hAnsi="Palatino Linotype" w:cs="Palatino Linotype"/>
          <w:b/>
          <w:i/>
          <w:color w:val="000000"/>
          <w:sz w:val="22"/>
          <w:szCs w:val="22"/>
        </w:rPr>
        <w:t xml:space="preserve">Expresión documental. </w:t>
      </w:r>
      <w:r>
        <w:rPr>
          <w:rFonts w:ascii="Palatino Linotype" w:eastAsia="Palatino Linotype" w:hAnsi="Palatino Linotype" w:cs="Palatino Linotype"/>
          <w:i/>
          <w:color w:val="000000"/>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00A60819" w:rsidRDefault="00A02C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en virtud 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 encuentra constreñido a documentar todo acto que derive del ejercicio sus facultades, competencias o funciones, considerando desde su origen la eventual publicidad y reutilización de la información que generen, según lo dispuesto en los artículos 18, 24 fracción XXII y 160 párrafo primero de la Ley de la Materia, que son del tenor literal siguiente:</w:t>
      </w:r>
    </w:p>
    <w:p w:rsidR="00A60819" w:rsidRDefault="00A02CB7" w:rsidP="002B5C30">
      <w:pPr>
        <w:pBdr>
          <w:top w:val="nil"/>
          <w:left w:val="nil"/>
          <w:bottom w:val="nil"/>
          <w:right w:val="nil"/>
          <w:between w:val="nil"/>
        </w:pBdr>
        <w:spacing w:before="120" w:after="120"/>
        <w:ind w:left="567"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18</w:t>
      </w:r>
      <w:r>
        <w:rPr>
          <w:rFonts w:ascii="Palatino Linotype" w:eastAsia="Palatino Linotype" w:hAnsi="Palatino Linotype" w:cs="Palatino Linotype"/>
          <w:i/>
          <w:color w:val="000000"/>
          <w:sz w:val="22"/>
          <w:szCs w:val="22"/>
        </w:rPr>
        <w:t>. Los sujetos obligados deberán documentar todo acto que derive del ejercicio de sus facultades, competencias o funciones, considerando desde su origen la eventual publicidad y reutilización de la información que generen.</w:t>
      </w:r>
    </w:p>
    <w:p w:rsidR="00A60819" w:rsidRDefault="00A02CB7" w:rsidP="002B5C30">
      <w:pPr>
        <w:pBdr>
          <w:top w:val="nil"/>
          <w:left w:val="nil"/>
          <w:bottom w:val="nil"/>
          <w:right w:val="nil"/>
          <w:between w:val="nil"/>
        </w:pBdr>
        <w:spacing w:before="120" w:after="120"/>
        <w:ind w:left="567"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A60819" w:rsidRDefault="00A02CB7" w:rsidP="002B5C30">
      <w:pPr>
        <w:pBdr>
          <w:top w:val="nil"/>
          <w:left w:val="nil"/>
          <w:bottom w:val="nil"/>
          <w:right w:val="nil"/>
          <w:between w:val="nil"/>
        </w:pBdr>
        <w:spacing w:before="120" w:after="120"/>
        <w:ind w:left="567"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24.</w:t>
      </w:r>
      <w:r>
        <w:rPr>
          <w:rFonts w:ascii="Palatino Linotype" w:eastAsia="Palatino Linotype" w:hAnsi="Palatino Linotype" w:cs="Palatino Linotype"/>
          <w:i/>
          <w:color w:val="000000"/>
          <w:sz w:val="22"/>
          <w:szCs w:val="22"/>
        </w:rPr>
        <w:t xml:space="preserve"> Para el cumplimiento de los objetivos de esta Ley, los sujetos obligados deberán cumplir con las siguientes obligaciones, según corresponda, de acuerdo a su naturaleza:</w:t>
      </w:r>
    </w:p>
    <w:p w:rsidR="00A60819" w:rsidRDefault="00A02CB7" w:rsidP="002B5C30">
      <w:pPr>
        <w:pBdr>
          <w:top w:val="nil"/>
          <w:left w:val="nil"/>
          <w:bottom w:val="nil"/>
          <w:right w:val="nil"/>
          <w:between w:val="nil"/>
        </w:pBdr>
        <w:spacing w:before="120" w:after="120"/>
        <w:ind w:left="567"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XXII.</w:t>
      </w:r>
      <w:r>
        <w:rPr>
          <w:rFonts w:ascii="Palatino Linotype" w:eastAsia="Palatino Linotype" w:hAnsi="Palatino Linotype" w:cs="Palatino Linotype"/>
          <w:i/>
          <w:color w:val="000000"/>
          <w:sz w:val="22"/>
          <w:szCs w:val="22"/>
        </w:rPr>
        <w:t xml:space="preserve"> Documentar todo acto que derive del ejercicio de sus facultades, competencias o funciones y abstenerse de destruirlos u ocultarlos, dentro de los que destacan los procesos deliberativos y de decisión definitiva;</w:t>
      </w:r>
    </w:p>
    <w:p w:rsidR="00A60819" w:rsidRDefault="00A02CB7" w:rsidP="002B5C30">
      <w:pPr>
        <w:spacing w:before="120" w:after="120"/>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A60819" w:rsidRDefault="00A02CB7" w:rsidP="002B5C30">
      <w:pPr>
        <w:spacing w:before="120" w:after="120"/>
        <w:ind w:left="567" w:right="902"/>
        <w:jc w:val="both"/>
        <w:rPr>
          <w:rFonts w:ascii="Palatino Linotype" w:eastAsia="Palatino Linotype" w:hAnsi="Palatino Linotype" w:cs="Palatino Linotype"/>
          <w:i/>
          <w:sz w:val="36"/>
          <w:szCs w:val="36"/>
        </w:rPr>
      </w:pPr>
      <w:r>
        <w:rPr>
          <w:rFonts w:ascii="Palatino Linotype" w:eastAsia="Palatino Linotype" w:hAnsi="Palatino Linotype" w:cs="Palatino Linotype"/>
          <w:b/>
          <w:i/>
          <w:sz w:val="22"/>
          <w:szCs w:val="22"/>
        </w:rPr>
        <w:t>Artículo 160</w:t>
      </w:r>
      <w:r>
        <w:rPr>
          <w:rFonts w:ascii="Palatino Linotype" w:eastAsia="Palatino Linotype" w:hAnsi="Palatino Linotype" w:cs="Palatino Linotype"/>
          <w:i/>
          <w:sz w:val="22"/>
          <w:szCs w:val="22"/>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A60819" w:rsidRDefault="00A02C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Sin contrariar lo anterior, para el caso de que la unidad administrativa que se encarga del trámite las enajenaciones de bienes muebles, no dependa jerárquicamente de otra área, bastará con que así se haga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efecto de tener por colmado el requerimiento de información. </w:t>
      </w:r>
    </w:p>
    <w:p w:rsidR="00A60819" w:rsidRDefault="00A02C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A60819" w:rsidRDefault="00A02CB7">
      <w:pPr>
        <w:numPr>
          <w:ilvl w:val="0"/>
          <w:numId w:val="2"/>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R E S U E L V E:</w:t>
      </w:r>
    </w:p>
    <w:p w:rsidR="00A60819" w:rsidRDefault="00A02CB7">
      <w:pPr>
        <w:spacing w:before="240" w:after="240" w:line="360" w:lineRule="auto"/>
        <w:jc w:val="both"/>
        <w:rPr>
          <w:rFonts w:ascii="Palatino Linotype" w:eastAsia="Palatino Linotype" w:hAnsi="Palatino Linotype" w:cs="Palatino Linotype"/>
          <w:b/>
        </w:rPr>
      </w:pPr>
      <w:bookmarkStart w:id="9" w:name="_heading=h.3dy6vkm" w:colFirst="0" w:colLast="0"/>
      <w:bookmarkEnd w:id="9"/>
      <w:r>
        <w:rPr>
          <w:rFonts w:ascii="Palatino Linotype" w:eastAsia="Palatino Linotype" w:hAnsi="Palatino Linotype" w:cs="Palatino Linotype"/>
          <w:b/>
        </w:rPr>
        <w:t xml:space="preserve">Primero. </w:t>
      </w:r>
      <w:r>
        <w:rPr>
          <w:rFonts w:ascii="Palatino Linotype" w:eastAsia="Palatino Linotype" w:hAnsi="Palatino Linotype" w:cs="Palatino Linotype"/>
        </w:rPr>
        <w:t>Resultan</w:t>
      </w:r>
      <w:r>
        <w:rPr>
          <w:rFonts w:ascii="Palatino Linotype" w:eastAsia="Palatino Linotype" w:hAnsi="Palatino Linotype" w:cs="Palatino Linotype"/>
          <w:b/>
        </w:rPr>
        <w:t xml:space="preserve"> fundados</w:t>
      </w:r>
      <w:r>
        <w:rPr>
          <w:rFonts w:ascii="Palatino Linotype" w:eastAsia="Palatino Linotype" w:hAnsi="Palatino Linotype" w:cs="Palatino Linotype"/>
        </w:rPr>
        <w:t xml:space="preserve"> los motivos de inconformidad hechos valer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 xml:space="preserve">00049/INFOEM/IP/RR/2022, </w:t>
      </w:r>
      <w:r>
        <w:rPr>
          <w:rFonts w:ascii="Palatino Linotype" w:eastAsia="Palatino Linotype" w:hAnsi="Palatino Linotype" w:cs="Palatino Linotype"/>
        </w:rPr>
        <w:t xml:space="preserve">por lo que,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 se</w:t>
      </w:r>
      <w:r w:rsidR="002B5C30">
        <w:rPr>
          <w:rFonts w:ascii="Palatino Linotype" w:eastAsia="Palatino Linotype" w:hAnsi="Palatino Linotype" w:cs="Palatino Linotype"/>
          <w:b/>
        </w:rPr>
        <w:t xml:space="preserve"> Modifi</w:t>
      </w:r>
      <w:r>
        <w:rPr>
          <w:rFonts w:ascii="Palatino Linotype" w:eastAsia="Palatino Linotype" w:hAnsi="Palatino Linotype" w:cs="Palatino Linotype"/>
          <w:b/>
        </w:rPr>
        <w:t xml:space="preserve">ca </w:t>
      </w:r>
      <w:r>
        <w:rPr>
          <w:rFonts w:ascii="Palatino Linotype" w:eastAsia="Palatino Linotype" w:hAnsi="Palatino Linotype" w:cs="Palatino Linotype"/>
        </w:rPr>
        <w:t>la respuesta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p>
    <w:p w:rsidR="0036742B" w:rsidRPr="00BF25DF" w:rsidRDefault="00A02CB7" w:rsidP="0036742B">
      <w:pPr>
        <w:spacing w:before="240" w:after="240" w:line="360" w:lineRule="auto"/>
        <w:jc w:val="both"/>
        <w:rPr>
          <w:rFonts w:ascii="Palatino Linotype" w:eastAsia="Palatino Linotype" w:hAnsi="Palatino Linotype" w:cs="Palatino Linotype"/>
          <w:sz w:val="20"/>
          <w:szCs w:val="20"/>
        </w:rPr>
      </w:pPr>
      <w:bookmarkStart w:id="10" w:name="_heading=h.1t3h5sf" w:colFirst="0" w:colLast="0"/>
      <w:bookmarkEnd w:id="10"/>
      <w:r>
        <w:rPr>
          <w:rFonts w:ascii="Palatino Linotype" w:eastAsia="Palatino Linotype" w:hAnsi="Palatino Linotype" w:cs="Palatino Linotype"/>
          <w:b/>
          <w:highlight w:val="white"/>
        </w:rPr>
        <w:t xml:space="preserve">Segundo. </w:t>
      </w:r>
      <w:r w:rsidR="0036742B" w:rsidRPr="0036742B">
        <w:rPr>
          <w:rFonts w:ascii="Palatino Linotype" w:eastAsia="Palatino Linotype" w:hAnsi="Palatino Linotype" w:cs="Palatino Linotype"/>
        </w:rPr>
        <w:t xml:space="preserve">Se </w:t>
      </w:r>
      <w:r w:rsidR="0036742B" w:rsidRPr="0036742B">
        <w:rPr>
          <w:rFonts w:ascii="Palatino Linotype" w:eastAsia="Palatino Linotype" w:hAnsi="Palatino Linotype" w:cs="Palatino Linotype"/>
          <w:b/>
        </w:rPr>
        <w:t>Ordena</w:t>
      </w:r>
      <w:r w:rsidR="0036742B" w:rsidRPr="0036742B">
        <w:rPr>
          <w:rFonts w:ascii="Palatino Linotype" w:eastAsia="Palatino Linotype" w:hAnsi="Palatino Linotype" w:cs="Palatino Linotype"/>
        </w:rPr>
        <w:t xml:space="preserve"> al </w:t>
      </w:r>
      <w:r w:rsidR="0036742B" w:rsidRPr="0036742B">
        <w:rPr>
          <w:rFonts w:ascii="Palatino Linotype" w:eastAsia="Palatino Linotype" w:hAnsi="Palatino Linotype" w:cs="Palatino Linotype"/>
          <w:b/>
        </w:rPr>
        <w:t>Sujeto Obligado</w:t>
      </w:r>
      <w:r w:rsidR="0036742B" w:rsidRPr="0036742B">
        <w:rPr>
          <w:rFonts w:ascii="Palatino Linotype" w:eastAsia="Palatino Linotype" w:hAnsi="Palatino Linotype" w:cs="Palatino Linotype"/>
        </w:rPr>
        <w:t xml:space="preserve">, a que en términos del Considerando </w:t>
      </w:r>
      <w:r w:rsidR="0036742B" w:rsidRPr="0036742B">
        <w:rPr>
          <w:rFonts w:ascii="Palatino Linotype" w:eastAsia="Palatino Linotype" w:hAnsi="Palatino Linotype" w:cs="Palatino Linotype"/>
          <w:b/>
        </w:rPr>
        <w:t xml:space="preserve">Cuarto </w:t>
      </w:r>
      <w:r w:rsidR="0036742B" w:rsidRPr="0036742B">
        <w:rPr>
          <w:rFonts w:ascii="Palatino Linotype" w:eastAsia="Palatino Linotype" w:hAnsi="Palatino Linotype" w:cs="Palatino Linotype"/>
        </w:rPr>
        <w:t>de esta resolución, haga entrega al recurrente, vía SAIMEX, del documento donde conste:</w:t>
      </w:r>
    </w:p>
    <w:p w:rsidR="0036742B" w:rsidRPr="0036742B" w:rsidRDefault="0036742B" w:rsidP="0036742B">
      <w:pPr>
        <w:spacing w:before="240" w:after="240"/>
        <w:ind w:left="567" w:right="1043"/>
        <w:jc w:val="both"/>
        <w:rPr>
          <w:rFonts w:ascii="Palatino Linotype" w:eastAsia="Palatino Linotype" w:hAnsi="Palatino Linotype" w:cs="Palatino Linotype"/>
          <w:i/>
          <w:sz w:val="22"/>
          <w:szCs w:val="22"/>
        </w:rPr>
      </w:pPr>
      <w:bookmarkStart w:id="11" w:name="_heading=h.tyjcwt" w:colFirst="0" w:colLast="0"/>
      <w:bookmarkEnd w:id="11"/>
      <w:r w:rsidRPr="0036742B">
        <w:rPr>
          <w:rFonts w:ascii="Palatino Linotype" w:eastAsia="Palatino Linotype" w:hAnsi="Palatino Linotype" w:cs="Palatino Linotype"/>
          <w:i/>
          <w:sz w:val="22"/>
          <w:szCs w:val="22"/>
        </w:rPr>
        <w:t>El nombre de las áreas que integran el Comité de Arrendamientos, Adquisiciones de Inmuebles, y Enajenaciones, encargado de llevar a cabo los procedimientos de enajenación de bienes muebles y en su caso, nombre de la dependencia o dirección general a la que están adscritos.</w:t>
      </w:r>
    </w:p>
    <w:p w:rsidR="00A60819" w:rsidRDefault="00A02CB7" w:rsidP="0036742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vía</w:t>
      </w:r>
      <w:r>
        <w:rPr>
          <w:rFonts w:ascii="Palatino Linotype" w:eastAsia="Palatino Linotype" w:hAnsi="Palatino Linotype" w:cs="Palatino Linotype"/>
          <w:b/>
        </w:rPr>
        <w:t xml:space="preserve"> SAIMEX, </w:t>
      </w:r>
      <w:r>
        <w:rPr>
          <w:rFonts w:ascii="Palatino Linotype" w:eastAsia="Palatino Linotype" w:hAnsi="Palatino Linotype" w:cs="Palatino Linotype"/>
        </w:rPr>
        <w:t xml:space="preserve">al Responsable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Pr>
          <w:rFonts w:ascii="Palatino Linotype" w:eastAsia="Palatino Linotype" w:hAnsi="Palatino Linotype" w:cs="Palatino Linotype"/>
          <w:b/>
        </w:rPr>
        <w:t>.</w:t>
      </w:r>
    </w:p>
    <w:p w:rsidR="00A60819" w:rsidRDefault="00A02C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rsidR="00A60819" w:rsidRDefault="00A02CB7">
      <w:pPr>
        <w:spacing w:before="240" w:after="240" w:line="360" w:lineRule="auto"/>
        <w:jc w:val="both"/>
        <w:rPr>
          <w:rFonts w:ascii="Palatino Linotype" w:eastAsia="Palatino Linotype" w:hAnsi="Palatino Linotype" w:cs="Palatino Linotype"/>
        </w:rPr>
      </w:pPr>
      <w:bookmarkStart w:id="12" w:name="_heading=h.4d34og8" w:colFirst="0" w:colLast="0"/>
      <w:bookmarkEnd w:id="12"/>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A60819" w:rsidRDefault="00A02C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SHARON CRISTINA MORALES MARTÍNEZ (AUSENCIA JUSTIFICADA); MARÍA DEL ROSARIO MEJÍA AYALA; GUADALUPE RAMÍREZ PEÑA Y LUIS GUSTAVO PARRA NORIEGA; EN LA SÉPTIMA SESIÓN ORDINARIA CELEBRADA EL VEINTITRÉS DE FEBRERO DE DOS MIL VEINTIDÓS, ANTE EL SECRETARIO TÉCNICO DEL PLENO, ALEXIS TAPIA </w:t>
      </w:r>
      <w:r w:rsidR="00C63F75">
        <w:rPr>
          <w:rFonts w:ascii="Palatino Linotype" w:eastAsia="Palatino Linotype" w:hAnsi="Palatino Linotype" w:cs="Palatino Linotype"/>
          <w:noProof/>
          <w:lang w:val="es-MX"/>
        </w:rPr>
        <mc:AlternateContent>
          <mc:Choice Requires="wps">
            <w:drawing>
              <wp:anchor distT="0" distB="0" distL="114300" distR="114300" simplePos="0" relativeHeight="251660288" behindDoc="0" locked="0" layoutInCell="1" allowOverlap="1">
                <wp:simplePos x="0" y="0"/>
                <wp:positionH relativeFrom="column">
                  <wp:posOffset>72389</wp:posOffset>
                </wp:positionH>
                <wp:positionV relativeFrom="paragraph">
                  <wp:posOffset>2418079</wp:posOffset>
                </wp:positionV>
                <wp:extent cx="5210175" cy="54006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210175" cy="5400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DCDE54"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pt,190.4pt" to="415.95pt,6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" strokecolor="black [3040]"/>
            </w:pict>
          </mc:Fallback>
        </mc:AlternateContent>
      </w:r>
      <w:r>
        <w:rPr>
          <w:rFonts w:ascii="Palatino Linotype" w:eastAsia="Palatino Linotype" w:hAnsi="Palatino Linotype" w:cs="Palatino Linotype"/>
        </w:rPr>
        <w:t>RAMÍREZ.</w:t>
      </w:r>
    </w:p>
    <w:p w:rsidR="00A60819" w:rsidRDefault="00A60819">
      <w:pPr>
        <w:spacing w:before="240" w:after="240" w:line="360" w:lineRule="auto"/>
        <w:jc w:val="both"/>
        <w:rPr>
          <w:rFonts w:ascii="Palatino Linotype" w:eastAsia="Palatino Linotype" w:hAnsi="Palatino Linotype" w:cs="Palatino Linotype"/>
        </w:rPr>
      </w:pPr>
      <w:bookmarkStart w:id="13" w:name="_heading=h.2s8eyo1" w:colFirst="0" w:colLast="0"/>
      <w:bookmarkEnd w:id="13"/>
    </w:p>
    <w:p w:rsidR="00A60819" w:rsidRDefault="00A60819">
      <w:pPr>
        <w:spacing w:before="240" w:after="240"/>
        <w:jc w:val="both"/>
        <w:rPr>
          <w:rFonts w:ascii="Palatino Linotype" w:eastAsia="Palatino Linotype" w:hAnsi="Palatino Linotype" w:cs="Palatino Linotype"/>
          <w:sz w:val="20"/>
          <w:szCs w:val="20"/>
        </w:rPr>
      </w:pPr>
    </w:p>
    <w:p w:rsidR="00A60819" w:rsidRDefault="00A60819">
      <w:pPr>
        <w:spacing w:before="240" w:after="240"/>
        <w:jc w:val="both"/>
        <w:rPr>
          <w:rFonts w:ascii="Palatino Linotype" w:eastAsia="Palatino Linotype" w:hAnsi="Palatino Linotype" w:cs="Palatino Linotype"/>
          <w:sz w:val="20"/>
          <w:szCs w:val="20"/>
        </w:rPr>
      </w:pPr>
    </w:p>
    <w:p w:rsidR="00A60819" w:rsidRDefault="00A60819">
      <w:pPr>
        <w:spacing w:before="240" w:after="240"/>
        <w:jc w:val="both"/>
        <w:rPr>
          <w:rFonts w:ascii="Palatino Linotype" w:eastAsia="Palatino Linotype" w:hAnsi="Palatino Linotype" w:cs="Palatino Linotype"/>
          <w:sz w:val="20"/>
          <w:szCs w:val="20"/>
        </w:rPr>
      </w:pPr>
    </w:p>
    <w:p w:rsidR="00A60819" w:rsidRDefault="00A60819">
      <w:pPr>
        <w:spacing w:before="240" w:after="240"/>
        <w:jc w:val="both"/>
        <w:rPr>
          <w:rFonts w:ascii="Palatino Linotype" w:eastAsia="Palatino Linotype" w:hAnsi="Palatino Linotype" w:cs="Palatino Linotype"/>
          <w:sz w:val="20"/>
          <w:szCs w:val="20"/>
        </w:rPr>
      </w:pPr>
    </w:p>
    <w:p w:rsidR="00A60819" w:rsidRDefault="00A60819">
      <w:pPr>
        <w:spacing w:before="240" w:after="240"/>
        <w:jc w:val="both"/>
        <w:rPr>
          <w:rFonts w:ascii="Palatino Linotype" w:eastAsia="Palatino Linotype" w:hAnsi="Palatino Linotype" w:cs="Palatino Linotype"/>
          <w:sz w:val="20"/>
          <w:szCs w:val="20"/>
        </w:rPr>
      </w:pPr>
    </w:p>
    <w:p w:rsidR="00A60819" w:rsidRDefault="00A60819">
      <w:pPr>
        <w:spacing w:before="240" w:after="240"/>
        <w:jc w:val="both"/>
        <w:rPr>
          <w:rFonts w:ascii="Palatino Linotype" w:eastAsia="Palatino Linotype" w:hAnsi="Palatino Linotype" w:cs="Palatino Linotype"/>
          <w:sz w:val="20"/>
          <w:szCs w:val="20"/>
        </w:rPr>
      </w:pPr>
    </w:p>
    <w:p w:rsidR="00A60819" w:rsidRDefault="00A60819">
      <w:pPr>
        <w:spacing w:before="240" w:after="240"/>
        <w:jc w:val="both"/>
        <w:rPr>
          <w:rFonts w:ascii="Palatino Linotype" w:eastAsia="Palatino Linotype" w:hAnsi="Palatino Linotype" w:cs="Palatino Linotype"/>
          <w:sz w:val="20"/>
          <w:szCs w:val="20"/>
        </w:rPr>
      </w:pPr>
    </w:p>
    <w:p w:rsidR="00C63F75" w:rsidRDefault="00C63F75">
      <w:pPr>
        <w:spacing w:before="240" w:after="240"/>
        <w:jc w:val="both"/>
        <w:rPr>
          <w:rFonts w:ascii="Palatino Linotype" w:eastAsia="Palatino Linotype" w:hAnsi="Palatino Linotype" w:cs="Palatino Linotype"/>
          <w:sz w:val="20"/>
          <w:szCs w:val="20"/>
        </w:rPr>
        <w:sectPr w:rsidR="00C63F75">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pPr>
    </w:p>
    <w:p w:rsidR="00A60819" w:rsidRDefault="00A60819">
      <w:pPr>
        <w:spacing w:before="240" w:after="240"/>
        <w:jc w:val="both"/>
        <w:rPr>
          <w:rFonts w:ascii="Palatino Linotype" w:eastAsia="Palatino Linotype" w:hAnsi="Palatino Linotype" w:cs="Palatino Linotype"/>
          <w:sz w:val="20"/>
          <w:szCs w:val="20"/>
        </w:rPr>
      </w:pPr>
    </w:p>
    <w:p w:rsidR="00A60819" w:rsidRDefault="00A60819">
      <w:pPr>
        <w:spacing w:before="240" w:after="240"/>
        <w:jc w:val="both"/>
        <w:rPr>
          <w:rFonts w:ascii="Palatino Linotype" w:eastAsia="Palatino Linotype" w:hAnsi="Palatino Linotype" w:cs="Palatino Linotype"/>
          <w:sz w:val="20"/>
          <w:szCs w:val="20"/>
        </w:rPr>
      </w:pPr>
    </w:p>
    <w:p w:rsidR="00A60819" w:rsidRDefault="00A60819">
      <w:pPr>
        <w:spacing w:before="240" w:after="240"/>
        <w:jc w:val="both"/>
        <w:rPr>
          <w:rFonts w:ascii="Palatino Linotype" w:eastAsia="Palatino Linotype" w:hAnsi="Palatino Linotype" w:cs="Palatino Linotype"/>
          <w:sz w:val="20"/>
          <w:szCs w:val="20"/>
        </w:rPr>
      </w:pPr>
    </w:p>
    <w:p w:rsidR="00A60819" w:rsidRDefault="00A60819">
      <w:pPr>
        <w:spacing w:before="240" w:after="240"/>
        <w:jc w:val="both"/>
        <w:rPr>
          <w:rFonts w:ascii="Palatino Linotype" w:eastAsia="Palatino Linotype" w:hAnsi="Palatino Linotype" w:cs="Palatino Linotype"/>
          <w:sz w:val="20"/>
          <w:szCs w:val="20"/>
        </w:rPr>
      </w:pPr>
    </w:p>
    <w:p w:rsidR="00A60819" w:rsidRDefault="00A60819">
      <w:pPr>
        <w:spacing w:before="240" w:after="240"/>
        <w:jc w:val="both"/>
        <w:rPr>
          <w:rFonts w:ascii="Palatino Linotype" w:eastAsia="Palatino Linotype" w:hAnsi="Palatino Linotype" w:cs="Palatino Linotype"/>
          <w:sz w:val="20"/>
          <w:szCs w:val="20"/>
        </w:rPr>
      </w:pPr>
    </w:p>
    <w:p w:rsidR="00A60819" w:rsidRDefault="00A60819">
      <w:pPr>
        <w:spacing w:before="240" w:after="240"/>
        <w:jc w:val="both"/>
        <w:rPr>
          <w:rFonts w:ascii="Palatino Linotype" w:eastAsia="Palatino Linotype" w:hAnsi="Palatino Linotype" w:cs="Palatino Linotype"/>
          <w:sz w:val="20"/>
          <w:szCs w:val="20"/>
        </w:rPr>
      </w:pPr>
    </w:p>
    <w:sectPr w:rsidR="00A60819">
      <w:head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969" w:rsidRDefault="00BB1969">
      <w:r>
        <w:separator/>
      </w:r>
    </w:p>
  </w:endnote>
  <w:endnote w:type="continuationSeparator" w:id="0">
    <w:p w:rsidR="00BB1969" w:rsidRDefault="00BB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819" w:rsidRDefault="00A02C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E1ECB">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E1ECB">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rsidR="00A60819" w:rsidRDefault="00A6081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819" w:rsidRDefault="00A02C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E1EC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E1ECB">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rsidR="00A60819" w:rsidRDefault="00A6081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969" w:rsidRDefault="00BB1969">
      <w:r>
        <w:separator/>
      </w:r>
    </w:p>
  </w:footnote>
  <w:footnote w:type="continuationSeparator" w:id="0">
    <w:p w:rsidR="00BB1969" w:rsidRDefault="00BB1969">
      <w:r>
        <w:continuationSeparator/>
      </w:r>
    </w:p>
  </w:footnote>
  <w:footnote w:id="1">
    <w:p w:rsidR="00A60819" w:rsidRDefault="00A02C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A60819" w:rsidRDefault="00A02C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A60819" w:rsidRDefault="00A02CB7">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rsidR="00A60819" w:rsidRDefault="00A02CB7">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rsidR="00A60819" w:rsidRDefault="00A02CB7">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 w:id="3">
    <w:p w:rsidR="00A60819" w:rsidRDefault="00A02CB7">
      <w:pPr>
        <w:pBdr>
          <w:top w:val="nil"/>
          <w:left w:val="nil"/>
          <w:bottom w:val="nil"/>
          <w:right w:val="nil"/>
          <w:between w:val="nil"/>
        </w:pBdr>
        <w:rPr>
          <w:rFonts w:ascii="Palatino Linotype" w:eastAsia="Palatino Linotype" w:hAnsi="Palatino Linotype" w:cs="Palatino Linotype"/>
          <w:i/>
          <w:color w:val="000000"/>
          <w:sz w:val="18"/>
          <w:szCs w:val="18"/>
        </w:rPr>
      </w:pPr>
      <w:r>
        <w:rPr>
          <w:vertAlign w:val="superscript"/>
        </w:rPr>
        <w:footnoteRef/>
      </w:r>
      <w:r>
        <w:rPr>
          <w:rFonts w:ascii="Palatino Linotype" w:eastAsia="Palatino Linotype" w:hAnsi="Palatino Linotype" w:cs="Palatino Linotype"/>
          <w:i/>
          <w:color w:val="000000"/>
          <w:sz w:val="18"/>
          <w:szCs w:val="18"/>
        </w:rPr>
        <w:t xml:space="preserve"> </w:t>
      </w:r>
      <w:hyperlink r:id="rId1">
        <w:r>
          <w:rPr>
            <w:rFonts w:ascii="Palatino Linotype" w:eastAsia="Palatino Linotype" w:hAnsi="Palatino Linotype" w:cs="Palatino Linotype"/>
            <w:i/>
            <w:color w:val="0000FF"/>
            <w:sz w:val="18"/>
            <w:szCs w:val="18"/>
            <w:u w:val="single"/>
          </w:rPr>
          <w:t>https://dpej.rae.es/lema/ejecutar</w:t>
        </w:r>
      </w:hyperlink>
      <w:r>
        <w:rPr>
          <w:rFonts w:ascii="Palatino Linotype" w:eastAsia="Palatino Linotype" w:hAnsi="Palatino Linotype" w:cs="Palatino Linotype"/>
          <w:i/>
          <w:color w:val="000000"/>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819" w:rsidRDefault="00A02CB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-1099818</wp:posOffset>
          </wp:positionH>
          <wp:positionV relativeFrom="paragraph">
            <wp:posOffset>-370000</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953" w:type="dxa"/>
      <w:tblInd w:w="3261" w:type="dxa"/>
      <w:tblLayout w:type="fixed"/>
      <w:tblLook w:val="0400" w:firstRow="0" w:lastRow="0" w:firstColumn="0" w:lastColumn="0" w:noHBand="0" w:noVBand="1"/>
    </w:tblPr>
    <w:tblGrid>
      <w:gridCol w:w="2489"/>
      <w:gridCol w:w="3464"/>
    </w:tblGrid>
    <w:tr w:rsidR="00A60819">
      <w:tc>
        <w:tcPr>
          <w:tcW w:w="2489" w:type="dxa"/>
          <w:shd w:val="clear" w:color="auto" w:fill="auto"/>
        </w:tcPr>
        <w:p w:rsidR="00A60819" w:rsidRDefault="00A02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A60819" w:rsidRDefault="00A02CB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00049/INFOEM/IP/RR/2022</w:t>
          </w:r>
        </w:p>
      </w:tc>
    </w:tr>
    <w:tr w:rsidR="00A60819">
      <w:trPr>
        <w:trHeight w:val="228"/>
      </w:trPr>
      <w:tc>
        <w:tcPr>
          <w:tcW w:w="2489" w:type="dxa"/>
          <w:shd w:val="clear" w:color="auto" w:fill="auto"/>
          <w:vAlign w:val="center"/>
        </w:tcPr>
        <w:p w:rsidR="00A60819" w:rsidRDefault="00A02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A60819" w:rsidRDefault="00A02CB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Ayapango</w:t>
          </w:r>
        </w:p>
      </w:tc>
    </w:tr>
    <w:tr w:rsidR="00A60819">
      <w:tc>
        <w:tcPr>
          <w:tcW w:w="2489" w:type="dxa"/>
          <w:shd w:val="clear" w:color="auto" w:fill="auto"/>
          <w:vAlign w:val="center"/>
        </w:tcPr>
        <w:p w:rsidR="00A60819" w:rsidRDefault="00A02CB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A60819" w:rsidRDefault="00A02CB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A60819" w:rsidRDefault="00A02CB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819" w:rsidRDefault="00A02CB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-1080133</wp:posOffset>
          </wp:positionH>
          <wp:positionV relativeFrom="paragraph">
            <wp:posOffset>-172286</wp:posOffset>
          </wp:positionV>
          <wp:extent cx="7809865" cy="10165715"/>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670" w:type="dxa"/>
      <w:tblInd w:w="3261" w:type="dxa"/>
      <w:tblLayout w:type="fixed"/>
      <w:tblLook w:val="0400" w:firstRow="0" w:lastRow="0" w:firstColumn="0" w:lastColumn="0" w:noHBand="0" w:noVBand="1"/>
    </w:tblPr>
    <w:tblGrid>
      <w:gridCol w:w="2551"/>
      <w:gridCol w:w="3119"/>
    </w:tblGrid>
    <w:tr w:rsidR="00A60819">
      <w:tc>
        <w:tcPr>
          <w:tcW w:w="2551" w:type="dxa"/>
          <w:shd w:val="clear" w:color="auto" w:fill="auto"/>
          <w:vAlign w:val="center"/>
        </w:tcPr>
        <w:p w:rsidR="00A60819" w:rsidRDefault="00A02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A60819" w:rsidRDefault="00A02CB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00049/INFOEM/IP/RR/2022</w:t>
          </w:r>
        </w:p>
      </w:tc>
    </w:tr>
    <w:tr w:rsidR="00A60819">
      <w:trPr>
        <w:trHeight w:val="130"/>
      </w:trPr>
      <w:tc>
        <w:tcPr>
          <w:tcW w:w="2551" w:type="dxa"/>
          <w:shd w:val="clear" w:color="auto" w:fill="auto"/>
          <w:vAlign w:val="center"/>
        </w:tcPr>
        <w:p w:rsidR="00A60819" w:rsidRDefault="00A02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A60819" w:rsidRDefault="00BE1ECB">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xxxxxx xxxxxx</w:t>
          </w:r>
        </w:p>
      </w:tc>
    </w:tr>
    <w:tr w:rsidR="00A60819">
      <w:trPr>
        <w:trHeight w:val="228"/>
      </w:trPr>
      <w:tc>
        <w:tcPr>
          <w:tcW w:w="2551" w:type="dxa"/>
          <w:shd w:val="clear" w:color="auto" w:fill="auto"/>
          <w:vAlign w:val="center"/>
        </w:tcPr>
        <w:p w:rsidR="00A60819" w:rsidRDefault="00A02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A60819" w:rsidRDefault="00A02CB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Ayapango</w:t>
          </w:r>
        </w:p>
      </w:tc>
    </w:tr>
    <w:tr w:rsidR="00A60819">
      <w:tc>
        <w:tcPr>
          <w:tcW w:w="2551" w:type="dxa"/>
          <w:shd w:val="clear" w:color="auto" w:fill="auto"/>
          <w:vAlign w:val="center"/>
        </w:tcPr>
        <w:p w:rsidR="00A60819" w:rsidRDefault="00A02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A60819" w:rsidRDefault="00A02CB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A60819" w:rsidRDefault="00A60819">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F75" w:rsidRDefault="00C63F7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F548B5"/>
    <w:multiLevelType w:val="multilevel"/>
    <w:tmpl w:val="3370B832"/>
    <w:lvl w:ilvl="0">
      <w:start w:val="3"/>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4E12013"/>
    <w:multiLevelType w:val="multilevel"/>
    <w:tmpl w:val="79BA2F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819"/>
    <w:rsid w:val="00033409"/>
    <w:rsid w:val="002B5C30"/>
    <w:rsid w:val="003527B1"/>
    <w:rsid w:val="0036742B"/>
    <w:rsid w:val="0097363A"/>
    <w:rsid w:val="00A02CB7"/>
    <w:rsid w:val="00A60819"/>
    <w:rsid w:val="00BB1969"/>
    <w:rsid w:val="00BE1ECB"/>
    <w:rsid w:val="00C63F75"/>
    <w:rsid w:val="00FF72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A2135F-FBF9-4259-9698-5B568086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character" w:customStyle="1" w:styleId="UnresolvedMention">
    <w:name w:val="Unresolved Mention"/>
    <w:basedOn w:val="Fuentedeprrafopredeter"/>
    <w:uiPriority w:val="99"/>
    <w:semiHidden/>
    <w:unhideWhenUsed/>
    <w:rsid w:val="005417B2"/>
    <w:rPr>
      <w:color w:val="605E5C"/>
      <w:shd w:val="clear" w:color="auto" w:fill="E1DFDD"/>
    </w:r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pej.rae.es/lema/ejecut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TvUW3WIPKoELOynqjUhHY5k0wg==">AMUW2mVTuYhGf5TE6dL8Ht4PspC7m3aqe2rnkIZJVK2aGrLGPKUZ9EWQKMpqtKRMWfobuq2DqUsyIC+CJeyj+6fU2PTpnHE86qhqjQJqAsUbBB4FhbtBrPVE1ZMhZVVToHhvNeBQIMShHqkhUsbOr54/oOSyzYm5xcNIcgmbH8REPZ+VtSkRHh7YS2NQjnZrs2PkOQoon/9/AwyHlsBIFOPZcan+JXGcsMWx4bElquIddFVAsmSDW3bCKCzEBPhv4J4/DERND/qp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4897</Words>
  <Characters>26938</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Cuenta Microsoft</cp:lastModifiedBy>
  <cp:revision>2</cp:revision>
  <dcterms:created xsi:type="dcterms:W3CDTF">2022-02-25T20:39:00Z</dcterms:created>
  <dcterms:modified xsi:type="dcterms:W3CDTF">2022-02-25T20:39:00Z</dcterms:modified>
</cp:coreProperties>
</file>