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6DF0" w14:textId="77777777" w:rsidR="0008106A" w:rsidRDefault="00D172F3">
      <w:pPr>
        <w:spacing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veintisiete de enero de dos mil veintidós. </w:t>
      </w:r>
    </w:p>
    <w:p w14:paraId="0EA16B61" w14:textId="3F411A93" w:rsidR="0008106A" w:rsidRDefault="00D172F3">
      <w:pPr>
        <w:spacing w:before="280" w:after="280"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05477/INFOEM/IP/RR/2021</w:t>
      </w:r>
      <w:r>
        <w:rPr>
          <w:rFonts w:ascii="Palatino Linotype" w:eastAsia="Palatino Linotype" w:hAnsi="Palatino Linotype" w:cs="Palatino Linotype"/>
        </w:rPr>
        <w:t xml:space="preserve">, promovido por el C. </w:t>
      </w:r>
      <w:r w:rsidR="00BD031B">
        <w:rPr>
          <w:rFonts w:ascii="Palatino Linotype" w:eastAsia="Palatino Linotype" w:hAnsi="Palatino Linotype" w:cs="Palatino Linotype"/>
          <w:b/>
          <w:sz w:val="22"/>
          <w:szCs w:val="22"/>
        </w:rPr>
        <w:t>xxxxxxxxxxxxxxxxxxxxxxxxxxxxxxx</w:t>
      </w:r>
      <w:bookmarkStart w:id="0" w:name="_GoBack"/>
      <w:bookmarkEnd w:id="0"/>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a quien en lo sucesivo se le denominará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emitida por el </w:t>
      </w:r>
      <w:r>
        <w:rPr>
          <w:rFonts w:ascii="Palatino Linotype" w:eastAsia="Palatino Linotype" w:hAnsi="Palatino Linotype" w:cs="Palatino Linotype"/>
          <w:b/>
        </w:rPr>
        <w:t xml:space="preserve">Ayuntamiento de Texcoco, </w:t>
      </w:r>
      <w:r>
        <w:rPr>
          <w:rFonts w:ascii="Palatino Linotype" w:eastAsia="Palatino Linotype" w:hAnsi="Palatino Linotype" w:cs="Palatino Linotype"/>
        </w:rPr>
        <w:t xml:space="preserve">en lo subsecuente se denominará como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procede a dictar la presente resolución con base en lo siguiente: </w:t>
      </w:r>
    </w:p>
    <w:p w14:paraId="61A11DE3" w14:textId="77777777" w:rsidR="0008106A" w:rsidRDefault="00D172F3">
      <w:pPr>
        <w:spacing w:before="280" w:after="28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RESULTANDO</w:t>
      </w:r>
    </w:p>
    <w:p w14:paraId="7D046966" w14:textId="77777777" w:rsidR="0008106A" w:rsidRDefault="00D172F3">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I.</w:t>
      </w:r>
      <w:r>
        <w:rPr>
          <w:rFonts w:ascii="Palatino Linotype" w:eastAsia="Palatino Linotype" w:hAnsi="Palatino Linotype" w:cs="Palatino Linotype"/>
          <w:color w:val="000000"/>
        </w:rPr>
        <w:t xml:space="preserve"> En fecha</w:t>
      </w:r>
      <w:r>
        <w:rPr>
          <w:rFonts w:ascii="Palatino Linotype" w:eastAsia="Palatino Linotype" w:hAnsi="Palatino Linotype" w:cs="Palatino Linotype"/>
        </w:rPr>
        <w:t xml:space="preserve"> dieciocho de octubre </w:t>
      </w:r>
      <w:r>
        <w:rPr>
          <w:rFonts w:ascii="Palatino Linotype" w:eastAsia="Palatino Linotype" w:hAnsi="Palatino Linotype" w:cs="Palatino Linotype"/>
          <w:color w:val="000000"/>
        </w:rPr>
        <w:t xml:space="preserve">de dos mil veintiuno,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 xml:space="preserve">presentó a través del Sistema de Acceso a la Información Mexiquense, en lo subsecuente </w:t>
      </w:r>
      <w:r>
        <w:rPr>
          <w:rFonts w:ascii="Palatino Linotype" w:eastAsia="Palatino Linotype" w:hAnsi="Palatino Linotype" w:cs="Palatino Linotype"/>
          <w:b/>
          <w:color w:val="000000"/>
        </w:rPr>
        <w:t>EL SAIMEX,</w:t>
      </w:r>
      <w:r>
        <w:rPr>
          <w:rFonts w:ascii="Palatino Linotype" w:eastAsia="Palatino Linotype" w:hAnsi="Palatino Linotype" w:cs="Palatino Linotype"/>
          <w:color w:val="000000"/>
        </w:rPr>
        <w:t xml:space="preserve"> ante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la solicitud de acceso a la información pública, a la que se le asignó el número </w:t>
      </w:r>
      <w:r>
        <w:rPr>
          <w:rFonts w:ascii="Palatino Linotype" w:eastAsia="Palatino Linotype" w:hAnsi="Palatino Linotype" w:cs="Palatino Linotype"/>
          <w:b/>
        </w:rPr>
        <w:t>00268/TEXCOCO/IP/2021</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mediante la cual requirió, lo siguiente:</w:t>
      </w:r>
    </w:p>
    <w:p w14:paraId="2D4C6963" w14:textId="77777777" w:rsidR="0008106A" w:rsidRDefault="00D172F3">
      <w:pPr>
        <w:ind w:left="851" w:right="899"/>
        <w:jc w:val="both"/>
        <w:rPr>
          <w:rFonts w:ascii="Palatino Linotype" w:eastAsia="Palatino Linotype" w:hAnsi="Palatino Linotype" w:cs="Palatino Linotype"/>
          <w:i/>
          <w:sz w:val="22"/>
          <w:szCs w:val="22"/>
        </w:rPr>
      </w:pPr>
      <w:bookmarkStart w:id="1" w:name="_heading=h.gjdgxs" w:colFirst="0" w:colLast="0"/>
      <w:bookmarkEnd w:id="1"/>
      <w:r>
        <w:rPr>
          <w:rFonts w:ascii="Palatino Linotype" w:eastAsia="Palatino Linotype" w:hAnsi="Palatino Linotype" w:cs="Palatino Linotype"/>
          <w:i/>
          <w:sz w:val="22"/>
          <w:szCs w:val="22"/>
        </w:rPr>
        <w:t xml:space="preserve">“Solicito la versión publica de todos y cada uno de los recibos de </w:t>
      </w:r>
      <w:proofErr w:type="spellStart"/>
      <w:r>
        <w:rPr>
          <w:rFonts w:ascii="Palatino Linotype" w:eastAsia="Palatino Linotype" w:hAnsi="Palatino Linotype" w:cs="Palatino Linotype"/>
          <w:i/>
          <w:sz w:val="22"/>
          <w:szCs w:val="22"/>
        </w:rPr>
        <w:t>nomina</w:t>
      </w:r>
      <w:proofErr w:type="spellEnd"/>
      <w:r>
        <w:rPr>
          <w:rFonts w:ascii="Palatino Linotype" w:eastAsia="Palatino Linotype" w:hAnsi="Palatino Linotype" w:cs="Palatino Linotype"/>
          <w:i/>
          <w:sz w:val="22"/>
          <w:szCs w:val="22"/>
        </w:rPr>
        <w:t xml:space="preserve"> de los servidores públicos que trabajan en la administración </w:t>
      </w:r>
      <w:proofErr w:type="spellStart"/>
      <w:r>
        <w:rPr>
          <w:rFonts w:ascii="Palatino Linotype" w:eastAsia="Palatino Linotype" w:hAnsi="Palatino Linotype" w:cs="Palatino Linotype"/>
          <w:i/>
          <w:sz w:val="22"/>
          <w:szCs w:val="22"/>
        </w:rPr>
        <w:t>publica</w:t>
      </w:r>
      <w:proofErr w:type="spellEnd"/>
      <w:r>
        <w:rPr>
          <w:rFonts w:ascii="Palatino Linotype" w:eastAsia="Palatino Linotype" w:hAnsi="Palatino Linotype" w:cs="Palatino Linotype"/>
          <w:i/>
          <w:sz w:val="22"/>
          <w:szCs w:val="22"/>
        </w:rPr>
        <w:t xml:space="preserve"> desde 2019 hasta la segunda quincena de septiembre 2021, adjuntando su respectiva acta de comité de transparencia, cuadro de clasificación de la información como acuerdo, sin excusa o pretexto por la pandemia.(Sic)</w:t>
      </w:r>
    </w:p>
    <w:p w14:paraId="6773D434" w14:textId="77777777" w:rsidR="0008106A" w:rsidRDefault="0008106A">
      <w:pPr>
        <w:ind w:left="851" w:right="899"/>
        <w:rPr>
          <w:rFonts w:ascii="Palatino Linotype" w:eastAsia="Palatino Linotype" w:hAnsi="Palatino Linotype" w:cs="Palatino Linotype"/>
          <w:i/>
          <w:sz w:val="22"/>
          <w:szCs w:val="22"/>
        </w:rPr>
      </w:pPr>
    </w:p>
    <w:p w14:paraId="61A0B58A" w14:textId="77777777" w:rsidR="0008106A" w:rsidRDefault="00D172F3">
      <w:pPr>
        <w:spacing w:before="280" w:after="280"/>
        <w:ind w:right="709"/>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14:paraId="6D61697D" w14:textId="77777777" w:rsidR="0008106A" w:rsidRDefault="00D172F3">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lastRenderedPageBreak/>
        <w:t>II.</w:t>
      </w:r>
      <w:r>
        <w:rPr>
          <w:rFonts w:ascii="Palatino Linotype" w:eastAsia="Palatino Linotype" w:hAnsi="Palatino Linotype" w:cs="Palatino Linotype"/>
          <w:color w:val="000000"/>
        </w:rPr>
        <w:t xml:space="preserve"> Posteriormente en fecha </w:t>
      </w:r>
      <w:r>
        <w:rPr>
          <w:rFonts w:ascii="Palatino Linotype" w:eastAsia="Palatino Linotype" w:hAnsi="Palatino Linotype" w:cs="Palatino Linotype"/>
        </w:rPr>
        <w:t>nueve</w:t>
      </w:r>
      <w:r>
        <w:rPr>
          <w:rFonts w:ascii="Palatino Linotype" w:eastAsia="Palatino Linotype" w:hAnsi="Palatino Linotype" w:cs="Palatino Linotype"/>
          <w:color w:val="000000"/>
        </w:rPr>
        <w:t xml:space="preserve"> de noviembre de dos mil veintiuno,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dio respuesta a la Solicitud de Información Pública, en los términos siguientes:</w:t>
      </w:r>
    </w:p>
    <w:p w14:paraId="4D18D200" w14:textId="77777777" w:rsidR="0008106A" w:rsidRDefault="00D172F3">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noProof/>
          <w:lang w:eastAsia="es-MX"/>
        </w:rPr>
        <w:drawing>
          <wp:inline distT="114300" distB="114300" distL="114300" distR="114300" wp14:anchorId="0D3A36F7" wp14:editId="0D5B5343">
            <wp:extent cx="4972685" cy="2717830"/>
            <wp:effectExtent l="0" t="0" r="0" b="0"/>
            <wp:docPr id="1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t="44626"/>
                    <a:stretch>
                      <a:fillRect/>
                    </a:stretch>
                  </pic:blipFill>
                  <pic:spPr>
                    <a:xfrm>
                      <a:off x="0" y="0"/>
                      <a:ext cx="4972685" cy="2717830"/>
                    </a:xfrm>
                    <a:prstGeom prst="rect">
                      <a:avLst/>
                    </a:prstGeom>
                    <a:ln/>
                  </pic:spPr>
                </pic:pic>
              </a:graphicData>
            </a:graphic>
          </wp:inline>
        </w:drawing>
      </w:r>
    </w:p>
    <w:p w14:paraId="4C3D31ED" w14:textId="77777777" w:rsidR="0008106A" w:rsidRDefault="00D172F3">
      <w:pPr>
        <w:tabs>
          <w:tab w:val="left" w:pos="709"/>
        </w:tabs>
        <w:spacing w:before="280" w:after="28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114300" distB="114300" distL="114300" distR="114300" wp14:anchorId="0395E74B" wp14:editId="28D6D355">
            <wp:extent cx="5115560" cy="2873910"/>
            <wp:effectExtent l="0" t="0" r="0" b="0"/>
            <wp:docPr id="12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a:srcRect l="2268" r="3959" b="51433"/>
                    <a:stretch>
                      <a:fillRect/>
                    </a:stretch>
                  </pic:blipFill>
                  <pic:spPr>
                    <a:xfrm>
                      <a:off x="0" y="0"/>
                      <a:ext cx="5115560" cy="2873910"/>
                    </a:xfrm>
                    <a:prstGeom prst="rect">
                      <a:avLst/>
                    </a:prstGeom>
                    <a:ln/>
                  </pic:spPr>
                </pic:pic>
              </a:graphicData>
            </a:graphic>
          </wp:inline>
        </w:drawing>
      </w:r>
    </w:p>
    <w:p w14:paraId="62B12876" w14:textId="77777777" w:rsidR="0008106A" w:rsidRDefault="00D172F3">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w:drawing>
          <wp:inline distT="114300" distB="114300" distL="114300" distR="114300" wp14:anchorId="5476285D" wp14:editId="53F7525F">
            <wp:extent cx="5213389" cy="1221423"/>
            <wp:effectExtent l="0" t="0" r="0" b="0"/>
            <wp:docPr id="12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b="79347"/>
                    <a:stretch>
                      <a:fillRect/>
                    </a:stretch>
                  </pic:blipFill>
                  <pic:spPr>
                    <a:xfrm>
                      <a:off x="0" y="0"/>
                      <a:ext cx="5213389" cy="1221423"/>
                    </a:xfrm>
                    <a:prstGeom prst="rect">
                      <a:avLst/>
                    </a:prstGeom>
                    <a:ln/>
                  </pic:spPr>
                </pic:pic>
              </a:graphicData>
            </a:graphic>
          </wp:inline>
        </w:drawing>
      </w:r>
      <w:r>
        <w:rPr>
          <w:rFonts w:ascii="Palatino Linotype" w:eastAsia="Palatino Linotype" w:hAnsi="Palatino Linotype" w:cs="Palatino Linotype"/>
          <w:noProof/>
          <w:lang w:eastAsia="es-MX"/>
        </w:rPr>
        <w:drawing>
          <wp:inline distT="114300" distB="114300" distL="114300" distR="114300" wp14:anchorId="521FF781" wp14:editId="2F66E668">
            <wp:extent cx="5191125" cy="4259898"/>
            <wp:effectExtent l="0" t="0" r="0" b="0"/>
            <wp:docPr id="12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t="19147"/>
                    <a:stretch>
                      <a:fillRect/>
                    </a:stretch>
                  </pic:blipFill>
                  <pic:spPr>
                    <a:xfrm>
                      <a:off x="0" y="0"/>
                      <a:ext cx="5191125" cy="4259898"/>
                    </a:xfrm>
                    <a:prstGeom prst="rect">
                      <a:avLst/>
                    </a:prstGeom>
                    <a:ln/>
                  </pic:spPr>
                </pic:pic>
              </a:graphicData>
            </a:graphic>
          </wp:inline>
        </w:drawing>
      </w:r>
    </w:p>
    <w:p w14:paraId="416A2F21" w14:textId="77777777" w:rsidR="0008106A" w:rsidRDefault="00D172F3">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114300" distB="114300" distL="114300" distR="114300" wp14:anchorId="19A1F5C1" wp14:editId="755DBC03">
            <wp:extent cx="5210175" cy="1083310"/>
            <wp:effectExtent l="0" t="0" r="0" b="0"/>
            <wp:docPr id="1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b="44247"/>
                    <a:stretch>
                      <a:fillRect/>
                    </a:stretch>
                  </pic:blipFill>
                  <pic:spPr>
                    <a:xfrm>
                      <a:off x="0" y="0"/>
                      <a:ext cx="5210175" cy="1083310"/>
                    </a:xfrm>
                    <a:prstGeom prst="rect">
                      <a:avLst/>
                    </a:prstGeom>
                    <a:ln/>
                  </pic:spPr>
                </pic:pic>
              </a:graphicData>
            </a:graphic>
          </wp:inline>
        </w:drawing>
      </w:r>
    </w:p>
    <w:p w14:paraId="219ECCEC" w14:textId="77777777" w:rsidR="0008106A" w:rsidRDefault="00D172F3">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w:drawing>
          <wp:inline distT="114300" distB="114300" distL="114300" distR="114300" wp14:anchorId="2802A332" wp14:editId="083B826B">
            <wp:extent cx="4556295" cy="3812223"/>
            <wp:effectExtent l="0" t="0" r="0" b="0"/>
            <wp:docPr id="13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4556295" cy="3812223"/>
                    </a:xfrm>
                    <a:prstGeom prst="rect">
                      <a:avLst/>
                    </a:prstGeom>
                    <a:ln/>
                  </pic:spPr>
                </pic:pic>
              </a:graphicData>
            </a:graphic>
          </wp:inline>
        </w:drawing>
      </w:r>
    </w:p>
    <w:p w14:paraId="64283B98" w14:textId="77777777" w:rsidR="0008106A" w:rsidRDefault="00D172F3">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114300" distB="114300" distL="114300" distR="114300" wp14:anchorId="6E0700C2" wp14:editId="1DB51408">
            <wp:extent cx="4633163" cy="773748"/>
            <wp:effectExtent l="0" t="0" r="0" b="0"/>
            <wp:docPr id="13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b="80793"/>
                    <a:stretch>
                      <a:fillRect/>
                    </a:stretch>
                  </pic:blipFill>
                  <pic:spPr>
                    <a:xfrm>
                      <a:off x="0" y="0"/>
                      <a:ext cx="4633163" cy="773748"/>
                    </a:xfrm>
                    <a:prstGeom prst="rect">
                      <a:avLst/>
                    </a:prstGeom>
                    <a:ln/>
                  </pic:spPr>
                </pic:pic>
              </a:graphicData>
            </a:graphic>
          </wp:inline>
        </w:drawing>
      </w:r>
      <w:r>
        <w:rPr>
          <w:rFonts w:ascii="Palatino Linotype" w:eastAsia="Palatino Linotype" w:hAnsi="Palatino Linotype" w:cs="Palatino Linotype"/>
          <w:noProof/>
          <w:lang w:eastAsia="es-MX"/>
        </w:rPr>
        <w:drawing>
          <wp:inline distT="114300" distB="114300" distL="114300" distR="114300" wp14:anchorId="46CE2CA1" wp14:editId="6E92FF64">
            <wp:extent cx="4662570" cy="1992948"/>
            <wp:effectExtent l="0" t="0" r="0" b="0"/>
            <wp:docPr id="13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t="19639" b="31465"/>
                    <a:stretch>
                      <a:fillRect/>
                    </a:stretch>
                  </pic:blipFill>
                  <pic:spPr>
                    <a:xfrm>
                      <a:off x="0" y="0"/>
                      <a:ext cx="4662570" cy="1992948"/>
                    </a:xfrm>
                    <a:prstGeom prst="rect">
                      <a:avLst/>
                    </a:prstGeom>
                    <a:ln/>
                  </pic:spPr>
                </pic:pic>
              </a:graphicData>
            </a:graphic>
          </wp:inline>
        </w:drawing>
      </w:r>
    </w:p>
    <w:p w14:paraId="76832975" w14:textId="77777777" w:rsidR="0008106A" w:rsidRDefault="00D172F3">
      <w:pPr>
        <w:tabs>
          <w:tab w:val="left" w:pos="709"/>
        </w:tabs>
        <w:spacing w:before="280" w:after="28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w:drawing>
          <wp:inline distT="114300" distB="114300" distL="114300" distR="114300" wp14:anchorId="185C968B" wp14:editId="330805AC">
            <wp:extent cx="5448300" cy="1819275"/>
            <wp:effectExtent l="0" t="0" r="0" b="0"/>
            <wp:docPr id="13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5448300" cy="1819275"/>
                    </a:xfrm>
                    <a:prstGeom prst="rect">
                      <a:avLst/>
                    </a:prstGeom>
                    <a:ln/>
                  </pic:spPr>
                </pic:pic>
              </a:graphicData>
            </a:graphic>
          </wp:inline>
        </w:drawing>
      </w:r>
    </w:p>
    <w:p w14:paraId="20DA5548" w14:textId="77777777" w:rsidR="0008106A" w:rsidRDefault="00D172F3">
      <w:pPr>
        <w:tabs>
          <w:tab w:val="left" w:pos="709"/>
        </w:tabs>
        <w:spacing w:before="280" w:after="28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114300" distB="114300" distL="114300" distR="114300" wp14:anchorId="55CE73A5" wp14:editId="6C376AD0">
            <wp:extent cx="5486400" cy="3209925"/>
            <wp:effectExtent l="0" t="0" r="0" b="0"/>
            <wp:docPr id="1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5486400" cy="3209925"/>
                    </a:xfrm>
                    <a:prstGeom prst="rect">
                      <a:avLst/>
                    </a:prstGeom>
                    <a:ln/>
                  </pic:spPr>
                </pic:pic>
              </a:graphicData>
            </a:graphic>
          </wp:inline>
        </w:drawing>
      </w:r>
    </w:p>
    <w:p w14:paraId="730674A8" w14:textId="77777777" w:rsidR="0008106A" w:rsidRDefault="00D172F3">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i/>
        </w:rPr>
      </w:pPr>
      <w:r>
        <w:rPr>
          <w:rFonts w:ascii="Palatino Linotype" w:eastAsia="Palatino Linotype" w:hAnsi="Palatino Linotype" w:cs="Palatino Linotype"/>
          <w:b/>
          <w:color w:val="000000"/>
          <w:sz w:val="28"/>
          <w:szCs w:val="28"/>
        </w:rPr>
        <w:t>III.</w:t>
      </w:r>
      <w:r>
        <w:rPr>
          <w:rFonts w:ascii="Palatino Linotype" w:eastAsia="Palatino Linotype" w:hAnsi="Palatino Linotype" w:cs="Palatino Linotype"/>
          <w:color w:val="000000"/>
        </w:rPr>
        <w:t xml:space="preserve"> Inconforme con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w:t>
      </w:r>
      <w:r>
        <w:rPr>
          <w:rFonts w:ascii="Palatino Linotype" w:eastAsia="Palatino Linotype" w:hAnsi="Palatino Linotype" w:cs="Palatino Linotype"/>
        </w:rPr>
        <w:t xml:space="preserve">fecha once de noviembre </w:t>
      </w:r>
      <w:r>
        <w:rPr>
          <w:rFonts w:ascii="Palatino Linotype" w:eastAsia="Palatino Linotype" w:hAnsi="Palatino Linotype" w:cs="Palatino Linotype"/>
          <w:color w:val="000000"/>
        </w:rPr>
        <w:t xml:space="preserve">de dos mil veintiuno,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a través del</w:t>
      </w:r>
      <w:r>
        <w:rPr>
          <w:rFonts w:ascii="Palatino Linotype" w:eastAsia="Palatino Linotype" w:hAnsi="Palatino Linotype" w:cs="Palatino Linotype"/>
          <w:b/>
          <w:color w:val="000000"/>
        </w:rPr>
        <w:t xml:space="preserve"> SAIMEX, </w:t>
      </w:r>
      <w:r>
        <w:rPr>
          <w:rFonts w:ascii="Palatino Linotype" w:eastAsia="Palatino Linotype" w:hAnsi="Palatino Linotype" w:cs="Palatino Linotype"/>
          <w:color w:val="000000"/>
        </w:rPr>
        <w:t xml:space="preserve">interpuso el recurso de revisión objeto del presente estudio, al que se le asignó el número </w:t>
      </w:r>
      <w:r>
        <w:rPr>
          <w:rFonts w:ascii="Palatino Linotype" w:eastAsia="Palatino Linotype" w:hAnsi="Palatino Linotype" w:cs="Palatino Linotype"/>
          <w:b/>
          <w:sz w:val="22"/>
          <w:szCs w:val="22"/>
        </w:rPr>
        <w:t>05477/INFOEM/IP/RR/2021</w:t>
      </w:r>
      <w:r>
        <w:rPr>
          <w:rFonts w:ascii="Palatino Linotype" w:eastAsia="Palatino Linotype" w:hAnsi="Palatino Linotype" w:cs="Palatino Linotype"/>
          <w:color w:val="000000"/>
        </w:rPr>
        <w:t>, en el que señaló como acto impugnado:</w:t>
      </w:r>
    </w:p>
    <w:p w14:paraId="59B65880" w14:textId="77777777" w:rsidR="0008106A" w:rsidRDefault="00D172F3">
      <w:pPr>
        <w:spacing w:before="280" w:after="280"/>
        <w:ind w:left="851" w:right="127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me entrega la información solicitada.” (Sic)</w:t>
      </w:r>
    </w:p>
    <w:p w14:paraId="436E0FED" w14:textId="77777777" w:rsidR="0008106A" w:rsidRDefault="00D172F3">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Asimismo, indicó como razones o motivos de inconformidad:</w:t>
      </w:r>
    </w:p>
    <w:p w14:paraId="7065C060" w14:textId="77777777" w:rsidR="0008106A" w:rsidRDefault="00D172F3">
      <w:pPr>
        <w:spacing w:before="280" w:after="280"/>
        <w:ind w:left="709" w:right="1134"/>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“Con fundamento en lo establecido por el </w:t>
      </w:r>
      <w:proofErr w:type="spellStart"/>
      <w:r>
        <w:rPr>
          <w:rFonts w:ascii="Palatino Linotype" w:eastAsia="Palatino Linotype" w:hAnsi="Palatino Linotype" w:cs="Palatino Linotype"/>
          <w:i/>
          <w:sz w:val="22"/>
          <w:szCs w:val="22"/>
        </w:rPr>
        <w:t>articulo</w:t>
      </w:r>
      <w:proofErr w:type="spellEnd"/>
      <w:r>
        <w:rPr>
          <w:rFonts w:ascii="Palatino Linotype" w:eastAsia="Palatino Linotype" w:hAnsi="Palatino Linotype" w:cs="Palatino Linotype"/>
          <w:i/>
          <w:sz w:val="22"/>
          <w:szCs w:val="22"/>
        </w:rPr>
        <w:t xml:space="preserve"> 6 de la Constitución Política de los Estados Unidos Mexicanos, articulo 5 de la Constitución Política del Estado Libre y Soberano de México, artículos 142 y 143 de la Ley General de Transparencia y Acceso a la Información </w:t>
      </w:r>
      <w:proofErr w:type="spellStart"/>
      <w:r>
        <w:rPr>
          <w:rFonts w:ascii="Palatino Linotype" w:eastAsia="Palatino Linotype" w:hAnsi="Palatino Linotype" w:cs="Palatino Linotype"/>
          <w:i/>
          <w:sz w:val="22"/>
          <w:szCs w:val="22"/>
        </w:rPr>
        <w:t>Publica</w:t>
      </w:r>
      <w:proofErr w:type="spellEnd"/>
      <w:r>
        <w:rPr>
          <w:rFonts w:ascii="Palatino Linotype" w:eastAsia="Palatino Linotype" w:hAnsi="Palatino Linotype" w:cs="Palatino Linotype"/>
          <w:i/>
          <w:sz w:val="22"/>
          <w:szCs w:val="22"/>
        </w:rPr>
        <w:t xml:space="preserve">, artículos 176,178 y 179 de la Ley de Transparencia y Acceso a la Información </w:t>
      </w:r>
      <w:proofErr w:type="spellStart"/>
      <w:r>
        <w:rPr>
          <w:rFonts w:ascii="Palatino Linotype" w:eastAsia="Palatino Linotype" w:hAnsi="Palatino Linotype" w:cs="Palatino Linotype"/>
          <w:i/>
          <w:sz w:val="22"/>
          <w:szCs w:val="22"/>
        </w:rPr>
        <w:t>Publica</w:t>
      </w:r>
      <w:proofErr w:type="spellEnd"/>
      <w:r>
        <w:rPr>
          <w:rFonts w:ascii="Palatino Linotype" w:eastAsia="Palatino Linotype" w:hAnsi="Palatino Linotype" w:cs="Palatino Linotype"/>
          <w:i/>
          <w:sz w:val="22"/>
          <w:szCs w:val="22"/>
        </w:rPr>
        <w:t xml:space="preserve"> del Estado de México y Municipios, de acuerdo con lo solicitado realizado a este Sujeto Obligado donde requiero la versión publica de todos y cada uno de los recibos de </w:t>
      </w:r>
      <w:proofErr w:type="spellStart"/>
      <w:r>
        <w:rPr>
          <w:rFonts w:ascii="Palatino Linotype" w:eastAsia="Palatino Linotype" w:hAnsi="Palatino Linotype" w:cs="Palatino Linotype"/>
          <w:i/>
          <w:sz w:val="22"/>
          <w:szCs w:val="22"/>
        </w:rPr>
        <w:t>nomina</w:t>
      </w:r>
      <w:proofErr w:type="spellEnd"/>
      <w:r>
        <w:rPr>
          <w:rFonts w:ascii="Palatino Linotype" w:eastAsia="Palatino Linotype" w:hAnsi="Palatino Linotype" w:cs="Palatino Linotype"/>
          <w:i/>
          <w:sz w:val="22"/>
          <w:szCs w:val="22"/>
        </w:rPr>
        <w:t xml:space="preserve"> de los servidores públicos que trabajan en la administración </w:t>
      </w:r>
      <w:proofErr w:type="spellStart"/>
      <w:r>
        <w:rPr>
          <w:rFonts w:ascii="Palatino Linotype" w:eastAsia="Palatino Linotype" w:hAnsi="Palatino Linotype" w:cs="Palatino Linotype"/>
          <w:i/>
          <w:sz w:val="22"/>
          <w:szCs w:val="22"/>
        </w:rPr>
        <w:t>publica</w:t>
      </w:r>
      <w:proofErr w:type="spellEnd"/>
      <w:r>
        <w:rPr>
          <w:rFonts w:ascii="Palatino Linotype" w:eastAsia="Palatino Linotype" w:hAnsi="Palatino Linotype" w:cs="Palatino Linotype"/>
          <w:i/>
          <w:sz w:val="22"/>
          <w:szCs w:val="22"/>
        </w:rPr>
        <w:t xml:space="preserve"> desde 2019 hasta la segunda quincena de septiembre 2021, adjuntando su respectiva acta de comité de transparencia, cuadro de clasificación de la información como acuerdo, sin excusa o pretexto por la pandemia., siendo mi segunda solicitud de información la cual se responde de manera injustificada, ya que los recibos de </w:t>
      </w:r>
      <w:proofErr w:type="spellStart"/>
      <w:r>
        <w:rPr>
          <w:rFonts w:ascii="Palatino Linotype" w:eastAsia="Palatino Linotype" w:hAnsi="Palatino Linotype" w:cs="Palatino Linotype"/>
          <w:i/>
          <w:sz w:val="22"/>
          <w:szCs w:val="22"/>
        </w:rPr>
        <w:t>nomina</w:t>
      </w:r>
      <w:proofErr w:type="spellEnd"/>
      <w:r>
        <w:rPr>
          <w:rFonts w:ascii="Palatino Linotype" w:eastAsia="Palatino Linotype" w:hAnsi="Palatino Linotype" w:cs="Palatino Linotype"/>
          <w:i/>
          <w:sz w:val="22"/>
          <w:szCs w:val="22"/>
        </w:rPr>
        <w:t xml:space="preserve"> son de carácter </w:t>
      </w:r>
      <w:proofErr w:type="spellStart"/>
      <w:r>
        <w:rPr>
          <w:rFonts w:ascii="Palatino Linotype" w:eastAsia="Palatino Linotype" w:hAnsi="Palatino Linotype" w:cs="Palatino Linotype"/>
          <w:i/>
          <w:sz w:val="22"/>
          <w:szCs w:val="22"/>
        </w:rPr>
        <w:t>publico</w:t>
      </w:r>
      <w:proofErr w:type="spellEnd"/>
      <w:r>
        <w:rPr>
          <w:rFonts w:ascii="Palatino Linotype" w:eastAsia="Palatino Linotype" w:hAnsi="Palatino Linotype" w:cs="Palatino Linotype"/>
          <w:i/>
          <w:sz w:val="22"/>
          <w:szCs w:val="22"/>
        </w:rPr>
        <w:t xml:space="preserve"> y testados con los datos personales mas no como se me hace del conocimiento que no obra dentro de sus archivos fundamentando con el </w:t>
      </w:r>
      <w:proofErr w:type="spellStart"/>
      <w:r>
        <w:rPr>
          <w:rFonts w:ascii="Palatino Linotype" w:eastAsia="Palatino Linotype" w:hAnsi="Palatino Linotype" w:cs="Palatino Linotype"/>
          <w:i/>
          <w:sz w:val="22"/>
          <w:szCs w:val="22"/>
        </w:rPr>
        <w:t>articulo</w:t>
      </w:r>
      <w:proofErr w:type="spellEnd"/>
      <w:r>
        <w:rPr>
          <w:rFonts w:ascii="Palatino Linotype" w:eastAsia="Palatino Linotype" w:hAnsi="Palatino Linotype" w:cs="Palatino Linotype"/>
          <w:i/>
          <w:sz w:val="22"/>
          <w:szCs w:val="22"/>
        </w:rPr>
        <w:t xml:space="preserve"> 12 párrafo segundo de la Ley de Transparencia y Acceso a la Información </w:t>
      </w:r>
      <w:proofErr w:type="spellStart"/>
      <w:r>
        <w:rPr>
          <w:rFonts w:ascii="Palatino Linotype" w:eastAsia="Palatino Linotype" w:hAnsi="Palatino Linotype" w:cs="Palatino Linotype"/>
          <w:i/>
          <w:sz w:val="22"/>
          <w:szCs w:val="22"/>
        </w:rPr>
        <w:t>Publica</w:t>
      </w:r>
      <w:proofErr w:type="spellEnd"/>
      <w:r>
        <w:rPr>
          <w:rFonts w:ascii="Palatino Linotype" w:eastAsia="Palatino Linotype" w:hAnsi="Palatino Linotype" w:cs="Palatino Linotype"/>
          <w:i/>
          <w:sz w:val="22"/>
          <w:szCs w:val="22"/>
        </w:rPr>
        <w:t xml:space="preserve"> del Estado de México y Municipios ahora bien, si esta información debe ser clasificada, no se me adjunto el acta de comité de transparencia. Siendo así considero que esta respuesta emitida por este Sujeto Obligado causa un agravio a mi interés jurídico y personal </w:t>
      </w:r>
      <w:proofErr w:type="spellStart"/>
      <w:r>
        <w:rPr>
          <w:rFonts w:ascii="Palatino Linotype" w:eastAsia="Palatino Linotype" w:hAnsi="Palatino Linotype" w:cs="Palatino Linotype"/>
          <w:i/>
          <w:sz w:val="22"/>
          <w:szCs w:val="22"/>
        </w:rPr>
        <w:t>asi</w:t>
      </w:r>
      <w:proofErr w:type="spellEnd"/>
      <w:r>
        <w:rPr>
          <w:rFonts w:ascii="Palatino Linotype" w:eastAsia="Palatino Linotype" w:hAnsi="Palatino Linotype" w:cs="Palatino Linotype"/>
          <w:i/>
          <w:sz w:val="22"/>
          <w:szCs w:val="22"/>
        </w:rPr>
        <w:t xml:space="preserve"> como a las garantías individuales derivado de la que la información solicitada no se me proporciono quedando a sus </w:t>
      </w:r>
      <w:proofErr w:type="spellStart"/>
      <w:r>
        <w:rPr>
          <w:rFonts w:ascii="Palatino Linotype" w:eastAsia="Palatino Linotype" w:hAnsi="Palatino Linotype" w:cs="Palatino Linotype"/>
          <w:i/>
          <w:sz w:val="22"/>
          <w:szCs w:val="22"/>
        </w:rPr>
        <w:t>ordenes</w:t>
      </w:r>
      <w:proofErr w:type="spellEnd"/>
      <w:r>
        <w:rPr>
          <w:rFonts w:ascii="Palatino Linotype" w:eastAsia="Palatino Linotype" w:hAnsi="Palatino Linotype" w:cs="Palatino Linotype"/>
          <w:i/>
          <w:sz w:val="22"/>
          <w:szCs w:val="22"/>
        </w:rPr>
        <w:t xml:space="preserve"> para cualquier duda o comentario que haya lugar, estando seguro que mi inconformidad se encontrará a buen recaudo en sus honorables personas.” (Sic)</w:t>
      </w:r>
    </w:p>
    <w:p w14:paraId="0A921572" w14:textId="77777777" w:rsidR="0008106A" w:rsidRDefault="00D172F3">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IV</w:t>
      </w:r>
      <w:r>
        <w:rPr>
          <w:rFonts w:ascii="Palatino Linotype" w:eastAsia="Palatino Linotype" w:hAnsi="Palatino Linotype" w:cs="Palatino Linotype"/>
          <w:b/>
          <w:color w:val="000000"/>
          <w:sz w:val="28"/>
          <w:szCs w:val="28"/>
        </w:rPr>
        <w:t xml:space="preserve">. </w:t>
      </w: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rPr>
        <w:t xml:space="preserve">once de noviembre </w:t>
      </w:r>
      <w:r>
        <w:rPr>
          <w:rFonts w:ascii="Palatino Linotype" w:eastAsia="Palatino Linotype" w:hAnsi="Palatino Linotype" w:cs="Palatino Linotype"/>
          <w:color w:val="000000"/>
        </w:rPr>
        <w:t xml:space="preserve">de dos mil veintiuno, el recurso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a la Comisionada </w:t>
      </w:r>
      <w:r>
        <w:rPr>
          <w:rFonts w:ascii="Palatino Linotype" w:eastAsia="Palatino Linotype" w:hAnsi="Palatino Linotype" w:cs="Palatino Linotype"/>
          <w:b/>
          <w:color w:val="000000"/>
        </w:rPr>
        <w:t>Sharon Cristina Morales Martínez,</w:t>
      </w:r>
      <w:r>
        <w:rPr>
          <w:rFonts w:ascii="Palatino Linotype" w:eastAsia="Palatino Linotype" w:hAnsi="Palatino Linotype" w:cs="Palatino Linotype"/>
          <w:color w:val="000000"/>
        </w:rPr>
        <w:t xml:space="preserve"> a efecto de decretar su admisión o desechamiento.</w:t>
      </w:r>
    </w:p>
    <w:p w14:paraId="214D5F8D" w14:textId="77777777" w:rsidR="0008106A" w:rsidRDefault="00D172F3">
      <w:pPr>
        <w:widowControl w:val="0"/>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lastRenderedPageBreak/>
        <w:t>V.</w:t>
      </w:r>
      <w:r>
        <w:rPr>
          <w:rFonts w:ascii="Palatino Linotype" w:eastAsia="Palatino Linotype" w:hAnsi="Palatino Linotype" w:cs="Palatino Linotype"/>
          <w:color w:val="000000"/>
        </w:rPr>
        <w:t xml:space="preserve"> Atento a lo dispuesto en el artículo 185, fracciones I, II y IV, de la Ley de Transparencia y Acceso a la Información Pública del Estado de México y Municipios, en fecha </w:t>
      </w:r>
      <w:r>
        <w:rPr>
          <w:rFonts w:ascii="Palatino Linotype" w:eastAsia="Palatino Linotype" w:hAnsi="Palatino Linotype" w:cs="Palatino Linotype"/>
        </w:rPr>
        <w:t>doce</w:t>
      </w:r>
      <w:r>
        <w:rPr>
          <w:rFonts w:ascii="Palatino Linotype" w:eastAsia="Palatino Linotype" w:hAnsi="Palatino Linotype" w:cs="Palatino Linotype"/>
          <w:color w:val="000000"/>
        </w:rPr>
        <w:t xml:space="preserve"> de noviembre de dos mil veintiuno se acordó la admisión a trámite del referido recurso de revisión; así como, la integración del expediente respectivo, mismo que se puso a disposición de las partes, para que en el plazo máximo de siete días hábiles,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realizara manifestaciones, alegatos y ofreciera las pruebas que a su derecho conviniera y, en el caso del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xml:space="preserve">, para que exhibiera el Informe Justificado correspondiente. </w:t>
      </w:r>
    </w:p>
    <w:p w14:paraId="30577359" w14:textId="77777777" w:rsidR="0008106A" w:rsidRDefault="00D172F3">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VI.</w:t>
      </w:r>
      <w:r>
        <w:rPr>
          <w:rFonts w:ascii="Palatino Linotype" w:eastAsia="Palatino Linotype" w:hAnsi="Palatino Linotype" w:cs="Palatino Linotype"/>
          <w:color w:val="000000"/>
        </w:rPr>
        <w:t xml:space="preserve"> De las constancias que obran en 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desprende que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no presentó alegatos o manifestaciones. </w:t>
      </w:r>
    </w:p>
    <w:p w14:paraId="25F0EFFB" w14:textId="77777777" w:rsidR="0008106A" w:rsidRDefault="00D172F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Por su parte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rindió el Informe Justificado en fecha </w:t>
      </w:r>
      <w:r>
        <w:rPr>
          <w:rFonts w:ascii="Palatino Linotype" w:eastAsia="Palatino Linotype" w:hAnsi="Palatino Linotype" w:cs="Palatino Linotype"/>
        </w:rPr>
        <w:t xml:space="preserve">veintitrés </w:t>
      </w:r>
      <w:r>
        <w:rPr>
          <w:rFonts w:ascii="Palatino Linotype" w:eastAsia="Palatino Linotype" w:hAnsi="Palatino Linotype" w:cs="Palatino Linotype"/>
          <w:color w:val="000000"/>
        </w:rPr>
        <w:t xml:space="preserve">de noviembre de dos mil veintiuno, mismo que fue puesto a disposición del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el veintinueve de noviembre de dos mil veintiuno 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 xml:space="preserve">en el cual confirma la respuesta primigenia.  </w:t>
      </w:r>
    </w:p>
    <w:p w14:paraId="27333113" w14:textId="77777777" w:rsidR="0008106A" w:rsidRDefault="00D172F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VII</w:t>
      </w:r>
      <w:r>
        <w:rPr>
          <w:rFonts w:ascii="Palatino Linotype" w:eastAsia="Palatino Linotype" w:hAnsi="Palatino Linotype" w:cs="Palatino Linotype"/>
          <w:b/>
          <w:color w:val="000000"/>
          <w:sz w:val="28"/>
          <w:szCs w:val="28"/>
        </w:rPr>
        <w:t>.</w:t>
      </w:r>
      <w:r>
        <w:rPr>
          <w:rFonts w:ascii="Palatino Linotype" w:eastAsia="Palatino Linotype" w:hAnsi="Palatino Linotype" w:cs="Palatino Linotype"/>
          <w:color w:val="000000"/>
        </w:rPr>
        <w:t xml:space="preserve"> Una vez analizado el estado procesal que guarda el expediente, en fecha tres de diciembre de dos mil veintiuno, la </w:t>
      </w:r>
      <w:r>
        <w:rPr>
          <w:rFonts w:ascii="Palatino Linotype" w:eastAsia="Palatino Linotype" w:hAnsi="Palatino Linotype" w:cs="Palatino Linotype"/>
          <w:b/>
          <w:color w:val="000000"/>
        </w:rPr>
        <w:t>Comisionada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 xml:space="preserve">Sharon Cristina Morales Martínez </w:t>
      </w:r>
      <w:r>
        <w:rPr>
          <w:rFonts w:ascii="Palatino Linotype" w:eastAsia="Palatino Linotype" w:hAnsi="Palatino Linotype" w:cs="Palatino Linotype"/>
          <w:color w:val="000000"/>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Pr>
          <w:rFonts w:ascii="Palatino Linotype" w:eastAsia="Palatino Linotype" w:hAnsi="Palatino Linotype" w:cs="Palatino Linotype"/>
        </w:rPr>
        <w:t xml:space="preserve">. </w:t>
      </w:r>
    </w:p>
    <w:p w14:paraId="71EE64EA" w14:textId="77777777" w:rsidR="0008106A" w:rsidRDefault="00D172F3">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 xml:space="preserve">VIII. </w:t>
      </w:r>
      <w:r>
        <w:rPr>
          <w:rFonts w:ascii="Palatino Linotype" w:eastAsia="Palatino Linotype" w:hAnsi="Palatino Linotype" w:cs="Palatino Linotype"/>
          <w:color w:val="000000"/>
        </w:rPr>
        <w:t xml:space="preserve">En fecha nueve de diciembre de dos mil veintiuno, el Pleno del Instituto de Transparencia, Acceso a la Información Pública y Protección de Datos Personales del </w:t>
      </w:r>
      <w:r>
        <w:rPr>
          <w:rFonts w:ascii="Palatino Linotype" w:eastAsia="Palatino Linotype" w:hAnsi="Palatino Linotype" w:cs="Palatino Linotype"/>
          <w:color w:val="000000"/>
        </w:rPr>
        <w:lastRenderedPageBreak/>
        <w:t xml:space="preserve">Estado de México y Municipios, mediante acuerdo signado por sus integrantes, aprobó la Licencia por incapacidad </w:t>
      </w:r>
      <w:r>
        <w:rPr>
          <w:rFonts w:ascii="Palatino Linotype" w:eastAsia="Palatino Linotype" w:hAnsi="Palatino Linotype" w:cs="Palatino Linotype"/>
        </w:rPr>
        <w:t xml:space="preserve">médica </w:t>
      </w:r>
      <w:r>
        <w:rPr>
          <w:rFonts w:ascii="Palatino Linotype" w:eastAsia="Palatino Linotype" w:hAnsi="Palatino Linotype" w:cs="Palatino Linotype"/>
          <w:color w:val="000000"/>
        </w:rPr>
        <w:t xml:space="preserve">de la </w:t>
      </w:r>
      <w:r>
        <w:rPr>
          <w:rFonts w:ascii="Palatino Linotype" w:eastAsia="Palatino Linotype" w:hAnsi="Palatino Linotype" w:cs="Palatino Linotype"/>
          <w:b/>
          <w:color w:val="000000"/>
        </w:rPr>
        <w:t>Comisionada Sharon Cristina Morales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Martínez</w:t>
      </w:r>
      <w:r>
        <w:rPr>
          <w:rFonts w:ascii="Palatino Linotype" w:eastAsia="Palatino Linotype" w:hAnsi="Palatino Linotype" w:cs="Palatino Linotype"/>
          <w:color w:val="000000"/>
        </w:rPr>
        <w:t xml:space="preserve">, y a través del cual se convino el returno del recurso de revisión de mérito al </w:t>
      </w:r>
      <w:r>
        <w:rPr>
          <w:rFonts w:ascii="Palatino Linotype" w:eastAsia="Palatino Linotype" w:hAnsi="Palatino Linotype" w:cs="Palatino Linotype"/>
          <w:b/>
          <w:color w:val="000000"/>
        </w:rPr>
        <w:t>Comisionado Presidente José Martínez Vilchis</w:t>
      </w:r>
      <w:r>
        <w:rPr>
          <w:rFonts w:ascii="Palatino Linotype" w:eastAsia="Palatino Linotype" w:hAnsi="Palatino Linotype" w:cs="Palatino Linotype"/>
          <w:color w:val="000000"/>
        </w:rPr>
        <w:t>, para que diera trámite y resolviera conforme a derecho.</w:t>
      </w:r>
    </w:p>
    <w:p w14:paraId="61A25BFE" w14:textId="77777777" w:rsidR="0008106A" w:rsidRDefault="00D172F3">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IX</w:t>
      </w:r>
      <w:r>
        <w:rPr>
          <w:rFonts w:ascii="Palatino Linotype" w:eastAsia="Palatino Linotype" w:hAnsi="Palatino Linotype" w:cs="Palatino Linotype"/>
          <w:b/>
          <w:color w:val="000000"/>
          <w:sz w:val="28"/>
          <w:szCs w:val="28"/>
        </w:rPr>
        <w:t xml:space="preserve">. </w:t>
      </w:r>
      <w:r>
        <w:rPr>
          <w:rFonts w:ascii="Palatino Linotype" w:eastAsia="Palatino Linotype" w:hAnsi="Palatino Linotype" w:cs="Palatino Linotype"/>
          <w:color w:val="000000"/>
        </w:rPr>
        <w:t>En fecha</w:t>
      </w:r>
      <w:r>
        <w:rPr>
          <w:rFonts w:ascii="Palatino Linotype" w:eastAsia="Palatino Linotype" w:hAnsi="Palatino Linotype" w:cs="Palatino Linotype"/>
        </w:rPr>
        <w:t xml:space="preserve"> once de enero de dos mil veintidós</w:t>
      </w:r>
      <w:r>
        <w:rPr>
          <w:rFonts w:ascii="Palatino Linotype" w:eastAsia="Palatino Linotype" w:hAnsi="Palatino Linotype" w:cs="Palatino Linotype"/>
          <w:color w:val="000000"/>
        </w:rPr>
        <w:t>, se notificó el acuerdo de ampliación de plazo para resolver el presente Recurso de Revisión, previsto en el artículo 181, tercer párrafo de la Ley de Transparencia y Acceso a la Información Pública del Estado de México y Municipios; y,</w:t>
      </w:r>
    </w:p>
    <w:p w14:paraId="2CB00A33" w14:textId="77777777" w:rsidR="0008106A" w:rsidRDefault="00D172F3">
      <w:pPr>
        <w:spacing w:before="240" w:after="240"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CONSIDERANDO</w:t>
      </w:r>
    </w:p>
    <w:p w14:paraId="788401B8" w14:textId="77777777" w:rsidR="0008106A" w:rsidRDefault="00D172F3">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PRIMERO</w:t>
      </w:r>
      <w:r>
        <w:rPr>
          <w:rFonts w:ascii="Palatino Linotype" w:eastAsia="Palatino Linotype" w:hAnsi="Palatino Linotype" w:cs="Palatino Linotype"/>
          <w:b/>
          <w:color w:val="000000"/>
        </w:rPr>
        <w:t>. Competencia</w:t>
      </w:r>
      <w:r>
        <w:rPr>
          <w:rFonts w:ascii="Palatino Linotype" w:eastAsia="Palatino Linotype" w:hAnsi="Palatino Linotype" w:cs="Palatino Linotype"/>
          <w:color w:val="000000"/>
        </w:rPr>
        <w:t>.</w:t>
      </w:r>
    </w:p>
    <w:p w14:paraId="7B42DCB6" w14:textId="77777777" w:rsidR="0008106A" w:rsidRDefault="00D172F3">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F1A2F79" w14:textId="77777777" w:rsidR="0008106A" w:rsidRDefault="00D172F3">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lastRenderedPageBreak/>
        <w:t>SEGUNDO</w:t>
      </w:r>
      <w:r>
        <w:rPr>
          <w:rFonts w:ascii="Palatino Linotype" w:eastAsia="Palatino Linotype" w:hAnsi="Palatino Linotype" w:cs="Palatino Linotype"/>
          <w:b/>
          <w:color w:val="000000"/>
        </w:rPr>
        <w:t>. Interés.</w:t>
      </w:r>
      <w:r>
        <w:rPr>
          <w:rFonts w:ascii="Palatino Linotype" w:eastAsia="Palatino Linotype" w:hAnsi="Palatino Linotype" w:cs="Palatino Linotype"/>
          <w:color w:val="000000"/>
        </w:rPr>
        <w:t xml:space="preserve"> </w:t>
      </w:r>
    </w:p>
    <w:p w14:paraId="3A9C0A73" w14:textId="77777777" w:rsidR="0008106A" w:rsidRDefault="00D172F3">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recurso de revisión fue interpuesto por la parte legítima en atención a que fue presentado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quien formuló la solicitud de información pública.</w:t>
      </w:r>
    </w:p>
    <w:p w14:paraId="0F49C149" w14:textId="77777777" w:rsidR="0008106A" w:rsidRDefault="00D172F3">
      <w:pPr>
        <w:widowControl w:val="0"/>
        <w:pBdr>
          <w:top w:val="nil"/>
          <w:left w:val="nil"/>
          <w:bottom w:val="nil"/>
          <w:right w:val="nil"/>
          <w:between w:val="nil"/>
        </w:pBdr>
        <w:tabs>
          <w:tab w:val="left" w:pos="1701"/>
        </w:tabs>
        <w:spacing w:before="240" w:after="280"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TERCERO</w:t>
      </w:r>
      <w:r>
        <w:rPr>
          <w:rFonts w:ascii="Palatino Linotype" w:eastAsia="Palatino Linotype" w:hAnsi="Palatino Linotype" w:cs="Palatino Linotype"/>
          <w:b/>
          <w:color w:val="000000"/>
        </w:rPr>
        <w:t xml:space="preserve">. Oportunidad. </w:t>
      </w:r>
    </w:p>
    <w:p w14:paraId="1B88C964" w14:textId="77777777" w:rsidR="0008106A" w:rsidRDefault="00D172F3">
      <w:pPr>
        <w:widowControl w:val="0"/>
        <w:pBdr>
          <w:top w:val="nil"/>
          <w:left w:val="nil"/>
          <w:bottom w:val="nil"/>
          <w:right w:val="nil"/>
          <w:between w:val="nil"/>
        </w:pBdr>
        <w:tabs>
          <w:tab w:val="left" w:pos="1701"/>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69A2B9D2" w14:textId="77777777" w:rsidR="0008106A" w:rsidRDefault="00D172F3">
      <w:pPr>
        <w:spacing w:before="280"/>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22BFABD8" w14:textId="77777777" w:rsidR="0008106A" w:rsidRDefault="0008106A">
      <w:pPr>
        <w:ind w:left="851" w:right="899"/>
        <w:jc w:val="both"/>
        <w:rPr>
          <w:rFonts w:ascii="Palatino Linotype" w:eastAsia="Palatino Linotype" w:hAnsi="Palatino Linotype" w:cs="Palatino Linotype"/>
          <w:i/>
          <w:sz w:val="22"/>
          <w:szCs w:val="22"/>
        </w:rPr>
      </w:pPr>
    </w:p>
    <w:p w14:paraId="2E304F4B" w14:textId="77777777" w:rsidR="0008106A" w:rsidRDefault="00D172F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E5EB136" w14:textId="77777777" w:rsidR="0008106A" w:rsidRDefault="0008106A">
      <w:pPr>
        <w:ind w:left="851" w:right="899"/>
        <w:jc w:val="both"/>
        <w:rPr>
          <w:rFonts w:ascii="Palatino Linotype" w:eastAsia="Palatino Linotype" w:hAnsi="Palatino Linotype" w:cs="Palatino Linotype"/>
          <w:i/>
          <w:sz w:val="22"/>
          <w:szCs w:val="22"/>
        </w:rPr>
      </w:pPr>
    </w:p>
    <w:p w14:paraId="61C12A99" w14:textId="77777777" w:rsidR="0008106A" w:rsidRDefault="00D172F3">
      <w:pPr>
        <w:spacing w:after="280"/>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 (Sic)</w:t>
      </w:r>
    </w:p>
    <w:p w14:paraId="4A8C2272" w14:textId="77777777" w:rsidR="0008106A" w:rsidRDefault="00D172F3">
      <w:pPr>
        <w:widowControl w:val="0"/>
        <w:tabs>
          <w:tab w:val="left" w:pos="0"/>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acceso a la información pública el día</w:t>
      </w:r>
      <w:r>
        <w:rPr>
          <w:rFonts w:ascii="Palatino Linotype" w:eastAsia="Palatino Linotype" w:hAnsi="Palatino Linotype" w:cs="Palatino Linotype"/>
          <w:b/>
        </w:rPr>
        <w:t xml:space="preserve"> nueve de noviembre de dos mil veintiuno</w:t>
      </w:r>
      <w:r>
        <w:rPr>
          <w:rFonts w:ascii="Palatino Linotype" w:eastAsia="Palatino Linotype" w:hAnsi="Palatino Linotype" w:cs="Palatino Linotype"/>
        </w:rPr>
        <w:t>; así, el plazo de quince días hábiles que prevé el artículo 178 citado otorga al hoy</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recurso de revisión que nos ocupa, abarca del </w:t>
      </w:r>
      <w:r>
        <w:rPr>
          <w:rFonts w:ascii="Palatino Linotype" w:eastAsia="Palatino Linotype" w:hAnsi="Palatino Linotype" w:cs="Palatino Linotype"/>
          <w:b/>
        </w:rPr>
        <w:lastRenderedPageBreak/>
        <w:t xml:space="preserve">diez de noviembre al primero de diciembre de dos mil veintiuno, </w:t>
      </w:r>
      <w:r>
        <w:rPr>
          <w:rFonts w:ascii="Palatino Linotype" w:eastAsia="Palatino Linotype" w:hAnsi="Palatino Linotype" w:cs="Palatino Linotype"/>
        </w:rPr>
        <w:t xml:space="preserve">sin contemplar en el  plazo trece, catorce, veinte, veintiuno, veintisiete y veintiocho  de noviembre,   de la anualidad, por corresponder a sábados y domingos, y el día quince  de noviembre por ser considerados como días inhábiles, según lo dispuesto en el calendario oficial de labores para el año dos mil veintiuno aprobada por el Pleno de este Instituto en fecha dieciséis de diciembre de dos mil veinte y en términos del artículo 3, fracción X de la Ley de Transparencia y Acceso a la Información Pública del Estado de México y Municipios. </w:t>
      </w:r>
    </w:p>
    <w:p w14:paraId="7D125AB5" w14:textId="77777777" w:rsidR="0008106A" w:rsidRDefault="00D172F3">
      <w:pPr>
        <w:widowControl w:val="0"/>
        <w:tabs>
          <w:tab w:val="left" w:pos="0"/>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ese tenor, </w:t>
      </w:r>
      <w:r>
        <w:rPr>
          <w:rFonts w:ascii="Palatino Linotype" w:eastAsia="Palatino Linotype" w:hAnsi="Palatino Linotype" w:cs="Palatino Linotype"/>
        </w:rPr>
        <w:t>si el recurso de revisión que nos ocupa, se interpuso el</w:t>
      </w:r>
      <w:r>
        <w:rPr>
          <w:rFonts w:ascii="Palatino Linotype" w:eastAsia="Palatino Linotype" w:hAnsi="Palatino Linotype" w:cs="Palatino Linotype"/>
          <w:b/>
        </w:rPr>
        <w:t xml:space="preserve"> once de noviembre de dos mil veintiuno, </w:t>
      </w:r>
      <w:r>
        <w:rPr>
          <w:rFonts w:ascii="Palatino Linotype" w:eastAsia="Palatino Linotype" w:hAnsi="Palatino Linotype" w:cs="Palatino Linotype"/>
        </w:rPr>
        <w:t>éste se encuentra dentro de los márgenes temporales previstos en el precepto legal citado en el párrafo anterior y, por tanto, su interposición se considera oportuna</w:t>
      </w:r>
      <w:r>
        <w:rPr>
          <w:rFonts w:ascii="Palatino Linotype" w:eastAsia="Palatino Linotype" w:hAnsi="Palatino Linotype" w:cs="Palatino Linotype"/>
          <w:color w:val="000000"/>
        </w:rPr>
        <w:t xml:space="preserve">. </w:t>
      </w:r>
    </w:p>
    <w:p w14:paraId="442ED627" w14:textId="77777777" w:rsidR="0008106A" w:rsidRDefault="00D172F3">
      <w:pPr>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Procedibilidad</w:t>
      </w:r>
      <w:r>
        <w:rPr>
          <w:rFonts w:ascii="Palatino Linotype" w:eastAsia="Palatino Linotype" w:hAnsi="Palatino Linotype" w:cs="Palatino Linotype"/>
        </w:rPr>
        <w:t xml:space="preserve">. </w:t>
      </w:r>
    </w:p>
    <w:p w14:paraId="53DA6E82" w14:textId="77777777" w:rsidR="0008106A" w:rsidRDefault="00D172F3">
      <w:pPr>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Pr>
          <w:rFonts w:ascii="Palatino Linotype" w:eastAsia="Palatino Linotype" w:hAnsi="Palatino Linotype" w:cs="Palatino Linotype"/>
          <w:b/>
          <w:color w:val="000000"/>
        </w:rPr>
        <w:t>EL SAIMEX</w:t>
      </w:r>
    </w:p>
    <w:p w14:paraId="7DCE50FB" w14:textId="77777777" w:rsidR="0008106A" w:rsidRDefault="0008106A">
      <w:pPr>
        <w:widowControl w:val="0"/>
        <w:tabs>
          <w:tab w:val="left" w:pos="1701"/>
          <w:tab w:val="left" w:pos="1843"/>
        </w:tabs>
        <w:spacing w:line="360" w:lineRule="auto"/>
        <w:jc w:val="both"/>
        <w:rPr>
          <w:rFonts w:ascii="Palatino Linotype" w:eastAsia="Palatino Linotype" w:hAnsi="Palatino Linotype" w:cs="Palatino Linotype"/>
          <w:b/>
        </w:rPr>
      </w:pPr>
    </w:p>
    <w:p w14:paraId="6F05B2A1" w14:textId="77777777" w:rsidR="0008106A" w:rsidRDefault="00D172F3">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rPr>
        <w:t xml:space="preserve">Estudio y resolución del asunto. </w:t>
      </w:r>
    </w:p>
    <w:p w14:paraId="48A2B7A9" w14:textId="77777777" w:rsidR="0008106A" w:rsidRDefault="00D172F3">
      <w:pPr>
        <w:pBdr>
          <w:top w:val="nil"/>
          <w:left w:val="nil"/>
          <w:bottom w:val="nil"/>
          <w:right w:val="nil"/>
          <w:between w:val="nil"/>
        </w:pBdr>
        <w:spacing w:before="280" w:after="280" w:line="360" w:lineRule="auto"/>
        <w:jc w:val="both"/>
        <w:rPr>
          <w:color w:val="000000"/>
        </w:rPr>
      </w:pPr>
      <w:r>
        <w:rPr>
          <w:rFonts w:ascii="Palatino Linotype" w:eastAsia="Palatino Linotype" w:hAnsi="Palatino Linotype" w:cs="Palatino Linotype"/>
          <w:color w:val="000000"/>
        </w:rPr>
        <w:lastRenderedPageBreak/>
        <w:t xml:space="preserve">Una vez determinada la vía sobre la que versará el presente recurso y previa revisión del expediente electrónico que obra en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del recurso que nos ocupa, se advierte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solicitó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lo siguiente:</w:t>
      </w:r>
    </w:p>
    <w:p w14:paraId="256C9AE6" w14:textId="77777777" w:rsidR="0008106A" w:rsidRDefault="00D172F3">
      <w:pPr>
        <w:pBdr>
          <w:top w:val="nil"/>
          <w:left w:val="nil"/>
          <w:bottom w:val="nil"/>
          <w:right w:val="nil"/>
          <w:between w:val="nil"/>
        </w:pBdr>
        <w:spacing w:before="280" w:after="280"/>
        <w:ind w:left="850" w:right="750"/>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i/>
          <w:sz w:val="22"/>
          <w:szCs w:val="22"/>
        </w:rPr>
        <w:t xml:space="preserve">Solicito la versión publica de todos y cada uno de los recibos de </w:t>
      </w:r>
      <w:proofErr w:type="spellStart"/>
      <w:r>
        <w:rPr>
          <w:rFonts w:ascii="Palatino Linotype" w:eastAsia="Palatino Linotype" w:hAnsi="Palatino Linotype" w:cs="Palatino Linotype"/>
          <w:i/>
          <w:sz w:val="22"/>
          <w:szCs w:val="22"/>
        </w:rPr>
        <w:t>nomina</w:t>
      </w:r>
      <w:proofErr w:type="spellEnd"/>
      <w:r>
        <w:rPr>
          <w:rFonts w:ascii="Palatino Linotype" w:eastAsia="Palatino Linotype" w:hAnsi="Palatino Linotype" w:cs="Palatino Linotype"/>
          <w:i/>
          <w:sz w:val="22"/>
          <w:szCs w:val="22"/>
        </w:rPr>
        <w:t xml:space="preserve"> de los servidores públicos que trabajan en la administración </w:t>
      </w:r>
      <w:proofErr w:type="spellStart"/>
      <w:r>
        <w:rPr>
          <w:rFonts w:ascii="Palatino Linotype" w:eastAsia="Palatino Linotype" w:hAnsi="Palatino Linotype" w:cs="Palatino Linotype"/>
          <w:i/>
          <w:sz w:val="22"/>
          <w:szCs w:val="22"/>
        </w:rPr>
        <w:t>publica</w:t>
      </w:r>
      <w:proofErr w:type="spellEnd"/>
      <w:r>
        <w:rPr>
          <w:rFonts w:ascii="Palatino Linotype" w:eastAsia="Palatino Linotype" w:hAnsi="Palatino Linotype" w:cs="Palatino Linotype"/>
          <w:i/>
          <w:sz w:val="22"/>
          <w:szCs w:val="22"/>
        </w:rPr>
        <w:t xml:space="preserve"> desde 2019 hasta la segunda quincena de septiembre 2021, adjuntando su respectiva acta de comité de transparencia, cuadro de clasificación de la información como acuerdo, sin excusa o pretexto por la pandemia.</w:t>
      </w:r>
      <w:r>
        <w:rPr>
          <w:rFonts w:ascii="Palatino Linotype" w:eastAsia="Palatino Linotype" w:hAnsi="Palatino Linotype" w:cs="Palatino Linotype"/>
          <w:i/>
          <w:color w:val="000000"/>
          <w:sz w:val="22"/>
          <w:szCs w:val="22"/>
        </w:rPr>
        <w:t>”</w:t>
      </w:r>
    </w:p>
    <w:p w14:paraId="527F2E7D" w14:textId="77777777" w:rsidR="0008106A" w:rsidRDefault="00D172F3">
      <w:pPr>
        <w:pBdr>
          <w:top w:val="nil"/>
          <w:left w:val="nil"/>
          <w:bottom w:val="nil"/>
          <w:right w:val="nil"/>
          <w:between w:val="nil"/>
        </w:pBdr>
        <w:spacing w:before="280" w:after="280" w:line="360" w:lineRule="auto"/>
        <w:ind w:right="41"/>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atención a ello,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rPr>
        <w:t xml:space="preserve"> en su respuesta, en esencia manifiesta que dentro de la información solicitada se encuentran datos susceptibles de ser clasificados como confidenciales toda vez que hacen identificable a la persona y en razón de que deben elaborarse las versiones públicas pertinentes,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manifiesta que sus equipos no tienen la capacidad de procesar los archivos y deberá imprimirlos, situación que tendrá un costo que el particular deberá cubrir, indicando un enlace electrónico a los costos contenidos en el Código Fiscal del Estado de México, si hacer ninguna especificación mayor del costo total o el medio para realizar el pago. </w:t>
      </w:r>
    </w:p>
    <w:p w14:paraId="74274F71" w14:textId="77777777" w:rsidR="0008106A" w:rsidRDefault="00D172F3">
      <w:pPr>
        <w:pBdr>
          <w:top w:val="nil"/>
          <w:left w:val="nil"/>
          <w:bottom w:val="nil"/>
          <w:right w:val="nil"/>
          <w:between w:val="nil"/>
        </w:pBdr>
        <w:spacing w:before="280" w:after="280" w:line="360" w:lineRule="auto"/>
        <w:ind w:right="41"/>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señala que, una vez realizado el pago,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se llevarán a cabo las medidas para generar el Acuerdo de Clasificación emitido por el Comité de Transparencia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y así poner a disposición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la información para consulta de forma presencial dentro de las oficinas que ocupa el área de Recursos Humanos del Ayuntamiento en cuestión. </w:t>
      </w:r>
    </w:p>
    <w:p w14:paraId="231FA0AF" w14:textId="77777777" w:rsidR="0008106A" w:rsidRDefault="00D172F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de las constancias que obran en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advierte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omitió presentar las manifestaciones, alegatos o medios de prueba que </w:t>
      </w:r>
      <w:r>
        <w:rPr>
          <w:rFonts w:ascii="Palatino Linotype" w:eastAsia="Palatino Linotype" w:hAnsi="Palatino Linotype" w:cs="Palatino Linotype"/>
        </w:rPr>
        <w:lastRenderedPageBreak/>
        <w:t xml:space="preserve">a su derecho conviniera, mientras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su Informe Justificado de fecha veintitrés de noviembre de dos mil veintiuno y el cual es de conocimiento de las partes confirma su respuesta primigenia </w:t>
      </w:r>
    </w:p>
    <w:p w14:paraId="0F640C27" w14:textId="77777777" w:rsidR="0008106A" w:rsidRDefault="0008106A">
      <w:pPr>
        <w:spacing w:line="360" w:lineRule="auto"/>
        <w:jc w:val="both"/>
        <w:rPr>
          <w:rFonts w:ascii="Palatino Linotype" w:eastAsia="Palatino Linotype" w:hAnsi="Palatino Linotype" w:cs="Palatino Linotype"/>
        </w:rPr>
      </w:pPr>
    </w:p>
    <w:p w14:paraId="0C32FEF3" w14:textId="77777777" w:rsidR="0008106A" w:rsidRDefault="00D172F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en concordancia y derivado del análisis efectuado se advierte la procedibilidad del recurso de revisión, toda vez que se actualizó la hipótesis prevista en las fracciones VIII y X del artículo 179 de la Ley de Transparencia y Acceso a la Información Pública del Estado de México y Municipios, que a la letra versa:</w:t>
      </w:r>
    </w:p>
    <w:p w14:paraId="1B6B6E65" w14:textId="77777777" w:rsidR="0008106A" w:rsidRDefault="00D172F3">
      <w:pPr>
        <w:spacing w:before="280"/>
        <w:ind w:left="709" w:right="757"/>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El recurso de revisión</w:t>
      </w:r>
      <w:r>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 y </w:t>
      </w:r>
      <w:r>
        <w:rPr>
          <w:rFonts w:ascii="Palatino Linotype" w:eastAsia="Palatino Linotype" w:hAnsi="Palatino Linotype" w:cs="Palatino Linotype"/>
          <w:b/>
          <w:i/>
          <w:sz w:val="22"/>
          <w:szCs w:val="22"/>
          <w:u w:val="single"/>
        </w:rPr>
        <w:t>procederá en contra de las siguientes causas</w:t>
      </w:r>
      <w:r>
        <w:rPr>
          <w:rFonts w:ascii="Palatino Linotype" w:eastAsia="Palatino Linotype" w:hAnsi="Palatino Linotype" w:cs="Palatino Linotype"/>
          <w:sz w:val="22"/>
          <w:szCs w:val="22"/>
        </w:rPr>
        <w:t>:</w:t>
      </w:r>
    </w:p>
    <w:p w14:paraId="0376E26D" w14:textId="77777777" w:rsidR="0008106A" w:rsidRDefault="00D172F3">
      <w:pPr>
        <w:ind w:left="709" w:right="757"/>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p w14:paraId="02D918E3" w14:textId="77777777" w:rsidR="0008106A" w:rsidRDefault="00D172F3">
      <w:pPr>
        <w:tabs>
          <w:tab w:val="left" w:pos="1134"/>
        </w:tabs>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La notificación, entrega o puesta a disposición de información en una modalidad o formato distinto al solicitado;</w:t>
      </w:r>
      <w:r>
        <w:rPr>
          <w:rFonts w:ascii="Palatino Linotype" w:eastAsia="Palatino Linotype" w:hAnsi="Palatino Linotype" w:cs="Palatino Linotype"/>
          <w:i/>
          <w:sz w:val="22"/>
          <w:szCs w:val="22"/>
        </w:rPr>
        <w:t>”</w:t>
      </w:r>
    </w:p>
    <w:p w14:paraId="5D9C7329" w14:textId="77777777" w:rsidR="0008106A" w:rsidRDefault="00D172F3">
      <w:pPr>
        <w:tabs>
          <w:tab w:val="left" w:pos="1134"/>
        </w:tabs>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14:paraId="55FADCAA" w14:textId="77777777" w:rsidR="0008106A" w:rsidRDefault="00D172F3">
      <w:pPr>
        <w:tabs>
          <w:tab w:val="left" w:pos="1134"/>
        </w:tabs>
        <w:ind w:left="709" w:right="75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b/>
          <w:i/>
          <w:sz w:val="22"/>
          <w:szCs w:val="22"/>
          <w:u w:val="single"/>
        </w:rPr>
        <w:t>Los costos</w:t>
      </w:r>
      <w:r>
        <w:rPr>
          <w:rFonts w:ascii="Palatino Linotype" w:eastAsia="Palatino Linotype" w:hAnsi="Palatino Linotype" w:cs="Palatino Linotype"/>
          <w:b/>
          <w:i/>
          <w:sz w:val="22"/>
          <w:szCs w:val="22"/>
        </w:rPr>
        <w:t xml:space="preserve"> o tiempos de entrega de la información.</w:t>
      </w:r>
    </w:p>
    <w:p w14:paraId="13F03E67" w14:textId="77777777" w:rsidR="0008106A" w:rsidRDefault="00D172F3">
      <w:pPr>
        <w:spacing w:before="280" w:after="280" w:line="360" w:lineRule="auto"/>
        <w:ind w:left="709" w:right="76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(Énfasis añadido)</w:t>
      </w:r>
    </w:p>
    <w:p w14:paraId="0296A454" w14:textId="77777777" w:rsidR="0008106A" w:rsidRDefault="00D172F3">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rPr>
        <w:t xml:space="preserve">Por lo </w:t>
      </w:r>
      <w:r>
        <w:rPr>
          <w:rFonts w:ascii="Palatino Linotype" w:eastAsia="Palatino Linotype" w:hAnsi="Palatino Linotype" w:cs="Palatino Linotype"/>
          <w:color w:val="000000"/>
        </w:rPr>
        <w:t xml:space="preserve">que se procede a analizar si la respuesta emitida por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satisface el derecho de Acceso a la Información pública del </w:t>
      </w:r>
      <w:r>
        <w:rPr>
          <w:rFonts w:ascii="Palatino Linotype" w:eastAsia="Palatino Linotype" w:hAnsi="Palatino Linotype" w:cs="Palatino Linotype"/>
          <w:b/>
          <w:color w:val="000000"/>
        </w:rPr>
        <w:t>RECURRENTE. </w:t>
      </w:r>
    </w:p>
    <w:p w14:paraId="682AD2C0" w14:textId="77777777" w:rsidR="0008106A" w:rsidRDefault="00D172F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Primeramente, se obvia el análisis de la competencia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dado que éste ha asumido la misma, en razón que de los argumentos vertidos en su respuesta se advierte que genera, administra y posee la información solicitada, ya que señaló que dentro de dicha información detectó datos susceptibles de ser clasificado y además indicó que el total de información asciende a un número de 82674 recibos que se encuentran en formato digital, lo que implica que </w:t>
      </w:r>
      <w:r>
        <w:rPr>
          <w:rFonts w:ascii="Palatino Linotype" w:eastAsia="Palatino Linotype" w:hAnsi="Palatino Linotype" w:cs="Palatino Linotype"/>
          <w:b/>
        </w:rPr>
        <w:t xml:space="preserve">EL SUJETO </w:t>
      </w:r>
      <w:r>
        <w:rPr>
          <w:rFonts w:ascii="Palatino Linotype" w:eastAsia="Palatino Linotype" w:hAnsi="Palatino Linotype" w:cs="Palatino Linotype"/>
          <w:b/>
        </w:rPr>
        <w:lastRenderedPageBreak/>
        <w:t>OBLIGADO</w:t>
      </w:r>
      <w:r>
        <w:rPr>
          <w:rFonts w:ascii="Palatino Linotype" w:eastAsia="Palatino Linotype" w:hAnsi="Palatino Linotype" w:cs="Palatino Linotype"/>
        </w:rPr>
        <w:t xml:space="preserve"> genera, posee, administra, o tiene conocimiento acerca de la información solicitada.</w:t>
      </w:r>
    </w:p>
    <w:p w14:paraId="4DE3FE59" w14:textId="77777777" w:rsidR="0008106A" w:rsidRDefault="0008106A">
      <w:pPr>
        <w:widowControl w:val="0"/>
        <w:spacing w:line="360" w:lineRule="auto"/>
        <w:jc w:val="both"/>
        <w:rPr>
          <w:rFonts w:ascii="Palatino Linotype" w:eastAsia="Palatino Linotype" w:hAnsi="Palatino Linotype" w:cs="Palatino Linotype"/>
        </w:rPr>
      </w:pPr>
    </w:p>
    <w:p w14:paraId="3EA16AB5" w14:textId="77777777" w:rsidR="0008106A" w:rsidRDefault="00D172F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el hecho de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haya pronunciado respecto de la información requerida por </w:t>
      </w:r>
      <w:r>
        <w:rPr>
          <w:rFonts w:ascii="Palatino Linotype" w:eastAsia="Palatino Linotype" w:hAnsi="Palatino Linotype" w:cs="Palatino Linotype"/>
          <w:b/>
        </w:rPr>
        <w:t>EL RECURRENTE</w:t>
      </w:r>
      <w:r>
        <w:rPr>
          <w:rFonts w:ascii="Palatino Linotype" w:eastAsia="Palatino Linotype" w:hAnsi="Palatino Linotype" w:cs="Palatino Linotype"/>
        </w:rPr>
        <w:t>, acepta que la genera, posee y administra dicha información, en ejercicio de sus funciones de derecho público, motivo por el cual se actualiza el supuesto jurídico, previsto en el artículo 12 de la Ley de Transparencia y Acceso a la Información Pública del Estado de México y Municipios.</w:t>
      </w:r>
    </w:p>
    <w:p w14:paraId="51877B71" w14:textId="77777777" w:rsidR="0008106A" w:rsidRDefault="0008106A">
      <w:pPr>
        <w:widowControl w:val="0"/>
        <w:spacing w:line="360" w:lineRule="auto"/>
        <w:jc w:val="both"/>
        <w:rPr>
          <w:rFonts w:ascii="Palatino Linotype" w:eastAsia="Palatino Linotype" w:hAnsi="Palatino Linotype" w:cs="Palatino Linotype"/>
        </w:rPr>
      </w:pPr>
    </w:p>
    <w:p w14:paraId="55978826" w14:textId="77777777" w:rsidR="0008106A" w:rsidRDefault="00D172F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hecho, el estudio de la naturaleza jurídica de la información pública solicitada, tiene por objeto determinar si ésta la genera, posee o administra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sin embargo, en aquellos casos en que éste la asume; por consiguiente, a nada práctico nos conduciría su estudio, pues se insiste la información pública solicitada, ya fue asumida por </w:t>
      </w:r>
      <w:r>
        <w:rPr>
          <w:rFonts w:ascii="Palatino Linotype" w:eastAsia="Palatino Linotype" w:hAnsi="Palatino Linotype" w:cs="Palatino Linotype"/>
          <w:b/>
        </w:rPr>
        <w:t>EL SUJETO OBLIGADO</w:t>
      </w:r>
      <w:r>
        <w:rPr>
          <w:rFonts w:ascii="Palatino Linotype" w:eastAsia="Palatino Linotype" w:hAnsi="Palatino Linotype" w:cs="Palatino Linotype"/>
        </w:rPr>
        <w:t>.</w:t>
      </w:r>
    </w:p>
    <w:p w14:paraId="314EFB70" w14:textId="77777777" w:rsidR="0008106A" w:rsidRDefault="00D172F3">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toda vez que el propio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al determinar unilateralmente el cambio de modalidad de la información solicitada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asume que posee la totalidad de la información; en tal virtud, el estudio correspondiente tiene como finalidad determinar si efectivamente es procedente el pago y el cambio de modalidad requerido por </w:t>
      </w:r>
      <w:r>
        <w:rPr>
          <w:rFonts w:ascii="Palatino Linotype" w:eastAsia="Palatino Linotype" w:hAnsi="Palatino Linotype" w:cs="Palatino Linotype"/>
          <w:b/>
        </w:rPr>
        <w:t>EL SUJETO OBLIGADO</w:t>
      </w:r>
      <w:r>
        <w:rPr>
          <w:rFonts w:ascii="Palatino Linotype" w:eastAsia="Palatino Linotype" w:hAnsi="Palatino Linotype" w:cs="Palatino Linotype"/>
        </w:rPr>
        <w:t>.</w:t>
      </w:r>
    </w:p>
    <w:p w14:paraId="3E10C52A" w14:textId="77777777" w:rsidR="0008106A" w:rsidRDefault="00D172F3">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por lo que corresponde a la respuesta referente a que, para acceder a la documentación requerida deberá cubrir el pago por concepto de la expedición de “copias simples y el formato digital de los documentos que integran la información que solicita” (Sic), dicha respuesta no satisfizo el derecho de acceso a la información del </w:t>
      </w:r>
      <w:r>
        <w:rPr>
          <w:rFonts w:ascii="Palatino Linotype" w:eastAsia="Palatino Linotype" w:hAnsi="Palatino Linotype" w:cs="Palatino Linotype"/>
          <w:b/>
        </w:rPr>
        <w:lastRenderedPageBreak/>
        <w:t>RECURRENTE</w:t>
      </w:r>
      <w:r>
        <w:rPr>
          <w:rFonts w:ascii="Palatino Linotype" w:eastAsia="Palatino Linotype" w:hAnsi="Palatino Linotype" w:cs="Palatino Linotype"/>
        </w:rPr>
        <w:t xml:space="preserve">, ya que si bien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niega la entrega de la información, también lo es que la condiciona a que se paguen los derechos por la expedición, reproducción y procesamiento  de la documentación solicitada, cuando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solicitó la entrega de la información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como se aprecia en la imagen correspondiente a la solicitud: </w:t>
      </w:r>
    </w:p>
    <w:p w14:paraId="2468AF0E" w14:textId="77777777" w:rsidR="0008106A" w:rsidRDefault="00D172F3">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114300" distB="114300" distL="114300" distR="114300" wp14:anchorId="2509A0A8" wp14:editId="7D650081">
            <wp:extent cx="5791200" cy="1326515"/>
            <wp:effectExtent l="0" t="0" r="0" b="0"/>
            <wp:docPr id="13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
                    <a:srcRect t="5315" b="9917"/>
                    <a:stretch>
                      <a:fillRect/>
                    </a:stretch>
                  </pic:blipFill>
                  <pic:spPr>
                    <a:xfrm>
                      <a:off x="0" y="0"/>
                      <a:ext cx="5791200" cy="1326515"/>
                    </a:xfrm>
                    <a:prstGeom prst="rect">
                      <a:avLst/>
                    </a:prstGeom>
                    <a:ln/>
                  </pic:spPr>
                </pic:pic>
              </a:graphicData>
            </a:graphic>
          </wp:inline>
        </w:drawing>
      </w:r>
    </w:p>
    <w:p w14:paraId="5F107AE9" w14:textId="77777777" w:rsidR="0008106A" w:rsidRDefault="00D172F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conforme a la imagen anterior se desprende que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manifestó como modalidad de entrega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tal y como se puede apreciar de las constancias que integran el expediente electrónico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del recurso que nos ocupa; sin embargo,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pretende a través de su respuesta cambiar la modalidad para hacer entrega de la información solicitada, por lo que, es necesario resaltar el contenido del artículo 175, de la Ley de Transparencia y Acceso a la Información Pública del Estado de México y Municipios, el cual indica que los sujetos obligados deberán publicar de manera obligatoria la información que deba ser generada de manera electrónica, según lo dispongan las legislaciones administrativas y no podrá tener ningún costo, sirviendo de sustento la transcripción siguiente: </w:t>
      </w:r>
    </w:p>
    <w:p w14:paraId="164819C9" w14:textId="77777777" w:rsidR="0008106A" w:rsidRDefault="00D172F3">
      <w:pPr>
        <w:spacing w:before="240" w:after="360"/>
        <w:ind w:left="709" w:right="56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175.</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 xml:space="preserve">La información que en términos de Ley deban publicar de manera obligatoria los sujetos obligados, o deba ser generada de manera electrónica, según lo dispongan las disposiciones legales o </w:t>
      </w:r>
      <w:r>
        <w:rPr>
          <w:rFonts w:ascii="Palatino Linotype" w:eastAsia="Palatino Linotype" w:hAnsi="Palatino Linotype" w:cs="Palatino Linotype"/>
          <w:b/>
          <w:i/>
          <w:u w:val="single"/>
        </w:rPr>
        <w:lastRenderedPageBreak/>
        <w:t>administrativas no podrá tener ningún costo, incluyendo aquella que se hubiera digitalizado previamente por cualquier motivo</w:t>
      </w:r>
      <w:r>
        <w:rPr>
          <w:rFonts w:ascii="Palatino Linotype" w:eastAsia="Palatino Linotype" w:hAnsi="Palatino Linotype" w:cs="Palatino Linotype"/>
          <w:i/>
        </w:rPr>
        <w:t>, en aquellos casos en que la modalidad de entrega sea por medio de la plataforma o vía electrónica.</w:t>
      </w:r>
    </w:p>
    <w:p w14:paraId="6711DF07" w14:textId="77777777" w:rsidR="0008106A" w:rsidRDefault="00D172F3">
      <w:pPr>
        <w:spacing w:before="240" w:after="360"/>
        <w:ind w:left="709" w:right="567"/>
        <w:jc w:val="both"/>
        <w:rPr>
          <w:rFonts w:ascii="Palatino Linotype" w:eastAsia="Palatino Linotype" w:hAnsi="Palatino Linotype" w:cs="Palatino Linotype"/>
          <w:i/>
        </w:rPr>
      </w:pPr>
      <w:r>
        <w:rPr>
          <w:rFonts w:ascii="Palatino Linotype" w:eastAsia="Palatino Linotype" w:hAnsi="Palatino Linotype" w:cs="Palatino Linotype"/>
          <w:b/>
          <w:i/>
          <w:u w:val="single"/>
        </w:rPr>
        <w:t>En ningún caso, el pago de derechos deberá exceder el costo de reproducción de la información en el material solicitado</w:t>
      </w:r>
      <w:r>
        <w:rPr>
          <w:rFonts w:ascii="Palatino Linotype" w:eastAsia="Palatino Linotype" w:hAnsi="Palatino Linotype" w:cs="Palatino Linotype"/>
          <w:i/>
        </w:rPr>
        <w:t>. Los ajustes razonables que se realicen para el acceso de la información de solicitantes con discapacidad serán sin costo para los mismos.”</w:t>
      </w:r>
    </w:p>
    <w:p w14:paraId="33A5F36C" w14:textId="77777777" w:rsidR="0008106A" w:rsidRDefault="0008106A">
      <w:pPr>
        <w:widowControl w:val="0"/>
        <w:spacing w:line="360" w:lineRule="auto"/>
        <w:jc w:val="both"/>
        <w:rPr>
          <w:rFonts w:ascii="Palatino Linotype" w:eastAsia="Palatino Linotype" w:hAnsi="Palatino Linotype" w:cs="Palatino Linotype"/>
        </w:rPr>
      </w:pPr>
    </w:p>
    <w:p w14:paraId="007854F3" w14:textId="77777777" w:rsidR="0008106A" w:rsidRDefault="00D172F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 premisa, el numeral 158 de la Ley de Transparencia y Acceso a la Información Pública del Estado de México y Municipios, citado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señala que cuando lo determine el sujeto obligado podrá solicitar el cambio de modalidad a consulta directa, en el supuesto de que la información se encuentre en su posesión y esta implique análisis, estudio o procesamiento de documentos y cuya entrega o reproducción sobrepase las capacidades técnicas, administrativas y humanas, para el cumplimiento de las obligaciones de transparencia, no siendo óbice mencionar que dicho cambio de modalidad de entrega deberá de estar debidamente fundado y motivado, en el cual se expliquen las razones o motivos del cambio, exceptuando la información clasificada, la cual se deberá de respaldar de igual manera por un acuerdo de clasificación.</w:t>
      </w:r>
    </w:p>
    <w:p w14:paraId="235F922C" w14:textId="77777777" w:rsidR="0008106A" w:rsidRDefault="0008106A">
      <w:pPr>
        <w:widowControl w:val="0"/>
        <w:spacing w:line="360" w:lineRule="auto"/>
        <w:jc w:val="both"/>
        <w:rPr>
          <w:rFonts w:ascii="Palatino Linotype" w:eastAsia="Palatino Linotype" w:hAnsi="Palatino Linotype" w:cs="Palatino Linotype"/>
        </w:rPr>
      </w:pPr>
    </w:p>
    <w:p w14:paraId="247755B0" w14:textId="77777777" w:rsidR="0008106A" w:rsidRDefault="00D172F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Situación que en este caso en particular, se actualiza, toda vez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respuesta a la solicitud de información materia del presente recurso manifestó que de la búsqueda realizada encontró la cantidad de 82,674 recibos, indicando que por su tamaño y cantidad,  ninguno de los dispositivos electrónicos con </w:t>
      </w:r>
      <w:r>
        <w:rPr>
          <w:rFonts w:ascii="Palatino Linotype" w:eastAsia="Palatino Linotype" w:hAnsi="Palatino Linotype" w:cs="Palatino Linotype"/>
        </w:rPr>
        <w:lastRenderedPageBreak/>
        <w:t>los que cuenta pueden procesar dicha información a efecto de realizar las versiones públicas correspondientes como se puede apreciar del fragmento que se cita a continuación:</w:t>
      </w:r>
    </w:p>
    <w:p w14:paraId="111F0CA8" w14:textId="77777777" w:rsidR="0008106A" w:rsidRDefault="00D172F3">
      <w:pPr>
        <w:widowControl w:val="0"/>
        <w:tabs>
          <w:tab w:val="left" w:pos="1276"/>
        </w:tabs>
        <w:spacing w:before="240" w:after="280" w:line="360" w:lineRule="auto"/>
        <w:ind w:left="850" w:right="899"/>
        <w:jc w:val="both"/>
        <w:rPr>
          <w:rFonts w:ascii="Palatino Linotype" w:eastAsia="Palatino Linotype" w:hAnsi="Palatino Linotype" w:cs="Palatino Linotype"/>
          <w:i/>
        </w:rPr>
      </w:pPr>
      <w:r>
        <w:rPr>
          <w:rFonts w:ascii="Palatino Linotype" w:eastAsia="Palatino Linotype" w:hAnsi="Palatino Linotype" w:cs="Palatino Linotype"/>
          <w:i/>
        </w:rPr>
        <w:t>“supone procesar un aproximado de un total de 82,674 recibos, los cuales si bien se encuentran en archivos en formato digital, la capacidad tecnológica que tienen los equipos de este H. Ayuntamiento ninguno cuenta con programas de edición digital para el tratamiento tecnológico para testar los 82.674 recibos esto derivado de la tutela de la Protección de Datos.”</w:t>
      </w:r>
    </w:p>
    <w:p w14:paraId="6F353E57" w14:textId="77777777" w:rsidR="0008106A" w:rsidRDefault="0008106A">
      <w:pPr>
        <w:widowControl w:val="0"/>
        <w:spacing w:line="360" w:lineRule="auto"/>
        <w:jc w:val="both"/>
        <w:rPr>
          <w:rFonts w:ascii="Palatino Linotype" w:eastAsia="Palatino Linotype" w:hAnsi="Palatino Linotype" w:cs="Palatino Linotype"/>
        </w:rPr>
      </w:pPr>
    </w:p>
    <w:p w14:paraId="68A585BA" w14:textId="77777777" w:rsidR="0008106A" w:rsidRDefault="00D172F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señala que la cantidad de archivos donde consta la  información requerida excede la capacidad del sistema SAIMEX mediante el cual se solicita su entrega como se aprecia del siguiente fragmento extraído de la respuesta primigenia del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31082B61" w14:textId="77777777" w:rsidR="0008106A" w:rsidRDefault="0008106A">
      <w:pPr>
        <w:widowControl w:val="0"/>
        <w:spacing w:line="360" w:lineRule="auto"/>
        <w:jc w:val="both"/>
        <w:rPr>
          <w:rFonts w:ascii="Palatino Linotype" w:eastAsia="Palatino Linotype" w:hAnsi="Palatino Linotype" w:cs="Palatino Linotype"/>
        </w:rPr>
      </w:pPr>
    </w:p>
    <w:p w14:paraId="2174F6EA" w14:textId="77777777" w:rsidR="0008106A" w:rsidRDefault="00D172F3">
      <w:pPr>
        <w:widowControl w:val="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consecuencia se informa que el cumulo de información de la cual solicita le sea enviada dicha información también sobrepasa la capacidad tecnológica del SAIMEX, ya que esta es limitada, dicho sistema tiene una capacidad de 500 megas es decir, traducido al procesamiento de las hojas, significa una capacidad de subir un aproximado de 8 a 9 mil hojas únicamente, de tal modo que dados los motivos y fundamentados relatados durante el presente escrito, es procedente ofrecer otra modalidad respecto a la entrega de la información, y esta es que amablemente se pone a su disposición de manera </w:t>
      </w:r>
      <w:proofErr w:type="spellStart"/>
      <w:r>
        <w:rPr>
          <w:rFonts w:ascii="Palatino Linotype" w:eastAsia="Palatino Linotype" w:hAnsi="Palatino Linotype" w:cs="Palatino Linotype"/>
          <w:i/>
          <w:sz w:val="22"/>
          <w:szCs w:val="22"/>
        </w:rPr>
        <w:t>manera</w:t>
      </w:r>
      <w:proofErr w:type="spellEnd"/>
      <w:r>
        <w:rPr>
          <w:rFonts w:ascii="Palatino Linotype" w:eastAsia="Palatino Linotype" w:hAnsi="Palatino Linotype" w:cs="Palatino Linotype"/>
          <w:i/>
          <w:sz w:val="22"/>
          <w:szCs w:val="22"/>
        </w:rPr>
        <w:t xml:space="preserve"> presencial dentro de las oficinas que ocupa el área de Recursos Humanos de este H. Ayuntamiento ubicadas en calle Nezahualcóyotl </w:t>
      </w:r>
      <w:proofErr w:type="spellStart"/>
      <w:r>
        <w:rPr>
          <w:rFonts w:ascii="Palatino Linotype" w:eastAsia="Palatino Linotype" w:hAnsi="Palatino Linotype" w:cs="Palatino Linotype"/>
          <w:i/>
          <w:sz w:val="22"/>
          <w:szCs w:val="22"/>
        </w:rPr>
        <w:t>numero</w:t>
      </w:r>
      <w:proofErr w:type="spellEnd"/>
      <w:r>
        <w:rPr>
          <w:rFonts w:ascii="Palatino Linotype" w:eastAsia="Palatino Linotype" w:hAnsi="Palatino Linotype" w:cs="Palatino Linotype"/>
          <w:i/>
          <w:sz w:val="22"/>
          <w:szCs w:val="22"/>
        </w:rPr>
        <w:t xml:space="preserve"> 110 segundo piso, col centro Texcoco estado de México CP. 56100.”</w:t>
      </w:r>
    </w:p>
    <w:p w14:paraId="1F313E36" w14:textId="77777777" w:rsidR="0008106A" w:rsidRDefault="0008106A">
      <w:pPr>
        <w:widowControl w:val="0"/>
        <w:spacing w:line="360" w:lineRule="auto"/>
        <w:jc w:val="both"/>
        <w:rPr>
          <w:rFonts w:ascii="Palatino Linotype" w:eastAsia="Palatino Linotype" w:hAnsi="Palatino Linotype" w:cs="Palatino Linotype"/>
        </w:rPr>
      </w:pPr>
    </w:p>
    <w:p w14:paraId="3F2C50DE" w14:textId="77777777" w:rsidR="0008106A" w:rsidRDefault="00D172F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se aprecia de la respuesta otorgada por el Sujeto Obligado se denota que se </w:t>
      </w:r>
      <w:r>
        <w:rPr>
          <w:rFonts w:ascii="Palatino Linotype" w:eastAsia="Palatino Linotype" w:hAnsi="Palatino Linotype" w:cs="Palatino Linotype"/>
        </w:rPr>
        <w:lastRenderedPageBreak/>
        <w:t xml:space="preserve">actualizan los supuestos establecidos en el numeral 158 y 164, por lo que procede el cambio de modalidad de entrega vía consulta directa. </w:t>
      </w:r>
    </w:p>
    <w:p w14:paraId="222737C8" w14:textId="77777777" w:rsidR="0008106A" w:rsidRDefault="0008106A">
      <w:pPr>
        <w:widowControl w:val="0"/>
        <w:spacing w:line="276" w:lineRule="auto"/>
        <w:jc w:val="both"/>
        <w:rPr>
          <w:rFonts w:ascii="Palatino Linotype" w:eastAsia="Palatino Linotype" w:hAnsi="Palatino Linotype" w:cs="Palatino Linotype"/>
        </w:rPr>
      </w:pPr>
    </w:p>
    <w:p w14:paraId="5593B30B" w14:textId="77777777" w:rsidR="0008106A" w:rsidRDefault="00D172F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a consideración de este Órgano Garante, resultan atendibles, toda vez que, el procedimiento de acceso a la información, encuentra verificativo en el Titulo Séptimo Acceso a la Información Pública de la Ley de la materia, en el cual se establecen los requisitos que deben contener las solicitudes de información, así como el trámite que debe realizar la Unidad de Transparencia para dar atención a las diversas  solicitudes, señalando que se deben turnar a los servidores públicos habilitados designados en las distintas áreas que pudieran contar con la información peticionada de acuerdo con sus funciones y atribuciones y en el supuesto de que la información implique realizar un análisis, estudio o procesamiento de documentos cuya entrega o reproducción sobrepase las capacidades técnicas, administrativas y humanas del sujeto obligado para cumplir con la solicitud, en los plazos establecidos para tales efectos, se podrá poner a disposición del solicitante los documentos </w:t>
      </w:r>
      <w:r>
        <w:rPr>
          <w:rFonts w:ascii="Palatino Linotype" w:eastAsia="Palatino Linotype" w:hAnsi="Palatino Linotype" w:cs="Palatino Linotype"/>
          <w:i/>
        </w:rPr>
        <w:t>in situ</w:t>
      </w:r>
      <w:r>
        <w:rPr>
          <w:rFonts w:ascii="Palatino Linotype" w:eastAsia="Palatino Linotype" w:hAnsi="Palatino Linotype" w:cs="Palatino Linotype"/>
        </w:rPr>
        <w:t>, es decir, en consulta directa, salvo la información clasificada.</w:t>
      </w:r>
    </w:p>
    <w:p w14:paraId="1E48A077" w14:textId="77777777" w:rsidR="0008106A" w:rsidRDefault="0008106A">
      <w:pPr>
        <w:widowControl w:val="0"/>
        <w:spacing w:line="276" w:lineRule="auto"/>
        <w:jc w:val="both"/>
        <w:rPr>
          <w:rFonts w:ascii="Palatino Linotype" w:eastAsia="Palatino Linotype" w:hAnsi="Palatino Linotype" w:cs="Palatino Linotype"/>
          <w:sz w:val="17"/>
          <w:szCs w:val="17"/>
        </w:rPr>
      </w:pPr>
    </w:p>
    <w:p w14:paraId="6340A52F" w14:textId="77777777" w:rsidR="0008106A" w:rsidRDefault="00D172F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base en las consideraciones anteriores, se puede concluir que efectivamente la normatividad en la materia dispone que los servidores públicos habilitados son los responsables de hacer entrega de la información peticionada al formar parte de las distintas Unidades Administrativas que tienen la información, y que en el supuesto que, para dar atención a la solicitud de información se deba realizar un análisis, estudio o procesamiento de documentos que sobrepase las capacidades técnicas o humanas, se contempla la posibilidad de poner a disposición del solicitante los documentos que </w:t>
      </w:r>
      <w:r>
        <w:rPr>
          <w:rFonts w:ascii="Palatino Linotype" w:eastAsia="Palatino Linotype" w:hAnsi="Palatino Linotype" w:cs="Palatino Linotype"/>
        </w:rPr>
        <w:lastRenderedPageBreak/>
        <w:t>contengan la información en consulta directa; lo que se traduce en la facultad de poder hacer cambio de modalidad de entrega de la información.</w:t>
      </w:r>
    </w:p>
    <w:p w14:paraId="420DDF81" w14:textId="77777777" w:rsidR="0008106A" w:rsidRDefault="0008106A">
      <w:pPr>
        <w:widowControl w:val="0"/>
        <w:spacing w:line="360" w:lineRule="auto"/>
        <w:jc w:val="both"/>
        <w:rPr>
          <w:rFonts w:ascii="Palatino Linotype" w:eastAsia="Palatino Linotype" w:hAnsi="Palatino Linotype" w:cs="Palatino Linotype"/>
        </w:rPr>
      </w:pPr>
    </w:p>
    <w:p w14:paraId="29443321" w14:textId="77777777" w:rsidR="0008106A" w:rsidRDefault="00D172F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derivado de lo manifestado por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el Pleno de este Instituto considera procedente confirmar el cambio de modalidad solicitado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 para hacer entrega de la información requerida por el particular, en versión pública, en virtud de lo argumentado en líneas anteriores y privilegiando el principio de máxima publicidad.</w:t>
      </w:r>
    </w:p>
    <w:p w14:paraId="386A359B" w14:textId="77777777" w:rsidR="0008106A" w:rsidRDefault="0008106A">
      <w:pPr>
        <w:widowControl w:val="0"/>
        <w:spacing w:line="360" w:lineRule="auto"/>
        <w:jc w:val="both"/>
        <w:rPr>
          <w:rFonts w:ascii="Palatino Linotype" w:eastAsia="Palatino Linotype" w:hAnsi="Palatino Linotype" w:cs="Palatino Linotype"/>
        </w:rPr>
      </w:pPr>
    </w:p>
    <w:p w14:paraId="5D975320" w14:textId="77777777" w:rsidR="0008106A" w:rsidRDefault="00D172F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resulta oportuno traer a colación lo dispuesto en los Lineamientos generales en materia de clasificación y desclasificación de la información, así como para la elaboración de versiones públicas, que señalan:</w:t>
      </w:r>
    </w:p>
    <w:p w14:paraId="115CC7F9" w14:textId="77777777" w:rsidR="0008106A" w:rsidRDefault="0008106A">
      <w:pPr>
        <w:widowControl w:val="0"/>
        <w:spacing w:line="276" w:lineRule="auto"/>
        <w:jc w:val="both"/>
        <w:rPr>
          <w:rFonts w:ascii="Palatino Linotype" w:eastAsia="Palatino Linotype" w:hAnsi="Palatino Linotype" w:cs="Palatino Linotype"/>
          <w:sz w:val="18"/>
          <w:szCs w:val="18"/>
        </w:rPr>
      </w:pPr>
    </w:p>
    <w:p w14:paraId="2F704AAA" w14:textId="77777777" w:rsidR="0008106A" w:rsidRDefault="00D172F3">
      <w:pPr>
        <w:widowControl w:val="0"/>
        <w:ind w:left="64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CAPÍTULO X </w:t>
      </w:r>
    </w:p>
    <w:p w14:paraId="01ED1FDF" w14:textId="77777777" w:rsidR="0008106A" w:rsidRDefault="00D172F3">
      <w:pPr>
        <w:widowControl w:val="0"/>
        <w:ind w:left="64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CONSULTA DIRECTA</w:t>
      </w:r>
    </w:p>
    <w:p w14:paraId="00EC65C3" w14:textId="77777777" w:rsidR="0008106A" w:rsidRDefault="0008106A">
      <w:pPr>
        <w:widowControl w:val="0"/>
        <w:ind w:left="640"/>
        <w:jc w:val="center"/>
        <w:rPr>
          <w:rFonts w:ascii="Palatino Linotype" w:eastAsia="Palatino Linotype" w:hAnsi="Palatino Linotype" w:cs="Palatino Linotype"/>
          <w:sz w:val="22"/>
          <w:szCs w:val="22"/>
        </w:rPr>
      </w:pPr>
    </w:p>
    <w:p w14:paraId="0808A2B7"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Sexagésimo séptimo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r>
        <w:rPr>
          <w:rFonts w:ascii="Palatino Linotype" w:eastAsia="Palatino Linotype" w:hAnsi="Palatino Linotype" w:cs="Palatino Linotype"/>
          <w:i/>
          <w:sz w:val="22"/>
          <w:szCs w:val="22"/>
        </w:rPr>
        <w:t xml:space="preserve">. </w:t>
      </w:r>
    </w:p>
    <w:p w14:paraId="4E570BC8" w14:textId="77777777" w:rsidR="0008106A" w:rsidRDefault="0008106A">
      <w:pPr>
        <w:widowControl w:val="0"/>
        <w:ind w:left="640"/>
        <w:jc w:val="both"/>
        <w:rPr>
          <w:rFonts w:ascii="Palatino Linotype" w:eastAsia="Palatino Linotype" w:hAnsi="Palatino Linotype" w:cs="Palatino Linotype"/>
          <w:sz w:val="22"/>
          <w:szCs w:val="22"/>
        </w:rPr>
      </w:pPr>
    </w:p>
    <w:p w14:paraId="7C6BE567"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Sexagésimo octavo</w:t>
      </w:r>
      <w:r>
        <w:rPr>
          <w:rFonts w:ascii="Palatino Linotype" w:eastAsia="Palatino Linotype" w:hAnsi="Palatino Linotype" w:cs="Palatino Linotype"/>
          <w:i/>
          <w:sz w:val="22"/>
          <w:szCs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524CAC75" w14:textId="77777777" w:rsidR="0008106A" w:rsidRDefault="0008106A">
      <w:pPr>
        <w:widowControl w:val="0"/>
        <w:ind w:left="640"/>
        <w:jc w:val="both"/>
        <w:rPr>
          <w:rFonts w:ascii="Palatino Linotype" w:eastAsia="Palatino Linotype" w:hAnsi="Palatino Linotype" w:cs="Palatino Linotype"/>
          <w:sz w:val="22"/>
          <w:szCs w:val="22"/>
        </w:rPr>
      </w:pPr>
    </w:p>
    <w:p w14:paraId="6280F113"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Sexagésimo noveno</w:t>
      </w:r>
      <w:r>
        <w:rPr>
          <w:rFonts w:ascii="Palatino Linotype" w:eastAsia="Palatino Linotype" w:hAnsi="Palatino Linotype" w:cs="Palatino Linotype"/>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w:t>
      </w:r>
      <w:r>
        <w:rPr>
          <w:rFonts w:ascii="Palatino Linotype" w:eastAsia="Palatino Linotype" w:hAnsi="Palatino Linotype" w:cs="Palatino Linotype"/>
          <w:i/>
          <w:sz w:val="22"/>
          <w:szCs w:val="22"/>
        </w:rPr>
        <w:lastRenderedPageBreak/>
        <w:t xml:space="preserve">a la consulta directa y, de ser posible, ofrecer las demás modalidades en las que es viable el acceso a la información. </w:t>
      </w:r>
    </w:p>
    <w:p w14:paraId="07AD4750" w14:textId="77777777" w:rsidR="0008106A" w:rsidRDefault="0008106A">
      <w:pPr>
        <w:widowControl w:val="0"/>
        <w:ind w:left="640"/>
        <w:jc w:val="both"/>
        <w:rPr>
          <w:rFonts w:ascii="Palatino Linotype" w:eastAsia="Palatino Linotype" w:hAnsi="Palatino Linotype" w:cs="Palatino Linotype"/>
          <w:sz w:val="22"/>
          <w:szCs w:val="22"/>
        </w:rPr>
      </w:pPr>
    </w:p>
    <w:p w14:paraId="1D9580A3"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Septuagésimo</w:t>
      </w:r>
      <w:r>
        <w:rPr>
          <w:rFonts w:ascii="Palatino Linotype" w:eastAsia="Palatino Linotype" w:hAnsi="Palatino Linotype" w:cs="Palatino Linotype"/>
          <w:i/>
          <w:sz w:val="22"/>
          <w:szCs w:val="22"/>
        </w:rPr>
        <w:t xml:space="preserve">. Para el desahogo de las actuaciones tendientes a permitir la consulta directa, en los casos en que ésta resulte procedente, los sujetos obligados deberán observar lo siguiente: </w:t>
      </w:r>
    </w:p>
    <w:p w14:paraId="0B74A604" w14:textId="77777777" w:rsidR="0008106A" w:rsidRDefault="0008106A">
      <w:pPr>
        <w:widowControl w:val="0"/>
        <w:ind w:left="640"/>
        <w:jc w:val="both"/>
        <w:rPr>
          <w:rFonts w:ascii="Palatino Linotype" w:eastAsia="Palatino Linotype" w:hAnsi="Palatino Linotype" w:cs="Palatino Linotype"/>
          <w:sz w:val="22"/>
          <w:szCs w:val="22"/>
        </w:rPr>
      </w:pPr>
    </w:p>
    <w:p w14:paraId="15118ECB"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Señalar claramente al particular, en la respuesta a su solicitud, el lugar, día y hora en que se podrá llevar a cabo la consulta de la documentación solicitada</w:t>
      </w:r>
      <w:r>
        <w:rPr>
          <w:rFonts w:ascii="Palatino Linotype" w:eastAsia="Palatino Linotype" w:hAnsi="Palatino Linotype" w:cs="Palatino Linotype"/>
          <w:i/>
          <w:sz w:val="22"/>
          <w:szCs w:val="22"/>
        </w:rPr>
        <w:t xml:space="preserve">.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5D9FC315" w14:textId="77777777" w:rsidR="0008106A" w:rsidRDefault="0008106A">
      <w:pPr>
        <w:widowControl w:val="0"/>
        <w:ind w:left="640"/>
        <w:jc w:val="both"/>
        <w:rPr>
          <w:rFonts w:ascii="Palatino Linotype" w:eastAsia="Palatino Linotype" w:hAnsi="Palatino Linotype" w:cs="Palatino Linotype"/>
          <w:sz w:val="22"/>
          <w:szCs w:val="22"/>
        </w:rPr>
      </w:pPr>
    </w:p>
    <w:p w14:paraId="550BE574"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En su caso, la procedencia de los ajustes razonables solicitados y/o la procedencia de acceso en la lengua indígena requerida; </w:t>
      </w:r>
    </w:p>
    <w:p w14:paraId="446E7167" w14:textId="77777777" w:rsidR="0008106A" w:rsidRDefault="0008106A">
      <w:pPr>
        <w:widowControl w:val="0"/>
        <w:ind w:left="640"/>
        <w:jc w:val="both"/>
        <w:rPr>
          <w:rFonts w:ascii="Palatino Linotype" w:eastAsia="Palatino Linotype" w:hAnsi="Palatino Linotype" w:cs="Palatino Linotype"/>
          <w:sz w:val="22"/>
          <w:szCs w:val="22"/>
        </w:rPr>
      </w:pPr>
    </w:p>
    <w:p w14:paraId="5C014339"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 xml:space="preserve">Indicar claramente la ubicación del lugar en que el solicitante podrá llevar a cabo la consulta de la información debiendo ser éste, en la medida de lo posible, el domicilio de la Unidad de Transparencia, </w:t>
      </w:r>
      <w:r>
        <w:rPr>
          <w:rFonts w:ascii="Palatino Linotype" w:eastAsia="Palatino Linotype" w:hAnsi="Palatino Linotype" w:cs="Palatino Linotype"/>
          <w:b/>
          <w:i/>
          <w:sz w:val="22"/>
          <w:szCs w:val="22"/>
          <w:u w:val="single"/>
        </w:rPr>
        <w:t>así como el nombre, cargo y datos de contacto del personal que le permitirá el acceso</w:t>
      </w:r>
      <w:r>
        <w:rPr>
          <w:rFonts w:ascii="Palatino Linotype" w:eastAsia="Palatino Linotype" w:hAnsi="Palatino Linotype" w:cs="Palatino Linotype"/>
          <w:i/>
          <w:sz w:val="22"/>
          <w:szCs w:val="22"/>
        </w:rPr>
        <w:t xml:space="preserve">; </w:t>
      </w:r>
    </w:p>
    <w:p w14:paraId="377CD47F" w14:textId="77777777" w:rsidR="0008106A" w:rsidRDefault="0008106A">
      <w:pPr>
        <w:widowControl w:val="0"/>
        <w:ind w:left="640"/>
        <w:jc w:val="both"/>
        <w:rPr>
          <w:rFonts w:ascii="Palatino Linotype" w:eastAsia="Palatino Linotype" w:hAnsi="Palatino Linotype" w:cs="Palatino Linotype"/>
          <w:sz w:val="22"/>
          <w:szCs w:val="22"/>
        </w:rPr>
      </w:pPr>
    </w:p>
    <w:p w14:paraId="4AF0F077"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Proporcionar al solicitante las facilidades y asistencia requerida para la consulta de los documentos; Última Reforma DOF 29/07/2016 Página 27 de 32 Lineamientos Generales en Materia de Clasificación y Desclasificación de la Información, así como para la Elaboración de Versiones Públicas </w:t>
      </w:r>
    </w:p>
    <w:p w14:paraId="1845E764" w14:textId="77777777" w:rsidR="0008106A" w:rsidRDefault="0008106A">
      <w:pPr>
        <w:widowControl w:val="0"/>
        <w:ind w:left="640"/>
        <w:jc w:val="both"/>
        <w:rPr>
          <w:rFonts w:ascii="Palatino Linotype" w:eastAsia="Palatino Linotype" w:hAnsi="Palatino Linotype" w:cs="Palatino Linotype"/>
          <w:sz w:val="22"/>
          <w:szCs w:val="22"/>
        </w:rPr>
      </w:pPr>
    </w:p>
    <w:p w14:paraId="4CCA98DB"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Abstenerse de requerir al solicitante que acredite interés alguno; </w:t>
      </w:r>
    </w:p>
    <w:p w14:paraId="1356E5E0" w14:textId="77777777" w:rsidR="0008106A" w:rsidRDefault="0008106A">
      <w:pPr>
        <w:widowControl w:val="0"/>
        <w:ind w:left="640"/>
        <w:jc w:val="both"/>
        <w:rPr>
          <w:rFonts w:ascii="Palatino Linotype" w:eastAsia="Palatino Linotype" w:hAnsi="Palatino Linotype" w:cs="Palatino Linotype"/>
          <w:sz w:val="22"/>
          <w:szCs w:val="22"/>
        </w:rPr>
      </w:pPr>
    </w:p>
    <w:p w14:paraId="07BD6D76"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091D0C5B"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 </w:t>
      </w:r>
    </w:p>
    <w:p w14:paraId="3A6FB349"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w:t>
      </w:r>
      <w:r>
        <w:rPr>
          <w:rFonts w:ascii="Palatino Linotype" w:eastAsia="Palatino Linotype" w:hAnsi="Palatino Linotype" w:cs="Palatino Linotype"/>
          <w:i/>
          <w:sz w:val="22"/>
          <w:szCs w:val="22"/>
        </w:rPr>
        <w:t xml:space="preserve"> Equipo y personal de vigilancia; </w:t>
      </w:r>
    </w:p>
    <w:p w14:paraId="6A3DC225"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w:t>
      </w:r>
      <w:r>
        <w:rPr>
          <w:rFonts w:ascii="Palatino Linotype" w:eastAsia="Palatino Linotype" w:hAnsi="Palatino Linotype" w:cs="Palatino Linotype"/>
          <w:i/>
          <w:sz w:val="22"/>
          <w:szCs w:val="22"/>
        </w:rPr>
        <w:t xml:space="preserve"> Plan de acción contra robo o vandalismo; </w:t>
      </w:r>
    </w:p>
    <w:p w14:paraId="5E4E0258"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w:t>
      </w:r>
      <w:r>
        <w:rPr>
          <w:rFonts w:ascii="Palatino Linotype" w:eastAsia="Palatino Linotype" w:hAnsi="Palatino Linotype" w:cs="Palatino Linotype"/>
          <w:i/>
          <w:sz w:val="22"/>
          <w:szCs w:val="22"/>
        </w:rPr>
        <w:t xml:space="preserve"> Extintores de fuego de gas inocuo; </w:t>
      </w:r>
    </w:p>
    <w:p w14:paraId="71BCE24D"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w:t>
      </w:r>
      <w:r>
        <w:rPr>
          <w:rFonts w:ascii="Palatino Linotype" w:eastAsia="Palatino Linotype" w:hAnsi="Palatino Linotype" w:cs="Palatino Linotype"/>
          <w:i/>
          <w:sz w:val="22"/>
          <w:szCs w:val="22"/>
        </w:rPr>
        <w:t xml:space="preserve"> Registro e identificación del personal autorizado para el tratamiento de los documentos o expedientes a revisar; </w:t>
      </w:r>
    </w:p>
    <w:p w14:paraId="7642993C"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w:t>
      </w:r>
      <w:r>
        <w:rPr>
          <w:rFonts w:ascii="Palatino Linotype" w:eastAsia="Palatino Linotype" w:hAnsi="Palatino Linotype" w:cs="Palatino Linotype"/>
          <w:i/>
          <w:sz w:val="22"/>
          <w:szCs w:val="22"/>
        </w:rPr>
        <w:t xml:space="preserve"> Registro e identificación de los particulares autorizados para llevar a cabo la consulta directa, </w:t>
      </w:r>
      <w:r>
        <w:rPr>
          <w:rFonts w:ascii="Palatino Linotype" w:eastAsia="Palatino Linotype" w:hAnsi="Palatino Linotype" w:cs="Palatino Linotype"/>
          <w:i/>
          <w:sz w:val="22"/>
          <w:szCs w:val="22"/>
        </w:rPr>
        <w:lastRenderedPageBreak/>
        <w:t xml:space="preserve">y </w:t>
      </w:r>
    </w:p>
    <w:p w14:paraId="73FD76F9"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g)</w:t>
      </w:r>
      <w:r>
        <w:rPr>
          <w:rFonts w:ascii="Palatino Linotype" w:eastAsia="Palatino Linotype" w:hAnsi="Palatino Linotype" w:cs="Palatino Linotype"/>
          <w:i/>
          <w:sz w:val="22"/>
          <w:szCs w:val="22"/>
        </w:rPr>
        <w:t xml:space="preserve"> Las demás que, a criterio de los sujetos obligados, resulten necesarias. </w:t>
      </w:r>
    </w:p>
    <w:p w14:paraId="5DCA291D" w14:textId="77777777" w:rsidR="0008106A" w:rsidRDefault="0008106A">
      <w:pPr>
        <w:widowControl w:val="0"/>
        <w:ind w:left="640"/>
        <w:jc w:val="both"/>
        <w:rPr>
          <w:rFonts w:ascii="Palatino Linotype" w:eastAsia="Palatino Linotype" w:hAnsi="Palatino Linotype" w:cs="Palatino Linotype"/>
          <w:sz w:val="22"/>
          <w:szCs w:val="22"/>
        </w:rPr>
      </w:pPr>
    </w:p>
    <w:p w14:paraId="2F9824B6"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Hacer del conocimiento del solicitante, previo al acceso a la información, las reglas a que se sujetará la consulta para garantizar la integridad de los documentos, y </w:t>
      </w:r>
    </w:p>
    <w:p w14:paraId="7AC53886" w14:textId="77777777" w:rsidR="0008106A" w:rsidRDefault="0008106A">
      <w:pPr>
        <w:widowControl w:val="0"/>
        <w:ind w:left="640"/>
        <w:jc w:val="both"/>
        <w:rPr>
          <w:rFonts w:ascii="Palatino Linotype" w:eastAsia="Palatino Linotype" w:hAnsi="Palatino Linotype" w:cs="Palatino Linotype"/>
          <w:sz w:val="22"/>
          <w:szCs w:val="22"/>
        </w:rPr>
      </w:pPr>
    </w:p>
    <w:p w14:paraId="7B1667C9"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r>
        <w:rPr>
          <w:rFonts w:ascii="Palatino Linotype" w:eastAsia="Palatino Linotype" w:hAnsi="Palatino Linotype" w:cs="Palatino Linotype"/>
          <w:i/>
          <w:sz w:val="22"/>
          <w:szCs w:val="22"/>
        </w:rPr>
        <w:t xml:space="preserve">. </w:t>
      </w:r>
    </w:p>
    <w:p w14:paraId="259874A5" w14:textId="77777777" w:rsidR="0008106A" w:rsidRDefault="0008106A">
      <w:pPr>
        <w:widowControl w:val="0"/>
        <w:ind w:left="640"/>
        <w:jc w:val="both"/>
        <w:rPr>
          <w:rFonts w:ascii="Palatino Linotype" w:eastAsia="Palatino Linotype" w:hAnsi="Palatino Linotype" w:cs="Palatino Linotype"/>
          <w:sz w:val="22"/>
          <w:szCs w:val="22"/>
        </w:rPr>
      </w:pPr>
    </w:p>
    <w:p w14:paraId="64BFA3B3"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Septuagésimo primero</w:t>
      </w:r>
      <w:r>
        <w:rPr>
          <w:rFonts w:ascii="Palatino Linotype" w:eastAsia="Palatino Linotype" w:hAnsi="Palatino Linotype" w:cs="Palatino Linotype"/>
          <w:i/>
          <w:sz w:val="22"/>
          <w:szCs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26F7E7FD" w14:textId="77777777" w:rsidR="0008106A" w:rsidRDefault="0008106A">
      <w:pPr>
        <w:widowControl w:val="0"/>
        <w:ind w:left="640"/>
        <w:jc w:val="both"/>
        <w:rPr>
          <w:rFonts w:ascii="Palatino Linotype" w:eastAsia="Palatino Linotype" w:hAnsi="Palatino Linotype" w:cs="Palatino Linotype"/>
          <w:sz w:val="22"/>
          <w:szCs w:val="22"/>
        </w:rPr>
      </w:pPr>
    </w:p>
    <w:p w14:paraId="0F8BA636"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solicitante deberá observar en todo momento las reglas que el sujeto obligado haya hecho de su conocimiento para efectos de la conservación de los documentos. </w:t>
      </w:r>
    </w:p>
    <w:p w14:paraId="7B741C29" w14:textId="77777777" w:rsidR="0008106A" w:rsidRDefault="0008106A">
      <w:pPr>
        <w:widowControl w:val="0"/>
        <w:ind w:left="640"/>
        <w:jc w:val="both"/>
        <w:rPr>
          <w:rFonts w:ascii="Palatino Linotype" w:eastAsia="Palatino Linotype" w:hAnsi="Palatino Linotype" w:cs="Palatino Linotype"/>
          <w:sz w:val="22"/>
          <w:szCs w:val="22"/>
        </w:rPr>
      </w:pPr>
    </w:p>
    <w:p w14:paraId="30695A17"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Septuagésimo segundo</w:t>
      </w:r>
      <w:r>
        <w:rPr>
          <w:rFonts w:ascii="Palatino Linotype" w:eastAsia="Palatino Linotype" w:hAnsi="Palatino Linotype" w:cs="Palatino Linotype"/>
          <w:i/>
          <w:sz w:val="22"/>
          <w:szCs w:val="22"/>
        </w:rPr>
        <w:t xml:space="preserve">. El solicitante deberá realizar la consulta de los documentos requeridos en el lugar, horarios y con la persona destinada para tal efecto. 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54B1EE4F" w14:textId="77777777" w:rsidR="0008106A" w:rsidRDefault="0008106A">
      <w:pPr>
        <w:widowControl w:val="0"/>
        <w:ind w:left="640"/>
        <w:jc w:val="both"/>
        <w:rPr>
          <w:rFonts w:ascii="Palatino Linotype" w:eastAsia="Palatino Linotype" w:hAnsi="Palatino Linotype" w:cs="Palatino Linotype"/>
          <w:sz w:val="22"/>
          <w:szCs w:val="22"/>
        </w:rPr>
      </w:pPr>
    </w:p>
    <w:p w14:paraId="49103141"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Septuagésimo tercero</w:t>
      </w:r>
      <w:r>
        <w:rPr>
          <w:rFonts w:ascii="Palatino Linotype" w:eastAsia="Palatino Linotype" w:hAnsi="Palatino Linotype" w:cs="Palatino Linotype"/>
          <w:i/>
          <w:sz w:val="22"/>
          <w:szCs w:val="22"/>
        </w:rPr>
        <w:t xml:space="preserve">. Si una vez consultada la versión pública de la documentación, el solicitante requiriera la reproducción de la información o de parte de la misma en otra modalidad, salvo impedimento justificado, los sujetos obligados Última Reforma DOF 29/07/2016 Página 28 de 32 Lineamientos Generales en Materia de Clasificación y Desclasificación de la Información, así como para la Elaboración de Versiones Públicas deberán otorgar acceso a ésta, previo el pago correspondiente, sin necesidad de que se presente una nueva solicitud de información. </w:t>
      </w:r>
    </w:p>
    <w:p w14:paraId="0D3E5B51" w14:textId="77777777" w:rsidR="0008106A" w:rsidRDefault="0008106A">
      <w:pPr>
        <w:widowControl w:val="0"/>
        <w:ind w:left="640"/>
        <w:jc w:val="both"/>
        <w:rPr>
          <w:rFonts w:ascii="Palatino Linotype" w:eastAsia="Palatino Linotype" w:hAnsi="Palatino Linotype" w:cs="Palatino Linotype"/>
          <w:sz w:val="22"/>
          <w:szCs w:val="22"/>
        </w:rPr>
      </w:pPr>
    </w:p>
    <w:p w14:paraId="2C41D797" w14:textId="77777777" w:rsidR="0008106A" w:rsidRDefault="00D172F3">
      <w:pPr>
        <w:widowControl w:val="0"/>
        <w:ind w:left="64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deberá ser entregada sin costo, cuando implique la entrega de no más de veinte hojas simples.</w:t>
      </w:r>
    </w:p>
    <w:p w14:paraId="74F8994A" w14:textId="77777777" w:rsidR="0008106A" w:rsidRDefault="0008106A">
      <w:pPr>
        <w:widowControl w:val="0"/>
        <w:spacing w:line="276" w:lineRule="auto"/>
        <w:jc w:val="both"/>
        <w:rPr>
          <w:rFonts w:ascii="Palatino Linotype" w:eastAsia="Palatino Linotype" w:hAnsi="Palatino Linotype" w:cs="Palatino Linotype"/>
          <w:sz w:val="18"/>
          <w:szCs w:val="18"/>
        </w:rPr>
      </w:pPr>
    </w:p>
    <w:p w14:paraId="001D9922" w14:textId="77777777" w:rsidR="0008106A" w:rsidRDefault="00D172F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numerales antes transcritos, podemos advertir que para la atención de las solicitudes en las que la modalidad de entrega sea la consulta directa y conste en </w:t>
      </w:r>
      <w:r>
        <w:rPr>
          <w:rFonts w:ascii="Palatino Linotype" w:eastAsia="Palatino Linotype" w:hAnsi="Palatino Linotype" w:cs="Palatino Linotype"/>
        </w:rPr>
        <w:lastRenderedPageBreak/>
        <w:t>documentos que contengan partes o secciones clasificadas como reservadas o confidenciales,</w:t>
      </w:r>
      <w:r>
        <w:rPr>
          <w:rFonts w:ascii="Palatino Linotype" w:eastAsia="Palatino Linotype" w:hAnsi="Palatino Linotype" w:cs="Palatino Linotype"/>
          <w:b/>
        </w:rPr>
        <w:t xml:space="preserve"> EL SUJETO OBLIGADO</w:t>
      </w:r>
      <w:r>
        <w:rPr>
          <w:rFonts w:ascii="Palatino Linotype" w:eastAsia="Palatino Linotype" w:hAnsi="Palatino Linotype" w:cs="Palatino Linotype"/>
        </w:rPr>
        <w:t xml:space="preserve"> deberá emitir la resolución en la que funde y motive dicha clasificación y deberá hacer del conocimiento del solicitante, previo acceso a la información, la resolución antes mencionada en la que se clasificaron las partes o secciones que no podrán dejarse a la vista del solicitante.</w:t>
      </w:r>
    </w:p>
    <w:p w14:paraId="0A885A89" w14:textId="77777777" w:rsidR="0008106A" w:rsidRDefault="0008106A">
      <w:pPr>
        <w:widowControl w:val="0"/>
        <w:spacing w:line="276" w:lineRule="auto"/>
        <w:jc w:val="both"/>
        <w:rPr>
          <w:rFonts w:ascii="Palatino Linotype" w:eastAsia="Palatino Linotype" w:hAnsi="Palatino Linotype" w:cs="Palatino Linotype"/>
          <w:sz w:val="18"/>
          <w:szCs w:val="18"/>
        </w:rPr>
      </w:pPr>
    </w:p>
    <w:p w14:paraId="2C06018E" w14:textId="77777777" w:rsidR="0008106A" w:rsidRDefault="00D172F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se establece que, se debe señalar claramente al particular en la respuesta a la solicitud, el lugar, día y hora en que se podrá llevar a cabo la consulta, especificaciones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 realizó en respuesta a la solicitud de información. </w:t>
      </w:r>
    </w:p>
    <w:p w14:paraId="7D7666E2" w14:textId="77777777" w:rsidR="0008106A" w:rsidRDefault="0008106A">
      <w:pPr>
        <w:widowControl w:val="0"/>
        <w:spacing w:line="276" w:lineRule="auto"/>
        <w:jc w:val="both"/>
        <w:rPr>
          <w:rFonts w:ascii="Palatino Linotype" w:eastAsia="Palatino Linotype" w:hAnsi="Palatino Linotype" w:cs="Palatino Linotype"/>
          <w:sz w:val="18"/>
          <w:szCs w:val="18"/>
        </w:rPr>
      </w:pPr>
    </w:p>
    <w:p w14:paraId="4255F9E7" w14:textId="77777777" w:rsidR="0008106A" w:rsidRDefault="00D172F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antes expuesto, resulta indispensable señalar, que si derivado de las fechas y horarios señalados por el sujeto obligado para la consulta de la información solicitada, no fuera posible consultar toda la documentación,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 xml:space="preserve">podrá requerir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una nueva cita, la cual se le deberá otorgar indicándole los días y horarios en que podrá llevarse a cabo.</w:t>
      </w:r>
    </w:p>
    <w:p w14:paraId="7760F6A5" w14:textId="77777777" w:rsidR="0008106A" w:rsidRDefault="0008106A">
      <w:pPr>
        <w:widowControl w:val="0"/>
        <w:spacing w:line="360" w:lineRule="auto"/>
        <w:jc w:val="both"/>
        <w:rPr>
          <w:rFonts w:ascii="Palatino Linotype" w:eastAsia="Palatino Linotype" w:hAnsi="Palatino Linotype" w:cs="Palatino Linotype"/>
        </w:rPr>
      </w:pPr>
    </w:p>
    <w:p w14:paraId="5DE30F13" w14:textId="77777777" w:rsidR="0008106A" w:rsidRDefault="00D172F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Continuando con el análisis de los preceptos referidos, es importante precisar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 omitió proporcionar el nombre, cargo y datos de contacto del personal que le permitirá el acceso al lugar en el cual se encuentra la información a consultar solicitada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 no cumpliendo así con el septuagésimo numeral fracción III antes transcrito.</w:t>
      </w:r>
    </w:p>
    <w:p w14:paraId="6AC644E9" w14:textId="77777777" w:rsidR="0008106A" w:rsidRDefault="0008106A">
      <w:pPr>
        <w:widowControl w:val="0"/>
        <w:spacing w:line="276" w:lineRule="auto"/>
        <w:jc w:val="both"/>
        <w:rPr>
          <w:rFonts w:ascii="Palatino Linotype" w:eastAsia="Palatino Linotype" w:hAnsi="Palatino Linotype" w:cs="Palatino Linotype"/>
          <w:sz w:val="18"/>
          <w:szCs w:val="18"/>
        </w:rPr>
      </w:pPr>
    </w:p>
    <w:p w14:paraId="534E85E5" w14:textId="77777777" w:rsidR="0008106A" w:rsidRDefault="00D172F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todo lo anteriormente expuesto, resulta dable ordenar la entrega, en consulta directa, en versión pública, del documento donde consten los recibos de pago, </w:t>
      </w:r>
      <w:r>
        <w:rPr>
          <w:rFonts w:ascii="Palatino Linotype" w:eastAsia="Palatino Linotype" w:hAnsi="Palatino Linotype" w:cs="Palatino Linotype"/>
        </w:rPr>
        <w:lastRenderedPageBreak/>
        <w:t xml:space="preserve">comprobantes de pago o CFDI del personal adscrito a la Administración Pública Municipal, del periodo comprendido del uno de enero de dos mil diecinueve al treinta de septiembre de dos mil veintiuno. </w:t>
      </w:r>
    </w:p>
    <w:p w14:paraId="067387B9" w14:textId="77777777" w:rsidR="0008106A" w:rsidRDefault="0008106A">
      <w:pPr>
        <w:widowControl w:val="0"/>
        <w:spacing w:line="360" w:lineRule="auto"/>
        <w:jc w:val="both"/>
        <w:rPr>
          <w:rFonts w:ascii="Palatino Linotype" w:eastAsia="Palatino Linotype" w:hAnsi="Palatino Linotype" w:cs="Palatino Linotype"/>
        </w:rPr>
      </w:pPr>
    </w:p>
    <w:p w14:paraId="192A7C68" w14:textId="77777777" w:rsidR="0008106A" w:rsidRDefault="00D172F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ello, deberá informar al Recurrente los días, horas y lugar habilitado a fin de realizar la consulta directa de los documentos referidos, así como el nombre y cargo del servidor público que le permitirá el acceso, en virtud de que la información proporcionada mediante informe justificado correspondiente a la fecha señalada ya ha transcurrido sin que el recurrente tenga acceso a los documentos solicitados</w:t>
      </w:r>
    </w:p>
    <w:p w14:paraId="0DF35E1A" w14:textId="77777777" w:rsidR="0008106A" w:rsidRDefault="0008106A">
      <w:pPr>
        <w:widowControl w:val="0"/>
        <w:spacing w:line="360" w:lineRule="auto"/>
        <w:jc w:val="both"/>
        <w:rPr>
          <w:rFonts w:ascii="Palatino Linotype" w:eastAsia="Palatino Linotype" w:hAnsi="Palatino Linotype" w:cs="Palatino Linotype"/>
        </w:rPr>
      </w:pPr>
    </w:p>
    <w:p w14:paraId="4C6DC763" w14:textId="77777777" w:rsidR="0008106A" w:rsidRDefault="00D172F3">
      <w:pPr>
        <w:widowControl w:val="0"/>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otro lado, con respecto al cobro de la información,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pretende sustentar el cobro en la necesidad de imprimir los archivos para poder elaborar las versiones públicas correspondientes.</w:t>
      </w:r>
    </w:p>
    <w:p w14:paraId="2A8706CB" w14:textId="77777777" w:rsidR="0008106A" w:rsidRDefault="00D172F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este Órgano Garante advierte que  los municipios del Estado de México, son Sujetos de Fiscalización de conformidad con el numeral 4, fracción II de Ley de Fiscalización Superior del Estado de México; razón por la cual, el Órgano Superior de Fiscalización del Estado de México (OSFEM) emitió anualmente los </w:t>
      </w:r>
      <w:r>
        <w:rPr>
          <w:rFonts w:ascii="Palatino Linotype" w:eastAsia="Palatino Linotype" w:hAnsi="Palatino Linotype" w:cs="Palatino Linotype"/>
          <w:b/>
        </w:rPr>
        <w:t>Lineamientos para la entrega de Informe Mensual</w:t>
      </w:r>
      <w:r>
        <w:rPr>
          <w:rFonts w:ascii="Palatino Linotype" w:eastAsia="Palatino Linotype" w:hAnsi="Palatino Linotype" w:cs="Palatino Linotype"/>
        </w:rPr>
        <w:t xml:space="preserve">, para el caso de los Ejercicios 2019 - 2020 y los </w:t>
      </w:r>
      <w:r>
        <w:rPr>
          <w:rFonts w:ascii="Palatino Linotype" w:eastAsia="Palatino Linotype" w:hAnsi="Palatino Linotype" w:cs="Palatino Linotype"/>
          <w:b/>
        </w:rPr>
        <w:t>Lineamientos para la Integración del Informe Trimestral</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de los Sujetos de Fiscalización Municipales </w:t>
      </w:r>
      <w:r>
        <w:rPr>
          <w:rFonts w:ascii="Palatino Linotype" w:eastAsia="Palatino Linotype" w:hAnsi="Palatino Linotype" w:cs="Palatino Linotype"/>
        </w:rPr>
        <w:t>para el Ejercicio 2021.</w:t>
      </w:r>
    </w:p>
    <w:p w14:paraId="191C6DD1" w14:textId="77777777" w:rsidR="0008106A" w:rsidRDefault="00D172F3">
      <w:pPr>
        <w:tabs>
          <w:tab w:val="right" w:pos="8505"/>
        </w:tabs>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esta forma, se desagregará, en continuación con el estudio de la presente resolución, de los </w:t>
      </w:r>
      <w:r>
        <w:rPr>
          <w:rFonts w:ascii="Palatino Linotype" w:eastAsia="Palatino Linotype" w:hAnsi="Palatino Linotype" w:cs="Palatino Linotype"/>
          <w:b/>
        </w:rPr>
        <w:t xml:space="preserve">Lineamientos para la Integración del Informe Mensual, </w:t>
      </w:r>
      <w:r>
        <w:rPr>
          <w:rFonts w:ascii="Palatino Linotype" w:eastAsia="Palatino Linotype" w:hAnsi="Palatino Linotype" w:cs="Palatino Linotype"/>
        </w:rPr>
        <w:t xml:space="preserve">mismo que el OSFEM emitió anualmente para definir los criterios, formatos y documentación necesaria para </w:t>
      </w:r>
      <w:r>
        <w:rPr>
          <w:rFonts w:ascii="Palatino Linotype" w:eastAsia="Palatino Linotype" w:hAnsi="Palatino Linotype" w:cs="Palatino Linotype"/>
        </w:rPr>
        <w:lastRenderedPageBreak/>
        <w:t>presentar los informes mensuales, dentro de los cuales destacan –en relación con el análisis que nos ocupa-, el Disco 4, relativo a la información de nómina.</w:t>
      </w:r>
    </w:p>
    <w:p w14:paraId="72ADBD1F" w14:textId="77777777" w:rsidR="0008106A" w:rsidRDefault="00D172F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14:paraId="0E3D3212" w14:textId="77777777" w:rsidR="0008106A" w:rsidRDefault="00D172F3">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32.-</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Gobernador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conducto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titular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competente,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presentará</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fiscal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inmediato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anterior,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más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tardar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quince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año.</w:t>
      </w:r>
    </w:p>
    <w:p w14:paraId="5CB68DEA" w14:textId="77777777" w:rsidR="0008106A" w:rsidRDefault="00D172F3">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Presidentes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presentarán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Legislatura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cuentas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anuales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respectivos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municipios,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ejercicio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fiscal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inmediato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anterior,</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dentro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quince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primeros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días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marzo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cada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año;</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asimism</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mensuales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presentar</w:t>
      </w:r>
      <w:r>
        <w:rPr>
          <w:rFonts w:ascii="Palatino Linotype" w:eastAsia="Palatino Linotype" w:hAnsi="Palatino Linotype" w:cs="Palatino Linotype"/>
          <w:i/>
        </w:rPr>
        <w:t xml:space="preserve"> </w:t>
      </w:r>
      <w:r>
        <w:rPr>
          <w:rFonts w:ascii="Palatino Linotype" w:eastAsia="Palatino Linotype" w:hAnsi="Palatino Linotype" w:cs="Palatino Linotype"/>
          <w:b/>
          <w:i/>
          <w:sz w:val="22"/>
          <w:szCs w:val="22"/>
        </w:rPr>
        <w:t>dentro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veinte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días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posteriores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término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correspondiente.”</w:t>
      </w:r>
    </w:p>
    <w:p w14:paraId="626F3EBF" w14:textId="77777777" w:rsidR="0008106A" w:rsidRDefault="00D172F3">
      <w:pPr>
        <w:ind w:left="851" w:right="8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(Énfasis</w:t>
      </w:r>
      <w:r>
        <w:rPr>
          <w:rFonts w:ascii="Palatino Linotype" w:eastAsia="Palatino Linotype" w:hAnsi="Palatino Linotype" w:cs="Palatino Linotype"/>
          <w:b/>
        </w:rPr>
        <w:t xml:space="preserve"> </w:t>
      </w:r>
      <w:r>
        <w:rPr>
          <w:rFonts w:ascii="Palatino Linotype" w:eastAsia="Palatino Linotype" w:hAnsi="Palatino Linotype" w:cs="Palatino Linotype"/>
          <w:b/>
          <w:sz w:val="22"/>
          <w:szCs w:val="22"/>
        </w:rPr>
        <w:t>añadido)</w:t>
      </w:r>
    </w:p>
    <w:p w14:paraId="60C6FF13" w14:textId="77777777" w:rsidR="0008106A" w:rsidRDefault="00D172F3">
      <w:pPr>
        <w:spacing w:before="280" w:after="280" w:line="360" w:lineRule="auto"/>
        <w:ind w:right="-91"/>
        <w:jc w:val="both"/>
        <w:rPr>
          <w:rFonts w:ascii="Palatino Linotype" w:eastAsia="Palatino Linotype" w:hAnsi="Palatino Linotype" w:cs="Palatino Linotype"/>
        </w:rPr>
      </w:pPr>
      <w:r>
        <w:rPr>
          <w:rFonts w:ascii="Palatino Linotype" w:eastAsia="Palatino Linotype" w:hAnsi="Palatino Linotype" w:cs="Palatino Linotype"/>
        </w:rPr>
        <w:t xml:space="preserve">Por ello, la información </w:t>
      </w:r>
      <w:r>
        <w:rPr>
          <w:rFonts w:ascii="Palatino Linotype" w:eastAsia="Palatino Linotype" w:hAnsi="Palatino Linotype" w:cs="Palatino Linotype"/>
          <w:b/>
        </w:rPr>
        <w:t>documental comprobatoria</w:t>
      </w:r>
      <w:r>
        <w:rPr>
          <w:rFonts w:ascii="Palatino Linotype" w:eastAsia="Palatino Linotype" w:hAnsi="Palatino Linotype" w:cs="Palatino Linotype"/>
        </w:rPr>
        <w:t xml:space="preserve">, </w:t>
      </w:r>
      <w:r>
        <w:rPr>
          <w:rFonts w:ascii="Palatino Linotype" w:eastAsia="Palatino Linotype" w:hAnsi="Palatino Linotype" w:cs="Palatino Linotype"/>
          <w:b/>
        </w:rPr>
        <w:t>deberá conservarse en los archivos de la entidad fiscalizada –Municipio</w:t>
      </w:r>
      <w:r>
        <w:rPr>
          <w:rFonts w:ascii="Palatino Linotype" w:eastAsia="Palatino Linotype" w:hAnsi="Palatino Linotype" w:cs="Palatino Linotype"/>
        </w:rPr>
        <w:t xml:space="preserve">-, en original y debidamente integrada en términos de los lineamientos de referencia, pues son susceptibles de revisión directa por el OSFEM; así que, para la Integración del Informe Mensual 2019 y 2020, dichos lineamientos se encuentran visibles en la página oficial del OSFEM en el sitio de internet </w:t>
      </w:r>
      <w:hyperlink r:id="rId17">
        <w:r>
          <w:rPr>
            <w:rFonts w:ascii="Palatino Linotype" w:eastAsia="Palatino Linotype" w:hAnsi="Palatino Linotype" w:cs="Palatino Linotype"/>
            <w:color w:val="035899"/>
          </w:rPr>
          <w:t>https://www.osfem.gob.mx/04_Iconografia/Ent_Fisc/Doc_Apoy/Doc_Apoy_19.html</w:t>
        </w:r>
      </w:hyperlink>
      <w:r>
        <w:rPr>
          <w:rFonts w:ascii="Palatino Linotype" w:eastAsia="Palatino Linotype" w:hAnsi="Palatino Linotype" w:cs="Palatino Linotype"/>
          <w:color w:val="035899"/>
        </w:rPr>
        <w:t xml:space="preserve"> </w:t>
      </w:r>
      <w:r>
        <w:rPr>
          <w:rFonts w:ascii="Palatino Linotype" w:eastAsia="Palatino Linotype" w:hAnsi="Palatino Linotype" w:cs="Palatino Linotype"/>
        </w:rPr>
        <w:t xml:space="preserve">y </w:t>
      </w:r>
      <w:hyperlink r:id="rId18">
        <w:r>
          <w:rPr>
            <w:rFonts w:ascii="Palatino Linotype" w:eastAsia="Palatino Linotype" w:hAnsi="Palatino Linotype" w:cs="Palatino Linotype"/>
            <w:color w:val="035899"/>
          </w:rPr>
          <w:t>https://www.osfem.gob.mx/04_Iconografia/Ent_Fisc/Doc_Apoy/Doc_Apoy_20.html</w:t>
        </w:r>
      </w:hyperlink>
      <w:r>
        <w:rPr>
          <w:rFonts w:ascii="Palatino Linotype" w:eastAsia="Palatino Linotype" w:hAnsi="Palatino Linotype" w:cs="Palatino Linotype"/>
        </w:rPr>
        <w:t xml:space="preserve">, respectivamente; destacando que dentro de los informes mensuales que </w:t>
      </w:r>
      <w:r>
        <w:rPr>
          <w:rFonts w:ascii="Palatino Linotype" w:eastAsia="Palatino Linotype" w:hAnsi="Palatino Linotype" w:cs="Palatino Linotype"/>
          <w:b/>
        </w:rPr>
        <w:t xml:space="preserve">EL SUJETO </w:t>
      </w:r>
      <w:r>
        <w:rPr>
          <w:rFonts w:ascii="Palatino Linotype" w:eastAsia="Palatino Linotype" w:hAnsi="Palatino Linotype" w:cs="Palatino Linotype"/>
          <w:b/>
        </w:rPr>
        <w:lastRenderedPageBreak/>
        <w:t xml:space="preserve">OBLIGADO </w:t>
      </w:r>
      <w:r>
        <w:rPr>
          <w:rFonts w:ascii="Palatino Linotype" w:eastAsia="Palatino Linotype" w:hAnsi="Palatino Linotype" w:cs="Palatino Linotype"/>
        </w:rPr>
        <w:t xml:space="preserve">tiene la obligación de rendir, se contempla precisamente la presentación de la Información referente a los comprobantes fiscales por internet por concepto de nómina y honorarios; tal y como, se muestra en la imagen siguiente: </w:t>
      </w:r>
    </w:p>
    <w:p w14:paraId="4D346600" w14:textId="77777777" w:rsidR="0008106A" w:rsidRDefault="00D172F3">
      <w:pPr>
        <w:spacing w:before="280" w:after="280" w:line="360" w:lineRule="auto"/>
        <w:ind w:right="-91"/>
        <w:jc w:val="both"/>
        <w:rPr>
          <w:rFonts w:ascii="Palatino Linotype" w:eastAsia="Palatino Linotype" w:hAnsi="Palatino Linotype" w:cs="Palatino Linotype"/>
        </w:rPr>
      </w:pPr>
      <w:r>
        <w:rPr>
          <w:noProof/>
          <w:lang w:eastAsia="es-MX"/>
        </w:rPr>
        <w:drawing>
          <wp:inline distT="0" distB="0" distL="0" distR="0" wp14:anchorId="26D14CE6" wp14:editId="467FED18">
            <wp:extent cx="5220653" cy="2547535"/>
            <wp:effectExtent l="0" t="0" r="0" b="0"/>
            <wp:docPr id="1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5220653" cy="2547535"/>
                    </a:xfrm>
                    <a:prstGeom prst="rect">
                      <a:avLst/>
                    </a:prstGeom>
                    <a:ln/>
                  </pic:spPr>
                </pic:pic>
              </a:graphicData>
            </a:graphic>
          </wp:inline>
        </w:drawing>
      </w:r>
      <w:r>
        <w:rPr>
          <w:noProof/>
          <w:lang w:eastAsia="es-MX"/>
        </w:rPr>
        <mc:AlternateContent>
          <mc:Choice Requires="wpg">
            <w:drawing>
              <wp:anchor distT="0" distB="0" distL="114300" distR="114300" simplePos="0" relativeHeight="251658240" behindDoc="0" locked="0" layoutInCell="1" hidden="0" allowOverlap="1" wp14:anchorId="34B78DE2" wp14:editId="00CADA9E">
                <wp:simplePos x="0" y="0"/>
                <wp:positionH relativeFrom="column">
                  <wp:posOffset>647700</wp:posOffset>
                </wp:positionH>
                <wp:positionV relativeFrom="paragraph">
                  <wp:posOffset>800100</wp:posOffset>
                </wp:positionV>
                <wp:extent cx="4086225" cy="430848"/>
                <wp:effectExtent l="0" t="0" r="0" b="0"/>
                <wp:wrapNone/>
                <wp:docPr id="124" name=""/>
                <wp:cNvGraphicFramePr/>
                <a:graphic xmlns:a="http://schemas.openxmlformats.org/drawingml/2006/main">
                  <a:graphicData uri="http://schemas.microsoft.com/office/word/2010/wordprocessingShape">
                    <wps:wsp>
                      <wps:cNvSpPr/>
                      <wps:spPr>
                        <a:xfrm>
                          <a:off x="3398138" y="3599025"/>
                          <a:ext cx="3895725" cy="361950"/>
                        </a:xfrm>
                        <a:prstGeom prst="rect">
                          <a:avLst/>
                        </a:prstGeom>
                        <a:noFill/>
                        <a:ln w="38100" cap="flat" cmpd="sng">
                          <a:solidFill>
                            <a:srgbClr val="FF0000"/>
                          </a:solidFill>
                          <a:prstDash val="solid"/>
                          <a:round/>
                          <a:headEnd type="none" w="sm" len="sm"/>
                          <a:tailEnd type="none" w="sm" len="sm"/>
                        </a:ln>
                      </wps:spPr>
                      <wps:txbx>
                        <w:txbxContent>
                          <w:p w14:paraId="625BFCDA" w14:textId="77777777" w:rsidR="0008106A" w:rsidRDefault="0008106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647700</wp:posOffset>
                </wp:positionH>
                <wp:positionV relativeFrom="paragraph">
                  <wp:posOffset>800100</wp:posOffset>
                </wp:positionV>
                <wp:extent cx="4086225" cy="430848"/>
                <wp:effectExtent b="0" l="0" r="0" t="0"/>
                <wp:wrapNone/>
                <wp:docPr id="124" name="image15.png"/>
                <a:graphic>
                  <a:graphicData uri="http://schemas.openxmlformats.org/drawingml/2006/picture">
                    <pic:pic>
                      <pic:nvPicPr>
                        <pic:cNvPr id="0" name="image15.png"/>
                        <pic:cNvPicPr preferRelativeResize="0"/>
                      </pic:nvPicPr>
                      <pic:blipFill>
                        <a:blip r:embed="rId20"/>
                        <a:srcRect/>
                        <a:stretch>
                          <a:fillRect/>
                        </a:stretch>
                      </pic:blipFill>
                      <pic:spPr>
                        <a:xfrm>
                          <a:off x="0" y="0"/>
                          <a:ext cx="4086225" cy="430848"/>
                        </a:xfrm>
                        <a:prstGeom prst="rect"/>
                        <a:ln/>
                      </pic:spPr>
                    </pic:pic>
                  </a:graphicData>
                </a:graphic>
              </wp:anchor>
            </w:drawing>
          </mc:Fallback>
        </mc:AlternateContent>
      </w:r>
    </w:p>
    <w:p w14:paraId="6E39EFA1" w14:textId="77777777" w:rsidR="0008106A" w:rsidRDefault="00D172F3">
      <w:pPr>
        <w:spacing w:before="280" w:after="280" w:line="360" w:lineRule="auto"/>
        <w:ind w:right="-91"/>
        <w:jc w:val="both"/>
        <w:rPr>
          <w:rFonts w:ascii="Palatino Linotype" w:eastAsia="Palatino Linotype" w:hAnsi="Palatino Linotype" w:cs="Palatino Linotype"/>
          <w:sz w:val="28"/>
          <w:szCs w:val="28"/>
        </w:rPr>
      </w:pPr>
      <w:r>
        <w:rPr>
          <w:noProof/>
          <w:lang w:eastAsia="es-MX"/>
        </w:rPr>
        <w:drawing>
          <wp:inline distT="0" distB="0" distL="0" distR="0" wp14:anchorId="013185C4" wp14:editId="63E563AE">
            <wp:extent cx="5172075" cy="2931160"/>
            <wp:effectExtent l="0" t="0" r="0" b="0"/>
            <wp:docPr id="13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1"/>
                    <a:srcRect b="14517"/>
                    <a:stretch>
                      <a:fillRect/>
                    </a:stretch>
                  </pic:blipFill>
                  <pic:spPr>
                    <a:xfrm>
                      <a:off x="0" y="0"/>
                      <a:ext cx="5172075" cy="2931160"/>
                    </a:xfrm>
                    <a:prstGeom prst="rect">
                      <a:avLst/>
                    </a:prstGeom>
                    <a:ln/>
                  </pic:spPr>
                </pic:pic>
              </a:graphicData>
            </a:graphic>
          </wp:inline>
        </w:drawing>
      </w:r>
      <w:r>
        <w:rPr>
          <w:noProof/>
          <w:lang w:eastAsia="es-MX"/>
        </w:rPr>
        <mc:AlternateContent>
          <mc:Choice Requires="wpg">
            <w:drawing>
              <wp:anchor distT="0" distB="0" distL="114300" distR="114300" simplePos="0" relativeHeight="251659264" behindDoc="0" locked="0" layoutInCell="1" hidden="0" allowOverlap="1" wp14:anchorId="722DE761" wp14:editId="66126BAC">
                <wp:simplePos x="0" y="0"/>
                <wp:positionH relativeFrom="column">
                  <wp:posOffset>177800</wp:posOffset>
                </wp:positionH>
                <wp:positionV relativeFrom="paragraph">
                  <wp:posOffset>965200</wp:posOffset>
                </wp:positionV>
                <wp:extent cx="5210175" cy="457200"/>
                <wp:effectExtent l="0" t="0" r="0" b="0"/>
                <wp:wrapNone/>
                <wp:docPr id="123" name=""/>
                <wp:cNvGraphicFramePr/>
                <a:graphic xmlns:a="http://schemas.openxmlformats.org/drawingml/2006/main">
                  <a:graphicData uri="http://schemas.microsoft.com/office/word/2010/wordprocessingShape">
                    <wps:wsp>
                      <wps:cNvSpPr/>
                      <wps:spPr>
                        <a:xfrm>
                          <a:off x="2812350" y="3622838"/>
                          <a:ext cx="5067300" cy="314325"/>
                        </a:xfrm>
                        <a:prstGeom prst="rect">
                          <a:avLst/>
                        </a:prstGeom>
                        <a:noFill/>
                        <a:ln w="28575" cap="flat" cmpd="sng">
                          <a:solidFill>
                            <a:srgbClr val="FF0000"/>
                          </a:solidFill>
                          <a:prstDash val="solid"/>
                          <a:round/>
                          <a:headEnd type="none" w="sm" len="sm"/>
                          <a:tailEnd type="none" w="sm" len="sm"/>
                        </a:ln>
                      </wps:spPr>
                      <wps:txbx>
                        <w:txbxContent>
                          <w:p w14:paraId="67DBC6ED" w14:textId="77777777" w:rsidR="0008106A" w:rsidRDefault="0008106A">
                            <w:pPr>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177800</wp:posOffset>
                </wp:positionH>
                <wp:positionV relativeFrom="paragraph">
                  <wp:posOffset>965200</wp:posOffset>
                </wp:positionV>
                <wp:extent cx="5210175" cy="457200"/>
                <wp:effectExtent b="0" l="0" r="0" t="0"/>
                <wp:wrapNone/>
                <wp:docPr id="123" name="image8.png"/>
                <a:graphic>
                  <a:graphicData uri="http://schemas.openxmlformats.org/drawingml/2006/picture">
                    <pic:pic>
                      <pic:nvPicPr>
                        <pic:cNvPr id="0" name="image8.png"/>
                        <pic:cNvPicPr preferRelativeResize="0"/>
                      </pic:nvPicPr>
                      <pic:blipFill>
                        <a:blip r:embed="rId22"/>
                        <a:srcRect/>
                        <a:stretch>
                          <a:fillRect/>
                        </a:stretch>
                      </pic:blipFill>
                      <pic:spPr>
                        <a:xfrm>
                          <a:off x="0" y="0"/>
                          <a:ext cx="5210175" cy="457200"/>
                        </a:xfrm>
                        <a:prstGeom prst="rect"/>
                        <a:ln/>
                      </pic:spPr>
                    </pic:pic>
                  </a:graphicData>
                </a:graphic>
              </wp:anchor>
            </w:drawing>
          </mc:Fallback>
        </mc:AlternateContent>
      </w:r>
    </w:p>
    <w:p w14:paraId="3FAAE754" w14:textId="77777777" w:rsidR="0008106A" w:rsidRDefault="00D172F3">
      <w:pPr>
        <w:spacing w:before="240" w:after="240" w:line="360" w:lineRule="auto"/>
        <w:jc w:val="both"/>
      </w:pPr>
      <w:r>
        <w:rPr>
          <w:rFonts w:ascii="Palatino Linotype" w:eastAsia="Palatino Linotype" w:hAnsi="Palatino Linotype" w:cs="Palatino Linotype"/>
        </w:rPr>
        <w:lastRenderedPageBreak/>
        <w:t xml:space="preserve">Aunado a lo anterior, los </w:t>
      </w:r>
      <w:r>
        <w:rPr>
          <w:rFonts w:ascii="Palatino Linotype" w:eastAsia="Palatino Linotype" w:hAnsi="Palatino Linotype" w:cs="Palatino Linotype"/>
          <w:b/>
        </w:rPr>
        <w:t>Lineamientos para la Integración del Informe Trimestral de los Sujetos de Fiscalización MUNICIPALES para el Ejercicio 2021</w:t>
      </w:r>
      <w:r>
        <w:rPr>
          <w:rFonts w:ascii="Palatino Linotype" w:eastAsia="Palatino Linotype" w:hAnsi="Palatino Linotype" w:cs="Palatino Linotype"/>
        </w:rPr>
        <w:t xml:space="preserve">, emitidos por el Órgano Superior de Fiscalización del Estado de México, contienen los formatos e información que debe ser proporcionada para la integración de los informes trimestrales que se entregan a éste, siendo uno de ellos la relativa a la Información de Nómina la cual, tiene como objetivo presentar la información del pago de las remuneraciones de cada uno de los servidores públicos de la entidad fiscalizable de que se trate, correspondiente a un periodo determinado; de tal manera, dicho formato constituye un soporte documental de que la información solicitada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obra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p>
    <w:p w14:paraId="1A795477" w14:textId="77777777" w:rsidR="0008106A" w:rsidRDefault="00D172F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parte de los documentos que deben entregarse al Órgano Superior de Fiscalización del Estado de México se encuentran tanto los comprobantes fiscales digitales como el documento de la nómina general, razón por la cual derivado de la existencia de dichos documentos en digital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puede condicionar su entrega al pago por el procesamiento de la misma como indica el artículo 175 de la Ley de Transparencia y Acceso a la Información Pública del Estado de México y Municipios, mismo que a la letra dice: </w:t>
      </w:r>
    </w:p>
    <w:p w14:paraId="3BAA0FA1" w14:textId="77777777" w:rsidR="0008106A" w:rsidRDefault="00D172F3">
      <w:pPr>
        <w:widowControl w:val="0"/>
        <w:tabs>
          <w:tab w:val="left" w:pos="1276"/>
        </w:tabs>
        <w:spacing w:before="240" w:after="280"/>
        <w:ind w:left="850" w:right="899"/>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 xml:space="preserve">“Artículo 175. </w:t>
      </w:r>
      <w:r>
        <w:rPr>
          <w:rFonts w:ascii="Palatino Linotype" w:eastAsia="Palatino Linotype" w:hAnsi="Palatino Linotype" w:cs="Palatino Linotype"/>
          <w:i/>
          <w:sz w:val="22"/>
          <w:szCs w:val="22"/>
        </w:rPr>
        <w:t>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w:t>
      </w:r>
    </w:p>
    <w:p w14:paraId="06266863" w14:textId="77777777" w:rsidR="0008106A" w:rsidRDefault="00D172F3">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Razón por la cual, al existir fuente obligacional que constriñe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 xml:space="preserve">a generar la información solicitada en formato digital editable, este Órgano Garante determina que no procede el cobro de la misma. </w:t>
      </w:r>
    </w:p>
    <w:p w14:paraId="0A7F49BA" w14:textId="77777777" w:rsidR="0008106A" w:rsidRDefault="00D172F3">
      <w:pPr>
        <w:spacing w:before="240"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de acuerdo al artículo 9 de la Ley en la materia, estipula que el Instituto de Transparencia, Acceso a la Información Pública y Protección de Datos Personales del Estado de México y Municipios, deberá regir su funcionamiento de acuerdo a los siguientes principios:</w:t>
      </w:r>
    </w:p>
    <w:p w14:paraId="503C1B0B" w14:textId="77777777" w:rsidR="0008106A" w:rsidRDefault="0008106A">
      <w:pPr>
        <w:spacing w:before="160"/>
        <w:ind w:left="851" w:right="899"/>
        <w:jc w:val="both"/>
        <w:rPr>
          <w:rFonts w:ascii="Palatino Linotype" w:eastAsia="Palatino Linotype" w:hAnsi="Palatino Linotype" w:cs="Palatino Linotype"/>
          <w:i/>
        </w:rPr>
      </w:pPr>
    </w:p>
    <w:p w14:paraId="2CE650DC" w14:textId="77777777" w:rsidR="0008106A" w:rsidRDefault="00D172F3">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w:t>
      </w:r>
    </w:p>
    <w:p w14:paraId="1AB8D5ED" w14:textId="77777777" w:rsidR="0008106A" w:rsidRDefault="0008106A">
      <w:pPr>
        <w:ind w:left="851" w:right="899"/>
        <w:jc w:val="both"/>
        <w:rPr>
          <w:rFonts w:ascii="Palatino Linotype" w:eastAsia="Palatino Linotype" w:hAnsi="Palatino Linotype" w:cs="Palatino Linotype"/>
          <w:i/>
          <w:sz w:val="12"/>
          <w:szCs w:val="12"/>
        </w:rPr>
      </w:pPr>
    </w:p>
    <w:p w14:paraId="3FF39BF2" w14:textId="77777777" w:rsidR="0008106A" w:rsidRDefault="00D172F3">
      <w:pPr>
        <w:ind w:left="851" w:right="899"/>
        <w:jc w:val="both"/>
        <w:rPr>
          <w:rFonts w:ascii="Palatino Linotype" w:eastAsia="Palatino Linotype" w:hAnsi="Palatino Linotype" w:cs="Palatino Linotype"/>
          <w:i/>
        </w:rPr>
      </w:pPr>
      <w:r>
        <w:rPr>
          <w:rFonts w:ascii="Palatino Linotype" w:eastAsia="Palatino Linotype" w:hAnsi="Palatino Linotype" w:cs="Palatino Linotype"/>
          <w:b/>
          <w:i/>
        </w:rPr>
        <w:t>III. Gratuidad:</w:t>
      </w:r>
      <w:r>
        <w:rPr>
          <w:rFonts w:ascii="Palatino Linotype" w:eastAsia="Palatino Linotype" w:hAnsi="Palatino Linotype" w:cs="Palatino Linotype"/>
          <w:i/>
        </w:rPr>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7FB26B40" w14:textId="77777777" w:rsidR="0008106A" w:rsidRDefault="00D172F3">
      <w:pPr>
        <w:ind w:left="851" w:right="899"/>
        <w:jc w:val="both"/>
        <w:rPr>
          <w:rFonts w:ascii="Palatino Linotype" w:eastAsia="Palatino Linotype" w:hAnsi="Palatino Linotype" w:cs="Palatino Linotype"/>
          <w:i/>
        </w:rPr>
      </w:pPr>
      <w:r>
        <w:rPr>
          <w:rFonts w:ascii="Palatino Linotype" w:eastAsia="Palatino Linotype" w:hAnsi="Palatino Linotype" w:cs="Palatino Linotype"/>
          <w:b/>
          <w:i/>
        </w:rPr>
        <w:t>…</w:t>
      </w:r>
    </w:p>
    <w:p w14:paraId="7AC97C5E" w14:textId="77777777" w:rsidR="0008106A" w:rsidRDefault="00D172F3">
      <w:pPr>
        <w:ind w:left="851" w:right="899"/>
        <w:jc w:val="both"/>
        <w:rPr>
          <w:rFonts w:ascii="Palatino Linotype" w:eastAsia="Palatino Linotype" w:hAnsi="Palatino Linotype" w:cs="Palatino Linotype"/>
          <w:i/>
        </w:rPr>
      </w:pPr>
      <w:r>
        <w:rPr>
          <w:rFonts w:ascii="Palatino Linotype" w:eastAsia="Palatino Linotype" w:hAnsi="Palatino Linotype" w:cs="Palatino Linotype"/>
          <w:b/>
          <w:i/>
        </w:rPr>
        <w:t>VII. Máxima Publicidad:</w:t>
      </w:r>
      <w:r>
        <w:rPr>
          <w:rFonts w:ascii="Palatino Linotype" w:eastAsia="Palatino Linotype" w:hAnsi="Palatino Linotype" w:cs="Palatino Linotype"/>
          <w:i/>
        </w:rPr>
        <w:t xml:space="preserve"> </w:t>
      </w:r>
      <w:r>
        <w:rPr>
          <w:rFonts w:ascii="Palatino Linotype" w:eastAsia="Palatino Linotype" w:hAnsi="Palatino Linotype" w:cs="Palatino Linotype"/>
          <w:b/>
          <w:i/>
          <w:u w:val="single"/>
        </w:rPr>
        <w:t>Toda la información en posesión de los sujetos obligados será pública, completa, oportuna y accesible</w:t>
      </w:r>
      <w:r>
        <w:rPr>
          <w:rFonts w:ascii="Palatino Linotype" w:eastAsia="Palatino Linotype" w:hAnsi="Palatino Linotype" w:cs="Palatino Linotype"/>
          <w:i/>
        </w:rPr>
        <w:t>, sujeta a un claro régimen de excepciones que deberán estar definidas y ser además legítimas y estrictamente necesarias en una sociedad democrática;</w:t>
      </w:r>
    </w:p>
    <w:p w14:paraId="1EB527BF" w14:textId="77777777" w:rsidR="0008106A" w:rsidRDefault="00D172F3">
      <w:pPr>
        <w:spacing w:after="280"/>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26C29F22" w14:textId="77777777" w:rsidR="0008106A" w:rsidRDefault="00D172F3">
      <w:pPr>
        <w:tabs>
          <w:tab w:val="left" w:pos="709"/>
        </w:tabs>
        <w:spacing w:before="280" w:after="280" w:line="360" w:lineRule="auto"/>
        <w:ind w:left="851" w:right="1041"/>
        <w:rPr>
          <w:rFonts w:ascii="Palatino Linotype" w:eastAsia="Palatino Linotype" w:hAnsi="Palatino Linotype" w:cs="Palatino Linotype"/>
          <w:b/>
        </w:rPr>
      </w:pPr>
      <w:r>
        <w:rPr>
          <w:rFonts w:ascii="Palatino Linotype" w:eastAsia="Palatino Linotype" w:hAnsi="Palatino Linotype" w:cs="Palatino Linotype"/>
          <w:b/>
        </w:rPr>
        <w:t xml:space="preserve">(Énfasis añadido) </w:t>
      </w:r>
    </w:p>
    <w:p w14:paraId="135F9F8A" w14:textId="77777777" w:rsidR="0008106A" w:rsidRDefault="00D172F3">
      <w:pPr>
        <w:tabs>
          <w:tab w:val="left" w:pos="709"/>
        </w:tabs>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tal virtud, este Órgano Garante en uso de las facultades que la propia legislación le otorga deberá ordenar la entrega de la información, dada la aceptación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de generar, poseer o administrarla, es decir, de tener conocimiento de lo requerido, en la modalidad de consulta directa siguiendo el procedimiento estipulado en el presente considerando para tales efectos. </w:t>
      </w:r>
    </w:p>
    <w:p w14:paraId="56782FD9" w14:textId="77777777" w:rsidR="0008106A" w:rsidRDefault="00D172F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tal sentido y a fin de salvaguardar el derecho de acceso a la información pública, este Órgano Garante, determina </w:t>
      </w:r>
      <w:r>
        <w:rPr>
          <w:rFonts w:ascii="Palatino Linotype" w:eastAsia="Palatino Linotype" w:hAnsi="Palatino Linotype" w:cs="Palatino Linotype"/>
          <w:b/>
        </w:rPr>
        <w:t>MODIFICAR</w:t>
      </w:r>
      <w:r>
        <w:rPr>
          <w:rFonts w:ascii="Palatino Linotype" w:eastAsia="Palatino Linotype" w:hAnsi="Palatino Linotype" w:cs="Palatino Linotype"/>
        </w:rPr>
        <w:t xml:space="preserve"> la respuesta y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permita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consulta directa, en versión pública de la información concerniente a los recibos de pago, comprobantes de pago o CFDI del personal adscrito a la Administración Pública Municipal, del periodo comprendido del uno de enero de dos mil diecinueve al treinta de septiembre de dos mil veintiuno. </w:t>
      </w:r>
    </w:p>
    <w:p w14:paraId="5BD072F2" w14:textId="77777777" w:rsidR="0008106A" w:rsidRDefault="00D172F3">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tanto, para efectos de la  </w:t>
      </w:r>
      <w:r>
        <w:rPr>
          <w:rFonts w:ascii="Palatino Linotype" w:eastAsia="Palatino Linotype" w:hAnsi="Palatino Linotype" w:cs="Palatino Linotype"/>
          <w:b/>
        </w:rPr>
        <w:t xml:space="preserve">versión pública </w:t>
      </w:r>
      <w:r>
        <w:rPr>
          <w:rFonts w:ascii="Palatino Linotype" w:eastAsia="Palatino Linotype" w:hAnsi="Palatino Linotype" w:cs="Palatino Linotype"/>
        </w:rPr>
        <w:t xml:space="preserve">de los documentos solicitados,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14:paraId="66D682F5" w14:textId="77777777" w:rsidR="0008106A" w:rsidRDefault="00D172F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en relación a la información de la que se ordena su consulta, en términos del artículo 143 de la Ley de Transparencia y Acceso a la Información Pública del Estado de México y Municipios, se deberá omitir, eliminar o suprimir la información </w:t>
      </w:r>
      <w:r>
        <w:rPr>
          <w:rFonts w:ascii="Palatino Linotype" w:eastAsia="Palatino Linotype" w:hAnsi="Palatino Linotype" w:cs="Palatino Linotype"/>
          <w:b/>
        </w:rPr>
        <w:t>confidencial</w:t>
      </w:r>
      <w:r>
        <w:rPr>
          <w:rFonts w:ascii="Palatino Linotype" w:eastAsia="Palatino Linotype" w:hAnsi="Palatino Linotype" w:cs="Palatino Linotype"/>
        </w:rPr>
        <w:t xml:space="preserve">. En ese sentido, sólo podrán ser testados los datos que actualicen las hipótesis normativas previstas en dicho precepto legal, y deberá procederse a su clasificación mediante las formalidades de Ley, es decir,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emita el Acuerdo de Clasificación correspondiente debidamente fundado y motivado, en el cual se sustente la versión pública, en términos de los numerales 49 fracción VIII y 132 fracciones II y III de la Ley de Transparencia y Acceso a la Información Pública del Estado de México y Municipios, así como los numerales Segundo, fracción XVIII, y del Cuarto al Décimo </w:t>
      </w:r>
      <w:r>
        <w:rPr>
          <w:rFonts w:ascii="Palatino Linotype" w:eastAsia="Palatino Linotype" w:hAnsi="Palatino Linotype" w:cs="Palatino Linotype"/>
        </w:rPr>
        <w:lastRenderedPageBreak/>
        <w:t>Primero de los Lineamientos Generales en materia de Clasificación y Desclasificación de la Información, así como para la elaboración de Versiones Públicas, que literalmente expresan:</w:t>
      </w:r>
    </w:p>
    <w:p w14:paraId="4E6AD110" w14:textId="77777777" w:rsidR="0008106A" w:rsidRDefault="00D172F3">
      <w:pPr>
        <w:ind w:left="709" w:right="757"/>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14:paraId="72E32767" w14:textId="77777777" w:rsidR="0008106A" w:rsidRDefault="0008106A">
      <w:pPr>
        <w:ind w:left="709" w:right="757"/>
        <w:jc w:val="center"/>
        <w:rPr>
          <w:rFonts w:ascii="Palatino Linotype" w:eastAsia="Palatino Linotype" w:hAnsi="Palatino Linotype" w:cs="Palatino Linotype"/>
          <w:b/>
          <w:i/>
          <w:sz w:val="22"/>
          <w:szCs w:val="22"/>
        </w:rPr>
      </w:pPr>
    </w:p>
    <w:p w14:paraId="0F6B9D65"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49. </w:t>
      </w:r>
      <w:r>
        <w:rPr>
          <w:rFonts w:ascii="Palatino Linotype" w:eastAsia="Palatino Linotype" w:hAnsi="Palatino Linotype" w:cs="Palatino Linotype"/>
          <w:i/>
          <w:sz w:val="22"/>
          <w:szCs w:val="22"/>
        </w:rPr>
        <w:t>Los Comités de Transparencia tendrán las siguientes atribuciones:</w:t>
      </w:r>
    </w:p>
    <w:p w14:paraId="2E81F2A6"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Aprobar, modificar o revocar la clasificación de la información;</w:t>
      </w:r>
    </w:p>
    <w:p w14:paraId="4A46A4AB" w14:textId="77777777" w:rsidR="0008106A" w:rsidRDefault="0008106A">
      <w:pPr>
        <w:ind w:left="709" w:right="757"/>
        <w:jc w:val="both"/>
        <w:rPr>
          <w:rFonts w:ascii="Palatino Linotype" w:eastAsia="Palatino Linotype" w:hAnsi="Palatino Linotype" w:cs="Palatino Linotype"/>
          <w:b/>
          <w:i/>
          <w:sz w:val="22"/>
          <w:szCs w:val="22"/>
        </w:rPr>
      </w:pPr>
    </w:p>
    <w:p w14:paraId="13281036"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La clasificación de la información se llevará a cabo en el momento en que:</w:t>
      </w:r>
    </w:p>
    <w:p w14:paraId="0302A42A"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76089BF"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6D91177D"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Se generen versiones públicas para dar cumplimiento a las obligaciones de transparencia previstas en esta Ley.”</w:t>
      </w:r>
    </w:p>
    <w:p w14:paraId="723F029B" w14:textId="77777777" w:rsidR="0008106A" w:rsidRDefault="0008106A">
      <w:pPr>
        <w:ind w:left="709" w:right="757"/>
        <w:jc w:val="center"/>
        <w:rPr>
          <w:rFonts w:ascii="Palatino Linotype" w:eastAsia="Palatino Linotype" w:hAnsi="Palatino Linotype" w:cs="Palatino Linotype"/>
          <w:b/>
          <w:i/>
          <w:sz w:val="22"/>
          <w:szCs w:val="22"/>
        </w:rPr>
      </w:pPr>
    </w:p>
    <w:p w14:paraId="7653D93C" w14:textId="77777777" w:rsidR="0008106A" w:rsidRDefault="00D172F3">
      <w:pPr>
        <w:ind w:left="709" w:right="757"/>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09C1C66A" w14:textId="77777777" w:rsidR="0008106A" w:rsidRDefault="0008106A">
      <w:pPr>
        <w:ind w:left="709" w:right="757"/>
        <w:jc w:val="both"/>
        <w:rPr>
          <w:rFonts w:ascii="Palatino Linotype" w:eastAsia="Palatino Linotype" w:hAnsi="Palatino Linotype" w:cs="Palatino Linotype"/>
          <w:i/>
          <w:sz w:val="22"/>
          <w:szCs w:val="22"/>
        </w:rPr>
      </w:pPr>
    </w:p>
    <w:p w14:paraId="69E58E79"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Segundo. </w:t>
      </w:r>
      <w:r>
        <w:rPr>
          <w:rFonts w:ascii="Palatino Linotype" w:eastAsia="Palatino Linotype" w:hAnsi="Palatino Linotype" w:cs="Palatino Linotype"/>
          <w:i/>
          <w:sz w:val="22"/>
          <w:szCs w:val="22"/>
        </w:rPr>
        <w:t>Para efectos de los presentes Lineamientos Generales, se entenderá por:</w:t>
      </w:r>
    </w:p>
    <w:p w14:paraId="26979A1D" w14:textId="77777777" w:rsidR="0008106A" w:rsidRDefault="0008106A">
      <w:pPr>
        <w:ind w:left="709" w:right="757"/>
        <w:jc w:val="both"/>
        <w:rPr>
          <w:rFonts w:ascii="Palatino Linotype" w:eastAsia="Palatino Linotype" w:hAnsi="Palatino Linotype" w:cs="Palatino Linotype"/>
          <w:b/>
          <w:i/>
          <w:sz w:val="22"/>
          <w:szCs w:val="22"/>
        </w:rPr>
      </w:pPr>
    </w:p>
    <w:p w14:paraId="2100226E"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14:paraId="1D358BE9" w14:textId="77777777" w:rsidR="0008106A" w:rsidRDefault="0008106A">
      <w:pPr>
        <w:ind w:left="709" w:right="757"/>
        <w:jc w:val="both"/>
        <w:rPr>
          <w:rFonts w:ascii="Palatino Linotype" w:eastAsia="Palatino Linotype" w:hAnsi="Palatino Linotype" w:cs="Palatino Linotype"/>
          <w:b/>
          <w:i/>
          <w:sz w:val="22"/>
          <w:szCs w:val="22"/>
        </w:rPr>
      </w:pPr>
    </w:p>
    <w:p w14:paraId="2A453B18"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CF8CC34" w14:textId="77777777" w:rsidR="0008106A" w:rsidRDefault="0008106A">
      <w:pPr>
        <w:ind w:left="709" w:right="757"/>
        <w:jc w:val="both"/>
        <w:rPr>
          <w:rFonts w:ascii="Palatino Linotype" w:eastAsia="Palatino Linotype" w:hAnsi="Palatino Linotype" w:cs="Palatino Linotype"/>
          <w:i/>
          <w:sz w:val="22"/>
          <w:szCs w:val="22"/>
        </w:rPr>
      </w:pPr>
    </w:p>
    <w:p w14:paraId="2FBEC17B"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4115650" w14:textId="77777777" w:rsidR="0008106A" w:rsidRDefault="0008106A">
      <w:pPr>
        <w:ind w:left="709" w:right="757"/>
        <w:jc w:val="both"/>
        <w:rPr>
          <w:rFonts w:ascii="Palatino Linotype" w:eastAsia="Palatino Linotype" w:hAnsi="Palatino Linotype" w:cs="Palatino Linotype"/>
          <w:b/>
          <w:i/>
          <w:sz w:val="22"/>
          <w:szCs w:val="22"/>
        </w:rPr>
      </w:pPr>
    </w:p>
    <w:p w14:paraId="6829119A"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w:t>
      </w:r>
      <w:r>
        <w:rPr>
          <w:rFonts w:ascii="Palatino Linotype" w:eastAsia="Palatino Linotype" w:hAnsi="Palatino Linotype" w:cs="Palatino Linotype"/>
          <w:i/>
          <w:sz w:val="22"/>
          <w:szCs w:val="22"/>
        </w:rPr>
        <w:lastRenderedPageBreak/>
        <w:t>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A953949" w14:textId="77777777" w:rsidR="0008106A" w:rsidRDefault="0008106A">
      <w:pPr>
        <w:ind w:left="709" w:right="757"/>
        <w:jc w:val="both"/>
        <w:rPr>
          <w:rFonts w:ascii="Palatino Linotype" w:eastAsia="Palatino Linotype" w:hAnsi="Palatino Linotype" w:cs="Palatino Linotype"/>
          <w:b/>
          <w:i/>
          <w:sz w:val="22"/>
          <w:szCs w:val="22"/>
        </w:rPr>
      </w:pPr>
    </w:p>
    <w:p w14:paraId="19C34E0F"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4965330"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46024C0D" w14:textId="77777777" w:rsidR="0008106A" w:rsidRDefault="0008106A">
      <w:pPr>
        <w:ind w:left="709" w:right="757"/>
        <w:jc w:val="both"/>
        <w:rPr>
          <w:rFonts w:ascii="Palatino Linotype" w:eastAsia="Palatino Linotype" w:hAnsi="Palatino Linotype" w:cs="Palatino Linotype"/>
          <w:b/>
          <w:i/>
          <w:sz w:val="22"/>
          <w:szCs w:val="22"/>
        </w:rPr>
      </w:pPr>
    </w:p>
    <w:p w14:paraId="612C730D"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01469BE2" w14:textId="77777777" w:rsidR="0008106A" w:rsidRDefault="0008106A">
      <w:pPr>
        <w:ind w:left="709" w:right="757"/>
        <w:jc w:val="both"/>
        <w:rPr>
          <w:rFonts w:ascii="Palatino Linotype" w:eastAsia="Palatino Linotype" w:hAnsi="Palatino Linotype" w:cs="Palatino Linotype"/>
          <w:b/>
          <w:i/>
          <w:sz w:val="22"/>
          <w:szCs w:val="22"/>
        </w:rPr>
      </w:pPr>
    </w:p>
    <w:p w14:paraId="0CD6DEA2"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2A27A2CE"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4D9D6F6C"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BC8555E" w14:textId="77777777" w:rsidR="0008106A" w:rsidRDefault="0008106A">
      <w:pPr>
        <w:ind w:left="709" w:right="757"/>
        <w:jc w:val="both"/>
        <w:rPr>
          <w:rFonts w:ascii="Palatino Linotype" w:eastAsia="Palatino Linotype" w:hAnsi="Palatino Linotype" w:cs="Palatino Linotype"/>
          <w:i/>
          <w:sz w:val="22"/>
          <w:szCs w:val="22"/>
        </w:rPr>
      </w:pPr>
    </w:p>
    <w:p w14:paraId="3F7FD21D"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5AC69A5" w14:textId="77777777" w:rsidR="0008106A" w:rsidRDefault="0008106A">
      <w:pPr>
        <w:ind w:left="709" w:right="757"/>
        <w:jc w:val="both"/>
        <w:rPr>
          <w:rFonts w:ascii="Palatino Linotype" w:eastAsia="Palatino Linotype" w:hAnsi="Palatino Linotype" w:cs="Palatino Linotype"/>
          <w:b/>
          <w:i/>
          <w:sz w:val="22"/>
          <w:szCs w:val="22"/>
        </w:rPr>
      </w:pPr>
    </w:p>
    <w:p w14:paraId="625DA0E0"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CF1AB95"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E5056C9" w14:textId="77777777" w:rsidR="0008106A" w:rsidRDefault="0008106A">
      <w:pPr>
        <w:ind w:left="709" w:right="757"/>
        <w:jc w:val="both"/>
        <w:rPr>
          <w:rFonts w:ascii="Palatino Linotype" w:eastAsia="Palatino Linotype" w:hAnsi="Palatino Linotype" w:cs="Palatino Linotype"/>
          <w:i/>
          <w:sz w:val="22"/>
          <w:szCs w:val="22"/>
        </w:rPr>
      </w:pPr>
    </w:p>
    <w:p w14:paraId="0B1E26D4"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EC44346" w14:textId="77777777" w:rsidR="0008106A" w:rsidRDefault="0008106A">
      <w:pPr>
        <w:ind w:left="709" w:right="757"/>
        <w:jc w:val="both"/>
        <w:rPr>
          <w:rFonts w:ascii="Palatino Linotype" w:eastAsia="Palatino Linotype" w:hAnsi="Palatino Linotype" w:cs="Palatino Linotype"/>
          <w:i/>
          <w:sz w:val="22"/>
          <w:szCs w:val="22"/>
        </w:rPr>
      </w:pPr>
    </w:p>
    <w:p w14:paraId="6A558701"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E292281"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 documentos contenidos en los archivos históricos y los identificados como históricos confidenciales no serán susceptibles de clasificación como reservados.</w:t>
      </w:r>
    </w:p>
    <w:p w14:paraId="3B1D9358" w14:textId="77777777" w:rsidR="0008106A" w:rsidRDefault="0008106A">
      <w:pPr>
        <w:ind w:left="709" w:right="757"/>
        <w:jc w:val="both"/>
        <w:rPr>
          <w:rFonts w:ascii="Palatino Linotype" w:eastAsia="Palatino Linotype" w:hAnsi="Palatino Linotype" w:cs="Palatino Linotype"/>
          <w:b/>
          <w:i/>
          <w:sz w:val="22"/>
          <w:szCs w:val="22"/>
        </w:rPr>
      </w:pPr>
    </w:p>
    <w:p w14:paraId="78AA60C5"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B4F628C" w14:textId="77777777" w:rsidR="0008106A" w:rsidRDefault="0008106A">
      <w:pPr>
        <w:ind w:left="709" w:right="757"/>
        <w:jc w:val="both"/>
        <w:rPr>
          <w:rFonts w:ascii="Palatino Linotype" w:eastAsia="Palatino Linotype" w:hAnsi="Palatino Linotype" w:cs="Palatino Linotype"/>
          <w:b/>
          <w:i/>
          <w:sz w:val="22"/>
          <w:szCs w:val="22"/>
        </w:rPr>
      </w:pPr>
    </w:p>
    <w:p w14:paraId="6F846DCC"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6751C40"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5C9A7E2" w14:textId="77777777" w:rsidR="0008106A" w:rsidRDefault="0008106A">
      <w:pPr>
        <w:ind w:left="709" w:right="757"/>
        <w:jc w:val="both"/>
        <w:rPr>
          <w:rFonts w:ascii="Palatino Linotype" w:eastAsia="Palatino Linotype" w:hAnsi="Palatino Linotype" w:cs="Palatino Linotype"/>
          <w:b/>
          <w:i/>
          <w:sz w:val="22"/>
          <w:szCs w:val="22"/>
        </w:rPr>
      </w:pPr>
    </w:p>
    <w:p w14:paraId="743A3A67"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8DF6F2F"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EB96253" w14:textId="77777777" w:rsidR="0008106A" w:rsidRDefault="0008106A">
      <w:pPr>
        <w:ind w:left="709" w:right="757"/>
        <w:jc w:val="center"/>
        <w:rPr>
          <w:rFonts w:ascii="Palatino Linotype" w:eastAsia="Palatino Linotype" w:hAnsi="Palatino Linotype" w:cs="Palatino Linotype"/>
          <w:b/>
          <w:i/>
          <w:sz w:val="22"/>
          <w:szCs w:val="22"/>
        </w:rPr>
      </w:pPr>
    </w:p>
    <w:p w14:paraId="18FDD48F" w14:textId="77777777" w:rsidR="0008106A" w:rsidRDefault="00D172F3">
      <w:pPr>
        <w:ind w:left="709" w:right="757"/>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5CD03396" w14:textId="77777777" w:rsidR="0008106A" w:rsidRDefault="00D172F3">
      <w:pPr>
        <w:ind w:left="709" w:right="757"/>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14:paraId="3A57DFD4" w14:textId="77777777" w:rsidR="0008106A" w:rsidRDefault="0008106A">
      <w:pPr>
        <w:ind w:left="709" w:right="757"/>
        <w:jc w:val="both"/>
        <w:rPr>
          <w:rFonts w:ascii="Palatino Linotype" w:eastAsia="Palatino Linotype" w:hAnsi="Palatino Linotype" w:cs="Palatino Linotype"/>
          <w:b/>
          <w:i/>
          <w:sz w:val="22"/>
          <w:szCs w:val="22"/>
        </w:rPr>
      </w:pPr>
    </w:p>
    <w:p w14:paraId="583295CA"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27A9550E"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630B86E" w14:textId="77777777" w:rsidR="0008106A" w:rsidRDefault="0008106A">
      <w:pPr>
        <w:ind w:left="709" w:right="757"/>
        <w:jc w:val="both"/>
        <w:rPr>
          <w:rFonts w:ascii="Palatino Linotype" w:eastAsia="Palatino Linotype" w:hAnsi="Palatino Linotype" w:cs="Palatino Linotype"/>
          <w:b/>
          <w:i/>
          <w:sz w:val="22"/>
          <w:szCs w:val="22"/>
        </w:rPr>
      </w:pPr>
    </w:p>
    <w:p w14:paraId="36200C3C"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p w14:paraId="06821D16" w14:textId="77777777" w:rsidR="0008106A" w:rsidRDefault="0008106A">
      <w:pPr>
        <w:ind w:left="709" w:right="757"/>
        <w:jc w:val="both"/>
        <w:rPr>
          <w:rFonts w:ascii="Palatino Linotype" w:eastAsia="Palatino Linotype" w:hAnsi="Palatino Linotype" w:cs="Palatino Linotype"/>
          <w:i/>
          <w:sz w:val="22"/>
          <w:szCs w:val="22"/>
        </w:rPr>
      </w:pPr>
    </w:p>
    <w:tbl>
      <w:tblPr>
        <w:tblStyle w:val="ae"/>
        <w:tblW w:w="840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330"/>
        <w:gridCol w:w="4239"/>
      </w:tblGrid>
      <w:tr w:rsidR="0008106A" w14:paraId="1629D1B5" w14:textId="77777777">
        <w:tc>
          <w:tcPr>
            <w:tcW w:w="1838" w:type="dxa"/>
            <w:tcBorders>
              <w:top w:val="nil"/>
              <w:left w:val="nil"/>
              <w:bottom w:val="single" w:sz="4" w:space="0" w:color="000000"/>
              <w:right w:val="single" w:sz="4" w:space="0" w:color="000000"/>
            </w:tcBorders>
          </w:tcPr>
          <w:p w14:paraId="48A28CD0" w14:textId="77777777" w:rsidR="0008106A" w:rsidRDefault="0008106A">
            <w:pPr>
              <w:spacing w:line="252" w:lineRule="auto"/>
              <w:ind w:right="757"/>
              <w:jc w:val="both"/>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1F00EDC4" w14:textId="77777777" w:rsidR="0008106A" w:rsidRDefault="00D172F3">
            <w:pPr>
              <w:spacing w:line="252" w:lineRule="auto"/>
              <w:ind w:right="757"/>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Concepto</w:t>
            </w:r>
          </w:p>
        </w:tc>
        <w:tc>
          <w:tcPr>
            <w:tcW w:w="4239" w:type="dxa"/>
            <w:tcBorders>
              <w:top w:val="single" w:sz="4" w:space="0" w:color="000000"/>
              <w:left w:val="single" w:sz="4" w:space="0" w:color="000000"/>
              <w:bottom w:val="single" w:sz="4" w:space="0" w:color="000000"/>
              <w:right w:val="single" w:sz="4" w:space="0" w:color="000000"/>
            </w:tcBorders>
          </w:tcPr>
          <w:p w14:paraId="01AE48C1" w14:textId="77777777" w:rsidR="0008106A" w:rsidRDefault="00D172F3">
            <w:pPr>
              <w:spacing w:line="252" w:lineRule="auto"/>
              <w:ind w:right="757"/>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Dónde:</w:t>
            </w:r>
          </w:p>
        </w:tc>
      </w:tr>
      <w:tr w:rsidR="0008106A" w14:paraId="2B60913A" w14:textId="77777777">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5D5ECC12" w14:textId="77777777" w:rsidR="0008106A" w:rsidRDefault="00D172F3">
            <w:pPr>
              <w:spacing w:line="252" w:lineRule="auto"/>
              <w:ind w:right="757"/>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Sello oficial o logotipo del sujeto obligado</w:t>
            </w:r>
          </w:p>
        </w:tc>
        <w:tc>
          <w:tcPr>
            <w:tcW w:w="2330" w:type="dxa"/>
            <w:tcBorders>
              <w:top w:val="single" w:sz="4" w:space="0" w:color="000000"/>
              <w:left w:val="single" w:sz="4" w:space="0" w:color="000000"/>
              <w:bottom w:val="single" w:sz="4" w:space="0" w:color="000000"/>
              <w:right w:val="single" w:sz="4" w:space="0" w:color="000000"/>
            </w:tcBorders>
          </w:tcPr>
          <w:p w14:paraId="18C7ABAD" w14:textId="77777777" w:rsidR="0008106A" w:rsidRDefault="00D172F3">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Fecha de clasificación</w:t>
            </w:r>
          </w:p>
        </w:tc>
        <w:tc>
          <w:tcPr>
            <w:tcW w:w="4239" w:type="dxa"/>
            <w:tcBorders>
              <w:top w:val="single" w:sz="4" w:space="0" w:color="000000"/>
              <w:left w:val="single" w:sz="4" w:space="0" w:color="000000"/>
              <w:bottom w:val="single" w:sz="4" w:space="0" w:color="000000"/>
              <w:right w:val="single" w:sz="4" w:space="0" w:color="000000"/>
            </w:tcBorders>
          </w:tcPr>
          <w:p w14:paraId="3F11DD38" w14:textId="77777777" w:rsidR="0008106A" w:rsidRDefault="00D172F3">
            <w:pPr>
              <w:spacing w:line="252" w:lineRule="auto"/>
              <w:ind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anotará la fecha en la que el Comité de Transparencia confirmó la clasificación del documento, en su caso.</w:t>
            </w:r>
          </w:p>
        </w:tc>
      </w:tr>
      <w:tr w:rsidR="0008106A" w14:paraId="3E175084"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32B0166B" w14:textId="77777777" w:rsidR="0008106A" w:rsidRDefault="0008106A">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2858D120" w14:textId="77777777" w:rsidR="0008106A" w:rsidRDefault="00D172F3">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Área</w:t>
            </w:r>
          </w:p>
        </w:tc>
        <w:tc>
          <w:tcPr>
            <w:tcW w:w="4239" w:type="dxa"/>
            <w:tcBorders>
              <w:top w:val="single" w:sz="4" w:space="0" w:color="000000"/>
              <w:left w:val="single" w:sz="4" w:space="0" w:color="000000"/>
              <w:bottom w:val="single" w:sz="4" w:space="0" w:color="000000"/>
              <w:right w:val="single" w:sz="4" w:space="0" w:color="000000"/>
            </w:tcBorders>
          </w:tcPr>
          <w:p w14:paraId="725B92B0" w14:textId="77777777" w:rsidR="0008106A" w:rsidRDefault="00D172F3">
            <w:pPr>
              <w:spacing w:line="252" w:lineRule="auto"/>
              <w:ind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señalará el nombre del área del cual es titular quien clasifica.</w:t>
            </w:r>
          </w:p>
        </w:tc>
      </w:tr>
      <w:tr w:rsidR="0008106A" w14:paraId="1C130A2C"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1F78A50F" w14:textId="77777777" w:rsidR="0008106A" w:rsidRDefault="0008106A">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7260E067" w14:textId="77777777" w:rsidR="0008106A" w:rsidRDefault="00D172F3">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Información reservada</w:t>
            </w:r>
          </w:p>
        </w:tc>
        <w:tc>
          <w:tcPr>
            <w:tcW w:w="4239" w:type="dxa"/>
            <w:tcBorders>
              <w:top w:val="single" w:sz="4" w:space="0" w:color="000000"/>
              <w:left w:val="single" w:sz="4" w:space="0" w:color="000000"/>
              <w:bottom w:val="single" w:sz="4" w:space="0" w:color="000000"/>
              <w:right w:val="single" w:sz="4" w:space="0" w:color="000000"/>
            </w:tcBorders>
          </w:tcPr>
          <w:p w14:paraId="098DB2DA" w14:textId="77777777" w:rsidR="0008106A" w:rsidRDefault="00D172F3">
            <w:pPr>
              <w:spacing w:line="252" w:lineRule="auto"/>
              <w:ind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 indicarán, en su caso, las partes o páginas del documento que se clasifican como reservadas. Si el documento fuera reservado en su totalidad, se </w:t>
            </w:r>
            <w:proofErr w:type="gramStart"/>
            <w:r>
              <w:rPr>
                <w:rFonts w:ascii="Palatino Linotype" w:eastAsia="Palatino Linotype" w:hAnsi="Palatino Linotype" w:cs="Palatino Linotype"/>
                <w:i/>
                <w:sz w:val="22"/>
                <w:szCs w:val="22"/>
              </w:rPr>
              <w:t>anotarán</w:t>
            </w:r>
            <w:proofErr w:type="gramEnd"/>
            <w:r>
              <w:rPr>
                <w:rFonts w:ascii="Palatino Linotype" w:eastAsia="Palatino Linotype" w:hAnsi="Palatino Linotype" w:cs="Palatino Linotype"/>
                <w:i/>
                <w:sz w:val="22"/>
                <w:szCs w:val="22"/>
              </w:rPr>
              <w:t xml:space="preserve"> todas las páginas que lo conforman. Si el documento no contiene información reservada, se tachará este apartado.</w:t>
            </w:r>
          </w:p>
        </w:tc>
      </w:tr>
      <w:tr w:rsidR="0008106A" w14:paraId="446C6A80"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2179FD92" w14:textId="77777777" w:rsidR="0008106A" w:rsidRDefault="0008106A">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60019DBB" w14:textId="77777777" w:rsidR="0008106A" w:rsidRDefault="00D172F3">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Periodo de reserva</w:t>
            </w:r>
          </w:p>
        </w:tc>
        <w:tc>
          <w:tcPr>
            <w:tcW w:w="4239" w:type="dxa"/>
            <w:tcBorders>
              <w:top w:val="single" w:sz="4" w:space="0" w:color="000000"/>
              <w:left w:val="single" w:sz="4" w:space="0" w:color="000000"/>
              <w:bottom w:val="single" w:sz="4" w:space="0" w:color="000000"/>
              <w:right w:val="single" w:sz="4" w:space="0" w:color="000000"/>
            </w:tcBorders>
          </w:tcPr>
          <w:p w14:paraId="390D0B04" w14:textId="77777777" w:rsidR="0008106A" w:rsidRDefault="00D172F3">
            <w:pPr>
              <w:spacing w:line="252" w:lineRule="auto"/>
              <w:ind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anotará el número de años o meses por los que se mantendrá el documento o las partes del mismo como reservado.</w:t>
            </w:r>
          </w:p>
        </w:tc>
      </w:tr>
      <w:tr w:rsidR="0008106A" w14:paraId="64624C8D"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0E3E865F" w14:textId="77777777" w:rsidR="0008106A" w:rsidRDefault="0008106A">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0FB5A423" w14:textId="77777777" w:rsidR="0008106A" w:rsidRDefault="00D172F3">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Fundamento legal</w:t>
            </w:r>
          </w:p>
        </w:tc>
        <w:tc>
          <w:tcPr>
            <w:tcW w:w="4239" w:type="dxa"/>
            <w:tcBorders>
              <w:top w:val="single" w:sz="4" w:space="0" w:color="000000"/>
              <w:left w:val="single" w:sz="4" w:space="0" w:color="000000"/>
              <w:bottom w:val="single" w:sz="4" w:space="0" w:color="000000"/>
              <w:right w:val="single" w:sz="4" w:space="0" w:color="000000"/>
            </w:tcBorders>
          </w:tcPr>
          <w:p w14:paraId="466679FA" w14:textId="77777777" w:rsidR="0008106A" w:rsidRDefault="00D172F3">
            <w:pPr>
              <w:spacing w:line="252" w:lineRule="auto"/>
              <w:ind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señalará el nombre del ordenamiento, el o los artículos, fracción(es), párrafo(s) con base en los cuales se sustente la reserva.</w:t>
            </w:r>
          </w:p>
        </w:tc>
      </w:tr>
      <w:tr w:rsidR="0008106A" w14:paraId="6203929E"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2A1FAA2C" w14:textId="77777777" w:rsidR="0008106A" w:rsidRDefault="0008106A">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1BD01182" w14:textId="77777777" w:rsidR="0008106A" w:rsidRDefault="00D172F3">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Ampliación del periodo de reserva</w:t>
            </w:r>
          </w:p>
        </w:tc>
        <w:tc>
          <w:tcPr>
            <w:tcW w:w="4239" w:type="dxa"/>
            <w:tcBorders>
              <w:top w:val="single" w:sz="4" w:space="0" w:color="000000"/>
              <w:left w:val="single" w:sz="4" w:space="0" w:color="000000"/>
              <w:bottom w:val="single" w:sz="4" w:space="0" w:color="000000"/>
              <w:right w:val="single" w:sz="4" w:space="0" w:color="000000"/>
            </w:tcBorders>
          </w:tcPr>
          <w:p w14:paraId="183C728F" w14:textId="77777777" w:rsidR="0008106A" w:rsidRDefault="00D172F3">
            <w:pPr>
              <w:spacing w:line="252" w:lineRule="auto"/>
              <w:ind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haber solicitado la ampliación del periodo de reserva originalmente establecido, se deberá anotar el número de años o meses por los que se amplía la reserva.</w:t>
            </w:r>
          </w:p>
        </w:tc>
      </w:tr>
      <w:tr w:rsidR="0008106A" w14:paraId="6AC2C11B"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3E1C99DB" w14:textId="77777777" w:rsidR="0008106A" w:rsidRDefault="0008106A">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6A4733F5" w14:textId="77777777" w:rsidR="0008106A" w:rsidRDefault="00D172F3">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Confidencial</w:t>
            </w:r>
          </w:p>
        </w:tc>
        <w:tc>
          <w:tcPr>
            <w:tcW w:w="4239" w:type="dxa"/>
            <w:tcBorders>
              <w:top w:val="single" w:sz="4" w:space="0" w:color="000000"/>
              <w:left w:val="single" w:sz="4" w:space="0" w:color="000000"/>
              <w:bottom w:val="single" w:sz="4" w:space="0" w:color="000000"/>
              <w:right w:val="single" w:sz="4" w:space="0" w:color="000000"/>
            </w:tcBorders>
          </w:tcPr>
          <w:p w14:paraId="48A13032" w14:textId="77777777" w:rsidR="0008106A" w:rsidRDefault="00D172F3">
            <w:pPr>
              <w:spacing w:line="252" w:lineRule="auto"/>
              <w:ind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8106A" w14:paraId="5EA49891"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4C772BEF" w14:textId="77777777" w:rsidR="0008106A" w:rsidRDefault="0008106A">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12DD44B9" w14:textId="77777777" w:rsidR="0008106A" w:rsidRDefault="00D172F3">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Fundamento legal</w:t>
            </w:r>
          </w:p>
        </w:tc>
        <w:tc>
          <w:tcPr>
            <w:tcW w:w="4239" w:type="dxa"/>
            <w:tcBorders>
              <w:top w:val="single" w:sz="4" w:space="0" w:color="000000"/>
              <w:left w:val="single" w:sz="4" w:space="0" w:color="000000"/>
              <w:bottom w:val="single" w:sz="4" w:space="0" w:color="000000"/>
              <w:right w:val="single" w:sz="4" w:space="0" w:color="000000"/>
            </w:tcBorders>
          </w:tcPr>
          <w:p w14:paraId="4DA218F7" w14:textId="77777777" w:rsidR="0008106A" w:rsidRDefault="00D172F3">
            <w:pPr>
              <w:spacing w:line="252" w:lineRule="auto"/>
              <w:ind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señalará el nombre del ordenamiento, el o los artículos, fracción(es), párrafo(s) con base en los cuales se sustente la confidencialidad.</w:t>
            </w:r>
          </w:p>
        </w:tc>
      </w:tr>
      <w:tr w:rsidR="0008106A" w14:paraId="5144AF86"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6B7DCE89" w14:textId="77777777" w:rsidR="0008106A" w:rsidRDefault="0008106A">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54695222" w14:textId="77777777" w:rsidR="0008106A" w:rsidRDefault="00D172F3">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Rúbrica del titular del área</w:t>
            </w:r>
          </w:p>
        </w:tc>
        <w:tc>
          <w:tcPr>
            <w:tcW w:w="4239" w:type="dxa"/>
            <w:tcBorders>
              <w:top w:val="single" w:sz="4" w:space="0" w:color="000000"/>
              <w:left w:val="single" w:sz="4" w:space="0" w:color="000000"/>
              <w:bottom w:val="single" w:sz="4" w:space="0" w:color="000000"/>
              <w:right w:val="single" w:sz="4" w:space="0" w:color="000000"/>
            </w:tcBorders>
          </w:tcPr>
          <w:p w14:paraId="6780BFA3" w14:textId="77777777" w:rsidR="0008106A" w:rsidRDefault="00D172F3">
            <w:pPr>
              <w:spacing w:line="252" w:lineRule="auto"/>
              <w:ind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Rúbrica autógrafa de quien clasifica.</w:t>
            </w:r>
          </w:p>
        </w:tc>
      </w:tr>
      <w:tr w:rsidR="0008106A" w14:paraId="166C3024"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530E8351" w14:textId="77777777" w:rsidR="0008106A" w:rsidRDefault="0008106A">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6ED099E2" w14:textId="77777777" w:rsidR="0008106A" w:rsidRDefault="00D172F3">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Fecha de desclasificación</w:t>
            </w:r>
          </w:p>
        </w:tc>
        <w:tc>
          <w:tcPr>
            <w:tcW w:w="4239" w:type="dxa"/>
            <w:tcBorders>
              <w:top w:val="single" w:sz="4" w:space="0" w:color="000000"/>
              <w:left w:val="single" w:sz="4" w:space="0" w:color="000000"/>
              <w:bottom w:val="single" w:sz="4" w:space="0" w:color="000000"/>
              <w:right w:val="single" w:sz="4" w:space="0" w:color="000000"/>
            </w:tcBorders>
          </w:tcPr>
          <w:p w14:paraId="53AC5CAD" w14:textId="77777777" w:rsidR="0008106A" w:rsidRDefault="00D172F3">
            <w:pPr>
              <w:spacing w:line="252" w:lineRule="auto"/>
              <w:ind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anotará la fecha en que se desclasifica el documento.</w:t>
            </w:r>
          </w:p>
        </w:tc>
      </w:tr>
      <w:tr w:rsidR="0008106A" w14:paraId="43B1E5FD" w14:textId="77777777">
        <w:tc>
          <w:tcPr>
            <w:tcW w:w="1838" w:type="dxa"/>
            <w:vMerge/>
            <w:tcBorders>
              <w:top w:val="single" w:sz="4" w:space="0" w:color="000000"/>
              <w:left w:val="single" w:sz="4" w:space="0" w:color="000000"/>
              <w:bottom w:val="single" w:sz="4" w:space="0" w:color="000000"/>
              <w:right w:val="single" w:sz="4" w:space="0" w:color="000000"/>
            </w:tcBorders>
            <w:vAlign w:val="center"/>
          </w:tcPr>
          <w:p w14:paraId="4F7FA001" w14:textId="77777777" w:rsidR="0008106A" w:rsidRDefault="0008106A">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2330" w:type="dxa"/>
            <w:tcBorders>
              <w:top w:val="single" w:sz="4" w:space="0" w:color="000000"/>
              <w:left w:val="single" w:sz="4" w:space="0" w:color="000000"/>
              <w:bottom w:val="single" w:sz="4" w:space="0" w:color="000000"/>
              <w:right w:val="single" w:sz="4" w:space="0" w:color="000000"/>
            </w:tcBorders>
          </w:tcPr>
          <w:p w14:paraId="6E2A38C7" w14:textId="77777777" w:rsidR="0008106A" w:rsidRDefault="00D172F3">
            <w:pPr>
              <w:spacing w:line="252" w:lineRule="auto"/>
              <w:ind w:right="757"/>
              <w:jc w:val="center"/>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Rúbrica y cargo del servidor público</w:t>
            </w:r>
          </w:p>
        </w:tc>
        <w:tc>
          <w:tcPr>
            <w:tcW w:w="4239" w:type="dxa"/>
            <w:tcBorders>
              <w:top w:val="single" w:sz="4" w:space="0" w:color="000000"/>
              <w:left w:val="single" w:sz="4" w:space="0" w:color="000000"/>
              <w:bottom w:val="single" w:sz="4" w:space="0" w:color="000000"/>
              <w:right w:val="single" w:sz="4" w:space="0" w:color="000000"/>
            </w:tcBorders>
            <w:vAlign w:val="center"/>
          </w:tcPr>
          <w:p w14:paraId="64D11224" w14:textId="77777777" w:rsidR="0008106A" w:rsidRDefault="00D172F3">
            <w:pPr>
              <w:spacing w:line="252" w:lineRule="auto"/>
              <w:ind w:right="757"/>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Rúbrica autógrafa de quien desclasifica.</w:t>
            </w:r>
          </w:p>
        </w:tc>
      </w:tr>
    </w:tbl>
    <w:p w14:paraId="1AD0FEDE" w14:textId="77777777" w:rsidR="0008106A" w:rsidRDefault="00D172F3">
      <w:pPr>
        <w:ind w:left="709" w:right="75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ECE49F6" w14:textId="77777777" w:rsidR="0008106A" w:rsidRDefault="00D172F3">
      <w:pPr>
        <w:ind w:left="709" w:right="75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(Énfasis Añadido)</w:t>
      </w:r>
    </w:p>
    <w:p w14:paraId="2AF84EDD" w14:textId="77777777" w:rsidR="0008106A" w:rsidRDefault="0008106A">
      <w:pPr>
        <w:spacing w:line="360" w:lineRule="auto"/>
        <w:ind w:left="709" w:right="757"/>
        <w:jc w:val="both"/>
        <w:rPr>
          <w:rFonts w:ascii="Palatino Linotype" w:eastAsia="Palatino Linotype" w:hAnsi="Palatino Linotype" w:cs="Palatino Linotype"/>
          <w:sz w:val="22"/>
          <w:szCs w:val="22"/>
        </w:rPr>
      </w:pPr>
    </w:p>
    <w:p w14:paraId="12F64EBA" w14:textId="77777777" w:rsidR="0008106A" w:rsidRDefault="00D172F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es importante referir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E36F244" w14:textId="77777777" w:rsidR="0008106A" w:rsidRDefault="00D172F3">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Precisado lo anterior, entre los datos que de manera enunciativa más no limitativa, pudieran contenerse en los documentos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que se ordena entregar en versión pública, se encuentran el </w:t>
      </w:r>
      <w:r>
        <w:rPr>
          <w:rFonts w:ascii="Palatino Linotype" w:eastAsia="Palatino Linotype" w:hAnsi="Palatino Linotype" w:cs="Palatino Linotype"/>
          <w:b/>
        </w:rPr>
        <w:t>Registro Federal de Contribuyentes</w:t>
      </w:r>
      <w:r>
        <w:rPr>
          <w:rFonts w:ascii="Palatino Linotype" w:eastAsia="Palatino Linotype" w:hAnsi="Palatino Linotype" w:cs="Palatino Linotype"/>
        </w:rPr>
        <w:t xml:space="preserve"> (RFC), la </w:t>
      </w:r>
      <w:r>
        <w:rPr>
          <w:rFonts w:ascii="Palatino Linotype" w:eastAsia="Palatino Linotype" w:hAnsi="Palatino Linotype" w:cs="Palatino Linotype"/>
          <w:b/>
        </w:rPr>
        <w:t>Clave Única de Registro de Población</w:t>
      </w:r>
      <w:r>
        <w:rPr>
          <w:rFonts w:ascii="Palatino Linotype" w:eastAsia="Palatino Linotype" w:hAnsi="Palatino Linotype" w:cs="Palatino Linotype"/>
        </w:rPr>
        <w:t xml:space="preserve"> (CURP), </w:t>
      </w:r>
      <w:r>
        <w:rPr>
          <w:rFonts w:ascii="Palatino Linotype" w:eastAsia="Palatino Linotype" w:hAnsi="Palatino Linotype" w:cs="Palatino Linotype"/>
          <w:b/>
        </w:rPr>
        <w:t>domicilios particulares</w:t>
      </w:r>
      <w:r>
        <w:rPr>
          <w:rFonts w:ascii="Palatino Linotype" w:eastAsia="Palatino Linotype" w:hAnsi="Palatino Linotype" w:cs="Palatino Linotype"/>
        </w:rPr>
        <w:t xml:space="preserve">, </w:t>
      </w:r>
      <w:r>
        <w:rPr>
          <w:rFonts w:ascii="Palatino Linotype" w:eastAsia="Palatino Linotype" w:hAnsi="Palatino Linotype" w:cs="Palatino Linotype"/>
          <w:b/>
        </w:rPr>
        <w:t>claves de elector</w:t>
      </w:r>
      <w:r>
        <w:rPr>
          <w:rFonts w:ascii="Palatino Linotype" w:eastAsia="Palatino Linotype" w:hAnsi="Palatino Linotype" w:cs="Palatino Linotype"/>
        </w:rPr>
        <w:t xml:space="preserve">, </w:t>
      </w:r>
      <w:r>
        <w:rPr>
          <w:rFonts w:ascii="Palatino Linotype" w:eastAsia="Palatino Linotype" w:hAnsi="Palatino Linotype" w:cs="Palatino Linotype"/>
          <w:b/>
        </w:rPr>
        <w:t>huella digital</w:t>
      </w:r>
      <w:r>
        <w:rPr>
          <w:rFonts w:ascii="Palatino Linotype" w:eastAsia="Palatino Linotype" w:hAnsi="Palatino Linotype" w:cs="Palatino Linotype"/>
        </w:rPr>
        <w:t xml:space="preserve">, entre otros, los cuales son susceptibles de ser clasificados como información </w:t>
      </w:r>
      <w:r>
        <w:rPr>
          <w:rFonts w:ascii="Palatino Linotype" w:eastAsia="Palatino Linotype" w:hAnsi="Palatino Linotype" w:cs="Palatino Linotype"/>
          <w:b/>
          <w:u w:val="single"/>
        </w:rPr>
        <w:t>confidencial</w:t>
      </w:r>
      <w:r>
        <w:rPr>
          <w:rFonts w:ascii="Palatino Linotype" w:eastAsia="Palatino Linotype" w:hAnsi="Palatino Linotype" w:cs="Palatino Linotype"/>
        </w:rPr>
        <w:t>.</w:t>
      </w:r>
    </w:p>
    <w:p w14:paraId="6CF8D31F" w14:textId="77777777" w:rsidR="0008106A" w:rsidRDefault="00D172F3">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al </w:t>
      </w:r>
      <w:r>
        <w:rPr>
          <w:rFonts w:ascii="Palatino Linotype" w:eastAsia="Palatino Linotype" w:hAnsi="Palatino Linotype" w:cs="Palatino Linotype"/>
          <w:b/>
        </w:rPr>
        <w:t>Registro Federal de Contribuyentes</w:t>
      </w:r>
      <w:r>
        <w:rPr>
          <w:rFonts w:ascii="Palatino Linotype" w:eastAsia="Palatino Linotype" w:hAnsi="Palatino Linotype" w:cs="Palatino Linotype"/>
        </w:rPr>
        <w:t xml:space="preserve"> </w:t>
      </w:r>
      <w:r>
        <w:rPr>
          <w:rFonts w:ascii="Palatino Linotype" w:eastAsia="Palatino Linotype" w:hAnsi="Palatino Linotype" w:cs="Palatino Linotype"/>
          <w:b/>
        </w:rPr>
        <w:t>de las personas físicas</w:t>
      </w:r>
      <w:r>
        <w:rPr>
          <w:rFonts w:ascii="Palatino Linotype" w:eastAsia="Palatino Linotype" w:hAnsi="Palatino Linotype" w:cs="Palatino Linotype"/>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Pr>
          <w:rFonts w:ascii="Palatino Linotype" w:eastAsia="Palatino Linotype" w:hAnsi="Palatino Linotype" w:cs="Palatino Linotype"/>
        </w:rPr>
        <w:t>homoclave</w:t>
      </w:r>
      <w:proofErr w:type="spellEnd"/>
      <w:r>
        <w:rPr>
          <w:rFonts w:ascii="Palatino Linotype" w:eastAsia="Palatino Linotype" w:hAnsi="Palatino Linotype" w:cs="Palatino Linotype"/>
        </w:rPr>
        <w:t>; la cual, para su obtención es necesario acreditar personalidad, fecha de nacimiento entre otros con documentos oficiales.</w:t>
      </w:r>
    </w:p>
    <w:p w14:paraId="20C843D9" w14:textId="77777777" w:rsidR="0008106A" w:rsidRDefault="00D172F3">
      <w:pPr>
        <w:widowControl w:val="0"/>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rPr>
        <w:t>Al respecto, es aplicable el Criterio 19/17 de la Segunda Época, emitido por el Instituto Nacional de Transparencia, Acceso a la Información y Protección de Datos Personales, que dice:</w:t>
      </w:r>
      <w:r>
        <w:rPr>
          <w:rFonts w:ascii="Palatino Linotype" w:eastAsia="Palatino Linotype" w:hAnsi="Palatino Linotype" w:cs="Palatino Linotype"/>
          <w:b/>
        </w:rPr>
        <w:t xml:space="preserve"> </w:t>
      </w:r>
    </w:p>
    <w:p w14:paraId="3DDFB1C6" w14:textId="77777777" w:rsidR="0008106A" w:rsidRDefault="00D172F3">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Registro Federal de Contribuyentes (RFC) de personas físicas. El RFC es una clave</w:t>
      </w:r>
      <w:r>
        <w:rPr>
          <w:rFonts w:ascii="Palatino Linotype" w:eastAsia="Palatino Linotype" w:hAnsi="Palatino Linotype" w:cs="Palatino Linotype"/>
          <w:i/>
          <w:sz w:val="22"/>
          <w:szCs w:val="22"/>
        </w:rPr>
        <w:t xml:space="preserve"> de carácter fiscal, </w:t>
      </w:r>
      <w:proofErr w:type="gramStart"/>
      <w:r>
        <w:rPr>
          <w:rFonts w:ascii="Palatino Linotype" w:eastAsia="Palatino Linotype" w:hAnsi="Palatino Linotype" w:cs="Palatino Linotype"/>
          <w:i/>
          <w:sz w:val="22"/>
          <w:szCs w:val="22"/>
        </w:rPr>
        <w:t>única</w:t>
      </w:r>
      <w:proofErr w:type="gramEnd"/>
      <w:r>
        <w:rPr>
          <w:rFonts w:ascii="Palatino Linotype" w:eastAsia="Palatino Linotype" w:hAnsi="Palatino Linotype" w:cs="Palatino Linotype"/>
          <w:i/>
          <w:sz w:val="22"/>
          <w:szCs w:val="22"/>
        </w:rPr>
        <w:t xml:space="preserve"> e irrepetible, </w:t>
      </w:r>
      <w:r>
        <w:rPr>
          <w:rFonts w:ascii="Palatino Linotype" w:eastAsia="Palatino Linotype" w:hAnsi="Palatino Linotype" w:cs="Palatino Linotype"/>
          <w:b/>
          <w:i/>
          <w:sz w:val="22"/>
          <w:szCs w:val="22"/>
        </w:rPr>
        <w:t>que permite identificar al titular, su edad y fecha de nacimiento</w:t>
      </w:r>
      <w:r>
        <w:rPr>
          <w:rFonts w:ascii="Palatino Linotype" w:eastAsia="Palatino Linotype" w:hAnsi="Palatino Linotype" w:cs="Palatino Linotype"/>
          <w:i/>
          <w:sz w:val="22"/>
          <w:szCs w:val="22"/>
        </w:rPr>
        <w:t xml:space="preserve">, por lo que </w:t>
      </w:r>
      <w:r>
        <w:rPr>
          <w:rFonts w:ascii="Palatino Linotype" w:eastAsia="Palatino Linotype" w:hAnsi="Palatino Linotype" w:cs="Palatino Linotype"/>
          <w:b/>
          <w:i/>
          <w:sz w:val="22"/>
          <w:szCs w:val="22"/>
        </w:rPr>
        <w:t>es un dato personal de carácter confidencial</w:t>
      </w:r>
      <w:r>
        <w:rPr>
          <w:rFonts w:ascii="Palatino Linotype" w:eastAsia="Palatino Linotype" w:hAnsi="Palatino Linotype" w:cs="Palatino Linotype"/>
          <w:i/>
          <w:sz w:val="22"/>
          <w:szCs w:val="22"/>
        </w:rPr>
        <w:t>.</w:t>
      </w:r>
    </w:p>
    <w:p w14:paraId="49B3DFE2" w14:textId="77777777" w:rsidR="0008106A" w:rsidRDefault="00D172F3">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Resoluciones:</w:t>
      </w:r>
    </w:p>
    <w:p w14:paraId="14A0AA9C" w14:textId="77777777" w:rsidR="0008106A" w:rsidRDefault="0008106A">
      <w:pPr>
        <w:ind w:left="709" w:right="709"/>
        <w:jc w:val="both"/>
        <w:rPr>
          <w:rFonts w:ascii="Palatino Linotype" w:eastAsia="Palatino Linotype" w:hAnsi="Palatino Linotype" w:cs="Palatino Linotype"/>
          <w:i/>
          <w:sz w:val="22"/>
          <w:szCs w:val="22"/>
        </w:rPr>
      </w:pPr>
    </w:p>
    <w:p w14:paraId="72BDDD6A" w14:textId="77777777" w:rsidR="0008106A" w:rsidRDefault="00D172F3">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RRA 0189/17. Morena. 08 de febrero de 2017. Por unanimidad. Comisionado Ponente Joel Salas Suárez.</w:t>
      </w:r>
    </w:p>
    <w:p w14:paraId="78E414EE" w14:textId="77777777" w:rsidR="0008106A" w:rsidRDefault="00D172F3">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RRA 0677/17. Universidad Nacional Autónoma de México. 08 de marzo de 2017. Por unanimidad. Comisionado Ponente </w:t>
      </w:r>
      <w:proofErr w:type="spellStart"/>
      <w:r>
        <w:rPr>
          <w:rFonts w:ascii="Palatino Linotype" w:eastAsia="Palatino Linotype" w:hAnsi="Palatino Linotype" w:cs="Palatino Linotype"/>
          <w:i/>
          <w:sz w:val="22"/>
          <w:szCs w:val="22"/>
        </w:rPr>
        <w:t>Rosendoevgueni</w:t>
      </w:r>
      <w:proofErr w:type="spellEnd"/>
      <w:r>
        <w:rPr>
          <w:rFonts w:ascii="Palatino Linotype" w:eastAsia="Palatino Linotype" w:hAnsi="Palatino Linotype" w:cs="Palatino Linotype"/>
          <w:i/>
          <w:sz w:val="22"/>
          <w:szCs w:val="22"/>
        </w:rPr>
        <w:t xml:space="preserve"> Monterrey </w:t>
      </w:r>
      <w:proofErr w:type="spellStart"/>
      <w:r>
        <w:rPr>
          <w:rFonts w:ascii="Palatino Linotype" w:eastAsia="Palatino Linotype" w:hAnsi="Palatino Linotype" w:cs="Palatino Linotype"/>
          <w:i/>
          <w:sz w:val="22"/>
          <w:szCs w:val="22"/>
        </w:rPr>
        <w:t>Chepov</w:t>
      </w:r>
      <w:proofErr w:type="spellEnd"/>
      <w:r>
        <w:rPr>
          <w:rFonts w:ascii="Palatino Linotype" w:eastAsia="Palatino Linotype" w:hAnsi="Palatino Linotype" w:cs="Palatino Linotype"/>
          <w:i/>
          <w:sz w:val="22"/>
          <w:szCs w:val="22"/>
        </w:rPr>
        <w:t xml:space="preserve">. </w:t>
      </w:r>
    </w:p>
    <w:p w14:paraId="6103DE2D" w14:textId="77777777" w:rsidR="0008106A" w:rsidRDefault="00D172F3">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RRA 1564/17. Tribunal Electoral del Poder Judicial de la Federación. 26 de abril de 2017. Por unanimidad. Comisionado Ponente Oscar Mauricio Guerra Ford.”</w:t>
      </w:r>
    </w:p>
    <w:p w14:paraId="6C6F5DF4" w14:textId="77777777" w:rsidR="0008106A" w:rsidRDefault="0008106A">
      <w:pPr>
        <w:ind w:left="709" w:right="709"/>
        <w:jc w:val="both"/>
        <w:rPr>
          <w:rFonts w:ascii="Palatino Linotype" w:eastAsia="Palatino Linotype" w:hAnsi="Palatino Linotype" w:cs="Palatino Linotype"/>
          <w:sz w:val="22"/>
          <w:szCs w:val="22"/>
        </w:rPr>
      </w:pPr>
    </w:p>
    <w:p w14:paraId="07745247" w14:textId="77777777" w:rsidR="0008106A" w:rsidRDefault="00D172F3">
      <w:pPr>
        <w:ind w:left="709" w:right="70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(Énfasis añadido)</w:t>
      </w:r>
    </w:p>
    <w:p w14:paraId="1485325B" w14:textId="77777777" w:rsidR="0008106A" w:rsidRDefault="00D172F3">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el Registro Federal de Contribuyentes se vincula al nombre de su titular,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54E98840" w14:textId="77777777" w:rsidR="0008106A" w:rsidRDefault="00D172F3">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w:t>
      </w:r>
      <w:r>
        <w:rPr>
          <w:rFonts w:ascii="Palatino Linotype" w:eastAsia="Palatino Linotype" w:hAnsi="Palatino Linotype" w:cs="Palatino Linotype"/>
          <w:b/>
        </w:rPr>
        <w:t xml:space="preserve">Clave Única de Registro de Población, </w:t>
      </w:r>
      <w:r>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E1CEC20" w14:textId="77777777" w:rsidR="0008106A" w:rsidRDefault="00D172F3">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tiene sustento en los artículos 86 y 91 de la Ley General de Población, la cual señala lo siguiente:</w:t>
      </w:r>
    </w:p>
    <w:p w14:paraId="569B382D" w14:textId="77777777" w:rsidR="0008106A" w:rsidRDefault="00D172F3">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86. </w:t>
      </w:r>
      <w:r>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1BC70B2A" w14:textId="77777777" w:rsidR="0008106A" w:rsidRDefault="0008106A">
      <w:pPr>
        <w:ind w:left="709" w:right="709"/>
        <w:jc w:val="both"/>
        <w:rPr>
          <w:rFonts w:ascii="Palatino Linotype" w:eastAsia="Palatino Linotype" w:hAnsi="Palatino Linotype" w:cs="Palatino Linotype"/>
          <w:b/>
          <w:i/>
          <w:sz w:val="22"/>
          <w:szCs w:val="22"/>
        </w:rPr>
      </w:pPr>
    </w:p>
    <w:p w14:paraId="3E04048D" w14:textId="77777777" w:rsidR="0008106A" w:rsidRDefault="00D172F3">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Al incorporar a una persona en el Registro Nacional de Población, se le asignará una clave que se denominará Clave Única de Registro de Población. Esta servirá para registrarla e identificarla en forma individual.”</w:t>
      </w:r>
    </w:p>
    <w:p w14:paraId="3B2F7B33" w14:textId="77777777" w:rsidR="0008106A" w:rsidRDefault="0008106A">
      <w:pPr>
        <w:ind w:left="709" w:right="709"/>
        <w:jc w:val="both"/>
        <w:rPr>
          <w:rFonts w:ascii="Palatino Linotype" w:eastAsia="Palatino Linotype" w:hAnsi="Palatino Linotype" w:cs="Palatino Linotype"/>
          <w:i/>
          <w:sz w:val="22"/>
          <w:szCs w:val="22"/>
        </w:rPr>
      </w:pPr>
    </w:p>
    <w:p w14:paraId="27963589" w14:textId="77777777" w:rsidR="0008106A" w:rsidRDefault="00D172F3">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así como un dígito verificador.</w:t>
      </w:r>
    </w:p>
    <w:p w14:paraId="489092B9" w14:textId="77777777" w:rsidR="0008106A" w:rsidRDefault="00D172F3">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el Instituto Nacional de Transparencia, Acceso a la Información y Protección de Datos Personales (INAI), a través del Criterio 18/17 de la Segunda Época, señala literalmente lo siguiente:</w:t>
      </w:r>
    </w:p>
    <w:p w14:paraId="6D59A7C2" w14:textId="77777777" w:rsidR="0008106A" w:rsidRDefault="00D172F3">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Clave Única de Registro de Población (CURP).</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La Clave Única de Registro de Población se integra por datos personales que sólo conciernen al particular titular</w:t>
      </w:r>
      <w:r>
        <w:rPr>
          <w:rFonts w:ascii="Palatino Linotype" w:eastAsia="Palatino Linotype" w:hAnsi="Palatino Linotype" w:cs="Palatino Linotype"/>
          <w:i/>
          <w:sz w:val="22"/>
          <w:szCs w:val="22"/>
        </w:rPr>
        <w:t xml:space="preserve"> de la misma, </w:t>
      </w:r>
      <w:r>
        <w:rPr>
          <w:rFonts w:ascii="Palatino Linotype" w:eastAsia="Palatino Linotype" w:hAnsi="Palatino Linotype" w:cs="Palatino Linotype"/>
          <w:b/>
          <w:i/>
          <w:sz w:val="22"/>
          <w:szCs w:val="22"/>
          <w:u w:val="single"/>
        </w:rPr>
        <w:t>como lo son su nombre, apellidos, fecha de nacimiento, lugar de nacimiento y sexo</w:t>
      </w:r>
      <w:r>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Pr>
          <w:rFonts w:ascii="Palatino Linotype" w:eastAsia="Palatino Linotype" w:hAnsi="Palatino Linotype" w:cs="Palatino Linotype"/>
          <w:b/>
          <w:i/>
          <w:sz w:val="22"/>
          <w:szCs w:val="22"/>
          <w:u w:val="single"/>
        </w:rPr>
        <w:t>por lo que la CURP está considerada como información confidencial</w:t>
      </w:r>
      <w:r>
        <w:rPr>
          <w:rFonts w:ascii="Palatino Linotype" w:eastAsia="Palatino Linotype" w:hAnsi="Palatino Linotype" w:cs="Palatino Linotype"/>
          <w:i/>
          <w:sz w:val="22"/>
          <w:szCs w:val="22"/>
        </w:rPr>
        <w:t>. “</w:t>
      </w:r>
    </w:p>
    <w:p w14:paraId="2385B48A" w14:textId="77777777" w:rsidR="0008106A" w:rsidRDefault="0008106A">
      <w:pPr>
        <w:ind w:left="709" w:right="709"/>
        <w:jc w:val="both"/>
        <w:rPr>
          <w:rFonts w:ascii="Palatino Linotype" w:eastAsia="Palatino Linotype" w:hAnsi="Palatino Linotype" w:cs="Palatino Linotype"/>
          <w:b/>
          <w:sz w:val="22"/>
          <w:szCs w:val="22"/>
        </w:rPr>
      </w:pPr>
    </w:p>
    <w:p w14:paraId="5B6BDDBC" w14:textId="77777777" w:rsidR="0008106A" w:rsidRDefault="00D172F3">
      <w:pPr>
        <w:ind w:left="709" w:right="70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(Énfasis añadido)</w:t>
      </w:r>
    </w:p>
    <w:p w14:paraId="542659B3" w14:textId="77777777" w:rsidR="0008106A" w:rsidRDefault="00D172F3">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desprende que la Clave Única de Registro de Población, se encuentra vinculado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3 fracción IX de la Ley de Transparencia y Acceso a la Información Pública del Estado de México y Municipios y 4 fracción XI de </w:t>
      </w:r>
      <w:r>
        <w:rPr>
          <w:rFonts w:ascii="Palatino Linotype" w:eastAsia="Palatino Linotype" w:hAnsi="Palatino Linotype" w:cs="Palatino Linotype"/>
        </w:rPr>
        <w:lastRenderedPageBreak/>
        <w:t>la Ley de Protección de Datos Personales en Posesión de Sujetos Obligados del Estado de México y Municipios.</w:t>
      </w:r>
    </w:p>
    <w:p w14:paraId="5E4C1126" w14:textId="77777777" w:rsidR="0008106A" w:rsidRDefault="00D172F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los </w:t>
      </w:r>
      <w:r>
        <w:rPr>
          <w:rFonts w:ascii="Palatino Linotype" w:eastAsia="Palatino Linotype" w:hAnsi="Palatino Linotype" w:cs="Palatino Linotype"/>
          <w:b/>
        </w:rPr>
        <w:t>préstamos o descuentos</w:t>
      </w:r>
      <w:r>
        <w:rPr>
          <w:rFonts w:ascii="Palatino Linotype" w:eastAsia="Palatino Linotype" w:hAnsi="Palatino Linotype" w:cs="Palatino Linotype"/>
        </w:rPr>
        <w:t xml:space="preserve"> </w:t>
      </w:r>
      <w:r>
        <w:rPr>
          <w:rFonts w:ascii="Palatino Linotype" w:eastAsia="Palatino Linotype" w:hAnsi="Palatino Linotype" w:cs="Palatino Linotype"/>
          <w:b/>
        </w:rPr>
        <w:t>de carácter personal</w:t>
      </w:r>
      <w:r>
        <w:rPr>
          <w:rFonts w:ascii="Palatino Linotype" w:eastAsia="Palatino Linotype" w:hAnsi="Palatino Linotype" w:cs="Palatino Linotype"/>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273AD8F1" w14:textId="77777777" w:rsidR="0008106A" w:rsidRDefault="0008106A">
      <w:pPr>
        <w:spacing w:line="360" w:lineRule="auto"/>
        <w:jc w:val="both"/>
        <w:rPr>
          <w:rFonts w:ascii="Palatino Linotype" w:eastAsia="Palatino Linotype" w:hAnsi="Palatino Linotype" w:cs="Palatino Linotype"/>
        </w:rPr>
      </w:pPr>
    </w:p>
    <w:p w14:paraId="17A14BE0" w14:textId="77777777" w:rsidR="0008106A" w:rsidRDefault="00D172F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84 de la Ley del Trabajo de los Servidores Públicos del Estado y Municipios, señala:</w:t>
      </w:r>
    </w:p>
    <w:p w14:paraId="21E89E4D" w14:textId="77777777" w:rsidR="0008106A" w:rsidRDefault="0008106A">
      <w:pPr>
        <w:spacing w:line="360" w:lineRule="auto"/>
        <w:jc w:val="both"/>
        <w:rPr>
          <w:rFonts w:ascii="Palatino Linotype" w:eastAsia="Palatino Linotype" w:hAnsi="Palatino Linotype" w:cs="Palatino Linotype"/>
        </w:rPr>
      </w:pPr>
    </w:p>
    <w:p w14:paraId="740DC636" w14:textId="77777777" w:rsidR="0008106A" w:rsidRDefault="00D172F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ARTICULO 84.</w:t>
      </w:r>
      <w:r>
        <w:rPr>
          <w:rFonts w:ascii="Palatino Linotype" w:eastAsia="Palatino Linotype" w:hAnsi="Palatino Linotype" w:cs="Palatino Linotype"/>
          <w:i/>
          <w:sz w:val="22"/>
          <w:szCs w:val="22"/>
        </w:rPr>
        <w:t xml:space="preserve"> Sólo podrán hacerse retenciones, descuentos o deducciones al sueldo de los servidores públicos por concepto de:</w:t>
      </w:r>
    </w:p>
    <w:p w14:paraId="4F7A0871" w14:textId="77777777" w:rsidR="0008106A" w:rsidRDefault="0008106A">
      <w:pPr>
        <w:ind w:left="567" w:right="616"/>
        <w:jc w:val="both"/>
        <w:rPr>
          <w:rFonts w:ascii="Palatino Linotype" w:eastAsia="Palatino Linotype" w:hAnsi="Palatino Linotype" w:cs="Palatino Linotype"/>
          <w:i/>
          <w:sz w:val="22"/>
          <w:szCs w:val="22"/>
        </w:rPr>
      </w:pPr>
    </w:p>
    <w:p w14:paraId="17A2B696" w14:textId="77777777" w:rsidR="0008106A" w:rsidRDefault="00D172F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Gravámenes fiscales relacionados con el sueldo;</w:t>
      </w:r>
    </w:p>
    <w:p w14:paraId="584362AC" w14:textId="77777777" w:rsidR="0008106A" w:rsidRDefault="00D172F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2C2D3395" w14:textId="77777777" w:rsidR="0008106A" w:rsidRDefault="00D172F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Cuotas sindicales;</w:t>
      </w:r>
    </w:p>
    <w:p w14:paraId="5D209F76" w14:textId="77777777" w:rsidR="0008106A" w:rsidRDefault="00D172F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479264E2" w14:textId="77777777" w:rsidR="0008106A" w:rsidRDefault="00D172F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563504F9" w14:textId="77777777" w:rsidR="0008106A" w:rsidRDefault="00D172F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4B0C9A40" w14:textId="77777777" w:rsidR="0008106A" w:rsidRDefault="00D172F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Faltas de puntualidad o de asistencia injustificadas;</w:t>
      </w:r>
    </w:p>
    <w:p w14:paraId="3D866244" w14:textId="77777777" w:rsidR="0008106A" w:rsidRDefault="00D172F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Pensiones alimenticias ordenadas por la autoridad judicial; o</w:t>
      </w:r>
    </w:p>
    <w:p w14:paraId="67749C73" w14:textId="77777777" w:rsidR="0008106A" w:rsidRDefault="00D172F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IX. Cualquier otro convenido con instituciones de servicios y aceptado por el servidor público.</w:t>
      </w:r>
    </w:p>
    <w:p w14:paraId="7FA2C822" w14:textId="77777777" w:rsidR="0008106A" w:rsidRDefault="0008106A">
      <w:pPr>
        <w:ind w:left="567" w:right="616"/>
        <w:jc w:val="both"/>
        <w:rPr>
          <w:rFonts w:ascii="Palatino Linotype" w:eastAsia="Palatino Linotype" w:hAnsi="Palatino Linotype" w:cs="Palatino Linotype"/>
          <w:i/>
          <w:sz w:val="22"/>
          <w:szCs w:val="22"/>
        </w:rPr>
      </w:pPr>
    </w:p>
    <w:p w14:paraId="22E4B0D2" w14:textId="77777777" w:rsidR="0008106A" w:rsidRDefault="00D172F3">
      <w:pPr>
        <w:ind w:left="567" w:right="616"/>
        <w:jc w:val="both"/>
        <w:rPr>
          <w:sz w:val="22"/>
          <w:szCs w:val="22"/>
        </w:rPr>
      </w:pPr>
      <w:r>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A60347E" w14:textId="77777777" w:rsidR="0008106A" w:rsidRDefault="0008106A">
      <w:pPr>
        <w:spacing w:line="360" w:lineRule="auto"/>
        <w:jc w:val="both"/>
        <w:rPr>
          <w:rFonts w:ascii="Palatino Linotype" w:eastAsia="Palatino Linotype" w:hAnsi="Palatino Linotype" w:cs="Palatino Linotype"/>
        </w:rPr>
      </w:pPr>
    </w:p>
    <w:p w14:paraId="17CA9533" w14:textId="77777777" w:rsidR="0008106A" w:rsidRDefault="00D172F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51CA8DAF" w14:textId="77777777" w:rsidR="0008106A" w:rsidRDefault="0008106A">
      <w:pPr>
        <w:spacing w:line="360" w:lineRule="auto"/>
        <w:jc w:val="both"/>
        <w:rPr>
          <w:rFonts w:ascii="Palatino Linotype" w:eastAsia="Palatino Linotype" w:hAnsi="Palatino Linotype" w:cs="Palatino Linotype"/>
        </w:rPr>
      </w:pPr>
    </w:p>
    <w:p w14:paraId="62AA4957" w14:textId="77777777" w:rsidR="0008106A" w:rsidRDefault="00D172F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las </w:t>
      </w:r>
      <w:r>
        <w:rPr>
          <w:rFonts w:ascii="Palatino Linotype" w:eastAsia="Palatino Linotype" w:hAnsi="Palatino Linotype" w:cs="Palatino Linotype"/>
          <w:b/>
        </w:rPr>
        <w:t>Cadenas Originales</w:t>
      </w:r>
      <w:r>
        <w:rPr>
          <w:rFonts w:ascii="Palatino Linotype" w:eastAsia="Palatino Linotype" w:hAnsi="Palatino Linotype" w:cs="Palatino Linotype"/>
        </w:rPr>
        <w:t xml:space="preserve"> forman parte del certificado de sello digital, los cuales son documentos electrónicos, mismos que de conformidad con el artículo 17-G y 29 del Código Fiscal de la Federación le permiten a la autoridad hacendaria federal garantizar una </w:t>
      </w:r>
      <w:r>
        <w:rPr>
          <w:rFonts w:ascii="Palatino Linotype" w:eastAsia="Palatino Linotype" w:hAnsi="Palatino Linotype" w:cs="Palatino Linotype"/>
          <w:b/>
        </w:rPr>
        <w:t xml:space="preserve">vinculación </w:t>
      </w:r>
      <w:r>
        <w:rPr>
          <w:rFonts w:ascii="Palatino Linotype" w:eastAsia="Palatino Linotype" w:hAnsi="Palatino Linotype" w:cs="Palatino Linotype"/>
        </w:rPr>
        <w:t xml:space="preserve">entre la </w:t>
      </w:r>
      <w:r>
        <w:rPr>
          <w:rFonts w:ascii="Palatino Linotype" w:eastAsia="Palatino Linotype" w:hAnsi="Palatino Linotype" w:cs="Palatino Linotype"/>
          <w:b/>
        </w:rPr>
        <w:t>identidad de un sujeto o entidad</w:t>
      </w:r>
      <w:r>
        <w:rPr>
          <w:rFonts w:ascii="Palatino Linotype" w:eastAsia="Palatino Linotype" w:hAnsi="Palatino Linotype" w:cs="Palatino Linotype"/>
        </w:rPr>
        <w:t xml:space="preserve"> con su clave pública, lo que hace identificable a una persona o entidad, además de que dichos certificados tienen como finalidad o propósito específico firmar digitalmente las facturas electrónicas </w:t>
      </w:r>
      <w:r>
        <w:rPr>
          <w:rFonts w:ascii="Palatino Linotype" w:eastAsia="Palatino Linotype" w:hAnsi="Palatino Linotype" w:cs="Palatino Linotype"/>
          <w:b/>
        </w:rPr>
        <w:t>para acreditar la autoría de los comprobantes fiscales digitales</w:t>
      </w:r>
      <w:r>
        <w:rPr>
          <w:rFonts w:ascii="Palatino Linotype" w:eastAsia="Palatino Linotype" w:hAnsi="Palatino Linotype" w:cs="Palatino Linotype"/>
        </w:rPr>
        <w:t>. En ese tenor se transcriben los artículos señalados con antelación para mejor ilustración:</w:t>
      </w:r>
    </w:p>
    <w:p w14:paraId="39CC757C" w14:textId="77777777" w:rsidR="0008106A" w:rsidRDefault="0008106A">
      <w:pPr>
        <w:spacing w:line="360" w:lineRule="auto"/>
        <w:jc w:val="both"/>
        <w:rPr>
          <w:rFonts w:ascii="Palatino Linotype" w:eastAsia="Palatino Linotype" w:hAnsi="Palatino Linotype" w:cs="Palatino Linotype"/>
        </w:rPr>
      </w:pPr>
    </w:p>
    <w:p w14:paraId="73C3D895" w14:textId="77777777" w:rsidR="0008106A" w:rsidRDefault="00D172F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“Artículo 17-G.- Los certificados que emita el Servicio de Administración Tributaria para ser considerados válidos deberán contener los datos siguientes: </w:t>
      </w:r>
    </w:p>
    <w:p w14:paraId="3B58B15C" w14:textId="77777777" w:rsidR="0008106A" w:rsidRDefault="0008106A">
      <w:pPr>
        <w:ind w:left="567" w:right="616"/>
        <w:jc w:val="both"/>
        <w:rPr>
          <w:rFonts w:ascii="Palatino Linotype" w:eastAsia="Palatino Linotype" w:hAnsi="Palatino Linotype" w:cs="Palatino Linotype"/>
          <w:i/>
          <w:sz w:val="22"/>
          <w:szCs w:val="22"/>
        </w:rPr>
      </w:pPr>
    </w:p>
    <w:p w14:paraId="5498D92F" w14:textId="77777777" w:rsidR="0008106A" w:rsidRDefault="00D172F3">
      <w:pPr>
        <w:numPr>
          <w:ilvl w:val="0"/>
          <w:numId w:val="1"/>
        </w:numPr>
        <w:ind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mención de que se expiden como tales. Tratándose de certificados de sellos digitales, se deberán especificar las limitantes que tengan para su uso.</w:t>
      </w:r>
    </w:p>
    <w:p w14:paraId="06D0B3D9" w14:textId="77777777" w:rsidR="0008106A" w:rsidRDefault="0008106A">
      <w:pPr>
        <w:ind w:left="1422" w:right="616"/>
        <w:jc w:val="both"/>
        <w:rPr>
          <w:rFonts w:ascii="Palatino Linotype" w:eastAsia="Palatino Linotype" w:hAnsi="Palatino Linotype" w:cs="Palatino Linotype"/>
          <w:i/>
          <w:sz w:val="22"/>
          <w:szCs w:val="22"/>
        </w:rPr>
      </w:pPr>
    </w:p>
    <w:p w14:paraId="0F904229" w14:textId="77777777" w:rsidR="0008106A" w:rsidRDefault="00D172F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C46C675" w14:textId="77777777" w:rsidR="0008106A" w:rsidRDefault="0008106A">
      <w:pPr>
        <w:ind w:left="567" w:right="616"/>
        <w:jc w:val="both"/>
        <w:rPr>
          <w:rFonts w:ascii="Palatino Linotype" w:eastAsia="Palatino Linotype" w:hAnsi="Palatino Linotype" w:cs="Palatino Linotype"/>
          <w:i/>
          <w:sz w:val="22"/>
          <w:szCs w:val="22"/>
        </w:rPr>
      </w:pPr>
    </w:p>
    <w:p w14:paraId="32384CBF" w14:textId="77777777" w:rsidR="0008106A" w:rsidRDefault="00D172F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contribuyentes a que se refiere el párrafo anterior deberán cumplir con las obligaciones siguientes:</w:t>
      </w:r>
    </w:p>
    <w:p w14:paraId="34E517D9" w14:textId="77777777" w:rsidR="0008106A" w:rsidRDefault="0008106A">
      <w:pPr>
        <w:ind w:left="567" w:right="616"/>
        <w:jc w:val="both"/>
        <w:rPr>
          <w:rFonts w:ascii="Palatino Linotype" w:eastAsia="Palatino Linotype" w:hAnsi="Palatino Linotype" w:cs="Palatino Linotype"/>
          <w:i/>
          <w:sz w:val="22"/>
          <w:szCs w:val="22"/>
        </w:rPr>
      </w:pPr>
    </w:p>
    <w:p w14:paraId="53D0BF37" w14:textId="77777777" w:rsidR="0008106A" w:rsidRDefault="00D172F3">
      <w:pPr>
        <w:ind w:left="567" w:right="616"/>
        <w:jc w:val="both"/>
        <w:rPr>
          <w:rFonts w:ascii="Palatino Linotype" w:eastAsia="Palatino Linotype" w:hAnsi="Palatino Linotype" w:cs="Palatino Linotype"/>
          <w:i/>
          <w:sz w:val="22"/>
          <w:szCs w:val="22"/>
        </w:rPr>
      </w:pPr>
      <w:proofErr w:type="gramStart"/>
      <w:r>
        <w:rPr>
          <w:rFonts w:ascii="Palatino Linotype" w:eastAsia="Palatino Linotype" w:hAnsi="Palatino Linotype" w:cs="Palatino Linotype"/>
          <w:i/>
          <w:sz w:val="22"/>
          <w:szCs w:val="22"/>
        </w:rPr>
        <w:t>I.</w:t>
      </w:r>
      <w:proofErr w:type="gramEnd"/>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tab/>
        <w:t>…</w:t>
      </w:r>
    </w:p>
    <w:p w14:paraId="0A448397" w14:textId="77777777" w:rsidR="0008106A" w:rsidRDefault="00D172F3">
      <w:pPr>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w:t>
      </w:r>
      <w:r>
        <w:rPr>
          <w:rFonts w:ascii="Palatino Linotype" w:eastAsia="Palatino Linotype" w:hAnsi="Palatino Linotype" w:cs="Palatino Linotype"/>
          <w:i/>
          <w:sz w:val="22"/>
          <w:szCs w:val="22"/>
        </w:rPr>
        <w:tab/>
        <w:t>Tramitar ante el Servicio de Administración Tributaria el certificado para el uso de los sellos digitales.</w:t>
      </w:r>
    </w:p>
    <w:p w14:paraId="0178ECD5" w14:textId="77777777" w:rsidR="0008106A" w:rsidRDefault="0008106A">
      <w:pPr>
        <w:ind w:left="567" w:right="616"/>
        <w:jc w:val="both"/>
        <w:rPr>
          <w:rFonts w:ascii="Palatino Linotype" w:eastAsia="Palatino Linotype" w:hAnsi="Palatino Linotype" w:cs="Palatino Linotype"/>
          <w:i/>
          <w:sz w:val="22"/>
          <w:szCs w:val="22"/>
        </w:rPr>
      </w:pPr>
    </w:p>
    <w:p w14:paraId="17226AF8" w14:textId="77777777" w:rsidR="0008106A" w:rsidRDefault="00D172F3">
      <w:pPr>
        <w:ind w:left="567" w:right="616"/>
        <w:jc w:val="both"/>
      </w:pPr>
      <w:r>
        <w:rPr>
          <w:rFonts w:ascii="Palatino Linotype" w:eastAsia="Palatino Linotype" w:hAnsi="Palatino Linotype" w:cs="Palatino Linotype"/>
          <w:i/>
          <w:sz w:val="22"/>
          <w:szCs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1E6E596E" w14:textId="77777777" w:rsidR="0008106A" w:rsidRDefault="0008106A">
      <w:pPr>
        <w:spacing w:line="360" w:lineRule="auto"/>
        <w:jc w:val="both"/>
        <w:rPr>
          <w:rFonts w:ascii="Palatino Linotype" w:eastAsia="Palatino Linotype" w:hAnsi="Palatino Linotype" w:cs="Palatino Linotype"/>
        </w:rPr>
      </w:pPr>
    </w:p>
    <w:p w14:paraId="0A698BD2" w14:textId="77777777" w:rsidR="0008106A" w:rsidRDefault="00D172F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hace a los </w:t>
      </w:r>
      <w:r>
        <w:rPr>
          <w:rFonts w:ascii="Palatino Linotype" w:eastAsia="Palatino Linotype" w:hAnsi="Palatino Linotype" w:cs="Palatino Linotype"/>
          <w:b/>
        </w:rPr>
        <w:t>Códigos Bidimensionales</w:t>
      </w:r>
      <w:r>
        <w:rPr>
          <w:rFonts w:ascii="Palatino Linotype" w:eastAsia="Palatino Linotype" w:hAnsi="Palatino Linotype" w:cs="Palatino Linotype"/>
        </w:rPr>
        <w:t xml:space="preserve"> y los denominados </w:t>
      </w:r>
      <w:r>
        <w:rPr>
          <w:rFonts w:ascii="Palatino Linotype" w:eastAsia="Palatino Linotype" w:hAnsi="Palatino Linotype" w:cs="Palatino Linotype"/>
          <w:b/>
        </w:rPr>
        <w:t>Códigos QR</w:t>
      </w:r>
      <w:r>
        <w:rPr>
          <w:rFonts w:ascii="Palatino Linotype" w:eastAsia="Palatino Linotype" w:hAnsi="Palatino Linotype" w:cs="Palatino Linotype"/>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Pr>
          <w:rFonts w:ascii="Palatino Linotype" w:eastAsia="Palatino Linotype" w:hAnsi="Palatino Linotype" w:cs="Palatino Linotype"/>
          <w:b/>
        </w:rPr>
        <w:lastRenderedPageBreak/>
        <w:t>Registro Federal de Contribuyentes</w:t>
      </w:r>
      <w:r>
        <w:rPr>
          <w:rFonts w:ascii="Palatino Linotype" w:eastAsia="Palatino Linotype" w:hAnsi="Palatino Linotype" w:cs="Palatino Linotype"/>
        </w:rPr>
        <w:t xml:space="preserve"> (RFC) y la </w:t>
      </w:r>
      <w:r>
        <w:rPr>
          <w:rFonts w:ascii="Palatino Linotype" w:eastAsia="Palatino Linotype" w:hAnsi="Palatino Linotype" w:cs="Palatino Linotype"/>
          <w:b/>
        </w:rPr>
        <w:t>Clave Única de Registro de Población</w:t>
      </w:r>
      <w:r>
        <w:rPr>
          <w:rFonts w:ascii="Palatino Linotype" w:eastAsia="Palatino Linotype" w:hAnsi="Palatino Linotype" w:cs="Palatino Linotype"/>
        </w:rPr>
        <w:t xml:space="preserve"> (CURP), por lo cual, deberán ser protegidos.</w:t>
      </w:r>
    </w:p>
    <w:p w14:paraId="0E25B1A0" w14:textId="77777777" w:rsidR="0008106A" w:rsidRDefault="00D172F3">
      <w:pPr>
        <w:spacing w:before="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Asimismo, no resulta desapercibido para este Órgano Resolutor que la información a la que se pretende tener acceso </w:t>
      </w:r>
      <w:r>
        <w:rPr>
          <w:rFonts w:ascii="Palatino Linotype" w:eastAsia="Palatino Linotype" w:hAnsi="Palatino Linotype" w:cs="Palatino Linotype"/>
          <w:b/>
          <w:u w:val="single"/>
        </w:rPr>
        <w:t>(nómina)</w:t>
      </w:r>
      <w:r>
        <w:rPr>
          <w:rFonts w:ascii="Palatino Linotype" w:eastAsia="Palatino Linotype" w:hAnsi="Palatino Linotype" w:cs="Palatino Linotype"/>
        </w:rPr>
        <w:t xml:space="preserve"> pudiera englobar a los integrantes de seguridad pública, lo </w:t>
      </w:r>
      <w:proofErr w:type="spellStart"/>
      <w:r>
        <w:rPr>
          <w:rFonts w:ascii="Palatino Linotype" w:eastAsia="Palatino Linotype" w:hAnsi="Palatino Linotype" w:cs="Palatino Linotype"/>
        </w:rPr>
        <w:t>cuales</w:t>
      </w:r>
      <w:proofErr w:type="spellEnd"/>
      <w:r>
        <w:rPr>
          <w:rFonts w:ascii="Palatino Linotype" w:eastAsia="Palatino Linotype" w:hAnsi="Palatino Linotype" w:cs="Palatino Linotype"/>
        </w:rPr>
        <w:t xml:space="preserve"> para esta ponencia son considerados información de carácter reservado, motivo por el cual la información referente a los elementos de seguridad pública del Ayuntamiento se </w:t>
      </w:r>
      <w:r>
        <w:rPr>
          <w:rFonts w:ascii="Palatino Linotype" w:eastAsia="Palatino Linotype" w:hAnsi="Palatino Linotype" w:cs="Palatino Linotype"/>
          <w:b/>
        </w:rPr>
        <w:t xml:space="preserve">ordena su  consulta de manera disociada. </w:t>
      </w:r>
    </w:p>
    <w:p w14:paraId="571BF70A" w14:textId="77777777" w:rsidR="0008106A" w:rsidRDefault="00D172F3">
      <w:pP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atención a lo anterior, la consulta de documentos en su versión pública debe acompañarse necesariamente del Acuerdo del Comité de Transparencia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6E12DC2" w14:textId="77777777" w:rsidR="0008106A" w:rsidRDefault="00D172F3">
      <w:pPr>
        <w:tabs>
          <w:tab w:val="left" w:pos="822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párrafos trigésimo, trigésimo primero y trigésimo segundo, y fracciones IV y V de la Constitución Política del Estado Libre y Soberano de México; 2, fracción II, 29, 36, fracciones I y II, 176, 178, 179, 181, </w:t>
      </w:r>
      <w:r>
        <w:rPr>
          <w:rFonts w:ascii="Palatino Linotype" w:eastAsia="Palatino Linotype" w:hAnsi="Palatino Linotype" w:cs="Palatino Linotype"/>
        </w:rPr>
        <w:lastRenderedPageBreak/>
        <w:t>185, fracción I, 186 y 188 de la Ley de Transparencia y Acceso a la Información Pública del Estado de México y Municipios, este Pleno:</w:t>
      </w:r>
    </w:p>
    <w:p w14:paraId="67A55C04" w14:textId="77777777" w:rsidR="0008106A" w:rsidRDefault="0008106A"/>
    <w:p w14:paraId="4DC7FEE9" w14:textId="77777777" w:rsidR="0008106A" w:rsidRDefault="00D172F3">
      <w:pPr>
        <w:jc w:val="center"/>
        <w:rPr>
          <w:rFonts w:ascii="Palatino Linotype" w:eastAsia="Palatino Linotype" w:hAnsi="Palatino Linotype" w:cs="Palatino Linotype"/>
          <w:b/>
          <w:sz w:val="28"/>
          <w:szCs w:val="28"/>
        </w:rPr>
      </w:pPr>
      <w:bookmarkStart w:id="2" w:name="_heading=h.30j0zll" w:colFirst="0" w:colLast="0"/>
      <w:bookmarkEnd w:id="2"/>
      <w:r>
        <w:rPr>
          <w:rFonts w:ascii="Palatino Linotype" w:eastAsia="Palatino Linotype" w:hAnsi="Palatino Linotype" w:cs="Palatino Linotype"/>
          <w:b/>
          <w:sz w:val="28"/>
          <w:szCs w:val="28"/>
        </w:rPr>
        <w:t>RESUELVE</w:t>
      </w:r>
    </w:p>
    <w:p w14:paraId="0C8B1B59" w14:textId="77777777" w:rsidR="0008106A" w:rsidRDefault="0008106A">
      <w:pPr>
        <w:jc w:val="center"/>
        <w:rPr>
          <w:rFonts w:ascii="Palatino Linotype" w:eastAsia="Palatino Linotype" w:hAnsi="Palatino Linotype" w:cs="Palatino Linotype"/>
          <w:b/>
          <w:sz w:val="28"/>
          <w:szCs w:val="28"/>
        </w:rPr>
      </w:pPr>
    </w:p>
    <w:p w14:paraId="4FA4CB9F" w14:textId="77777777" w:rsidR="0008106A" w:rsidRDefault="00D172F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8"/>
          <w:szCs w:val="28"/>
        </w:rPr>
        <w:t>.</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parcialmente</w:t>
      </w:r>
      <w:r>
        <w:rPr>
          <w:rFonts w:ascii="Palatino Linotype" w:eastAsia="Palatino Linotype" w:hAnsi="Palatino Linotype" w:cs="Palatino Linotype"/>
        </w:rPr>
        <w:t xml:space="preserve">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inconformidad planteadas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w:t>
      </w:r>
    </w:p>
    <w:p w14:paraId="002465A3" w14:textId="77777777" w:rsidR="0008106A" w:rsidRDefault="0008106A">
      <w:pPr>
        <w:spacing w:line="360" w:lineRule="auto"/>
        <w:jc w:val="both"/>
        <w:rPr>
          <w:rFonts w:ascii="Palatino Linotype" w:eastAsia="Palatino Linotype" w:hAnsi="Palatino Linotype" w:cs="Palatino Linotype"/>
        </w:rPr>
      </w:pPr>
    </w:p>
    <w:p w14:paraId="0F5BCDA6" w14:textId="77777777" w:rsidR="0008106A" w:rsidRDefault="00D172F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proporcionada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a la solicitud de información que derivó en el recurso de revisión </w:t>
      </w:r>
      <w:r>
        <w:rPr>
          <w:rFonts w:ascii="Palatino Linotype" w:eastAsia="Palatino Linotype" w:hAnsi="Palatino Linotype" w:cs="Palatino Linotype"/>
          <w:b/>
        </w:rPr>
        <w:t xml:space="preserve">05477/INFOEM/IP/RR/2021 </w:t>
      </w:r>
      <w:r>
        <w:rPr>
          <w:rFonts w:ascii="Palatino Linotype" w:eastAsia="Palatino Linotype" w:hAnsi="Palatino Linotype" w:cs="Palatino Linotype"/>
        </w:rPr>
        <w:t xml:space="preserve">y se ordena permita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consulta directa, en versión pública,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 de lo siguiente:</w:t>
      </w:r>
    </w:p>
    <w:p w14:paraId="4FED0BF5" w14:textId="77777777" w:rsidR="0008106A" w:rsidRDefault="0008106A">
      <w:pPr>
        <w:ind w:left="850" w:right="899"/>
        <w:jc w:val="both"/>
        <w:rPr>
          <w:rFonts w:ascii="Palatino Linotype" w:eastAsia="Palatino Linotype" w:hAnsi="Palatino Linotype" w:cs="Palatino Linotype"/>
          <w:i/>
          <w:sz w:val="22"/>
          <w:szCs w:val="22"/>
        </w:rPr>
      </w:pPr>
    </w:p>
    <w:p w14:paraId="53F0961E" w14:textId="77777777" w:rsidR="0008106A" w:rsidRDefault="00D172F3">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Recibos de pago, comprobantes de pago o CFDI del personal adscrito a la Administración Pública Municipal, del periodo comprendido del uno de enero de dos mil diecinueve al treinta de septiembre de dos mil veintiuno. </w:t>
      </w:r>
    </w:p>
    <w:p w14:paraId="4FBBE054" w14:textId="77777777" w:rsidR="0008106A" w:rsidRDefault="00D172F3">
      <w:pPr>
        <w:keepLines/>
        <w:pBdr>
          <w:top w:val="nil"/>
          <w:left w:val="nil"/>
          <w:bottom w:val="nil"/>
          <w:right w:val="nil"/>
          <w:between w:val="nil"/>
        </w:pBdr>
        <w:spacing w:before="24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notificar al </w:t>
      </w:r>
      <w:r>
        <w:rPr>
          <w:rFonts w:ascii="Palatino Linotype" w:eastAsia="Palatino Linotype" w:hAnsi="Palatino Linotype" w:cs="Palatino Linotype"/>
          <w:b/>
          <w:i/>
          <w:sz w:val="22"/>
          <w:szCs w:val="22"/>
        </w:rPr>
        <w:t>RECURRENTE</w:t>
      </w:r>
      <w:r>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7599D1C6" w14:textId="77777777" w:rsidR="0008106A" w:rsidRDefault="00D172F3">
      <w:pPr>
        <w:keepLines/>
        <w:pBdr>
          <w:top w:val="nil"/>
          <w:left w:val="nil"/>
          <w:bottom w:val="nil"/>
          <w:right w:val="nil"/>
          <w:between w:val="nil"/>
        </w:pBdr>
        <w:spacing w:before="240"/>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efecto de que </w:t>
      </w:r>
      <w:r>
        <w:rPr>
          <w:rFonts w:ascii="Palatino Linotype" w:eastAsia="Palatino Linotype" w:hAnsi="Palatino Linotype" w:cs="Palatino Linotype"/>
          <w:b/>
          <w:i/>
          <w:sz w:val="22"/>
          <w:szCs w:val="22"/>
        </w:rPr>
        <w:t xml:space="preserve">EL SUJETO OBLIGADO </w:t>
      </w:r>
      <w:r>
        <w:rPr>
          <w:rFonts w:ascii="Palatino Linotype" w:eastAsia="Palatino Linotype" w:hAnsi="Palatino Linotype" w:cs="Palatino Linotype"/>
          <w:i/>
          <w:sz w:val="22"/>
          <w:szCs w:val="22"/>
        </w:rPr>
        <w:t xml:space="preserve">dé pleno cumplimiento a lo ordenado en la presente resolución, es necesario que informe a través del SAIMEX al </w:t>
      </w:r>
      <w:r>
        <w:rPr>
          <w:rFonts w:ascii="Palatino Linotype" w:eastAsia="Palatino Linotype" w:hAnsi="Palatino Linotype" w:cs="Palatino Linotype"/>
          <w:b/>
          <w:i/>
          <w:sz w:val="22"/>
          <w:szCs w:val="22"/>
        </w:rPr>
        <w:t xml:space="preserve">RECURRENTE </w:t>
      </w:r>
      <w:r>
        <w:rPr>
          <w:rFonts w:ascii="Palatino Linotype" w:eastAsia="Palatino Linotype" w:hAnsi="Palatino Linotype" w:cs="Palatino Linotype"/>
          <w:i/>
          <w:sz w:val="22"/>
          <w:szCs w:val="22"/>
        </w:rPr>
        <w:t>el o los lugares, días y horario en que podrá consultar la información, el nombre del servidor público que le atenderá y el tiempo en que estará disponible la documentación de mérito.</w:t>
      </w:r>
    </w:p>
    <w:p w14:paraId="2911A246" w14:textId="77777777" w:rsidR="0008106A" w:rsidRDefault="0008106A">
      <w:pPr>
        <w:pBdr>
          <w:top w:val="nil"/>
          <w:left w:val="nil"/>
          <w:bottom w:val="nil"/>
          <w:right w:val="nil"/>
          <w:between w:val="nil"/>
        </w:pBdr>
        <w:spacing w:line="276" w:lineRule="auto"/>
        <w:ind w:right="899"/>
        <w:jc w:val="both"/>
        <w:rPr>
          <w:rFonts w:ascii="Palatino Linotype" w:eastAsia="Palatino Linotype" w:hAnsi="Palatino Linotype" w:cs="Palatino Linotype"/>
          <w:i/>
        </w:rPr>
      </w:pPr>
    </w:p>
    <w:p w14:paraId="248B2F53" w14:textId="77777777" w:rsidR="0008106A" w:rsidRDefault="0008106A">
      <w:pPr>
        <w:pBdr>
          <w:top w:val="nil"/>
          <w:left w:val="nil"/>
          <w:bottom w:val="nil"/>
          <w:right w:val="nil"/>
          <w:between w:val="nil"/>
        </w:pBdr>
        <w:spacing w:line="276" w:lineRule="auto"/>
        <w:ind w:right="899"/>
        <w:jc w:val="both"/>
        <w:rPr>
          <w:rFonts w:ascii="Palatino Linotype" w:eastAsia="Palatino Linotype" w:hAnsi="Palatino Linotype" w:cs="Palatino Linotype"/>
          <w:i/>
        </w:rPr>
      </w:pPr>
    </w:p>
    <w:p w14:paraId="0AA3391B" w14:textId="77777777" w:rsidR="0008106A" w:rsidRDefault="00D172F3">
      <w:pPr>
        <w:spacing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b/>
          <w:color w:val="222222"/>
          <w:sz w:val="28"/>
          <w:szCs w:val="28"/>
          <w:highlight w:val="white"/>
        </w:rPr>
        <w:lastRenderedPageBreak/>
        <w:t>TERCERO.</w:t>
      </w:r>
      <w:r>
        <w:rPr>
          <w:rFonts w:ascii="Palatino Linotype" w:eastAsia="Palatino Linotype" w:hAnsi="Palatino Linotype" w:cs="Palatino Linotype"/>
          <w:b/>
          <w:color w:val="222222"/>
          <w:highlight w:val="white"/>
        </w:rPr>
        <w:t> </w:t>
      </w:r>
      <w:r>
        <w:rPr>
          <w:rFonts w:ascii="Palatino Linotype" w:eastAsia="Palatino Linotype" w:hAnsi="Palatino Linotype" w:cs="Palatino Linotype"/>
          <w:b/>
          <w:color w:val="222222"/>
        </w:rPr>
        <w:t>Notifíquese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color w:val="222222"/>
          <w:highlight w:val="white"/>
        </w:rPr>
        <w:t>al Titular de la Unidad de Transparencia del</w:t>
      </w:r>
      <w:r>
        <w:rPr>
          <w:rFonts w:ascii="Palatino Linotype" w:eastAsia="Palatino Linotype" w:hAnsi="Palatino Linotype" w:cs="Palatino Linotype"/>
          <w:b/>
          <w:color w:val="222222"/>
          <w:highlight w:val="white"/>
        </w:rPr>
        <w:t> SUJETO OBLIGADO</w:t>
      </w:r>
      <w:r>
        <w:rPr>
          <w:rFonts w:ascii="Palatino Linotype" w:eastAsia="Palatino Linotype" w:hAnsi="Palatino Linotype" w:cs="Palatino Linotype"/>
          <w:color w:val="222222"/>
          <w:highlight w:val="white"/>
        </w:rPr>
        <w:t xml:space="preserve">, para que conforme a los artículos 186, último párrafo y 189, párrafo segundo de la Ley de </w:t>
      </w:r>
      <w:r>
        <w:rPr>
          <w:rFonts w:ascii="Palatino Linotype" w:eastAsia="Palatino Linotype" w:hAnsi="Palatino Linotype" w:cs="Palatino Linotype"/>
        </w:rPr>
        <w:t>Transparencia</w:t>
      </w:r>
      <w:r>
        <w:rPr>
          <w:rFonts w:ascii="Palatino Linotype" w:eastAsia="Palatino Linotype" w:hAnsi="Palatino Linotype" w:cs="Palatino Linotype"/>
          <w:color w:val="222222"/>
          <w:highlight w:val="white"/>
        </w:rPr>
        <w:t xml:space="preserve"> y Acceso a la Información Pública del Estado de México y Municipios, dé </w:t>
      </w:r>
      <w:r>
        <w:rPr>
          <w:rFonts w:ascii="Palatino Linotype" w:eastAsia="Palatino Linotype" w:hAnsi="Palatino Linotype" w:cs="Palatino Linotype"/>
        </w:rPr>
        <w:t>cumplimiento</w:t>
      </w:r>
      <w:r>
        <w:rPr>
          <w:rFonts w:ascii="Palatino Linotype" w:eastAsia="Palatino Linotype" w:hAnsi="Palatino Linotype" w:cs="Palatino Linotype"/>
          <w:color w:val="222222"/>
          <w:highlight w:val="white"/>
        </w:rPr>
        <w:t xml:space="preserve"> a lo ordenado dentro del plazo de diez días hábiles, debiendo </w:t>
      </w:r>
      <w:r>
        <w:rPr>
          <w:rFonts w:ascii="Palatino Linotype" w:eastAsia="Palatino Linotype" w:hAnsi="Palatino Linotype" w:cs="Palatino Linotype"/>
        </w:rPr>
        <w:t>informar</w:t>
      </w:r>
      <w:r>
        <w:rPr>
          <w:rFonts w:ascii="Palatino Linotype" w:eastAsia="Palatino Linotype" w:hAnsi="Palatino Linotype" w:cs="Palatino Linotype"/>
          <w:color w:val="222222"/>
          <w:highlight w:val="white"/>
        </w:rPr>
        <w:t xml:space="preserve"> a este Instituto en un plazo </w:t>
      </w:r>
      <w:r>
        <w:rPr>
          <w:rFonts w:ascii="Palatino Linotype" w:eastAsia="Palatino Linotype" w:hAnsi="Palatino Linotype" w:cs="Palatino Linotype"/>
          <w:color w:val="222222"/>
        </w:rPr>
        <w:t>de</w:t>
      </w:r>
      <w:r>
        <w:rPr>
          <w:rFonts w:ascii="Palatino Linotype" w:eastAsia="Palatino Linotype" w:hAnsi="Palatino Linotype" w:cs="Palatino Linotype"/>
          <w:color w:val="222222"/>
          <w:highlight w:val="white"/>
        </w:rPr>
        <w:t xml:space="preserve"> tres días hábiles siguientes sobre el cumplimiento dado a la presente resolución.</w:t>
      </w:r>
    </w:p>
    <w:p w14:paraId="32D26BE5" w14:textId="77777777" w:rsidR="0008106A" w:rsidRDefault="00D172F3">
      <w:pPr>
        <w:spacing w:before="280" w:after="28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CUARTO.</w:t>
      </w:r>
      <w:r>
        <w:rPr>
          <w:rFonts w:ascii="Palatino Linotype" w:eastAsia="Palatino Linotype" w:hAnsi="Palatino Linotype" w:cs="Palatino Linotype"/>
          <w:color w:val="000000"/>
          <w:sz w:val="28"/>
          <w:szCs w:val="28"/>
        </w:rPr>
        <w:t xml:space="preserve"> </w:t>
      </w:r>
      <w:r>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14:paraId="4D81F4AD" w14:textId="77777777" w:rsidR="0008106A" w:rsidRDefault="00D172F3">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sz w:val="28"/>
          <w:szCs w:val="28"/>
        </w:rPr>
        <w:t>QUINTO</w:t>
      </w:r>
      <w:r>
        <w:rPr>
          <w:rFonts w:ascii="Palatino Linotype" w:eastAsia="Palatino Linotype" w:hAnsi="Palatino Linotype" w:cs="Palatino Linotype"/>
          <w:b/>
          <w:color w:val="222222"/>
        </w:rPr>
        <w:t>. Notifíquese</w:t>
      </w:r>
      <w:r>
        <w:rPr>
          <w:rFonts w:ascii="Palatino Linotype" w:eastAsia="Palatino Linotype" w:hAnsi="Palatino Linotype" w:cs="Palatino Linotype"/>
          <w:color w:val="222222"/>
        </w:rPr>
        <w:t xml:space="preserve"> al </w:t>
      </w:r>
      <w:r>
        <w:rPr>
          <w:rFonts w:ascii="Palatino Linotype" w:eastAsia="Palatino Linotype" w:hAnsi="Palatino Linotype" w:cs="Palatino Linotype"/>
          <w:b/>
          <w:color w:val="222222"/>
        </w:rPr>
        <w:t>RECURRENTE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b/>
          <w:color w:val="222222"/>
        </w:rPr>
        <w:t>vía SAIMEX</w:t>
      </w:r>
      <w:r>
        <w:rPr>
          <w:rFonts w:ascii="Palatino Linotype" w:eastAsia="Palatino Linotype" w:hAnsi="Palatino Linotype" w:cs="Palatino Linotype"/>
          <w:color w:val="222222"/>
        </w:rPr>
        <w:t xml:space="preserve"> la </w:t>
      </w:r>
      <w:r>
        <w:rPr>
          <w:rFonts w:ascii="Palatino Linotype" w:eastAsia="Palatino Linotype" w:hAnsi="Palatino Linotype" w:cs="Palatino Linotype"/>
        </w:rPr>
        <w:t>presente</w:t>
      </w:r>
      <w:r>
        <w:rPr>
          <w:rFonts w:ascii="Palatino Linotype" w:eastAsia="Palatino Linotype" w:hAnsi="Palatino Linotype" w:cs="Palatino Linotype"/>
          <w:color w:val="222222"/>
        </w:rPr>
        <w:t xml:space="preserve"> resolución.</w:t>
      </w:r>
    </w:p>
    <w:p w14:paraId="0D946B70" w14:textId="77777777" w:rsidR="0008106A" w:rsidRDefault="0008106A">
      <w:pPr>
        <w:spacing w:line="360" w:lineRule="auto"/>
        <w:ind w:right="49"/>
        <w:jc w:val="both"/>
        <w:rPr>
          <w:rFonts w:ascii="Palatino Linotype" w:eastAsia="Palatino Linotype" w:hAnsi="Palatino Linotype" w:cs="Palatino Linotype"/>
          <w:b/>
          <w:color w:val="222222"/>
        </w:rPr>
      </w:pPr>
    </w:p>
    <w:p w14:paraId="11EA7252" w14:textId="77777777" w:rsidR="0008106A" w:rsidRDefault="00D172F3">
      <w:pPr>
        <w:spacing w:line="360" w:lineRule="auto"/>
        <w:jc w:val="both"/>
        <w:rPr>
          <w:rFonts w:ascii="Palatino Linotype" w:eastAsia="Palatino Linotype" w:hAnsi="Palatino Linotype" w:cs="Palatino Linotype"/>
          <w:color w:val="222222"/>
          <w:sz w:val="26"/>
          <w:szCs w:val="26"/>
        </w:rPr>
      </w:pPr>
      <w:r>
        <w:rPr>
          <w:rFonts w:ascii="Palatino Linotype" w:eastAsia="Palatino Linotype" w:hAnsi="Palatino Linotype" w:cs="Palatino Linotype"/>
          <w:b/>
          <w:color w:val="222222"/>
          <w:sz w:val="28"/>
          <w:szCs w:val="28"/>
        </w:rPr>
        <w:t>SEXTO.</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b/>
          <w:color w:val="222222"/>
        </w:rPr>
        <w:t>Hágase del conocimiento</w:t>
      </w:r>
      <w:r>
        <w:rPr>
          <w:rFonts w:ascii="Palatino Linotype" w:eastAsia="Palatino Linotype" w:hAnsi="Palatino Linotype" w:cs="Palatino Linotype"/>
          <w:color w:val="222222"/>
        </w:rPr>
        <w:t xml:space="preserve"> al </w:t>
      </w:r>
      <w:r>
        <w:rPr>
          <w:rFonts w:ascii="Palatino Linotype" w:eastAsia="Palatino Linotype" w:hAnsi="Palatino Linotype" w:cs="Palatino Linotype"/>
          <w:b/>
          <w:color w:val="222222"/>
        </w:rPr>
        <w:t>RECURRENTE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rPr>
        <w:t>que, de conformidad con lo establecido en el artículo 196 de la Ley de Transparencia y Acceso a la Información Pública del Estado de México y Municipios,</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color w:val="000000"/>
          <w:highlight w:val="white"/>
        </w:rPr>
        <w:t xml:space="preserve">podrá </w:t>
      </w:r>
      <w:r>
        <w:rPr>
          <w:rFonts w:ascii="Palatino Linotype" w:eastAsia="Palatino Linotype" w:hAnsi="Palatino Linotype" w:cs="Palatino Linotype"/>
          <w:highlight w:val="white"/>
        </w:rPr>
        <w:t>impugnarla vía</w:t>
      </w:r>
      <w:r>
        <w:rPr>
          <w:rFonts w:ascii="Palatino Linotype" w:eastAsia="Palatino Linotype" w:hAnsi="Palatino Linotype" w:cs="Palatino Linotype"/>
          <w:color w:val="222222"/>
          <w:highlight w:val="white"/>
        </w:rPr>
        <w:t xml:space="preserve"> juicio de amparo en los términos de las leyes aplicables.</w:t>
      </w:r>
    </w:p>
    <w:p w14:paraId="6A3063F7" w14:textId="77777777" w:rsidR="0008106A" w:rsidRDefault="00D172F3">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Pr>
          <w:rFonts w:ascii="Palatino Linotype" w:eastAsia="Palatino Linotype" w:hAnsi="Palatino Linotype" w:cs="Palatino Linotype"/>
        </w:rPr>
        <w:lastRenderedPageBreak/>
        <w:t>(AUSENCIA JUSTIFICADA); LUIS GUSTAVO PARRA NORIEGA Y GUADALUPE RAMÍREZ PEÑA; EN LA TERCERA SESIÓN ORDINARIA CELEBRADA EL VEINTISIETE DE ENERO DE DOS MIL VEINTIDÓS, ANTE EL SECRETARIO TÉCNICO DEL PLENO, ALEXIS TAPIA RAMÍREZ.</w:t>
      </w:r>
    </w:p>
    <w:p w14:paraId="5D77F310" w14:textId="77777777" w:rsidR="0008106A" w:rsidRDefault="00D172F3">
      <w:pPr>
        <w:widowControl w:val="0"/>
        <w:spacing w:before="280" w:after="28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JMV/CCR/BLA/DEMF/PMRE </w:t>
      </w:r>
    </w:p>
    <w:p w14:paraId="67F76109" w14:textId="77777777" w:rsidR="00F06F61" w:rsidRDefault="00D172F3" w:rsidP="00F06F61">
      <w:pPr>
        <w:spacing w:after="160" w:line="259" w:lineRule="auto"/>
      </w:pPr>
      <w:r>
        <w:br w:type="page"/>
      </w:r>
    </w:p>
    <w:p w14:paraId="31BFC483" w14:textId="77777777" w:rsidR="00F06F61" w:rsidRDefault="00F06F61" w:rsidP="00F06F61">
      <w:pPr>
        <w:spacing w:after="160" w:line="259" w:lineRule="auto"/>
      </w:pPr>
    </w:p>
    <w:p w14:paraId="75BA9701" w14:textId="18528B89" w:rsidR="0008106A" w:rsidRDefault="00D172F3" w:rsidP="00F06F61">
      <w:pPr>
        <w:spacing w:after="160" w:line="259"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                                                                                                                                                                                                                                                                                  </w:t>
      </w:r>
    </w:p>
    <w:p w14:paraId="123FF4FB" w14:textId="77777777" w:rsidR="0008106A" w:rsidRDefault="0008106A">
      <w:pPr>
        <w:spacing w:after="160" w:line="259" w:lineRule="auto"/>
        <w:rPr>
          <w:rFonts w:ascii="Palatino Linotype" w:eastAsia="Palatino Linotype" w:hAnsi="Palatino Linotype" w:cs="Palatino Linotype"/>
          <w:sz w:val="20"/>
          <w:szCs w:val="20"/>
        </w:rPr>
      </w:pPr>
    </w:p>
    <w:p w14:paraId="3AA5FF26" w14:textId="77777777" w:rsidR="0008106A" w:rsidRDefault="0008106A">
      <w:pPr>
        <w:spacing w:line="360" w:lineRule="auto"/>
        <w:ind w:right="51"/>
        <w:jc w:val="both"/>
        <w:rPr>
          <w:sz w:val="20"/>
          <w:szCs w:val="20"/>
        </w:rPr>
      </w:pPr>
    </w:p>
    <w:sectPr w:rsidR="0008106A">
      <w:headerReference w:type="even" r:id="rId23"/>
      <w:headerReference w:type="default" r:id="rId24"/>
      <w:footerReference w:type="default" r:id="rId25"/>
      <w:headerReference w:type="first" r:id="rId26"/>
      <w:footerReference w:type="first" r:id="rId27"/>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4AC16" w14:textId="77777777" w:rsidR="004F00F8" w:rsidRDefault="00D172F3">
      <w:r>
        <w:separator/>
      </w:r>
    </w:p>
  </w:endnote>
  <w:endnote w:type="continuationSeparator" w:id="0">
    <w:p w14:paraId="7223C0B7" w14:textId="77777777" w:rsidR="004F00F8" w:rsidRDefault="00D1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F5D9" w14:textId="77777777" w:rsidR="0008106A" w:rsidRDefault="00D172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D031B">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D031B">
      <w:rPr>
        <w:rFonts w:ascii="Palatino Linotype" w:eastAsia="Palatino Linotype" w:hAnsi="Palatino Linotype" w:cs="Palatino Linotype"/>
        <w:noProof/>
        <w:color w:val="000000"/>
        <w:sz w:val="22"/>
        <w:szCs w:val="22"/>
      </w:rPr>
      <w:t>43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D2C37" w14:textId="77777777" w:rsidR="0008106A" w:rsidRDefault="00D172F3">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D031B">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D031B">
      <w:rPr>
        <w:rFonts w:ascii="Palatino Linotype" w:eastAsia="Palatino Linotype" w:hAnsi="Palatino Linotype" w:cs="Palatino Linotype"/>
        <w:noProof/>
        <w:color w:val="000000"/>
        <w:sz w:val="22"/>
        <w:szCs w:val="22"/>
      </w:rPr>
      <w:t>43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99400" w14:textId="77777777" w:rsidR="004F00F8" w:rsidRDefault="00D172F3">
      <w:r>
        <w:separator/>
      </w:r>
    </w:p>
  </w:footnote>
  <w:footnote w:type="continuationSeparator" w:id="0">
    <w:p w14:paraId="5F50F603" w14:textId="77777777" w:rsidR="004F00F8" w:rsidRDefault="00D17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E2049" w14:textId="77777777" w:rsidR="0008106A" w:rsidRDefault="00BD031B">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512604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40pt;height:10in;z-index:-251657728;mso-position-horizontal:center;mso-position-horizontal-relative:margin;mso-position-vertical:center;mso-position-vertical-relative:margin">
          <v:imagedata r:id="rId1" o:title="image1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E1F3" w14:textId="77777777" w:rsidR="0008106A" w:rsidRDefault="00BD031B">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3A9750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40pt;height:10in;z-index:-251659776;mso-position-horizontal:center;mso-position-horizontal-relative:margin;mso-position-vertical:center;mso-position-vertical-relative:margin">
          <v:imagedata r:id="rId1" o:title="image12"/>
          <w10:wrap anchorx="margin" anchory="margin"/>
        </v:shape>
      </w:pict>
    </w:r>
  </w:p>
  <w:tbl>
    <w:tblPr>
      <w:tblStyle w:val="af0"/>
      <w:tblW w:w="9356" w:type="dxa"/>
      <w:tblInd w:w="-142" w:type="dxa"/>
      <w:tblLayout w:type="fixed"/>
      <w:tblLook w:val="0400" w:firstRow="0" w:lastRow="0" w:firstColumn="0" w:lastColumn="0" w:noHBand="0" w:noVBand="1"/>
    </w:tblPr>
    <w:tblGrid>
      <w:gridCol w:w="3828"/>
      <w:gridCol w:w="2551"/>
      <w:gridCol w:w="2977"/>
    </w:tblGrid>
    <w:tr w:rsidR="0008106A" w14:paraId="354E7FD8" w14:textId="77777777">
      <w:tc>
        <w:tcPr>
          <w:tcW w:w="3828" w:type="dxa"/>
          <w:vMerge w:val="restart"/>
        </w:tcPr>
        <w:p w14:paraId="44AF1845" w14:textId="77777777" w:rsidR="0008106A" w:rsidRDefault="00D172F3">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14:anchorId="59E5561C" wp14:editId="4E2553E7">
                <wp:extent cx="1692162" cy="852673"/>
                <wp:effectExtent l="0" t="0" r="0" b="0"/>
                <wp:docPr id="1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0C42E59D" w14:textId="77777777" w:rsidR="0008106A" w:rsidRDefault="00D172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shd w:val="clear" w:color="auto" w:fill="auto"/>
        </w:tcPr>
        <w:p w14:paraId="7D6F63A4" w14:textId="77777777" w:rsidR="0008106A" w:rsidRDefault="00D172F3">
          <w:r>
            <w:rPr>
              <w:rFonts w:ascii="Palatino Linotype" w:eastAsia="Palatino Linotype" w:hAnsi="Palatino Linotype" w:cs="Palatino Linotype"/>
              <w:b/>
              <w:sz w:val="22"/>
              <w:szCs w:val="22"/>
            </w:rPr>
            <w:t>05477/INFOEM/IP/RR/2021</w:t>
          </w:r>
        </w:p>
      </w:tc>
    </w:tr>
    <w:tr w:rsidR="0008106A" w14:paraId="77DB904E" w14:textId="77777777">
      <w:tc>
        <w:tcPr>
          <w:tcW w:w="3828" w:type="dxa"/>
          <w:vMerge/>
        </w:tcPr>
        <w:p w14:paraId="1F8B3F49" w14:textId="77777777" w:rsidR="0008106A" w:rsidRDefault="0008106A">
          <w:pPr>
            <w:widowControl w:val="0"/>
            <w:pBdr>
              <w:top w:val="nil"/>
              <w:left w:val="nil"/>
              <w:bottom w:val="nil"/>
              <w:right w:val="nil"/>
              <w:between w:val="nil"/>
            </w:pBdr>
            <w:spacing w:line="276" w:lineRule="auto"/>
          </w:pPr>
        </w:p>
      </w:tc>
      <w:tc>
        <w:tcPr>
          <w:tcW w:w="2551" w:type="dxa"/>
          <w:shd w:val="clear" w:color="auto" w:fill="auto"/>
        </w:tcPr>
        <w:p w14:paraId="3C07A7BD" w14:textId="77777777" w:rsidR="0008106A" w:rsidRDefault="00D172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tcPr>
        <w:p w14:paraId="0CBADDCC" w14:textId="77777777" w:rsidR="0008106A" w:rsidRDefault="00D172F3">
          <w:r>
            <w:rPr>
              <w:rFonts w:ascii="Palatino Linotype" w:eastAsia="Palatino Linotype" w:hAnsi="Palatino Linotype" w:cs="Palatino Linotype"/>
              <w:b/>
              <w:sz w:val="22"/>
              <w:szCs w:val="22"/>
            </w:rPr>
            <w:t>Ayuntamiento de Texcoco.</w:t>
          </w:r>
        </w:p>
      </w:tc>
    </w:tr>
    <w:tr w:rsidR="0008106A" w14:paraId="056BD48A" w14:textId="77777777">
      <w:trPr>
        <w:trHeight w:val="228"/>
      </w:trPr>
      <w:tc>
        <w:tcPr>
          <w:tcW w:w="3828" w:type="dxa"/>
          <w:vMerge/>
        </w:tcPr>
        <w:p w14:paraId="3D3BFF31" w14:textId="77777777" w:rsidR="0008106A" w:rsidRDefault="0008106A">
          <w:pPr>
            <w:widowControl w:val="0"/>
            <w:pBdr>
              <w:top w:val="nil"/>
              <w:left w:val="nil"/>
              <w:bottom w:val="nil"/>
              <w:right w:val="nil"/>
              <w:between w:val="nil"/>
            </w:pBdr>
            <w:spacing w:line="276" w:lineRule="auto"/>
          </w:pPr>
        </w:p>
      </w:tc>
      <w:tc>
        <w:tcPr>
          <w:tcW w:w="2551" w:type="dxa"/>
          <w:shd w:val="clear" w:color="auto" w:fill="auto"/>
        </w:tcPr>
        <w:p w14:paraId="41B9C235" w14:textId="77777777" w:rsidR="0008106A" w:rsidRDefault="00D172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2977" w:type="dxa"/>
          <w:shd w:val="clear" w:color="auto" w:fill="auto"/>
        </w:tcPr>
        <w:p w14:paraId="0E5C4911" w14:textId="77777777" w:rsidR="0008106A" w:rsidRDefault="00D172F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14C570ED" w14:textId="77777777" w:rsidR="0008106A" w:rsidRDefault="0008106A">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D0FC7" w14:textId="77777777" w:rsidR="0008106A" w:rsidRDefault="00BD031B">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9109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40pt;height:10in;z-index:-251658752;mso-position-horizontal:center;mso-position-horizontal-relative:margin;mso-position-vertical:center;mso-position-vertical-relative:margin">
          <v:imagedata r:id="rId1" o:title="image12"/>
          <w10:wrap anchorx="margin" anchory="margin"/>
        </v:shape>
      </w:pict>
    </w:r>
  </w:p>
  <w:tbl>
    <w:tblPr>
      <w:tblStyle w:val="af"/>
      <w:tblW w:w="9356" w:type="dxa"/>
      <w:tblInd w:w="-142" w:type="dxa"/>
      <w:tblLayout w:type="fixed"/>
      <w:tblLook w:val="0400" w:firstRow="0" w:lastRow="0" w:firstColumn="0" w:lastColumn="0" w:noHBand="0" w:noVBand="1"/>
    </w:tblPr>
    <w:tblGrid>
      <w:gridCol w:w="3828"/>
      <w:gridCol w:w="2551"/>
      <w:gridCol w:w="2977"/>
    </w:tblGrid>
    <w:tr w:rsidR="0008106A" w14:paraId="505BB1F7" w14:textId="77777777">
      <w:tc>
        <w:tcPr>
          <w:tcW w:w="3828" w:type="dxa"/>
          <w:vMerge w:val="restart"/>
        </w:tcPr>
        <w:p w14:paraId="6F130D72" w14:textId="77777777" w:rsidR="0008106A" w:rsidRDefault="00D172F3">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14:anchorId="5C4B79CC" wp14:editId="568C606C">
                <wp:extent cx="1692162" cy="852673"/>
                <wp:effectExtent l="0" t="0" r="0" b="0"/>
                <wp:docPr id="1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48F7CB8B" w14:textId="77777777" w:rsidR="0008106A" w:rsidRDefault="00D172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65487A85" w14:textId="77777777" w:rsidR="0008106A" w:rsidRDefault="00D172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2977" w:type="dxa"/>
          <w:shd w:val="clear" w:color="auto" w:fill="auto"/>
        </w:tcPr>
        <w:p w14:paraId="28913728" w14:textId="77777777" w:rsidR="0008106A" w:rsidRDefault="00D172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05477/INFOEM/IP/RR/2021</w:t>
          </w:r>
        </w:p>
        <w:p w14:paraId="65FDB027" w14:textId="0552DD67" w:rsidR="0008106A" w:rsidRDefault="00BD031B" w:rsidP="00BD031B">
          <w:pPr>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xxxxxxxxxxxxxxxxxxxxxxxx</w:t>
          </w:r>
          <w:proofErr w:type="spellEnd"/>
          <w:r w:rsidR="00D172F3">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w:t>
          </w:r>
          <w:proofErr w:type="spellEnd"/>
          <w:r w:rsidR="00D172F3">
            <w:rPr>
              <w:rFonts w:ascii="Palatino Linotype" w:eastAsia="Palatino Linotype" w:hAnsi="Palatino Linotype" w:cs="Palatino Linotype"/>
              <w:b/>
              <w:sz w:val="22"/>
              <w:szCs w:val="22"/>
            </w:rPr>
            <w:t xml:space="preserve"> </w:t>
          </w:r>
        </w:p>
      </w:tc>
    </w:tr>
    <w:tr w:rsidR="0008106A" w14:paraId="0E6591EE" w14:textId="77777777">
      <w:tc>
        <w:tcPr>
          <w:tcW w:w="3828" w:type="dxa"/>
          <w:vMerge/>
        </w:tcPr>
        <w:p w14:paraId="68C73CDA" w14:textId="77777777" w:rsidR="0008106A" w:rsidRDefault="0008106A">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3E765528" w14:textId="77777777" w:rsidR="0008106A" w:rsidRDefault="00D172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tcPr>
        <w:p w14:paraId="5CADB0D4" w14:textId="77777777" w:rsidR="0008106A" w:rsidRDefault="00D172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Texcoco</w:t>
          </w:r>
        </w:p>
      </w:tc>
    </w:tr>
    <w:tr w:rsidR="0008106A" w14:paraId="1E5A8A9F" w14:textId="77777777">
      <w:trPr>
        <w:trHeight w:val="228"/>
      </w:trPr>
      <w:tc>
        <w:tcPr>
          <w:tcW w:w="3828" w:type="dxa"/>
          <w:vMerge/>
        </w:tcPr>
        <w:p w14:paraId="699C13ED" w14:textId="77777777" w:rsidR="0008106A" w:rsidRDefault="0008106A">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23B55B58" w14:textId="77777777" w:rsidR="0008106A" w:rsidRDefault="00D172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2977" w:type="dxa"/>
          <w:shd w:val="clear" w:color="auto" w:fill="auto"/>
        </w:tcPr>
        <w:p w14:paraId="7F7DF630" w14:textId="77777777" w:rsidR="0008106A" w:rsidRDefault="00D172F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José Martínez Vilchis </w:t>
          </w:r>
        </w:p>
      </w:tc>
    </w:tr>
  </w:tbl>
  <w:p w14:paraId="1284C0EB" w14:textId="77777777" w:rsidR="0008106A" w:rsidRDefault="0008106A">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40B24"/>
    <w:multiLevelType w:val="multilevel"/>
    <w:tmpl w:val="3C40CA40"/>
    <w:lvl w:ilvl="0">
      <w:start w:val="1"/>
      <w:numFmt w:val="upperRoman"/>
      <w:lvlText w:val="%1."/>
      <w:lvlJc w:val="left"/>
      <w:pPr>
        <w:ind w:left="1422" w:hanging="855"/>
      </w:pPr>
    </w:lvl>
    <w:lvl w:ilvl="1">
      <w:start w:val="1"/>
      <w:numFmt w:val="decimal"/>
      <w:lvlText w:val="%1.%2"/>
      <w:lvlJc w:val="left"/>
      <w:pPr>
        <w:ind w:left="1440" w:hanging="360"/>
      </w:pPr>
    </w:lvl>
    <w:lvl w:ilvl="2">
      <w:start w:val="1"/>
      <w:numFmt w:val="decimal"/>
      <w:lvlText w:val="%1.%2.%3"/>
      <w:lvlJc w:val="left"/>
      <w:pPr>
        <w:ind w:left="2313" w:hanging="720"/>
      </w:pPr>
    </w:lvl>
    <w:lvl w:ilvl="3">
      <w:start w:val="1"/>
      <w:numFmt w:val="decimal"/>
      <w:lvlText w:val="%1.%2.%3.%4"/>
      <w:lvlJc w:val="left"/>
      <w:pPr>
        <w:ind w:left="2826" w:hanging="720"/>
      </w:pPr>
    </w:lvl>
    <w:lvl w:ilvl="4">
      <w:start w:val="1"/>
      <w:numFmt w:val="decimal"/>
      <w:lvlText w:val="%1.%2.%3.%4.%5"/>
      <w:lvlJc w:val="left"/>
      <w:pPr>
        <w:ind w:left="3699" w:hanging="1080"/>
      </w:pPr>
    </w:lvl>
    <w:lvl w:ilvl="5">
      <w:start w:val="1"/>
      <w:numFmt w:val="decimal"/>
      <w:lvlText w:val="%1.%2.%3.%4.%5.%6"/>
      <w:lvlJc w:val="left"/>
      <w:pPr>
        <w:ind w:left="4212" w:hanging="1080"/>
      </w:pPr>
    </w:lvl>
    <w:lvl w:ilvl="6">
      <w:start w:val="1"/>
      <w:numFmt w:val="decimal"/>
      <w:lvlText w:val="%1.%2.%3.%4.%5.%6.%7"/>
      <w:lvlJc w:val="left"/>
      <w:pPr>
        <w:ind w:left="5085" w:hanging="1440"/>
      </w:pPr>
    </w:lvl>
    <w:lvl w:ilvl="7">
      <w:start w:val="1"/>
      <w:numFmt w:val="decimal"/>
      <w:lvlText w:val="%1.%2.%3.%4.%5.%6.%7.%8"/>
      <w:lvlJc w:val="left"/>
      <w:pPr>
        <w:ind w:left="5598" w:hanging="1440"/>
      </w:pPr>
    </w:lvl>
    <w:lvl w:ilvl="8">
      <w:start w:val="1"/>
      <w:numFmt w:val="decimal"/>
      <w:lvlText w:val="%1.%2.%3.%4.%5.%6.%7.%8.%9"/>
      <w:lvlJc w:val="left"/>
      <w:pPr>
        <w:ind w:left="6471"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06A"/>
    <w:rsid w:val="0008106A"/>
    <w:rsid w:val="004F00F8"/>
    <w:rsid w:val="00BD031B"/>
    <w:rsid w:val="00D172F3"/>
    <w:rsid w:val="00F06F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BDB415"/>
  <w15:docId w15:val="{FBE488E3-200E-4172-B40B-160212A2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794"/>
    <w:rPr>
      <w:lang w:eastAsia="es-ES"/>
    </w:rPr>
  </w:style>
  <w:style w:type="paragraph" w:styleId="Ttulo1">
    <w:name w:val="heading 1"/>
    <w:basedOn w:val="Normal"/>
    <w:next w:val="Normal"/>
    <w:link w:val="Ttulo1Car"/>
    <w:uiPriority w:val="9"/>
    <w:qFormat/>
    <w:rsid w:val="00846794"/>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semiHidden/>
    <w:unhideWhenUsed/>
    <w:qFormat/>
    <w:rsid w:val="0084679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846794"/>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846794"/>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semiHidden/>
    <w:unhideWhenUsed/>
    <w:qFormat/>
    <w:rsid w:val="00846794"/>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semiHidden/>
    <w:unhideWhenUsed/>
    <w:qFormat/>
    <w:rsid w:val="00846794"/>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4679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4679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4679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84679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84679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846794"/>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6794"/>
    <w:rPr>
      <w:rFonts w:eastAsiaTheme="minorEastAsia"/>
      <w:sz w:val="24"/>
      <w:szCs w:val="24"/>
      <w:lang w:val="es-ES_tradnl" w:eastAsia="es-ES"/>
    </w:rPr>
  </w:style>
  <w:style w:type="paragraph" w:styleId="Piedepgina">
    <w:name w:val="footer"/>
    <w:basedOn w:val="Normal"/>
    <w:link w:val="Piedepgina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6794"/>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46794"/>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846794"/>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679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46794"/>
    <w:rPr>
      <w:rFonts w:ascii="Times New Roman" w:eastAsia="Times New Roman" w:hAnsi="Times New Roman" w:cs="Times New Roman"/>
      <w:sz w:val="24"/>
      <w:szCs w:val="24"/>
      <w:lang w:eastAsia="es-ES"/>
    </w:rPr>
  </w:style>
  <w:style w:type="character" w:styleId="Hipervnculo">
    <w:name w:val="Hyperlink"/>
    <w:uiPriority w:val="99"/>
    <w:unhideWhenUsed/>
    <w:rsid w:val="00846794"/>
    <w:rPr>
      <w:strike w:val="0"/>
      <w:dstrike w:val="0"/>
      <w:color w:val="035899"/>
      <w:u w:val="none"/>
      <w:effect w:val="none"/>
    </w:rPr>
  </w:style>
  <w:style w:type="paragraph" w:styleId="NormalWeb">
    <w:name w:val="Normal (Web)"/>
    <w:basedOn w:val="Normal"/>
    <w:uiPriority w:val="99"/>
    <w:rsid w:val="00846794"/>
    <w:pPr>
      <w:spacing w:before="100" w:beforeAutospacing="1" w:after="100" w:afterAutospacing="1"/>
    </w:pPr>
  </w:style>
  <w:style w:type="character" w:styleId="Textoennegrita">
    <w:name w:val="Strong"/>
    <w:uiPriority w:val="22"/>
    <w:qFormat/>
    <w:rsid w:val="00846794"/>
    <w:rPr>
      <w:b/>
      <w:bCs/>
    </w:rPr>
  </w:style>
  <w:style w:type="character" w:styleId="Hipervnculovisitado">
    <w:name w:val="FollowedHyperlink"/>
    <w:basedOn w:val="Fuentedeprrafopredeter"/>
    <w:uiPriority w:val="99"/>
    <w:semiHidden/>
    <w:unhideWhenUsed/>
    <w:rsid w:val="00846794"/>
    <w:rPr>
      <w:color w:val="954F72" w:themeColor="followedHyperlink"/>
      <w:u w:val="single"/>
    </w:rPr>
  </w:style>
  <w:style w:type="paragraph" w:styleId="Textoindependiente2">
    <w:name w:val="Body Text 2"/>
    <w:basedOn w:val="Normal"/>
    <w:link w:val="Textoindependiente2Car"/>
    <w:uiPriority w:val="99"/>
    <w:unhideWhenUsed/>
    <w:rsid w:val="00846794"/>
    <w:pPr>
      <w:spacing w:after="120" w:line="480" w:lineRule="auto"/>
    </w:pPr>
  </w:style>
  <w:style w:type="character" w:customStyle="1" w:styleId="Textoindependiente2Car">
    <w:name w:val="Texto independiente 2 Car"/>
    <w:basedOn w:val="Fuentedeprrafopredeter"/>
    <w:link w:val="Textoindependiente2"/>
    <w:uiPriority w:val="99"/>
    <w:rsid w:val="00846794"/>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46794"/>
    <w:rPr>
      <w:sz w:val="16"/>
      <w:szCs w:val="16"/>
    </w:rPr>
  </w:style>
  <w:style w:type="character" w:customStyle="1" w:styleId="apple-converted-space">
    <w:name w:val="apple-converted-space"/>
    <w:basedOn w:val="Fuentedeprrafopredeter"/>
    <w:rsid w:val="00846794"/>
  </w:style>
  <w:style w:type="paragraph" w:customStyle="1" w:styleId="Default">
    <w:name w:val="Default"/>
    <w:rsid w:val="00846794"/>
    <w:pPr>
      <w:autoSpaceDE w:val="0"/>
      <w:autoSpaceDN w:val="0"/>
      <w:adjustRightInd w:val="0"/>
    </w:pPr>
    <w:rPr>
      <w:rFonts w:ascii="Arial" w:hAnsi="Arial" w:cs="Arial"/>
      <w:color w:val="000000"/>
    </w:rPr>
  </w:style>
  <w:style w:type="paragraph" w:customStyle="1" w:styleId="Listavistosa-nfasis11">
    <w:name w:val="Lista vistosa - Énfasis 11"/>
    <w:basedOn w:val="Normal"/>
    <w:link w:val="Listavistosa-nfasis1Car"/>
    <w:uiPriority w:val="34"/>
    <w:qFormat/>
    <w:rsid w:val="00846794"/>
    <w:pPr>
      <w:ind w:left="708"/>
    </w:pPr>
  </w:style>
  <w:style w:type="character" w:customStyle="1" w:styleId="Listavistosa-nfasis1Car">
    <w:name w:val="Lista vistosa - Énfasis 1 Car"/>
    <w:link w:val="Listavistosa-nfasis11"/>
    <w:uiPriority w:val="34"/>
    <w:locked/>
    <w:rsid w:val="0084679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46794"/>
    <w:pPr>
      <w:spacing w:after="101" w:line="216" w:lineRule="exact"/>
      <w:ind w:firstLine="288"/>
      <w:jc w:val="both"/>
    </w:pPr>
    <w:rPr>
      <w:rFonts w:ascii="Arial" w:hAnsi="Arial" w:cs="Arial"/>
      <w:sz w:val="18"/>
      <w:szCs w:val="18"/>
    </w:rPr>
  </w:style>
  <w:style w:type="character" w:customStyle="1" w:styleId="apple-style-span">
    <w:name w:val="apple-style-span"/>
    <w:rsid w:val="0084679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4679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4679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46794"/>
    <w:rPr>
      <w:vertAlign w:val="superscript"/>
    </w:rPr>
  </w:style>
  <w:style w:type="paragraph" w:styleId="Sinespaciado">
    <w:name w:val="No Spacing"/>
    <w:aliases w:val="Francesa"/>
    <w:link w:val="SinespaciadoCar"/>
    <w:uiPriority w:val="1"/>
    <w:qFormat/>
    <w:rsid w:val="00846794"/>
    <w:rPr>
      <w:lang w:eastAsia="es-ES"/>
    </w:rPr>
  </w:style>
  <w:style w:type="paragraph" w:styleId="Textosinformato">
    <w:name w:val="Plain Text"/>
    <w:basedOn w:val="Normal"/>
    <w:link w:val="TextosinformatoCar"/>
    <w:rsid w:val="00846794"/>
    <w:rPr>
      <w:rFonts w:ascii="Courier New" w:hAnsi="Courier New"/>
      <w:sz w:val="20"/>
      <w:szCs w:val="20"/>
    </w:rPr>
  </w:style>
  <w:style w:type="character" w:customStyle="1" w:styleId="TextosinformatoCar">
    <w:name w:val="Texto sin formato Car"/>
    <w:basedOn w:val="Fuentedeprrafopredeter"/>
    <w:link w:val="Textosinformato"/>
    <w:rsid w:val="00846794"/>
    <w:rPr>
      <w:rFonts w:ascii="Courier New" w:eastAsia="Times New Roman" w:hAnsi="Courier New" w:cs="Times New Roman"/>
      <w:sz w:val="20"/>
      <w:szCs w:val="20"/>
      <w:lang w:eastAsia="es-ES"/>
    </w:rPr>
  </w:style>
  <w:style w:type="paragraph" w:customStyle="1" w:styleId="Standard">
    <w:name w:val="Standard"/>
    <w:rsid w:val="00846794"/>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846794"/>
    <w:rPr>
      <w:rFonts w:ascii="Arial" w:hAnsi="Arial" w:cs="Arial" w:hint="default"/>
      <w:b/>
      <w:bCs/>
      <w:sz w:val="18"/>
      <w:szCs w:val="18"/>
    </w:rPr>
  </w:style>
  <w:style w:type="paragraph" w:customStyle="1" w:styleId="Pa2">
    <w:name w:val="Pa2"/>
    <w:basedOn w:val="Normal"/>
    <w:next w:val="Normal"/>
    <w:uiPriority w:val="99"/>
    <w:rsid w:val="00846794"/>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46794"/>
  </w:style>
  <w:style w:type="paragraph" w:customStyle="1" w:styleId="q">
    <w:name w:val="q"/>
    <w:basedOn w:val="Normal"/>
    <w:rsid w:val="00846794"/>
    <w:pPr>
      <w:spacing w:before="100" w:beforeAutospacing="1" w:after="100" w:afterAutospacing="1"/>
    </w:pPr>
    <w:rPr>
      <w:lang w:eastAsia="es-MX"/>
    </w:rPr>
  </w:style>
  <w:style w:type="character" w:customStyle="1" w:styleId="d">
    <w:name w:val="d"/>
    <w:basedOn w:val="Fuentedeprrafopredeter"/>
    <w:rsid w:val="00846794"/>
  </w:style>
  <w:style w:type="character" w:customStyle="1" w:styleId="b">
    <w:name w:val="b"/>
    <w:basedOn w:val="Fuentedeprrafopredeter"/>
    <w:rsid w:val="00846794"/>
  </w:style>
  <w:style w:type="character" w:customStyle="1" w:styleId="k">
    <w:name w:val="k"/>
    <w:basedOn w:val="Fuentedeprrafopredeter"/>
    <w:rsid w:val="00846794"/>
  </w:style>
  <w:style w:type="character" w:customStyle="1" w:styleId="h">
    <w:name w:val="h"/>
    <w:basedOn w:val="Fuentedeprrafopredeter"/>
    <w:rsid w:val="00846794"/>
  </w:style>
  <w:style w:type="character" w:styleId="CitaHTML">
    <w:name w:val="HTML Cite"/>
    <w:uiPriority w:val="99"/>
    <w:semiHidden/>
    <w:unhideWhenUsed/>
    <w:rsid w:val="00846794"/>
    <w:rPr>
      <w:i/>
      <w:iCs/>
    </w:rPr>
  </w:style>
  <w:style w:type="paragraph" w:customStyle="1" w:styleId="RSCGnotaalpie">
    <w:name w:val="RSCG nota al pie"/>
    <w:basedOn w:val="Normal"/>
    <w:uiPriority w:val="99"/>
    <w:qFormat/>
    <w:rsid w:val="00846794"/>
    <w:pPr>
      <w:spacing w:after="120"/>
      <w:jc w:val="both"/>
    </w:pPr>
    <w:rPr>
      <w:rFonts w:ascii="Palatino" w:hAnsi="Palatino" w:cstheme="minorBidi"/>
      <w:sz w:val="22"/>
      <w:szCs w:val="22"/>
      <w:lang w:eastAsia="en-US"/>
    </w:rPr>
  </w:style>
  <w:style w:type="character" w:customStyle="1" w:styleId="lbl-encabezado-blanco2">
    <w:name w:val="lbl-encabezado-blanco2"/>
    <w:rsid w:val="00846794"/>
    <w:rPr>
      <w:color w:val="FFFFFF"/>
    </w:rPr>
  </w:style>
  <w:style w:type="character" w:customStyle="1" w:styleId="TextoCar">
    <w:name w:val="Texto Car"/>
    <w:link w:val="Texto"/>
    <w:locked/>
    <w:rsid w:val="00846794"/>
    <w:rPr>
      <w:rFonts w:ascii="Arial" w:eastAsia="Times New Roman" w:hAnsi="Arial" w:cs="Arial"/>
      <w:sz w:val="18"/>
      <w:szCs w:val="18"/>
      <w:lang w:eastAsia="es-ES"/>
    </w:rPr>
  </w:style>
  <w:style w:type="paragraph" w:customStyle="1" w:styleId="ANOTACION">
    <w:name w:val="ANOTACION"/>
    <w:basedOn w:val="Normal"/>
    <w:link w:val="ANOTACIONCar"/>
    <w:rsid w:val="00846794"/>
    <w:pPr>
      <w:spacing w:before="101" w:after="101"/>
      <w:jc w:val="center"/>
    </w:pPr>
    <w:rPr>
      <w:b/>
      <w:sz w:val="18"/>
      <w:szCs w:val="18"/>
    </w:rPr>
  </w:style>
  <w:style w:type="character" w:customStyle="1" w:styleId="ANOTACIONCar">
    <w:name w:val="ANOTACION Car"/>
    <w:link w:val="ANOTACION"/>
    <w:locked/>
    <w:rsid w:val="00846794"/>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846794"/>
    <w:rPr>
      <w:i/>
      <w:iCs/>
    </w:rPr>
  </w:style>
  <w:style w:type="character" w:customStyle="1" w:styleId="SinespaciadoCar">
    <w:name w:val="Sin espaciado Car"/>
    <w:aliases w:val="Francesa Car"/>
    <w:link w:val="Sinespaciado"/>
    <w:uiPriority w:val="1"/>
    <w:locked/>
    <w:rsid w:val="00846794"/>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46794"/>
  </w:style>
  <w:style w:type="paragraph" w:styleId="Textocomentario">
    <w:name w:val="annotation text"/>
    <w:basedOn w:val="Normal"/>
    <w:link w:val="TextocomentarioCar"/>
    <w:uiPriority w:val="99"/>
    <w:semiHidden/>
    <w:unhideWhenUsed/>
    <w:rsid w:val="00846794"/>
    <w:rPr>
      <w:sz w:val="20"/>
      <w:szCs w:val="20"/>
    </w:rPr>
  </w:style>
  <w:style w:type="character" w:customStyle="1" w:styleId="TextocomentarioCar">
    <w:name w:val="Texto comentario Car"/>
    <w:basedOn w:val="Fuentedeprrafopredeter"/>
    <w:link w:val="Textocomentario"/>
    <w:uiPriority w:val="99"/>
    <w:semiHidden/>
    <w:rsid w:val="0084679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46794"/>
    <w:rPr>
      <w:b/>
      <w:bCs/>
    </w:rPr>
  </w:style>
  <w:style w:type="character" w:customStyle="1" w:styleId="AsuntodelcomentarioCar">
    <w:name w:val="Asunto del comentario Car"/>
    <w:basedOn w:val="TextocomentarioCar"/>
    <w:link w:val="Asuntodelcomentario"/>
    <w:uiPriority w:val="99"/>
    <w:semiHidden/>
    <w:rsid w:val="0084679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4679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4679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46794"/>
  </w:style>
  <w:style w:type="character" w:customStyle="1" w:styleId="Ninguno">
    <w:name w:val="Ninguno"/>
    <w:rsid w:val="00846794"/>
    <w:rPr>
      <w:lang w:val="es-ES_tradnl"/>
    </w:rPr>
  </w:style>
  <w:style w:type="paragraph" w:customStyle="1" w:styleId="Cuerpo">
    <w:name w:val="Cuerpo"/>
    <w:rsid w:val="0084679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46794"/>
  </w:style>
  <w:style w:type="numbering" w:customStyle="1" w:styleId="Estiloimportado1">
    <w:name w:val="Estilo importado 1"/>
    <w:rsid w:val="00846794"/>
  </w:style>
  <w:style w:type="character" w:customStyle="1" w:styleId="normaltextrun">
    <w:name w:val="normaltextrun"/>
    <w:basedOn w:val="Fuentedeprrafopredeter"/>
    <w:rsid w:val="00846794"/>
  </w:style>
  <w:style w:type="paragraph" w:customStyle="1" w:styleId="INCISO">
    <w:name w:val="INCISO"/>
    <w:basedOn w:val="Normal"/>
    <w:rsid w:val="00846794"/>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46794"/>
    <w:pPr>
      <w:spacing w:before="100" w:beforeAutospacing="1" w:after="100" w:afterAutospacing="1"/>
    </w:pPr>
    <w:rPr>
      <w:lang w:eastAsia="es-MX"/>
    </w:rPr>
  </w:style>
  <w:style w:type="paragraph" w:customStyle="1" w:styleId="j">
    <w:name w:val="j"/>
    <w:basedOn w:val="Normal"/>
    <w:rsid w:val="00846794"/>
    <w:pPr>
      <w:spacing w:before="100" w:beforeAutospacing="1" w:after="100" w:afterAutospacing="1"/>
    </w:pPr>
    <w:rPr>
      <w:lang w:eastAsia="es-MX"/>
    </w:rPr>
  </w:style>
  <w:style w:type="character" w:customStyle="1" w:styleId="nacep">
    <w:name w:val="n_acep"/>
    <w:basedOn w:val="Fuentedeprrafopredeter"/>
    <w:rsid w:val="00846794"/>
  </w:style>
  <w:style w:type="paragraph" w:customStyle="1" w:styleId="m5212863947045306324gmail-msonormal">
    <w:name w:val="m_5212863947045306324gmail-msonormal"/>
    <w:basedOn w:val="Normal"/>
    <w:rsid w:val="00846794"/>
    <w:pPr>
      <w:spacing w:before="100" w:beforeAutospacing="1" w:after="100" w:afterAutospacing="1"/>
    </w:pPr>
    <w:rPr>
      <w:lang w:eastAsia="es-MX"/>
    </w:rPr>
  </w:style>
  <w:style w:type="character" w:customStyle="1" w:styleId="user-highlighted-active">
    <w:name w:val="user-highlighted-active"/>
    <w:basedOn w:val="Fuentedeprrafopredeter"/>
    <w:rsid w:val="00846794"/>
  </w:style>
  <w:style w:type="paragraph" w:styleId="Lista">
    <w:name w:val="List"/>
    <w:basedOn w:val="Normal"/>
    <w:uiPriority w:val="99"/>
    <w:unhideWhenUsed/>
    <w:rsid w:val="00846794"/>
    <w:pPr>
      <w:ind w:left="283" w:hanging="283"/>
      <w:contextualSpacing/>
    </w:pPr>
    <w:rPr>
      <w:lang w:val="es-ES"/>
    </w:rPr>
  </w:style>
  <w:style w:type="paragraph" w:styleId="Lista2">
    <w:name w:val="List 2"/>
    <w:basedOn w:val="Normal"/>
    <w:uiPriority w:val="99"/>
    <w:unhideWhenUsed/>
    <w:rsid w:val="00846794"/>
    <w:pPr>
      <w:ind w:left="566" w:hanging="283"/>
      <w:contextualSpacing/>
    </w:pPr>
    <w:rPr>
      <w:lang w:val="es-ES"/>
    </w:rPr>
  </w:style>
  <w:style w:type="paragraph" w:styleId="Lista3">
    <w:name w:val="List 3"/>
    <w:basedOn w:val="Normal"/>
    <w:uiPriority w:val="99"/>
    <w:unhideWhenUsed/>
    <w:rsid w:val="00846794"/>
    <w:pPr>
      <w:ind w:left="849" w:hanging="283"/>
      <w:contextualSpacing/>
    </w:pPr>
    <w:rPr>
      <w:lang w:val="es-ES"/>
    </w:rPr>
  </w:style>
  <w:style w:type="paragraph" w:styleId="Textoindependiente">
    <w:name w:val="Body Text"/>
    <w:basedOn w:val="Normal"/>
    <w:link w:val="TextoindependienteCar"/>
    <w:uiPriority w:val="99"/>
    <w:unhideWhenUsed/>
    <w:rsid w:val="00846794"/>
    <w:pPr>
      <w:spacing w:after="120"/>
    </w:pPr>
    <w:rPr>
      <w:lang w:val="es-ES"/>
    </w:rPr>
  </w:style>
  <w:style w:type="character" w:customStyle="1" w:styleId="TextoindependienteCar">
    <w:name w:val="Texto independiente Car"/>
    <w:basedOn w:val="Fuentedeprrafopredeter"/>
    <w:link w:val="Textoindependiente"/>
    <w:uiPriority w:val="99"/>
    <w:rsid w:val="0084679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46794"/>
    <w:pPr>
      <w:spacing w:after="120"/>
      <w:ind w:left="283"/>
    </w:pPr>
    <w:rPr>
      <w:lang w:val="es-ES"/>
    </w:rPr>
  </w:style>
  <w:style w:type="character" w:customStyle="1" w:styleId="SangradetextonormalCar">
    <w:name w:val="Sangría de texto normal Car"/>
    <w:basedOn w:val="Fuentedeprrafopredeter"/>
    <w:link w:val="Sangradetextonormal"/>
    <w:uiPriority w:val="99"/>
    <w:rsid w:val="00846794"/>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4679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4679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46794"/>
  </w:style>
  <w:style w:type="character" w:customStyle="1" w:styleId="titulorubrolgt">
    <w:name w:val="titulorubrolgt"/>
    <w:basedOn w:val="Fuentedeprrafopredeter"/>
    <w:rsid w:val="00846794"/>
  </w:style>
  <w:style w:type="paragraph" w:customStyle="1" w:styleId="Text">
    <w:name w:val="Text"/>
    <w:basedOn w:val="Normal"/>
    <w:link w:val="TextChar"/>
    <w:rsid w:val="00846794"/>
    <w:pPr>
      <w:spacing w:after="240"/>
    </w:pPr>
    <w:rPr>
      <w:szCs w:val="20"/>
      <w:lang w:val="en-US" w:eastAsia="en-US"/>
    </w:rPr>
  </w:style>
  <w:style w:type="character" w:customStyle="1" w:styleId="TextChar">
    <w:name w:val="Text Char"/>
    <w:link w:val="Text"/>
    <w:locked/>
    <w:rsid w:val="0084679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46794"/>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846794"/>
    <w:rPr>
      <w:rFonts w:asciiTheme="minorHAnsi" w:eastAsia="Cambria" w:hAnsiTheme="minorHAnsi" w:cstheme="minorBidi"/>
      <w:sz w:val="20"/>
      <w:szCs w:val="20"/>
      <w:lang w:eastAsia="en-US"/>
    </w:rPr>
  </w:style>
  <w:style w:type="paragraph" w:customStyle="1" w:styleId="paragraph">
    <w:name w:val="paragraph"/>
    <w:basedOn w:val="Normal"/>
    <w:uiPriority w:val="99"/>
    <w:rsid w:val="00846794"/>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846794"/>
    <w:rPr>
      <w:rFonts w:ascii="Calibri" w:eastAsia="Calibri" w:hAnsi="Calibri"/>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84679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846794"/>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46794"/>
  </w:style>
  <w:style w:type="paragraph" w:styleId="Textoindependiente3">
    <w:name w:val="Body Text 3"/>
    <w:basedOn w:val="Normal"/>
    <w:link w:val="Textoindependiente3Car"/>
    <w:uiPriority w:val="99"/>
    <w:semiHidden/>
    <w:unhideWhenUsed/>
    <w:rsid w:val="0084679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46794"/>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846794"/>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46794"/>
  </w:style>
  <w:style w:type="numbering" w:customStyle="1" w:styleId="Sinlista2">
    <w:name w:val="Sin lista2"/>
    <w:next w:val="Sinlista"/>
    <w:uiPriority w:val="99"/>
    <w:semiHidden/>
    <w:unhideWhenUsed/>
    <w:rsid w:val="00846794"/>
  </w:style>
  <w:style w:type="numbering" w:customStyle="1" w:styleId="Sinlista3">
    <w:name w:val="Sin lista3"/>
    <w:next w:val="Sinlista"/>
    <w:uiPriority w:val="99"/>
    <w:semiHidden/>
    <w:unhideWhenUsed/>
    <w:rsid w:val="00846794"/>
  </w:style>
  <w:style w:type="table" w:customStyle="1" w:styleId="Tablaconcuadrcula3">
    <w:name w:val="Tabla con cuadrícula3"/>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846794"/>
  </w:style>
  <w:style w:type="table" w:customStyle="1" w:styleId="Tablaconcuadrcula4">
    <w:name w:val="Tabla con cuadrícula4"/>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39"/>
    <w:rsid w:val="00846794"/>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next w:val="Tablaconcuadrcula"/>
    <w:uiPriority w:val="39"/>
    <w:rsid w:val="00846794"/>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A33E08"/>
  </w:style>
  <w:style w:type="numbering" w:customStyle="1" w:styleId="Sinlista5">
    <w:name w:val="Sin lista5"/>
    <w:next w:val="Sinlista"/>
    <w:uiPriority w:val="99"/>
    <w:semiHidden/>
    <w:unhideWhenUsed/>
    <w:rsid w:val="00A33E08"/>
  </w:style>
  <w:style w:type="table" w:customStyle="1" w:styleId="Tablaconcuadrcula5">
    <w:name w:val="Tabla con cuadrícula5"/>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A33E08"/>
  </w:style>
  <w:style w:type="table" w:customStyle="1" w:styleId="Tablaconcuadrcula21">
    <w:name w:val="Tabla con cuadrícula2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A33E08"/>
  </w:style>
  <w:style w:type="numbering" w:customStyle="1" w:styleId="Sinlista21">
    <w:name w:val="Sin lista21"/>
    <w:next w:val="Sinlista"/>
    <w:uiPriority w:val="99"/>
    <w:semiHidden/>
    <w:unhideWhenUsed/>
    <w:rsid w:val="00A33E08"/>
  </w:style>
  <w:style w:type="numbering" w:customStyle="1" w:styleId="Sinlista31">
    <w:name w:val="Sin lista31"/>
    <w:next w:val="Sinlista"/>
    <w:uiPriority w:val="99"/>
    <w:semiHidden/>
    <w:unhideWhenUsed/>
    <w:rsid w:val="00A33E08"/>
  </w:style>
  <w:style w:type="table" w:customStyle="1" w:styleId="Tablaconcuadrcula31">
    <w:name w:val="Tabla con cuadrícula3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A33E08"/>
  </w:style>
  <w:style w:type="table" w:customStyle="1" w:styleId="Tablaconcuadrcula41">
    <w:name w:val="Tabla con cuadrícula4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A33E08"/>
  </w:style>
  <w:style w:type="numbering" w:customStyle="1" w:styleId="Estiloimportado11">
    <w:name w:val="Estilo importado 11"/>
    <w:rsid w:val="00A33E08"/>
  </w:style>
  <w:style w:type="numbering" w:customStyle="1" w:styleId="Sinlista1111">
    <w:name w:val="Sin lista1111"/>
    <w:next w:val="Sinlista"/>
    <w:uiPriority w:val="99"/>
    <w:semiHidden/>
    <w:unhideWhenUsed/>
    <w:rsid w:val="00A33E08"/>
  </w:style>
  <w:style w:type="numbering" w:customStyle="1" w:styleId="Sinlista6">
    <w:name w:val="Sin lista6"/>
    <w:next w:val="Sinlista"/>
    <w:uiPriority w:val="99"/>
    <w:semiHidden/>
    <w:unhideWhenUsed/>
    <w:rsid w:val="00A33E08"/>
  </w:style>
  <w:style w:type="table" w:customStyle="1" w:styleId="Tablaconcuadrcula6">
    <w:name w:val="Tabla con cuadrícula6"/>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A33E08"/>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A33E08"/>
  </w:style>
  <w:style w:type="table" w:customStyle="1" w:styleId="Tablaconcuadrcula7">
    <w:name w:val="Tabla con cuadrícula7"/>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A33E08"/>
  </w:style>
  <w:style w:type="table" w:customStyle="1" w:styleId="Tablaconcuadrcula13">
    <w:name w:val="Tabla con cuadrícula13"/>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A33E08"/>
  </w:style>
  <w:style w:type="table" w:customStyle="1" w:styleId="Tablaconcuadrcula22">
    <w:name w:val="Tabla con cuadrícula2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A33E08"/>
  </w:style>
  <w:style w:type="table" w:customStyle="1" w:styleId="Tablaconcuadrcula32">
    <w:name w:val="Tabla con cuadrícula3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A33E08"/>
  </w:style>
  <w:style w:type="table" w:customStyle="1" w:styleId="Tablaconcuadrcula42">
    <w:name w:val="Tabla con cuadrícula4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A33E08"/>
  </w:style>
  <w:style w:type="table" w:customStyle="1" w:styleId="Tablaconcuadrcula51">
    <w:name w:val="Tabla con cuadrícula5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A33E08"/>
  </w:style>
  <w:style w:type="table" w:customStyle="1" w:styleId="Tablaconcuadrcula61">
    <w:name w:val="Tabla con cuadrícula6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A33E08"/>
  </w:style>
  <w:style w:type="numbering" w:customStyle="1" w:styleId="Estiloimportado12">
    <w:name w:val="Estilo importado 12"/>
    <w:rsid w:val="00A33E08"/>
  </w:style>
  <w:style w:type="table" w:customStyle="1" w:styleId="Tablaconcuadrcula121">
    <w:name w:val="Tabla con cuadrícula121"/>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A33E08"/>
  </w:style>
  <w:style w:type="table" w:customStyle="1" w:styleId="Tablaconcuadrcula211">
    <w:name w:val="Tabla con cuadrícula2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A33E08"/>
  </w:style>
  <w:style w:type="numbering" w:customStyle="1" w:styleId="Sinlista211">
    <w:name w:val="Sin lista211"/>
    <w:next w:val="Sinlista"/>
    <w:uiPriority w:val="99"/>
    <w:semiHidden/>
    <w:unhideWhenUsed/>
    <w:rsid w:val="00A33E08"/>
  </w:style>
  <w:style w:type="numbering" w:customStyle="1" w:styleId="Sinlista311">
    <w:name w:val="Sin lista311"/>
    <w:next w:val="Sinlista"/>
    <w:uiPriority w:val="99"/>
    <w:semiHidden/>
    <w:unhideWhenUsed/>
    <w:rsid w:val="00A33E08"/>
  </w:style>
  <w:style w:type="table" w:customStyle="1" w:styleId="Tablaconcuadrcula311">
    <w:name w:val="Tabla con cuadrícula3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A33E08"/>
  </w:style>
  <w:style w:type="table" w:customStyle="1" w:styleId="Tablaconcuadrcula411">
    <w:name w:val="Tabla con cuadrícula4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A33E08"/>
  </w:style>
  <w:style w:type="numbering" w:customStyle="1" w:styleId="Sinlista121">
    <w:name w:val="Sin lista121"/>
    <w:next w:val="Sinlista"/>
    <w:uiPriority w:val="99"/>
    <w:semiHidden/>
    <w:unhideWhenUsed/>
    <w:rsid w:val="00A33E08"/>
  </w:style>
  <w:style w:type="numbering" w:customStyle="1" w:styleId="Sinlista11111">
    <w:name w:val="Sin lista11111"/>
    <w:next w:val="Sinlista"/>
    <w:uiPriority w:val="99"/>
    <w:semiHidden/>
    <w:unhideWhenUsed/>
    <w:rsid w:val="00A33E08"/>
  </w:style>
  <w:style w:type="numbering" w:customStyle="1" w:styleId="Sinlista2111">
    <w:name w:val="Sin lista2111"/>
    <w:next w:val="Sinlista"/>
    <w:uiPriority w:val="99"/>
    <w:semiHidden/>
    <w:unhideWhenUsed/>
    <w:rsid w:val="00A33E08"/>
  </w:style>
  <w:style w:type="numbering" w:customStyle="1" w:styleId="Sinlista3111">
    <w:name w:val="Sin lista3111"/>
    <w:next w:val="Sinlista"/>
    <w:uiPriority w:val="99"/>
    <w:semiHidden/>
    <w:unhideWhenUsed/>
    <w:rsid w:val="00A33E08"/>
  </w:style>
  <w:style w:type="numbering" w:customStyle="1" w:styleId="Sinlista4111">
    <w:name w:val="Sin lista4111"/>
    <w:next w:val="Sinlista"/>
    <w:uiPriority w:val="99"/>
    <w:semiHidden/>
    <w:unhideWhenUsed/>
    <w:rsid w:val="00A33E08"/>
  </w:style>
  <w:style w:type="numbering" w:customStyle="1" w:styleId="Sinlista71">
    <w:name w:val="Sin lista71"/>
    <w:next w:val="Sinlista"/>
    <w:uiPriority w:val="99"/>
    <w:semiHidden/>
    <w:unhideWhenUsed/>
    <w:rsid w:val="00A33E08"/>
  </w:style>
  <w:style w:type="table" w:customStyle="1" w:styleId="Tablaconcuadrcula8">
    <w:name w:val="Tabla con cuadrícula8"/>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A33E08"/>
  </w:style>
  <w:style w:type="numbering" w:customStyle="1" w:styleId="Estiloimportado111">
    <w:name w:val="Estilo importado 111"/>
    <w:rsid w:val="00A33E08"/>
  </w:style>
  <w:style w:type="numbering" w:customStyle="1" w:styleId="Sinlista131">
    <w:name w:val="Sin lista131"/>
    <w:next w:val="Sinlista"/>
    <w:uiPriority w:val="99"/>
    <w:semiHidden/>
    <w:unhideWhenUsed/>
    <w:rsid w:val="00A33E08"/>
  </w:style>
  <w:style w:type="numbering" w:customStyle="1" w:styleId="Sinlista1121">
    <w:name w:val="Sin lista1121"/>
    <w:next w:val="Sinlista"/>
    <w:uiPriority w:val="99"/>
    <w:semiHidden/>
    <w:unhideWhenUsed/>
    <w:rsid w:val="00A33E08"/>
  </w:style>
  <w:style w:type="table" w:customStyle="1" w:styleId="Tablaconcuadrcula1121">
    <w:name w:val="Tabla con cuadrícula112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A33E08"/>
  </w:style>
  <w:style w:type="numbering" w:customStyle="1" w:styleId="Sinlista321">
    <w:name w:val="Sin lista321"/>
    <w:next w:val="Sinlista"/>
    <w:uiPriority w:val="99"/>
    <w:semiHidden/>
    <w:unhideWhenUsed/>
    <w:rsid w:val="00A33E08"/>
  </w:style>
  <w:style w:type="numbering" w:customStyle="1" w:styleId="Sinlista421">
    <w:name w:val="Sin lista421"/>
    <w:next w:val="Sinlista"/>
    <w:uiPriority w:val="99"/>
    <w:semiHidden/>
    <w:unhideWhenUsed/>
    <w:rsid w:val="00A33E08"/>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styleId="Tabladecuadrcula1clara-nfasis1">
    <w:name w:val="Grid Table 1 Light Accent 1"/>
    <w:basedOn w:val="Tablanormal"/>
    <w:uiPriority w:val="46"/>
    <w:rsid w:val="00930A1A"/>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2-nfasis5">
    <w:name w:val="Grid Table 2 Accent 5"/>
    <w:basedOn w:val="Tablanormal"/>
    <w:uiPriority w:val="47"/>
    <w:rsid w:val="00930A1A"/>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3-nfasis1">
    <w:name w:val="Grid Table 3 Accent 1"/>
    <w:basedOn w:val="Tablanormal"/>
    <w:uiPriority w:val="48"/>
    <w:rsid w:val="00930A1A"/>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decuadrcula3-nfasis5">
    <w:name w:val="Grid Table 3 Accent 5"/>
    <w:basedOn w:val="Tablanormal"/>
    <w:uiPriority w:val="48"/>
    <w:rsid w:val="00930A1A"/>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normal4">
    <w:name w:val="Plain Table 4"/>
    <w:basedOn w:val="Tablanormal"/>
    <w:uiPriority w:val="44"/>
    <w:rsid w:val="008563C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8563C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1">
    <w:name w:val="Plain Table 1"/>
    <w:basedOn w:val="Tablanormal"/>
    <w:uiPriority w:val="41"/>
    <w:rsid w:val="008563C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5"/>
    <w:tblPr>
      <w:tblStyleRowBandSize w:val="1"/>
      <w:tblStyleColBandSize w:val="1"/>
      <w:tblCellMar>
        <w:top w:w="0" w:type="dxa"/>
        <w:left w:w="115" w:type="dxa"/>
        <w:bottom w:w="0" w:type="dxa"/>
        <w:right w:w="115" w:type="dxa"/>
      </w:tblCellMar>
    </w:tbl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1">
    <w:basedOn w:val="TableNormal5"/>
    <w:tblPr>
      <w:tblStyleRowBandSize w:val="1"/>
      <w:tblStyleColBandSize w:val="1"/>
      <w:tblCellMar>
        <w:top w:w="0" w:type="dxa"/>
        <w:left w:w="115" w:type="dxa"/>
        <w:bottom w:w="0" w:type="dxa"/>
        <w:right w:w="115" w:type="dxa"/>
      </w:tblCellMar>
    </w:tblPr>
  </w:style>
  <w:style w:type="table" w:customStyle="1" w:styleId="a2">
    <w:basedOn w:val="TableNormal5"/>
    <w:tblPr>
      <w:tblStyleRowBandSize w:val="1"/>
      <w:tblStyleColBandSize w:val="1"/>
      <w:tblCellMar>
        <w:top w:w="0" w:type="dxa"/>
        <w:left w:w="115" w:type="dxa"/>
        <w:bottom w:w="0" w:type="dxa"/>
        <w:right w:w="115" w:type="dxa"/>
      </w:tblCellMar>
    </w:tblPr>
  </w:style>
  <w:style w:type="table" w:customStyle="1" w:styleId="a3">
    <w:basedOn w:val="TableNormal5"/>
    <w:tblPr>
      <w:tblStyleRowBandSize w:val="1"/>
      <w:tblStyleColBandSize w:val="1"/>
      <w:tblCellMar>
        <w:top w:w="0" w:type="dxa"/>
        <w:left w:w="115" w:type="dxa"/>
        <w:bottom w:w="0" w:type="dxa"/>
        <w:right w:w="115" w:type="dxa"/>
      </w:tblCellMar>
    </w:tblPr>
  </w:style>
  <w:style w:type="table" w:customStyle="1" w:styleId="a4">
    <w:basedOn w:val="TableNormal5"/>
    <w:tblPr>
      <w:tblStyleRowBandSize w:val="1"/>
      <w:tblStyleColBandSize w:val="1"/>
      <w:tblCellMar>
        <w:top w:w="0" w:type="dxa"/>
        <w:left w:w="115" w:type="dxa"/>
        <w:bottom w:w="0" w:type="dxa"/>
        <w:right w:w="115" w:type="dxa"/>
      </w:tblCellMar>
    </w:tblPr>
  </w:style>
  <w:style w:type="table" w:customStyle="1" w:styleId="a5">
    <w:basedOn w:val="TableNormal5"/>
    <w:tblPr>
      <w:tblStyleRowBandSize w:val="1"/>
      <w:tblStyleColBandSize w:val="1"/>
      <w:tblCellMar>
        <w:top w:w="0" w:type="dxa"/>
        <w:left w:w="115" w:type="dxa"/>
        <w:bottom w:w="0" w:type="dxa"/>
        <w:right w:w="115" w:type="dxa"/>
      </w:tblCellMar>
    </w:tblPr>
  </w:style>
  <w:style w:type="table" w:customStyle="1" w:styleId="a6">
    <w:basedOn w:val="TableNormal5"/>
    <w:tblPr>
      <w:tblStyleRowBandSize w:val="1"/>
      <w:tblStyleColBandSize w:val="1"/>
      <w:tblCellMar>
        <w:top w:w="0" w:type="dxa"/>
        <w:left w:w="115" w:type="dxa"/>
        <w:bottom w:w="0" w:type="dxa"/>
        <w:right w:w="115" w:type="dxa"/>
      </w:tblCellMar>
    </w:tblPr>
  </w:style>
  <w:style w:type="table" w:customStyle="1" w:styleId="a7">
    <w:basedOn w:val="TableNormal5"/>
    <w:tblPr>
      <w:tblStyleRowBandSize w:val="1"/>
      <w:tblStyleColBandSize w:val="1"/>
      <w:tblCellMar>
        <w:top w:w="0" w:type="dxa"/>
        <w:left w:w="115" w:type="dxa"/>
        <w:bottom w:w="0" w:type="dxa"/>
        <w:right w:w="115" w:type="dxa"/>
      </w:tblCellMar>
    </w:tblPr>
  </w:style>
  <w:style w:type="table" w:customStyle="1" w:styleId="a8">
    <w:basedOn w:val="TableNormal2"/>
    <w:tblPr>
      <w:tblStyleRowBandSize w:val="1"/>
      <w:tblStyleColBandSize w:val="1"/>
      <w:tblCellMar>
        <w:top w:w="0" w:type="dxa"/>
        <w:left w:w="115" w:type="dxa"/>
        <w:bottom w:w="0" w:type="dxa"/>
        <w:right w:w="115"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osfem.gob.mx/04_Iconografia/Ent_Fisc/Doc_Apoy/Doc_Apoy_20.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osfem.gob.mx/04_Iconografia/Ent_Fisc/Doc_Apoy/Doc_Apoy_19.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80.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b0qCTG9Ti7qgFnyjzFVNiIPL0g==">AMUW2mUGj4ZVf9aR+WjS5Bh8X0RHGz7mHdizgTw65ynHdcFo4MtgACe0vOeEAAA102SD2MemEpxcw8IOS1ePH4LSfxPfzrMC/FNd8Dw4Vv9aDTudK1LG6HkSqcm3F2Qkh8pnYtne5IP9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9858</Words>
  <Characters>54220</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USUARIO</cp:lastModifiedBy>
  <cp:revision>4</cp:revision>
  <dcterms:created xsi:type="dcterms:W3CDTF">2022-01-26T01:07:00Z</dcterms:created>
  <dcterms:modified xsi:type="dcterms:W3CDTF">2022-02-22T17:13:00Z</dcterms:modified>
</cp:coreProperties>
</file>