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cuatro de mayo de dos mil veintidós. </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VISTO</w:t>
      </w:r>
      <w:r>
        <w:rPr>
          <w:rFonts w:ascii="Palatino Linotype" w:eastAsia="Palatino Linotype" w:hAnsi="Palatino Linotype" w:cs="Palatino Linotype"/>
        </w:rPr>
        <w:t xml:space="preserve"> el expediente formado con motivo del recurso de revisión </w:t>
      </w:r>
      <w:r>
        <w:rPr>
          <w:rFonts w:ascii="Palatino Linotype" w:eastAsia="Palatino Linotype" w:hAnsi="Palatino Linotype" w:cs="Palatino Linotype"/>
          <w:b/>
        </w:rPr>
        <w:t>00739/INFOEM/IP/RR/2022</w:t>
      </w:r>
      <w:r>
        <w:rPr>
          <w:rFonts w:ascii="Palatino Linotype" w:eastAsia="Palatino Linotype" w:hAnsi="Palatino Linotype" w:cs="Palatino Linotype"/>
        </w:rPr>
        <w:t>, interpuesto por</w:t>
      </w:r>
      <w:r>
        <w:rPr>
          <w:rFonts w:ascii="Palatino Linotype" w:eastAsia="Palatino Linotype" w:hAnsi="Palatino Linotype" w:cs="Palatino Linotype"/>
          <w:b/>
        </w:rPr>
        <w:t xml:space="preserve"> </w:t>
      </w:r>
      <w:r w:rsidR="002D716F">
        <w:rPr>
          <w:rFonts w:ascii="Palatino Linotype" w:eastAsia="Palatino Linotype" w:hAnsi="Palatino Linotype" w:cs="Palatino Linotype"/>
          <w:b/>
          <w:sz w:val="22"/>
          <w:szCs w:val="22"/>
        </w:rPr>
        <w:t xml:space="preserve">XXXXX XXXXXX </w:t>
      </w:r>
      <w:proofErr w:type="spellStart"/>
      <w:r w:rsidR="002D716F">
        <w:rPr>
          <w:rFonts w:ascii="Palatino Linotype" w:eastAsia="Palatino Linotype" w:hAnsi="Palatino Linotype" w:cs="Palatino Linotype"/>
          <w:b/>
          <w:sz w:val="22"/>
          <w:szCs w:val="22"/>
        </w:rPr>
        <w:t>XX</w:t>
      </w:r>
      <w:bookmarkStart w:id="0" w:name="_GoBack"/>
      <w:bookmarkEnd w:id="0"/>
      <w:r w:rsidR="002D716F">
        <w:rPr>
          <w:rFonts w:ascii="Palatino Linotype" w:eastAsia="Palatino Linotype" w:hAnsi="Palatino Linotype" w:cs="Palatino Linotype"/>
          <w:b/>
          <w:sz w:val="22"/>
          <w:szCs w:val="22"/>
        </w:rPr>
        <w:t>XXXX</w:t>
      </w:r>
      <w:proofErr w:type="spellEnd"/>
      <w:r>
        <w:rPr>
          <w:rFonts w:ascii="Palatino Linotype" w:eastAsia="Palatino Linotype" w:hAnsi="Palatino Linotype" w:cs="Palatino Linotype"/>
          <w:b/>
        </w:rPr>
        <w:t xml:space="preserve">, </w:t>
      </w:r>
      <w:r>
        <w:rPr>
          <w:rFonts w:ascii="Palatino Linotype" w:eastAsia="Palatino Linotype" w:hAnsi="Palatino Linotype" w:cs="Palatino Linotype"/>
        </w:rPr>
        <w:t>quien en lo sucesivo</w:t>
      </w:r>
      <w:r>
        <w:rPr>
          <w:rFonts w:ascii="Palatino Linotype" w:eastAsia="Palatino Linotype" w:hAnsi="Palatino Linotype" w:cs="Palatino Linotype"/>
          <w:b/>
        </w:rPr>
        <w:t xml:space="preserve"> </w:t>
      </w:r>
      <w:r>
        <w:rPr>
          <w:rFonts w:ascii="Palatino Linotype" w:eastAsia="Palatino Linotype" w:hAnsi="Palatino Linotype" w:cs="Palatino Linotype"/>
        </w:rPr>
        <w:t xml:space="preserve">será identificado en su calidad de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contra de la respuesta del </w:t>
      </w:r>
      <w:r>
        <w:rPr>
          <w:rFonts w:ascii="Palatino Linotype" w:eastAsia="Palatino Linotype" w:hAnsi="Palatino Linotype" w:cs="Palatino Linotype"/>
          <w:b/>
        </w:rPr>
        <w:t xml:space="preserve">Instituto de Seguridad Social del Estado de México y Municipios, </w:t>
      </w:r>
      <w:r>
        <w:rPr>
          <w:rFonts w:ascii="Palatino Linotype" w:eastAsia="Palatino Linotype" w:hAnsi="Palatino Linotype" w:cs="Palatino Linotype"/>
        </w:rPr>
        <w:t xml:space="preserve">en lo sucesivo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se procede a dictar la presente resolución con base en los siguientes: </w:t>
      </w:r>
    </w:p>
    <w:p w:rsidR="00294C8C" w:rsidRDefault="00FE203E">
      <w:pPr>
        <w:spacing w:before="240" w:after="240" w:line="360" w:lineRule="auto"/>
        <w:jc w:val="center"/>
        <w:rPr>
          <w:rFonts w:ascii="Palatino Linotype" w:eastAsia="Palatino Linotype" w:hAnsi="Palatino Linotype" w:cs="Palatino Linotype"/>
          <w:b/>
          <w:sz w:val="28"/>
          <w:szCs w:val="28"/>
        </w:rPr>
      </w:pPr>
      <w:r>
        <w:rPr>
          <w:rFonts w:ascii="Palatino Linotype" w:eastAsia="Palatino Linotype" w:hAnsi="Palatino Linotype" w:cs="Palatino Linotype"/>
          <w:b/>
        </w:rPr>
        <w:t>I. A N T E C E D E N T E S</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1. Solicitud de acceso a la información.</w:t>
      </w:r>
      <w:r>
        <w:rPr>
          <w:rFonts w:ascii="Palatino Linotype" w:eastAsia="Palatino Linotype" w:hAnsi="Palatino Linotype" w:cs="Palatino Linotype"/>
        </w:rPr>
        <w:t xml:space="preserve"> El </w:t>
      </w:r>
      <w:r>
        <w:rPr>
          <w:rFonts w:ascii="Palatino Linotype" w:eastAsia="Palatino Linotype" w:hAnsi="Palatino Linotype" w:cs="Palatino Linotype"/>
          <w:b/>
        </w:rPr>
        <w:t>doce de enero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presentó a través del Sistema de Acceso a la Información Mexiquense (</w:t>
      </w:r>
      <w:r>
        <w:rPr>
          <w:rFonts w:ascii="Palatino Linotype" w:eastAsia="Palatino Linotype" w:hAnsi="Palatino Linotype" w:cs="Palatino Linotype"/>
          <w:b/>
        </w:rPr>
        <w:t>SAIMEX),</w:t>
      </w:r>
      <w:r>
        <w:rPr>
          <w:rFonts w:ascii="Palatino Linotype" w:eastAsia="Palatino Linotype" w:hAnsi="Palatino Linotype" w:cs="Palatino Linotype"/>
        </w:rPr>
        <w:t xml:space="preserve"> la solicitud de acceso a la información pública registrada con el número </w:t>
      </w:r>
      <w:r>
        <w:rPr>
          <w:rFonts w:ascii="Palatino Linotype" w:eastAsia="Palatino Linotype" w:hAnsi="Palatino Linotype" w:cs="Palatino Linotype"/>
          <w:b/>
        </w:rPr>
        <w:t xml:space="preserve">00036/ISSEMYM/IP/2022, </w:t>
      </w:r>
      <w:r>
        <w:rPr>
          <w:rFonts w:ascii="Palatino Linotype" w:eastAsia="Palatino Linotype" w:hAnsi="Palatino Linotype" w:cs="Palatino Linotype"/>
        </w:rPr>
        <w:t xml:space="preserve">mediante la cual requirió la información siguiente: </w:t>
      </w:r>
    </w:p>
    <w:p w:rsidR="00294C8C" w:rsidRDefault="00FE203E">
      <w:pPr>
        <w:spacing w:line="276" w:lineRule="auto"/>
        <w:ind w:left="851" w:right="616"/>
        <w:jc w:val="both"/>
        <w:rPr>
          <w:rFonts w:ascii="Palatino Linotype" w:eastAsia="Palatino Linotype" w:hAnsi="Palatino Linotype" w:cs="Palatino Linotype"/>
          <w:i/>
          <w:sz w:val="22"/>
          <w:szCs w:val="22"/>
        </w:rPr>
      </w:pPr>
      <w:bookmarkStart w:id="1" w:name="_heading=h.gjdgxs" w:colFirst="0" w:colLast="0"/>
      <w:bookmarkEnd w:id="1"/>
      <w:r>
        <w:rPr>
          <w:rFonts w:ascii="Palatino Linotype" w:eastAsia="Palatino Linotype" w:hAnsi="Palatino Linotype" w:cs="Palatino Linotype"/>
          <w:i/>
          <w:sz w:val="22"/>
          <w:szCs w:val="22"/>
        </w:rPr>
        <w:t xml:space="preserve">“Durante la Administración 2019-2021 en el Municipio de Naucalpan de Juárez ,el Gobierno Estatal descontó al Municipio de Naucalpan hasta 90% de las participaciones recibidas para pagar el adeudo con el Instituto de Seguridad Social del Estado de México y Municipios (ISSEMYM), lo que resulta violatorio de la ley en la que se prevé máximo el 30% de aportación, 1.- por lo que solicito se me envié la resolución, convenio o instrumento celebrado por el cual se autorizó dicho descuento, 2.- Quienes lo firmaron, 3.- con que facultades y si contaban con estas, </w:t>
      </w:r>
      <w:r>
        <w:rPr>
          <w:rFonts w:ascii="Palatino Linotype" w:eastAsia="Palatino Linotype" w:hAnsi="Palatino Linotype" w:cs="Palatino Linotype"/>
          <w:i/>
          <w:sz w:val="22"/>
          <w:szCs w:val="22"/>
        </w:rPr>
        <w:lastRenderedPageBreak/>
        <w:t>4.- Si este instrumento puede rebasar lo establecido en la ley? y 5.- Que dice esta misma al respecto, 6.-Se tiene conocimiento de alguna queja o denuncia penal al respecto?, 7.-cantidades percibidas en 2019 y 2021 o link donde se puedan consultar, 8.- existe alguna demanda por daños y perjuicios o daño moral actualmente por afectación a las percepciones de los trabajadores de dicho ayuntamiento en contra de ese Organismo.</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w:t>
      </w:r>
      <w:proofErr w:type="gramStart"/>
      <w:r>
        <w:rPr>
          <w:rFonts w:ascii="Palatino Linotype" w:eastAsia="Palatino Linotype" w:hAnsi="Palatino Linotype" w:cs="Palatino Linotype"/>
          <w:i/>
          <w:sz w:val="22"/>
          <w:szCs w:val="22"/>
        </w:rPr>
        <w:t>sic</w:t>
      </w:r>
      <w:proofErr w:type="gramEnd"/>
      <w:r>
        <w:rPr>
          <w:rFonts w:ascii="Palatino Linotype" w:eastAsia="Palatino Linotype" w:hAnsi="Palatino Linotype" w:cs="Palatino Linotype"/>
          <w:i/>
          <w:sz w:val="22"/>
          <w:szCs w:val="22"/>
        </w:rPr>
        <w:t>)</w:t>
      </w:r>
    </w:p>
    <w:p w:rsidR="00294C8C" w:rsidRDefault="00294C8C">
      <w:pPr>
        <w:ind w:right="900"/>
        <w:jc w:val="both"/>
        <w:rPr>
          <w:rFonts w:ascii="Palatino Linotype" w:eastAsia="Palatino Linotype" w:hAnsi="Palatino Linotype" w:cs="Palatino Linotype"/>
        </w:rPr>
      </w:pPr>
    </w:p>
    <w:p w:rsidR="00294C8C" w:rsidRDefault="00FE203E">
      <w:pPr>
        <w:ind w:right="90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El particular no adjuntó archivos a su solicitud.</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Modalidad de Entrega:</w:t>
      </w:r>
      <w:r>
        <w:rPr>
          <w:rFonts w:ascii="Palatino Linotype" w:eastAsia="Palatino Linotype" w:hAnsi="Palatino Linotype" w:cs="Palatino Linotype"/>
        </w:rPr>
        <w:t xml:space="preserve"> A través del Sistema de Acceso a la Información Mexiquense (SAIMEX).</w:t>
      </w: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2. Respuesta.</w:t>
      </w:r>
      <w:r>
        <w:rPr>
          <w:rFonts w:ascii="Palatino Linotype" w:eastAsia="Palatino Linotype" w:hAnsi="Palatino Linotype" w:cs="Palatino Linotype"/>
        </w:rPr>
        <w:t xml:space="preserve"> El </w:t>
      </w:r>
      <w:r>
        <w:rPr>
          <w:rFonts w:ascii="Palatino Linotype" w:eastAsia="Palatino Linotype" w:hAnsi="Palatino Linotype" w:cs="Palatino Linotype"/>
          <w:b/>
        </w:rPr>
        <w:t>primero de febrero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respondió a la solicitud de acceso a la información en los términos siguientes:   </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294C8C" w:rsidRDefault="00294C8C">
      <w:pPr>
        <w:spacing w:line="276" w:lineRule="auto"/>
        <w:ind w:left="851" w:right="900"/>
        <w:jc w:val="both"/>
        <w:rPr>
          <w:rFonts w:ascii="Palatino Linotype" w:eastAsia="Palatino Linotype" w:hAnsi="Palatino Linotype" w:cs="Palatino Linotype"/>
          <w:i/>
          <w:sz w:val="22"/>
          <w:szCs w:val="22"/>
        </w:rPr>
      </w:pPr>
    </w:p>
    <w:p w:rsidR="00294C8C" w:rsidRDefault="00FE203E">
      <w:pPr>
        <w:spacing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Como archivo adjunto, encontrará el oficio que dará respuesta a su solicitud de información. Para cualquier duda o aclaración respecto a la presente respuesta, nos ponemos a sus órdenes en el teléfono (01722) 2261900 extensiones 1434072 y 1434073. MUY IMPORTANTE: Se hace de su conocimiento que, hasta nuevo aviso, por la contingencia sanitaria el horario para trámites en el Módulo de Transparencia es de 9:00 a 15:00 horas. Es indispensable que al presentarse lo realice con </w:t>
      </w:r>
      <w:proofErr w:type="spellStart"/>
      <w:r>
        <w:rPr>
          <w:rFonts w:ascii="Palatino Linotype" w:eastAsia="Palatino Linotype" w:hAnsi="Palatino Linotype" w:cs="Palatino Linotype"/>
          <w:i/>
          <w:sz w:val="22"/>
          <w:szCs w:val="22"/>
        </w:rPr>
        <w:t>cubrebocas</w:t>
      </w:r>
      <w:proofErr w:type="spellEnd"/>
      <w:r>
        <w:rPr>
          <w:rFonts w:ascii="Palatino Linotype" w:eastAsia="Palatino Linotype" w:hAnsi="Palatino Linotype" w:cs="Palatino Linotype"/>
          <w:i/>
          <w:sz w:val="22"/>
          <w:szCs w:val="22"/>
        </w:rPr>
        <w:t xml:space="preserve"> y pluma o bolígrafo personal, como medidas de seguridad sanitaria.</w:t>
      </w:r>
    </w:p>
    <w:p w:rsidR="00294C8C" w:rsidRDefault="00294C8C">
      <w:pPr>
        <w:spacing w:line="276" w:lineRule="auto"/>
        <w:ind w:left="851" w:right="900"/>
        <w:jc w:val="both"/>
        <w:rPr>
          <w:rFonts w:ascii="Palatino Linotype" w:eastAsia="Palatino Linotype" w:hAnsi="Palatino Linotype" w:cs="Palatino Linotype"/>
          <w:i/>
          <w:sz w:val="22"/>
          <w:szCs w:val="22"/>
        </w:rPr>
      </w:pPr>
    </w:p>
    <w:p w:rsidR="00294C8C" w:rsidRDefault="00FE203E">
      <w:pPr>
        <w:spacing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ATENTAMENTE</w:t>
      </w:r>
    </w:p>
    <w:p w:rsidR="00294C8C" w:rsidRDefault="00FE203E">
      <w:pPr>
        <w:spacing w:line="276" w:lineRule="auto"/>
        <w:ind w:left="851"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MTRA. EN POLÍTICAS PÚBLICAS MARÍA SARAY PÉREZ GUERRERO” (sic)</w:t>
      </w:r>
    </w:p>
    <w:p w:rsidR="00294C8C" w:rsidRDefault="00FE203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adjuntó a su respuesta un archivo electrónico identificado de la siguiente forma:</w:t>
      </w:r>
    </w:p>
    <w:p w:rsidR="00294C8C" w:rsidRDefault="00FE203E">
      <w:pPr>
        <w:numPr>
          <w:ilvl w:val="0"/>
          <w:numId w:val="6"/>
        </w:numPr>
        <w:pBdr>
          <w:top w:val="nil"/>
          <w:left w:val="nil"/>
          <w:bottom w:val="nil"/>
          <w:right w:val="nil"/>
          <w:between w:val="nil"/>
        </w:pBdr>
        <w:spacing w:before="240"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r>
        <w:rPr>
          <w:rFonts w:ascii="Palatino Linotype" w:eastAsia="Palatino Linotype" w:hAnsi="Palatino Linotype" w:cs="Palatino Linotype"/>
          <w:b/>
          <w:i/>
          <w:color w:val="000000"/>
        </w:rPr>
        <w:t xml:space="preserve">RESPUESTA 36.IP.pdf </w:t>
      </w:r>
      <w:r>
        <w:rPr>
          <w:rFonts w:ascii="Palatino Linotype" w:eastAsia="Palatino Linotype" w:hAnsi="Palatino Linotype" w:cs="Palatino Linotype"/>
          <w:color w:val="000000"/>
        </w:rPr>
        <w:t xml:space="preserve">consistente en oficio número 207C0401210001S-UT-154/2022 de fecha veintisiete de enero del año dos mil veintidós, suscrito por la Titular de la Unidad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el que se destaca lo siguiente:</w:t>
      </w:r>
    </w:p>
    <w:p w:rsidR="00294C8C" w:rsidRDefault="00FE203E">
      <w:pPr>
        <w:pBdr>
          <w:top w:val="nil"/>
          <w:left w:val="nil"/>
          <w:bottom w:val="nil"/>
          <w:right w:val="nil"/>
          <w:between w:val="nil"/>
        </w:pBdr>
        <w:spacing w:line="360" w:lineRule="auto"/>
        <w:ind w:left="781" w:right="49"/>
        <w:jc w:val="both"/>
        <w:rPr>
          <w:rFonts w:ascii="Palatino Linotype" w:eastAsia="Palatino Linotype" w:hAnsi="Palatino Linotype" w:cs="Palatino Linotype"/>
          <w:color w:val="000000"/>
        </w:rPr>
      </w:pPr>
      <w:r>
        <w:rPr>
          <w:noProof/>
          <w:color w:val="000000"/>
          <w:lang w:val="es-MX"/>
        </w:rPr>
        <w:drawing>
          <wp:inline distT="0" distB="0" distL="0" distR="0">
            <wp:extent cx="4980656" cy="578202"/>
            <wp:effectExtent l="0" t="0" r="0" b="0"/>
            <wp:docPr id="6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l="69076" t="68196" r="5678" b="26594"/>
                    <a:stretch>
                      <a:fillRect/>
                    </a:stretch>
                  </pic:blipFill>
                  <pic:spPr>
                    <a:xfrm>
                      <a:off x="0" y="0"/>
                      <a:ext cx="4980656" cy="578202"/>
                    </a:xfrm>
                    <a:prstGeom prst="rect">
                      <a:avLst/>
                    </a:prstGeom>
                    <a:ln/>
                  </pic:spPr>
                </pic:pic>
              </a:graphicData>
            </a:graphic>
          </wp:inline>
        </w:drawing>
      </w:r>
    </w:p>
    <w:p w:rsidR="00294C8C" w:rsidRDefault="00FE203E">
      <w:pPr>
        <w:pBdr>
          <w:top w:val="nil"/>
          <w:left w:val="nil"/>
          <w:bottom w:val="nil"/>
          <w:right w:val="nil"/>
          <w:between w:val="nil"/>
        </w:pBdr>
        <w:jc w:val="center"/>
        <w:rPr>
          <w:rFonts w:ascii="Palatino Linotype" w:eastAsia="Palatino Linotype" w:hAnsi="Palatino Linotype" w:cs="Palatino Linotype"/>
          <w:color w:val="000000"/>
        </w:rPr>
      </w:pPr>
      <w:r>
        <w:rPr>
          <w:noProof/>
          <w:color w:val="000000"/>
          <w:lang w:val="es-MX"/>
        </w:rPr>
        <w:drawing>
          <wp:inline distT="0" distB="0" distL="0" distR="0">
            <wp:extent cx="4821436" cy="4523957"/>
            <wp:effectExtent l="0" t="0" r="0" b="0"/>
            <wp:docPr id="6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l="69586" t="22028" r="6821" b="29088"/>
                    <a:stretch>
                      <a:fillRect/>
                    </a:stretch>
                  </pic:blipFill>
                  <pic:spPr>
                    <a:xfrm>
                      <a:off x="0" y="0"/>
                      <a:ext cx="4821436" cy="4523957"/>
                    </a:xfrm>
                    <a:prstGeom prst="rect">
                      <a:avLst/>
                    </a:prstGeom>
                    <a:ln/>
                  </pic:spPr>
                </pic:pic>
              </a:graphicData>
            </a:graphic>
          </wp:inline>
        </w:drawing>
      </w:r>
      <w:r>
        <w:rPr>
          <w:noProof/>
          <w:lang w:val="es-MX"/>
        </w:rPr>
        <mc:AlternateContent>
          <mc:Choice Requires="wpg">
            <w:drawing>
              <wp:anchor distT="0" distB="0" distL="114300" distR="114300" simplePos="0" relativeHeight="251658240" behindDoc="0" locked="0" layoutInCell="1" hidden="0" allowOverlap="1">
                <wp:simplePos x="0" y="0"/>
                <wp:positionH relativeFrom="column">
                  <wp:posOffset>508000</wp:posOffset>
                </wp:positionH>
                <wp:positionV relativeFrom="paragraph">
                  <wp:posOffset>952500</wp:posOffset>
                </wp:positionV>
                <wp:extent cx="4608526" cy="410238"/>
                <wp:effectExtent l="0" t="0" r="0" b="0"/>
                <wp:wrapNone/>
                <wp:docPr id="53" name="Rectángulo 53"/>
                <wp:cNvGraphicFramePr/>
                <a:graphic xmlns:a="http://schemas.openxmlformats.org/drawingml/2006/main">
                  <a:graphicData uri="http://schemas.microsoft.com/office/word/2010/wordprocessingShape">
                    <wps:wsp>
                      <wps:cNvSpPr/>
                      <wps:spPr>
                        <a:xfrm>
                          <a:off x="3056025" y="3589169"/>
                          <a:ext cx="4579951" cy="381663"/>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508000</wp:posOffset>
                </wp:positionH>
                <wp:positionV relativeFrom="paragraph">
                  <wp:posOffset>952500</wp:posOffset>
                </wp:positionV>
                <wp:extent cx="4608526" cy="410238"/>
                <wp:effectExtent b="0" l="0" r="0" t="0"/>
                <wp:wrapNone/>
                <wp:docPr id="53" name="image33.png"/>
                <a:graphic>
                  <a:graphicData uri="http://schemas.openxmlformats.org/drawingml/2006/picture">
                    <pic:pic>
                      <pic:nvPicPr>
                        <pic:cNvPr id="0" name="image33.png"/>
                        <pic:cNvPicPr preferRelativeResize="0"/>
                      </pic:nvPicPr>
                      <pic:blipFill>
                        <a:blip r:embed="rId10"/>
                        <a:srcRect/>
                        <a:stretch>
                          <a:fillRect/>
                        </a:stretch>
                      </pic:blipFill>
                      <pic:spPr>
                        <a:xfrm>
                          <a:off x="0" y="0"/>
                          <a:ext cx="4608526" cy="410238"/>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59264" behindDoc="0" locked="0" layoutInCell="1" hidden="0" allowOverlap="1">
                <wp:simplePos x="0" y="0"/>
                <wp:positionH relativeFrom="column">
                  <wp:posOffset>495300</wp:posOffset>
                </wp:positionH>
                <wp:positionV relativeFrom="paragraph">
                  <wp:posOffset>2540000</wp:posOffset>
                </wp:positionV>
                <wp:extent cx="4608526" cy="370481"/>
                <wp:effectExtent l="0" t="0" r="0" b="0"/>
                <wp:wrapNone/>
                <wp:docPr id="54" name="Rectángulo 54"/>
                <wp:cNvGraphicFramePr/>
                <a:graphic xmlns:a="http://schemas.openxmlformats.org/drawingml/2006/main">
                  <a:graphicData uri="http://schemas.microsoft.com/office/word/2010/wordprocessingShape">
                    <wps:wsp>
                      <wps:cNvSpPr/>
                      <wps:spPr>
                        <a:xfrm>
                          <a:off x="3056025" y="3609047"/>
                          <a:ext cx="4579951" cy="341906"/>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495300</wp:posOffset>
                </wp:positionH>
                <wp:positionV relativeFrom="paragraph">
                  <wp:posOffset>2540000</wp:posOffset>
                </wp:positionV>
                <wp:extent cx="4608526" cy="370481"/>
                <wp:effectExtent b="0" l="0" r="0" t="0"/>
                <wp:wrapNone/>
                <wp:docPr id="54" name="image36.png"/>
                <a:graphic>
                  <a:graphicData uri="http://schemas.openxmlformats.org/drawingml/2006/picture">
                    <pic:pic>
                      <pic:nvPicPr>
                        <pic:cNvPr id="0" name="image36.png"/>
                        <pic:cNvPicPr preferRelativeResize="0"/>
                      </pic:nvPicPr>
                      <pic:blipFill>
                        <a:blip r:embed="rId11"/>
                        <a:srcRect/>
                        <a:stretch>
                          <a:fillRect/>
                        </a:stretch>
                      </pic:blipFill>
                      <pic:spPr>
                        <a:xfrm>
                          <a:off x="0" y="0"/>
                          <a:ext cx="4608526" cy="370481"/>
                        </a:xfrm>
                        <a:prstGeom prst="rect"/>
                        <a:ln/>
                      </pic:spPr>
                    </pic:pic>
                  </a:graphicData>
                </a:graphic>
              </wp:anchor>
            </w:drawing>
          </mc:Fallback>
        </mc:AlternateContent>
      </w:r>
    </w:p>
    <w:p w:rsidR="00294C8C" w:rsidRDefault="00FE203E">
      <w:pPr>
        <w:pBdr>
          <w:top w:val="nil"/>
          <w:left w:val="nil"/>
          <w:bottom w:val="nil"/>
          <w:right w:val="nil"/>
          <w:between w:val="nil"/>
        </w:pBdr>
        <w:jc w:val="center"/>
        <w:rPr>
          <w:rFonts w:ascii="Palatino Linotype" w:eastAsia="Palatino Linotype" w:hAnsi="Palatino Linotype" w:cs="Palatino Linotype"/>
          <w:color w:val="000000"/>
        </w:rPr>
      </w:pPr>
      <w:r>
        <w:rPr>
          <w:noProof/>
          <w:color w:val="000000"/>
          <w:lang w:val="es-MX"/>
        </w:rPr>
        <w:lastRenderedPageBreak/>
        <w:drawing>
          <wp:inline distT="0" distB="0" distL="0" distR="0">
            <wp:extent cx="4417364" cy="4448472"/>
            <wp:effectExtent l="0" t="0" r="0" b="0"/>
            <wp:docPr id="6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69246" t="36512" r="6652" b="20338"/>
                    <a:stretch>
                      <a:fillRect/>
                    </a:stretch>
                  </pic:blipFill>
                  <pic:spPr>
                    <a:xfrm>
                      <a:off x="0" y="0"/>
                      <a:ext cx="4417364" cy="4448472"/>
                    </a:xfrm>
                    <a:prstGeom prst="rect">
                      <a:avLst/>
                    </a:prstGeom>
                    <a:ln/>
                  </pic:spPr>
                </pic:pic>
              </a:graphicData>
            </a:graphic>
          </wp:inline>
        </w:drawing>
      </w:r>
      <w:r>
        <w:rPr>
          <w:noProof/>
          <w:lang w:val="es-MX"/>
        </w:rPr>
        <mc:AlternateContent>
          <mc:Choice Requires="wpg">
            <w:drawing>
              <wp:anchor distT="0" distB="0" distL="114300" distR="114300" simplePos="0" relativeHeight="251660288" behindDoc="0" locked="0" layoutInCell="1" hidden="0" allowOverlap="1">
                <wp:simplePos x="0" y="0"/>
                <wp:positionH relativeFrom="column">
                  <wp:posOffset>762000</wp:posOffset>
                </wp:positionH>
                <wp:positionV relativeFrom="paragraph">
                  <wp:posOffset>2603500</wp:posOffset>
                </wp:positionV>
                <wp:extent cx="4170873" cy="537459"/>
                <wp:effectExtent l="0" t="0" r="0" b="0"/>
                <wp:wrapNone/>
                <wp:docPr id="51" name="Rectángulo 51"/>
                <wp:cNvGraphicFramePr/>
                <a:graphic xmlns:a="http://schemas.openxmlformats.org/drawingml/2006/main">
                  <a:graphicData uri="http://schemas.microsoft.com/office/word/2010/wordprocessingShape">
                    <wps:wsp>
                      <wps:cNvSpPr/>
                      <wps:spPr>
                        <a:xfrm>
                          <a:off x="3274851" y="3525558"/>
                          <a:ext cx="4142298" cy="508884"/>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762000</wp:posOffset>
                </wp:positionH>
                <wp:positionV relativeFrom="paragraph">
                  <wp:posOffset>2603500</wp:posOffset>
                </wp:positionV>
                <wp:extent cx="4170873" cy="537459"/>
                <wp:effectExtent b="0" l="0" r="0" t="0"/>
                <wp:wrapNone/>
                <wp:docPr id="51" name="image31.png"/>
                <a:graphic>
                  <a:graphicData uri="http://schemas.openxmlformats.org/drawingml/2006/picture">
                    <pic:pic>
                      <pic:nvPicPr>
                        <pic:cNvPr id="0" name="image31.png"/>
                        <pic:cNvPicPr preferRelativeResize="0"/>
                      </pic:nvPicPr>
                      <pic:blipFill>
                        <a:blip r:embed="rId13"/>
                        <a:srcRect/>
                        <a:stretch>
                          <a:fillRect/>
                        </a:stretch>
                      </pic:blipFill>
                      <pic:spPr>
                        <a:xfrm>
                          <a:off x="0" y="0"/>
                          <a:ext cx="4170873" cy="537459"/>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1312" behindDoc="0" locked="0" layoutInCell="1" hidden="0" allowOverlap="1">
                <wp:simplePos x="0" y="0"/>
                <wp:positionH relativeFrom="column">
                  <wp:posOffset>762000</wp:posOffset>
                </wp:positionH>
                <wp:positionV relativeFrom="paragraph">
                  <wp:posOffset>3632200</wp:posOffset>
                </wp:positionV>
                <wp:extent cx="4139400" cy="741625"/>
                <wp:effectExtent l="0" t="0" r="0" b="0"/>
                <wp:wrapNone/>
                <wp:docPr id="46" name="Rectángulo 46"/>
                <wp:cNvGraphicFramePr/>
                <a:graphic xmlns:a="http://schemas.openxmlformats.org/drawingml/2006/main">
                  <a:graphicData uri="http://schemas.microsoft.com/office/word/2010/wordprocessingShape">
                    <wps:wsp>
                      <wps:cNvSpPr/>
                      <wps:spPr>
                        <a:xfrm>
                          <a:off x="3290588" y="3423475"/>
                          <a:ext cx="4110825" cy="713050"/>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762000</wp:posOffset>
                </wp:positionH>
                <wp:positionV relativeFrom="paragraph">
                  <wp:posOffset>3632200</wp:posOffset>
                </wp:positionV>
                <wp:extent cx="4139400" cy="741625"/>
                <wp:effectExtent b="0" l="0" r="0" t="0"/>
                <wp:wrapNone/>
                <wp:docPr id="46" name="image19.png"/>
                <a:graphic>
                  <a:graphicData uri="http://schemas.openxmlformats.org/drawingml/2006/picture">
                    <pic:pic>
                      <pic:nvPicPr>
                        <pic:cNvPr id="0" name="image19.png"/>
                        <pic:cNvPicPr preferRelativeResize="0"/>
                      </pic:nvPicPr>
                      <pic:blipFill>
                        <a:blip r:embed="rId14"/>
                        <a:srcRect/>
                        <a:stretch>
                          <a:fillRect/>
                        </a:stretch>
                      </pic:blipFill>
                      <pic:spPr>
                        <a:xfrm>
                          <a:off x="0" y="0"/>
                          <a:ext cx="4139400" cy="741625"/>
                        </a:xfrm>
                        <a:prstGeom prst="rect"/>
                        <a:ln/>
                      </pic:spPr>
                    </pic:pic>
                  </a:graphicData>
                </a:graphic>
              </wp:anchor>
            </w:drawing>
          </mc:Fallback>
        </mc:AlternateContent>
      </w:r>
    </w:p>
    <w:p w:rsidR="00294C8C" w:rsidRDefault="00FE203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t xml:space="preserve">3. Interposición del recurso de revisión.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once de febrero de dos mil veintidós </w:t>
      </w:r>
      <w:r>
        <w:rPr>
          <w:rFonts w:ascii="Palatino Linotype" w:eastAsia="Palatino Linotype" w:hAnsi="Palatino Linotype" w:cs="Palatino Linotype"/>
        </w:rPr>
        <w:t xml:space="preserve">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inconforme con la respuesta, presentó el recurso de revisión en el que manifestó lo siguiente:</w:t>
      </w:r>
    </w:p>
    <w:p w:rsidR="00294C8C" w:rsidRDefault="00FE203E">
      <w:pPr>
        <w:tabs>
          <w:tab w:val="left" w:pos="2745"/>
        </w:tabs>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 xml:space="preserve">Acto impugnado: </w:t>
      </w:r>
      <w:r>
        <w:rPr>
          <w:rFonts w:ascii="Palatino Linotype" w:eastAsia="Palatino Linotype" w:hAnsi="Palatino Linotype" w:cs="Palatino Linotype"/>
          <w:b/>
        </w:rPr>
        <w:tab/>
      </w:r>
    </w:p>
    <w:p w:rsidR="00294C8C" w:rsidRDefault="00294C8C">
      <w:pPr>
        <w:spacing w:line="360" w:lineRule="auto"/>
        <w:ind w:left="851" w:right="900"/>
        <w:jc w:val="both"/>
        <w:rPr>
          <w:rFonts w:ascii="Palatino Linotype" w:eastAsia="Palatino Linotype" w:hAnsi="Palatino Linotype" w:cs="Palatino Linotype"/>
          <w:i/>
          <w:sz w:val="2"/>
          <w:szCs w:val="2"/>
        </w:rPr>
      </w:pPr>
    </w:p>
    <w:p w:rsidR="00294C8C" w:rsidRDefault="00294C8C">
      <w:pPr>
        <w:spacing w:line="276" w:lineRule="auto"/>
        <w:ind w:left="900" w:right="918"/>
        <w:jc w:val="both"/>
        <w:rPr>
          <w:rFonts w:ascii="Palatino Linotype" w:eastAsia="Palatino Linotype" w:hAnsi="Palatino Linotype" w:cs="Palatino Linotype"/>
          <w:i/>
          <w:sz w:val="22"/>
          <w:szCs w:val="22"/>
        </w:rPr>
      </w:pPr>
    </w:p>
    <w:p w:rsidR="00294C8C" w:rsidRDefault="00FE203E">
      <w:pPr>
        <w:spacing w:line="276" w:lineRule="auto"/>
        <w:ind w:left="900" w:right="91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w:t>
      </w:r>
      <w:r>
        <w:rPr>
          <w:rFonts w:ascii="Palatino Linotype" w:eastAsia="Palatino Linotype" w:hAnsi="Palatino Linotype" w:cs="Palatino Linotype"/>
          <w:i/>
          <w:color w:val="000000"/>
          <w:sz w:val="22"/>
          <w:szCs w:val="22"/>
        </w:rPr>
        <w:t>a respuesta a mi solicitud de información, de fecha México a 01 de Febrero de 2022, Folio de la solicitud: 00036/ISSEMYM/IP/2022, emitida por la MTRA. EN POLÍTICAS PÚBLICAS MARÍA SARAY PÉREZ GUERRERO.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sz w:val="22"/>
          <w:szCs w:val="22"/>
        </w:rPr>
        <w:t>(</w:t>
      </w:r>
      <w:proofErr w:type="gramStart"/>
      <w:r>
        <w:rPr>
          <w:rFonts w:ascii="Palatino Linotype" w:eastAsia="Palatino Linotype" w:hAnsi="Palatino Linotype" w:cs="Palatino Linotype"/>
          <w:sz w:val="22"/>
          <w:szCs w:val="22"/>
        </w:rPr>
        <w:t>sic</w:t>
      </w:r>
      <w:proofErr w:type="gramEnd"/>
      <w:r>
        <w:rPr>
          <w:rFonts w:ascii="Palatino Linotype" w:eastAsia="Palatino Linotype" w:hAnsi="Palatino Linotype" w:cs="Palatino Linotype"/>
          <w:sz w:val="22"/>
          <w:szCs w:val="22"/>
        </w:rPr>
        <w:t>)</w:t>
      </w:r>
    </w:p>
    <w:p w:rsidR="00294C8C" w:rsidRDefault="00294C8C">
      <w:pPr>
        <w:spacing w:line="276" w:lineRule="auto"/>
        <w:jc w:val="both"/>
        <w:rPr>
          <w:rFonts w:ascii="Palatino Linotype" w:eastAsia="Palatino Linotype" w:hAnsi="Palatino Linotype" w:cs="Palatino Linotype"/>
          <w:sz w:val="22"/>
          <w:szCs w:val="22"/>
        </w:rPr>
      </w:pPr>
    </w:p>
    <w:p w:rsidR="00294C8C" w:rsidRDefault="00294C8C">
      <w:pPr>
        <w:spacing w:line="360" w:lineRule="auto"/>
        <w:jc w:val="both"/>
        <w:rPr>
          <w:rFonts w:ascii="Palatino Linotype" w:eastAsia="Palatino Linotype" w:hAnsi="Palatino Linotype" w:cs="Palatino Linotype"/>
          <w:sz w:val="2"/>
          <w:szCs w:val="2"/>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lastRenderedPageBreak/>
        <w:t>Razones o motivos de inconformidad</w:t>
      </w:r>
      <w:r>
        <w:rPr>
          <w:rFonts w:ascii="Palatino Linotype" w:eastAsia="Palatino Linotype" w:hAnsi="Palatino Linotype" w:cs="Palatino Linotype"/>
        </w:rPr>
        <w:t>:</w:t>
      </w:r>
    </w:p>
    <w:p w:rsidR="00294C8C" w:rsidRDefault="00294C8C">
      <w:pPr>
        <w:spacing w:line="360" w:lineRule="auto"/>
        <w:jc w:val="both"/>
        <w:rPr>
          <w:rFonts w:ascii="Palatino Linotype" w:eastAsia="Palatino Linotype" w:hAnsi="Palatino Linotype" w:cs="Palatino Linotype"/>
          <w:sz w:val="2"/>
          <w:szCs w:val="2"/>
        </w:rPr>
      </w:pPr>
    </w:p>
    <w:p w:rsidR="00294C8C" w:rsidRDefault="00FE203E">
      <w:pPr>
        <w:ind w:left="709" w:right="616"/>
        <w:jc w:val="both"/>
        <w:rPr>
          <w:rFonts w:ascii="Palatino Linotype" w:eastAsia="Palatino Linotype" w:hAnsi="Palatino Linotype" w:cs="Palatino Linotype"/>
          <w:i/>
          <w:sz w:val="22"/>
          <w:szCs w:val="22"/>
        </w:rPr>
      </w:pPr>
      <w:bookmarkStart w:id="2" w:name="_heading=h.30j0zll" w:colFirst="0" w:colLast="0"/>
      <w:bookmarkEnd w:id="2"/>
      <w:r>
        <w:rPr>
          <w:rFonts w:ascii="Palatino Linotype" w:eastAsia="Palatino Linotype" w:hAnsi="Palatino Linotype" w:cs="Palatino Linotype"/>
          <w:i/>
          <w:color w:val="000000"/>
          <w:sz w:val="22"/>
          <w:szCs w:val="22"/>
        </w:rPr>
        <w:t xml:space="preserve">"...1.- por lo que solicito se me envié la resolución, convenio o instrumento celebrado por el cual se autorizó dicho descuento.." citan gaceta, sin embargo y aun así, por qué su sistema autoriza descontar </w:t>
      </w:r>
      <w:proofErr w:type="spellStart"/>
      <w:r>
        <w:rPr>
          <w:rFonts w:ascii="Palatino Linotype" w:eastAsia="Palatino Linotype" w:hAnsi="Palatino Linotype" w:cs="Palatino Linotype"/>
          <w:i/>
          <w:color w:val="000000"/>
          <w:sz w:val="22"/>
          <w:szCs w:val="22"/>
        </w:rPr>
        <w:t>mas</w:t>
      </w:r>
      <w:proofErr w:type="spellEnd"/>
      <w:r>
        <w:rPr>
          <w:rFonts w:ascii="Palatino Linotype" w:eastAsia="Palatino Linotype" w:hAnsi="Palatino Linotype" w:cs="Palatino Linotype"/>
          <w:i/>
          <w:color w:val="000000"/>
          <w:sz w:val="22"/>
          <w:szCs w:val="22"/>
        </w:rPr>
        <w:t xml:space="preserve"> allá del </w:t>
      </w:r>
      <w:proofErr w:type="spellStart"/>
      <w:r>
        <w:rPr>
          <w:rFonts w:ascii="Palatino Linotype" w:eastAsia="Palatino Linotype" w:hAnsi="Palatino Linotype" w:cs="Palatino Linotype"/>
          <w:i/>
          <w:color w:val="000000"/>
          <w:sz w:val="22"/>
          <w:szCs w:val="22"/>
        </w:rPr>
        <w:t>limite</w:t>
      </w:r>
      <w:proofErr w:type="spellEnd"/>
      <w:r>
        <w:rPr>
          <w:rFonts w:ascii="Palatino Linotype" w:eastAsia="Palatino Linotype" w:hAnsi="Palatino Linotype" w:cs="Palatino Linotype"/>
          <w:i/>
          <w:color w:val="000000"/>
          <w:sz w:val="22"/>
          <w:szCs w:val="22"/>
        </w:rPr>
        <w:t xml:space="preserve"> permitido por la ley?, -dicen que no cuentan con información relativa a los convenios de reconocimiento y forma de pago con las instituciones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así como tampoco de las cantidades que el instituto percibe por estos conceptos-, es evidente que deben conocer sus percepciones y erogaciones, y </w:t>
      </w:r>
      <w:proofErr w:type="spellStart"/>
      <w:r>
        <w:rPr>
          <w:rFonts w:ascii="Palatino Linotype" w:eastAsia="Palatino Linotype" w:hAnsi="Palatino Linotype" w:cs="Palatino Linotype"/>
          <w:i/>
          <w:color w:val="000000"/>
          <w:sz w:val="22"/>
          <w:szCs w:val="22"/>
        </w:rPr>
        <w:t>ademas</w:t>
      </w:r>
      <w:proofErr w:type="spellEnd"/>
      <w:r>
        <w:rPr>
          <w:rFonts w:ascii="Palatino Linotype" w:eastAsia="Palatino Linotype" w:hAnsi="Palatino Linotype" w:cs="Palatino Linotype"/>
          <w:i/>
          <w:color w:val="000000"/>
          <w:sz w:val="22"/>
          <w:szCs w:val="22"/>
        </w:rPr>
        <w:t xml:space="preserve"> hacerlas </w:t>
      </w:r>
      <w:proofErr w:type="spellStart"/>
      <w:r>
        <w:rPr>
          <w:rFonts w:ascii="Palatino Linotype" w:eastAsia="Palatino Linotype" w:hAnsi="Palatino Linotype" w:cs="Palatino Linotype"/>
          <w:i/>
          <w:color w:val="000000"/>
          <w:sz w:val="22"/>
          <w:szCs w:val="22"/>
        </w:rPr>
        <w:t>publicas</w:t>
      </w:r>
      <w:proofErr w:type="spellEnd"/>
      <w:r>
        <w:rPr>
          <w:rFonts w:ascii="Palatino Linotype" w:eastAsia="Palatino Linotype" w:hAnsi="Palatino Linotype" w:cs="Palatino Linotype"/>
          <w:i/>
          <w:color w:val="000000"/>
          <w:sz w:val="22"/>
          <w:szCs w:val="22"/>
        </w:rPr>
        <w:t xml:space="preserve"> y señalarlas a través de los portales de transparencia, de igual manera deben tener los convenios con los distintos ayuntamientos, por lo que resulta inverosímil la respuesta, ya que debe existir un archivo y portales donde se puedan consultar o indicar mediante </w:t>
      </w:r>
      <w:proofErr w:type="spellStart"/>
      <w:r>
        <w:rPr>
          <w:rFonts w:ascii="Palatino Linotype" w:eastAsia="Palatino Linotype" w:hAnsi="Palatino Linotype" w:cs="Palatino Linotype"/>
          <w:i/>
          <w:color w:val="000000"/>
          <w:sz w:val="22"/>
          <w:szCs w:val="22"/>
        </w:rPr>
        <w:t>que</w:t>
      </w:r>
      <w:proofErr w:type="spellEnd"/>
      <w:r>
        <w:rPr>
          <w:rFonts w:ascii="Palatino Linotype" w:eastAsia="Palatino Linotype" w:hAnsi="Palatino Linotype" w:cs="Palatino Linotype"/>
          <w:i/>
          <w:color w:val="000000"/>
          <w:sz w:val="22"/>
          <w:szCs w:val="22"/>
        </w:rPr>
        <w:t xml:space="preserve"> medio o link sería consultable, por ser un tema que obliga la ley de transparencia, </w:t>
      </w:r>
      <w:proofErr w:type="spellStart"/>
      <w:r>
        <w:rPr>
          <w:rFonts w:ascii="Palatino Linotype" w:eastAsia="Palatino Linotype" w:hAnsi="Palatino Linotype" w:cs="Palatino Linotype"/>
          <w:i/>
          <w:color w:val="000000"/>
          <w:sz w:val="22"/>
          <w:szCs w:val="22"/>
        </w:rPr>
        <w:t>ha</w:t>
      </w:r>
      <w:proofErr w:type="spellEnd"/>
      <w:r>
        <w:rPr>
          <w:rFonts w:ascii="Palatino Linotype" w:eastAsia="Palatino Linotype" w:hAnsi="Palatino Linotype" w:cs="Palatino Linotype"/>
          <w:i/>
          <w:color w:val="000000"/>
          <w:sz w:val="22"/>
          <w:szCs w:val="22"/>
        </w:rPr>
        <w:t xml:space="preserve"> hacerlo </w:t>
      </w:r>
      <w:proofErr w:type="spellStart"/>
      <w:r>
        <w:rPr>
          <w:rFonts w:ascii="Palatino Linotype" w:eastAsia="Palatino Linotype" w:hAnsi="Palatino Linotype" w:cs="Palatino Linotype"/>
          <w:i/>
          <w:color w:val="000000"/>
          <w:sz w:val="22"/>
          <w:szCs w:val="22"/>
        </w:rPr>
        <w:t>publico</w:t>
      </w:r>
      <w:proofErr w:type="spellEnd"/>
      <w:r>
        <w:rPr>
          <w:rFonts w:ascii="Palatino Linotype" w:eastAsia="Palatino Linotype" w:hAnsi="Palatino Linotype" w:cs="Palatino Linotype"/>
          <w:i/>
          <w:color w:val="000000"/>
          <w:sz w:val="22"/>
          <w:szCs w:val="22"/>
        </w:rPr>
        <w:t xml:space="preserve"> y en consecuencia, no da debido cumplimiento a la solicitud de información y en su caso resulta opaco para la ciudadanía el hecho que no conozcan los mismos, ya que ellos generan, poseen y administran dicha información, no contesta específicamente y si existe que lo exhiban, o indiquen el medio por el cual es consultable, una vez resuelto esto, en consecuencia podrá contestar el total de los numerales de mi petición. </w:t>
      </w:r>
      <w:proofErr w:type="gramStart"/>
      <w:r>
        <w:rPr>
          <w:rFonts w:ascii="Palatino Linotype" w:eastAsia="Palatino Linotype" w:hAnsi="Palatino Linotype" w:cs="Palatino Linotype"/>
          <w:i/>
          <w:color w:val="000000"/>
          <w:sz w:val="22"/>
          <w:szCs w:val="22"/>
        </w:rPr>
        <w:t>cantidades</w:t>
      </w:r>
      <w:proofErr w:type="gramEnd"/>
      <w:r>
        <w:rPr>
          <w:rFonts w:ascii="Palatino Linotype" w:eastAsia="Palatino Linotype" w:hAnsi="Palatino Linotype" w:cs="Palatino Linotype"/>
          <w:i/>
          <w:color w:val="000000"/>
          <w:sz w:val="22"/>
          <w:szCs w:val="22"/>
        </w:rPr>
        <w:t xml:space="preserve"> percibidas en 2019 y 2021 o link donde se puedan consultar? es transparencia y debe ser </w:t>
      </w:r>
      <w:proofErr w:type="spellStart"/>
      <w:r>
        <w:rPr>
          <w:rFonts w:ascii="Palatino Linotype" w:eastAsia="Palatino Linotype" w:hAnsi="Palatino Linotype" w:cs="Palatino Linotype"/>
          <w:i/>
          <w:color w:val="000000"/>
          <w:sz w:val="22"/>
          <w:szCs w:val="22"/>
        </w:rPr>
        <w:t>publico</w:t>
      </w:r>
      <w:proofErr w:type="spellEnd"/>
      <w:r>
        <w:rPr>
          <w:rFonts w:ascii="Palatino Linotype" w:eastAsia="Palatino Linotype" w:hAnsi="Palatino Linotype" w:cs="Palatino Linotype"/>
          <w:i/>
          <w:color w:val="000000"/>
          <w:sz w:val="22"/>
          <w:szCs w:val="22"/>
        </w:rPr>
        <w:t xml:space="preserve"> en algún portal de las </w:t>
      </w:r>
      <w:proofErr w:type="spellStart"/>
      <w:r>
        <w:rPr>
          <w:rFonts w:ascii="Palatino Linotype" w:eastAsia="Palatino Linotype" w:hAnsi="Palatino Linotype" w:cs="Palatino Linotype"/>
          <w:i/>
          <w:color w:val="000000"/>
          <w:sz w:val="22"/>
          <w:szCs w:val="22"/>
        </w:rPr>
        <w:t>paginas</w:t>
      </w:r>
      <w:proofErr w:type="spellEnd"/>
      <w:r>
        <w:rPr>
          <w:rFonts w:ascii="Palatino Linotype" w:eastAsia="Palatino Linotype" w:hAnsi="Palatino Linotype" w:cs="Palatino Linotype"/>
          <w:i/>
          <w:color w:val="000000"/>
          <w:sz w:val="22"/>
          <w:szCs w:val="22"/>
        </w:rPr>
        <w:t xml:space="preserve"> del Gobierno del Estado de México y tienen obligación de hacer publica dicha información</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sz w:val="22"/>
          <w:szCs w:val="22"/>
        </w:rPr>
        <w:t>(</w:t>
      </w:r>
      <w:proofErr w:type="gramStart"/>
      <w:r>
        <w:rPr>
          <w:rFonts w:ascii="Palatino Linotype" w:eastAsia="Palatino Linotype" w:hAnsi="Palatino Linotype" w:cs="Palatino Linotype"/>
          <w:sz w:val="22"/>
          <w:szCs w:val="22"/>
        </w:rPr>
        <w:t>sic</w:t>
      </w:r>
      <w:proofErr w:type="gramEnd"/>
      <w:r>
        <w:rPr>
          <w:rFonts w:ascii="Palatino Linotype" w:eastAsia="Palatino Linotype" w:hAnsi="Palatino Linotype" w:cs="Palatino Linotype"/>
          <w:sz w:val="22"/>
          <w:szCs w:val="22"/>
        </w:rPr>
        <w:t>)</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4. Turno.</w:t>
      </w:r>
      <w:r>
        <w:rPr>
          <w:rFonts w:ascii="Palatino Linotype" w:eastAsia="Palatino Linotype" w:hAnsi="Palatino Linotype" w:cs="Palatino Linotype"/>
          <w:b/>
          <w:sz w:val="28"/>
          <w:szCs w:val="28"/>
        </w:rPr>
        <w:t xml:space="preserve"> </w:t>
      </w:r>
      <w:r>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w:t>
      </w:r>
      <w:r>
        <w:rPr>
          <w:rFonts w:ascii="Palatino Linotype" w:eastAsia="Palatino Linotype" w:hAnsi="Palatino Linotype" w:cs="Palatino Linotype"/>
          <w:b/>
        </w:rPr>
        <w:t xml:space="preserve">Guadalupe Ramírez Peña, </w:t>
      </w:r>
      <w:r>
        <w:rPr>
          <w:rFonts w:ascii="Palatino Linotype" w:eastAsia="Palatino Linotype" w:hAnsi="Palatino Linotype" w:cs="Palatino Linotype"/>
        </w:rPr>
        <w:t xml:space="preserve">a efecto de que analizara sobre su admisión o su </w:t>
      </w:r>
      <w:proofErr w:type="spellStart"/>
      <w:r>
        <w:rPr>
          <w:rFonts w:ascii="Palatino Linotype" w:eastAsia="Palatino Linotype" w:hAnsi="Palatino Linotype" w:cs="Palatino Linotype"/>
        </w:rPr>
        <w:t>desechamiento</w:t>
      </w:r>
      <w:proofErr w:type="spellEnd"/>
      <w:r>
        <w:rPr>
          <w:rFonts w:ascii="Palatino Linotype" w:eastAsia="Palatino Linotype" w:hAnsi="Palatino Linotype" w:cs="Palatino Linotype"/>
        </w:rPr>
        <w:t>.</w:t>
      </w:r>
    </w:p>
    <w:p w:rsidR="00294C8C" w:rsidRDefault="00FE203E">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5.</w:t>
      </w:r>
      <w:r>
        <w:rPr>
          <w:rFonts w:ascii="Palatino Linotype" w:eastAsia="Palatino Linotype" w:hAnsi="Palatino Linotype" w:cs="Palatino Linotype"/>
          <w:b/>
          <w:i/>
        </w:rPr>
        <w:t xml:space="preserve"> </w:t>
      </w:r>
      <w:r>
        <w:rPr>
          <w:rFonts w:ascii="Palatino Linotype" w:eastAsia="Palatino Linotype" w:hAnsi="Palatino Linotype" w:cs="Palatino Linotype"/>
          <w:b/>
        </w:rPr>
        <w:t>Admisión del Recurso de revisión.</w:t>
      </w:r>
      <w:r>
        <w:rPr>
          <w:rFonts w:ascii="Palatino Linotype" w:eastAsia="Palatino Linotype" w:hAnsi="Palatino Linotype" w:cs="Palatino Linotype"/>
          <w:sz w:val="28"/>
          <w:szCs w:val="28"/>
        </w:rPr>
        <w:t xml:space="preserve"> El</w:t>
      </w:r>
      <w:r>
        <w:rPr>
          <w:rFonts w:ascii="Palatino Linotype" w:eastAsia="Palatino Linotype" w:hAnsi="Palatino Linotype" w:cs="Palatino Linotype"/>
          <w:b/>
        </w:rPr>
        <w:t xml:space="preserve"> dieciséis de febrero de dos mil veintidós, </w:t>
      </w:r>
      <w:r>
        <w:rPr>
          <w:rFonts w:ascii="Palatino Linotype" w:eastAsia="Palatino Linotype" w:hAnsi="Palatino Linotype" w:cs="Palatino Linotype"/>
        </w:rPr>
        <w:t xml:space="preserve">este Instituto de Transparencia, Acceso a la Información Pública y Protección de Datos Personales del Estado de México y Municipios, admitió a trámite el recurso </w:t>
      </w:r>
      <w:r>
        <w:rPr>
          <w:rFonts w:ascii="Palatino Linotype" w:eastAsia="Palatino Linotype" w:hAnsi="Palatino Linotype" w:cs="Palatino Linotype"/>
        </w:rPr>
        <w:lastRenderedPageBreak/>
        <w:t xml:space="preserve">de revisión, dando un plazo máximo de siete días hábiles para que las partes manifestaran lo que a su derecho resultara conveniente, ofrecieran pruebas, formularan alegatos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presentara su informe justificado.</w:t>
      </w:r>
    </w:p>
    <w:p w:rsidR="00294C8C" w:rsidRDefault="00FE203E">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6. Manifestaciones</w:t>
      </w:r>
      <w:r>
        <w:rPr>
          <w:rFonts w:ascii="Palatino Linotype" w:eastAsia="Palatino Linotype" w:hAnsi="Palatino Linotype" w:cs="Palatino Linotype"/>
        </w:rPr>
        <w:t>.</w:t>
      </w: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rPr>
        <w:t xml:space="preserve">El </w:t>
      </w:r>
      <w:r>
        <w:rPr>
          <w:rFonts w:ascii="Palatino Linotype" w:eastAsia="Palatino Linotype" w:hAnsi="Palatino Linotype" w:cs="Palatino Linotype"/>
          <w:b/>
        </w:rPr>
        <w:t>veinticuatro de febrero de dos mil veintidós</w:t>
      </w:r>
      <w:r>
        <w:rPr>
          <w:rFonts w:ascii="Palatino Linotype" w:eastAsia="Palatino Linotype" w:hAnsi="Palatino Linotype" w:cs="Palatino Linotype"/>
        </w:rPr>
        <w:t xml:space="preserv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rindió informe justificado a través de los archivos electrónicos siguientes: </w:t>
      </w:r>
    </w:p>
    <w:p w:rsidR="00294C8C" w:rsidRDefault="00FE203E">
      <w:pPr>
        <w:numPr>
          <w:ilvl w:val="0"/>
          <w:numId w:val="6"/>
        </w:num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b/>
          <w:i/>
          <w:color w:val="000000"/>
        </w:rPr>
        <w:t>“</w:t>
      </w:r>
      <w:r>
        <w:rPr>
          <w:rFonts w:ascii="Palatino Linotype" w:eastAsia="Palatino Linotype" w:hAnsi="Palatino Linotype" w:cs="Palatino Linotype"/>
          <w:b/>
          <w:color w:val="000000"/>
        </w:rPr>
        <w:t>INFORME JUSTIFICADO 36.IP.pdf”:</w:t>
      </w:r>
      <w:r>
        <w:rPr>
          <w:rFonts w:ascii="Palatino Linotype" w:eastAsia="Palatino Linotype" w:hAnsi="Palatino Linotype" w:cs="Palatino Linotype"/>
          <w:color w:val="000000"/>
        </w:rPr>
        <w:t xml:space="preserve">  Oficio número 207C0401210001S-UT-293/2022 del veintiuno de febrero de dos mil veintidós, suscrito por la Titular de la Unidad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por medio del cual rinde el informe justificado, en los términos siguientes: </w:t>
      </w:r>
    </w:p>
    <w:p w:rsidR="00294C8C" w:rsidRDefault="00FE203E">
      <w:pPr>
        <w:widowControl w:val="0"/>
        <w:spacing w:before="240" w:after="240" w:line="360" w:lineRule="auto"/>
        <w:jc w:val="both"/>
        <w:rPr>
          <w:rFonts w:ascii="Palatino Linotype" w:eastAsia="Palatino Linotype" w:hAnsi="Palatino Linotype" w:cs="Palatino Linotype"/>
        </w:rPr>
      </w:pPr>
      <w:r>
        <w:rPr>
          <w:noProof/>
          <w:lang w:val="es-MX"/>
        </w:rPr>
        <w:drawing>
          <wp:inline distT="0" distB="0" distL="0" distR="0">
            <wp:extent cx="5332316" cy="3191745"/>
            <wp:effectExtent l="0" t="0" r="0" b="0"/>
            <wp:docPr id="6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l="69286" t="50879" r="7137" b="23097"/>
                    <a:stretch>
                      <a:fillRect/>
                    </a:stretch>
                  </pic:blipFill>
                  <pic:spPr>
                    <a:xfrm>
                      <a:off x="0" y="0"/>
                      <a:ext cx="5332316" cy="3191745"/>
                    </a:xfrm>
                    <a:prstGeom prst="rect">
                      <a:avLst/>
                    </a:prstGeom>
                    <a:ln/>
                  </pic:spPr>
                </pic:pic>
              </a:graphicData>
            </a:graphic>
          </wp:inline>
        </w:drawing>
      </w:r>
    </w:p>
    <w:p w:rsidR="00294C8C" w:rsidRDefault="00294C8C">
      <w:pPr>
        <w:widowControl w:val="0"/>
        <w:spacing w:before="240" w:after="240" w:line="360" w:lineRule="auto"/>
        <w:jc w:val="both"/>
        <w:rPr>
          <w:rFonts w:ascii="Palatino Linotype" w:eastAsia="Palatino Linotype" w:hAnsi="Palatino Linotype" w:cs="Palatino Linotype"/>
        </w:rPr>
      </w:pPr>
    </w:p>
    <w:p w:rsidR="00294C8C" w:rsidRDefault="00294C8C">
      <w:pPr>
        <w:widowControl w:val="0"/>
        <w:spacing w:before="240" w:after="240" w:line="360" w:lineRule="auto"/>
        <w:jc w:val="both"/>
        <w:rPr>
          <w:rFonts w:ascii="Palatino Linotype" w:eastAsia="Palatino Linotype" w:hAnsi="Palatino Linotype" w:cs="Palatino Linotype"/>
        </w:rPr>
      </w:pPr>
    </w:p>
    <w:p w:rsidR="00294C8C" w:rsidRDefault="00FE203E">
      <w:pPr>
        <w:widowControl w:val="0"/>
        <w:spacing w:before="240" w:after="240" w:line="360" w:lineRule="auto"/>
        <w:jc w:val="both"/>
        <w:rPr>
          <w:rFonts w:ascii="Palatino Linotype" w:eastAsia="Palatino Linotype" w:hAnsi="Palatino Linotype" w:cs="Palatino Linotype"/>
        </w:rPr>
      </w:pPr>
      <w:r>
        <w:rPr>
          <w:noProof/>
          <w:lang w:val="es-MX"/>
        </w:rPr>
        <w:drawing>
          <wp:inline distT="0" distB="0" distL="0" distR="0">
            <wp:extent cx="5068085" cy="6009300"/>
            <wp:effectExtent l="0" t="0" r="0" b="0"/>
            <wp:docPr id="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l="69416" t="34098" r="6822" b="15811"/>
                    <a:stretch>
                      <a:fillRect/>
                    </a:stretch>
                  </pic:blipFill>
                  <pic:spPr>
                    <a:xfrm>
                      <a:off x="0" y="0"/>
                      <a:ext cx="5068085" cy="6009300"/>
                    </a:xfrm>
                    <a:prstGeom prst="rect">
                      <a:avLst/>
                    </a:prstGeom>
                    <a:ln/>
                  </pic:spPr>
                </pic:pic>
              </a:graphicData>
            </a:graphic>
          </wp:inline>
        </w:drawing>
      </w:r>
    </w:p>
    <w:p w:rsidR="00294C8C" w:rsidRDefault="00294C8C">
      <w:pPr>
        <w:widowControl w:val="0"/>
        <w:spacing w:before="240" w:after="240" w:line="360" w:lineRule="auto"/>
        <w:jc w:val="both"/>
        <w:rPr>
          <w:rFonts w:ascii="Palatino Linotype" w:eastAsia="Palatino Linotype" w:hAnsi="Palatino Linotype" w:cs="Palatino Linotype"/>
        </w:rPr>
      </w:pPr>
    </w:p>
    <w:p w:rsidR="00294C8C" w:rsidRDefault="00FE203E">
      <w:pPr>
        <w:widowControl w:val="0"/>
        <w:spacing w:before="240" w:after="240" w:line="360" w:lineRule="auto"/>
        <w:jc w:val="center"/>
        <w:rPr>
          <w:rFonts w:ascii="Palatino Linotype" w:eastAsia="Palatino Linotype" w:hAnsi="Palatino Linotype" w:cs="Palatino Linotype"/>
        </w:rPr>
      </w:pPr>
      <w:r>
        <w:rPr>
          <w:noProof/>
          <w:lang w:val="es-MX"/>
        </w:rPr>
        <w:drawing>
          <wp:inline distT="0" distB="0" distL="0" distR="0">
            <wp:extent cx="5532375" cy="5952072"/>
            <wp:effectExtent l="0" t="0" r="0" b="0"/>
            <wp:docPr id="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l="69077" t="32286" r="6314" b="20640"/>
                    <a:stretch>
                      <a:fillRect/>
                    </a:stretch>
                  </pic:blipFill>
                  <pic:spPr>
                    <a:xfrm>
                      <a:off x="0" y="0"/>
                      <a:ext cx="5532375" cy="5952072"/>
                    </a:xfrm>
                    <a:prstGeom prst="rect">
                      <a:avLst/>
                    </a:prstGeom>
                    <a:ln/>
                  </pic:spPr>
                </pic:pic>
              </a:graphicData>
            </a:graphic>
          </wp:inline>
        </w:drawing>
      </w:r>
    </w:p>
    <w:p w:rsidR="00294C8C" w:rsidRDefault="00294C8C">
      <w:pPr>
        <w:widowControl w:val="0"/>
        <w:spacing w:before="240" w:after="240" w:line="360" w:lineRule="auto"/>
        <w:jc w:val="both"/>
        <w:rPr>
          <w:rFonts w:ascii="Palatino Linotype" w:eastAsia="Palatino Linotype" w:hAnsi="Palatino Linotype" w:cs="Palatino Linotype"/>
        </w:rPr>
      </w:pPr>
    </w:p>
    <w:p w:rsidR="00294C8C" w:rsidRDefault="00FE203E">
      <w:pPr>
        <w:widowControl w:val="0"/>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extent cx="5632968" cy="6203877"/>
            <wp:effectExtent l="0" t="0" r="0" b="0"/>
            <wp:docPr id="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l="69246" t="36210" r="5634" b="14605"/>
                    <a:stretch>
                      <a:fillRect/>
                    </a:stretch>
                  </pic:blipFill>
                  <pic:spPr>
                    <a:xfrm>
                      <a:off x="0" y="0"/>
                      <a:ext cx="5632968" cy="6203877"/>
                    </a:xfrm>
                    <a:prstGeom prst="rect">
                      <a:avLst/>
                    </a:prstGeom>
                    <a:ln/>
                  </pic:spPr>
                </pic:pic>
              </a:graphicData>
            </a:graphic>
          </wp:inline>
        </w:drawing>
      </w:r>
    </w:p>
    <w:p w:rsidR="00294C8C" w:rsidRDefault="00FE203E">
      <w:pPr>
        <w:widowControl w:val="0"/>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rPr>
        <w:t xml:space="preserve">Documento que mediante acuerdo de fecha </w:t>
      </w:r>
      <w:r>
        <w:rPr>
          <w:rFonts w:ascii="Palatino Linotype" w:eastAsia="Palatino Linotype" w:hAnsi="Palatino Linotype" w:cs="Palatino Linotype"/>
          <w:b/>
        </w:rPr>
        <w:t>tres de marzo de dos mil veintidós</w:t>
      </w:r>
      <w:r>
        <w:rPr>
          <w:rFonts w:ascii="Palatino Linotype" w:eastAsia="Palatino Linotype" w:hAnsi="Palatino Linotype" w:cs="Palatino Linotype"/>
        </w:rPr>
        <w:t xml:space="preserve">, se puso a la vista del </w:t>
      </w:r>
      <w:r>
        <w:rPr>
          <w:rFonts w:ascii="Palatino Linotype" w:eastAsia="Palatino Linotype" w:hAnsi="Palatino Linotype" w:cs="Palatino Linotype"/>
          <w:b/>
        </w:rPr>
        <w:t>RECURRENTE.</w:t>
      </w:r>
    </w:p>
    <w:p w:rsidR="00294C8C" w:rsidRDefault="00FE203E">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Por su parte, el cuatro de marzo de dos mil veintidós,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envió el documento “</w:t>
      </w:r>
      <w:r>
        <w:rPr>
          <w:rFonts w:ascii="Palatino Linotype" w:eastAsia="Palatino Linotype" w:hAnsi="Palatino Linotype" w:cs="Palatino Linotype"/>
          <w:b/>
        </w:rPr>
        <w:t>3.estado_analitico_de_ingresos_7.pdf”</w:t>
      </w:r>
      <w:r>
        <w:rPr>
          <w:rFonts w:ascii="Palatino Linotype" w:eastAsia="Palatino Linotype" w:hAnsi="Palatino Linotype" w:cs="Palatino Linotype"/>
        </w:rPr>
        <w:t xml:space="preserve">. </w:t>
      </w:r>
    </w:p>
    <w:p w:rsidR="00294C8C" w:rsidRDefault="00FE203E">
      <w:pPr>
        <w:widowControl w:val="0"/>
        <w:spacing w:before="240" w:after="240" w:line="360" w:lineRule="auto"/>
        <w:jc w:val="center"/>
        <w:rPr>
          <w:rFonts w:ascii="Palatino Linotype" w:eastAsia="Palatino Linotype" w:hAnsi="Palatino Linotype" w:cs="Palatino Linotype"/>
          <w:b/>
        </w:rPr>
      </w:pPr>
      <w:r>
        <w:rPr>
          <w:noProof/>
          <w:lang w:val="es-MX"/>
        </w:rPr>
        <w:lastRenderedPageBreak/>
        <w:drawing>
          <wp:inline distT="0" distB="0" distL="0" distR="0">
            <wp:extent cx="5079336" cy="6480533"/>
            <wp:effectExtent l="0" t="0" r="0" b="0"/>
            <wp:docPr id="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l="39206" t="15389" r="26341" b="6456"/>
                    <a:stretch>
                      <a:fillRect/>
                    </a:stretch>
                  </pic:blipFill>
                  <pic:spPr>
                    <a:xfrm>
                      <a:off x="0" y="0"/>
                      <a:ext cx="5079336" cy="6480533"/>
                    </a:xfrm>
                    <a:prstGeom prst="rect">
                      <a:avLst/>
                    </a:prstGeom>
                    <a:ln/>
                  </pic:spPr>
                </pic:pic>
              </a:graphicData>
            </a:graphic>
          </wp:inline>
        </w:drawing>
      </w:r>
    </w:p>
    <w:p w:rsidR="00294C8C" w:rsidRDefault="00FE203E">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8.  Cierre de instrucción. </w:t>
      </w:r>
      <w:r>
        <w:rPr>
          <w:rFonts w:ascii="Palatino Linotype" w:eastAsia="Palatino Linotype" w:hAnsi="Palatino Linotype" w:cs="Palatino Linotype"/>
        </w:rPr>
        <w:t xml:space="preserve">Una vez transcurrido el periodo otorgado a las partes para </w:t>
      </w:r>
      <w:r>
        <w:rPr>
          <w:rFonts w:ascii="Palatino Linotype" w:eastAsia="Palatino Linotype" w:hAnsi="Palatino Linotype" w:cs="Palatino Linotype"/>
        </w:rPr>
        <w:lastRenderedPageBreak/>
        <w:t xml:space="preserve">realizar sus manifestaciones y no habiendo documentos que integrar al expediente, el </w:t>
      </w:r>
      <w:r>
        <w:rPr>
          <w:rFonts w:ascii="Palatino Linotype" w:eastAsia="Palatino Linotype" w:hAnsi="Palatino Linotype" w:cs="Palatino Linotype"/>
          <w:b/>
          <w:color w:val="000000"/>
        </w:rPr>
        <w:t>cinco de abril de dos mil veintidós,</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la Comisionada Ponente determinó el cierre de instrucción en términos de la fracción VI del artículo 185 de la Ley de Transparencia y Acceso a la Información Pública del Estado de México y Municipios.</w:t>
      </w:r>
    </w:p>
    <w:p w:rsidR="00294C8C" w:rsidRDefault="00FE203E">
      <w:pPr>
        <w:widowControl w:val="0"/>
        <w:spacing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9. Ampliación del plazo para emitir resolución</w:t>
      </w:r>
      <w:r>
        <w:rPr>
          <w:rFonts w:ascii="Palatino Linotype" w:eastAsia="Palatino Linotype" w:hAnsi="Palatino Linotype" w:cs="Palatino Linotype"/>
        </w:rPr>
        <w:t xml:space="preserve">. En fecha </w:t>
      </w:r>
      <w:r>
        <w:rPr>
          <w:rFonts w:ascii="Palatino Linotype" w:eastAsia="Palatino Linotype" w:hAnsi="Palatino Linotype" w:cs="Palatino Linotype"/>
          <w:b/>
          <w:color w:val="000000"/>
        </w:rPr>
        <w:t>cinco de abril de dos mil veintidós</w:t>
      </w:r>
      <w:r>
        <w:rPr>
          <w:rFonts w:ascii="Palatino Linotype" w:eastAsia="Palatino Linotype" w:hAnsi="Palatino Linotype" w:cs="Palatino Linotype"/>
          <w:b/>
        </w:rPr>
        <w:t>,</w:t>
      </w:r>
      <w:r>
        <w:rPr>
          <w:rFonts w:ascii="Palatino Linotype" w:eastAsia="Palatino Linotype" w:hAnsi="Palatino Linotype" w:cs="Palatino Linotype"/>
        </w:rPr>
        <w:t xml:space="preserve"> este Instituto con fundamento en el artículo 181, párrafo tercero, de la Ley de Transparencia y Acceso a la Información Pública del Estado de México y Municipios, determinó mediante el acuerdo respectivo, ampliar por quince días hábiles adicionales el plazo para emitir la presente resolución a fin de realizar un mejor estudio del asunto.</w:t>
      </w:r>
    </w:p>
    <w:p w:rsidR="00294C8C" w:rsidRDefault="00FE203E">
      <w:pPr>
        <w:widowControl w:val="0"/>
        <w:spacing w:before="240" w:after="240" w:line="360" w:lineRule="auto"/>
        <w:jc w:val="center"/>
        <w:rPr>
          <w:rFonts w:ascii="Palatino Linotype" w:eastAsia="Palatino Linotype" w:hAnsi="Palatino Linotype" w:cs="Palatino Linotype"/>
          <w:b/>
        </w:rPr>
      </w:pPr>
      <w:r>
        <w:rPr>
          <w:rFonts w:ascii="Palatino Linotype" w:eastAsia="Palatino Linotype" w:hAnsi="Palatino Linotype" w:cs="Palatino Linotype"/>
          <w:b/>
        </w:rPr>
        <w:t>II. C O N S I D E R A N D O</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b/>
        </w:rPr>
        <w:t>Primero. Competencia.</w:t>
      </w:r>
      <w:r>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el presente recurso de revisión interpuesto por el </w:t>
      </w:r>
      <w:r>
        <w:rPr>
          <w:rFonts w:ascii="Palatino Linotype" w:eastAsia="Palatino Linotype" w:hAnsi="Palatino Linotype" w:cs="Palatino Linotype"/>
          <w:b/>
        </w:rPr>
        <w:t>RECURRENTE</w:t>
      </w:r>
      <w:r>
        <w:rPr>
          <w:rFonts w:ascii="Palatino Linotype" w:eastAsia="Palatino Linotype" w:hAnsi="Palatino Linotype" w:cs="Palatino Linotype"/>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rsidR="00294C8C" w:rsidRDefault="00FE203E">
      <w:pPr>
        <w:spacing w:before="240" w:after="240" w:line="360" w:lineRule="auto"/>
        <w:jc w:val="both"/>
        <w:rPr>
          <w:rFonts w:ascii="Palatino Linotype" w:eastAsia="Palatino Linotype" w:hAnsi="Palatino Linotype" w:cs="Palatino Linotype"/>
        </w:rPr>
      </w:pPr>
      <w:bookmarkStart w:id="3" w:name="_heading=h.1fob9te" w:colFirst="0" w:colLast="0"/>
      <w:bookmarkEnd w:id="3"/>
      <w:r>
        <w:rPr>
          <w:rFonts w:ascii="Palatino Linotype" w:eastAsia="Palatino Linotype" w:hAnsi="Palatino Linotype" w:cs="Palatino Linotype"/>
          <w:b/>
        </w:rPr>
        <w:lastRenderedPageBreak/>
        <w:t>Segundo. Oportunidad y Procedibilidad del Recurso de Revisión</w:t>
      </w:r>
      <w:r>
        <w:rPr>
          <w:rFonts w:ascii="Palatino Linotype" w:eastAsia="Palatino Linotype" w:hAnsi="Palatino Linotype" w:cs="Palatino Linotype"/>
        </w:rPr>
        <w:t xml:space="preserve">. Previo al estudio del fondo del asunto, se procede a analizar los requisitos de oportunidad y </w:t>
      </w:r>
      <w:proofErr w:type="spellStart"/>
      <w:r>
        <w:rPr>
          <w:rFonts w:ascii="Palatino Linotype" w:eastAsia="Palatino Linotype" w:hAnsi="Palatino Linotype" w:cs="Palatino Linotype"/>
        </w:rPr>
        <w:t>procedibilidad</w:t>
      </w:r>
      <w:proofErr w:type="spellEnd"/>
      <w:r>
        <w:rPr>
          <w:rFonts w:ascii="Palatino Linotype" w:eastAsia="Palatino Linotype" w:hAnsi="Palatino Linotype" w:cs="Palatino Linotype"/>
        </w:rPr>
        <w:t xml:space="preserve"> que debe reunir el recurso de revisión interpuesto, previstos en los artículos 178 y 180 de la Ley de Transparencia y Acceso a la Información Pública del Estado de México y Municipios.</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El recurso de revisión fue interpuesto dentro del plazo de quince días hábiles, previsto en el artículo 178 de la Ley de Transparencia y Acceso a la Información Pública del Estado de México y Municipios, toda vez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respondió a la solicitud de información el </w:t>
      </w:r>
      <w:r>
        <w:rPr>
          <w:rFonts w:ascii="Palatino Linotype" w:eastAsia="Palatino Linotype" w:hAnsi="Palatino Linotype" w:cs="Palatino Linotype"/>
          <w:b/>
        </w:rPr>
        <w:t xml:space="preserve">primero de febrero de dos mil veintidós, </w:t>
      </w:r>
      <w:r>
        <w:rPr>
          <w:rFonts w:ascii="Palatino Linotype" w:eastAsia="Palatino Linotype" w:hAnsi="Palatino Linotype" w:cs="Palatino Linotype"/>
        </w:rPr>
        <w:t xml:space="preserve">mientras que el recurso de revisión se interpuso </w:t>
      </w:r>
      <w:r>
        <w:rPr>
          <w:rFonts w:ascii="Palatino Linotype" w:eastAsia="Palatino Linotype" w:hAnsi="Palatino Linotype" w:cs="Palatino Linotype"/>
          <w:b/>
        </w:rPr>
        <w:t xml:space="preserve">el once de febrero de dos mil veintidós, </w:t>
      </w:r>
      <w:r>
        <w:rPr>
          <w:rFonts w:ascii="Palatino Linotype" w:eastAsia="Palatino Linotype" w:hAnsi="Palatino Linotype" w:cs="Palatino Linotype"/>
        </w:rPr>
        <w:t>transcurriendo siete días hábiles</w:t>
      </w:r>
      <w:r>
        <w:rPr>
          <w:rFonts w:ascii="Palatino Linotype" w:eastAsia="Palatino Linotype" w:hAnsi="Palatino Linotype" w:cs="Palatino Linotype"/>
          <w:b/>
        </w:rPr>
        <w:t xml:space="preserve"> </w:t>
      </w:r>
      <w:r>
        <w:rPr>
          <w:rFonts w:ascii="Palatino Linotype" w:eastAsia="Palatino Linotype" w:hAnsi="Palatino Linotype" w:cs="Palatino Linotype"/>
        </w:rPr>
        <w:t>en que tuvo conocimiento de la respuesta impugnada.</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ese sentido, al considerar la fecha en que se formuló la solicitud y la fecha en la que respondió a ésta </w:t>
      </w:r>
      <w:r>
        <w:rPr>
          <w:rFonts w:ascii="Palatino Linotype" w:eastAsia="Palatino Linotype" w:hAnsi="Palatino Linotype" w:cs="Palatino Linotype"/>
          <w:b/>
        </w:rPr>
        <w:t>EL SUJETO OBLIGADO</w:t>
      </w:r>
      <w:r>
        <w:rPr>
          <w:rFonts w:ascii="Palatino Linotype" w:eastAsia="Palatino Linotype" w:hAnsi="Palatino Linotype" w:cs="Palatino Linotype"/>
        </w:rPr>
        <w:t>; así como, en la que se interpuso el recurso de revisión, éste se encuentra dentro de los márgenes temporales previstos en el citado precepto legal.</w:t>
      </w: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ende, por cuanto hace a la </w:t>
      </w:r>
      <w:proofErr w:type="spellStart"/>
      <w:r>
        <w:rPr>
          <w:rFonts w:ascii="Palatino Linotype" w:eastAsia="Palatino Linotype" w:hAnsi="Palatino Linotype" w:cs="Palatino Linotype"/>
        </w:rPr>
        <w:t>procedibilidad</w:t>
      </w:r>
      <w:proofErr w:type="spellEnd"/>
      <w:r>
        <w:rPr>
          <w:rFonts w:ascii="Palatino Linotype" w:eastAsia="Palatino Linotype" w:hAnsi="Palatino Linotype" w:cs="Palatino Linotype"/>
        </w:rPr>
        <w:t xml:space="preserve"> del recurso de revisión, una vez realizado el análisis del formato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rsidR="00294C8C" w:rsidRDefault="00FE203E">
      <w:pPr>
        <w:pBdr>
          <w:top w:val="nil"/>
          <w:left w:val="nil"/>
          <w:bottom w:val="nil"/>
          <w:right w:val="nil"/>
          <w:between w:val="nil"/>
        </w:pBdr>
        <w:spacing w:line="360" w:lineRule="auto"/>
        <w:ind w:right="-150"/>
        <w:jc w:val="both"/>
        <w:rPr>
          <w:rFonts w:ascii="Palatino Linotype" w:eastAsia="Palatino Linotype" w:hAnsi="Palatino Linotype" w:cs="Palatino Linotype"/>
          <w:color w:val="000000"/>
        </w:rPr>
      </w:pPr>
      <w:r>
        <w:rPr>
          <w:rFonts w:ascii="Palatino Linotype" w:eastAsia="Palatino Linotype" w:hAnsi="Palatino Linotype" w:cs="Palatino Linotype"/>
          <w:b/>
          <w:color w:val="000000"/>
        </w:rPr>
        <w:lastRenderedPageBreak/>
        <w:t xml:space="preserve"> </w:t>
      </w:r>
      <w:r>
        <w:rPr>
          <w:rFonts w:ascii="Palatino Linotype" w:eastAsia="Palatino Linotype" w:hAnsi="Palatino Linotype" w:cs="Palatino Linotype"/>
          <w:color w:val="000000"/>
        </w:rPr>
        <w:t xml:space="preserve">Finalmente, se advierte que resulta procedente la interposición del recurso, según lo manifestado por la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en sus motivos de inconformidad, de acuerdo al artículo 179, fracción</w:t>
      </w:r>
      <w:r>
        <w:rPr>
          <w:rFonts w:ascii="Palatino Linotype" w:eastAsia="Palatino Linotype" w:hAnsi="Palatino Linotype" w:cs="Palatino Linotype"/>
          <w:color w:val="FF0000"/>
        </w:rPr>
        <w:t xml:space="preserve"> </w:t>
      </w:r>
      <w:r>
        <w:rPr>
          <w:rFonts w:ascii="Palatino Linotype" w:eastAsia="Palatino Linotype" w:hAnsi="Palatino Linotype" w:cs="Palatino Linotype"/>
          <w:color w:val="000000"/>
        </w:rPr>
        <w:t>I del ordenamiento legal citado, que a la letra dice: </w:t>
      </w:r>
    </w:p>
    <w:p w:rsidR="00294C8C" w:rsidRDefault="00FE203E">
      <w:pPr>
        <w:tabs>
          <w:tab w:val="left" w:pos="7088"/>
        </w:tabs>
        <w:spacing w:before="120" w:after="120"/>
        <w:ind w:left="851" w:right="616"/>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179.</w:t>
      </w:r>
      <w:r>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rsidR="00294C8C" w:rsidRDefault="00FE203E">
      <w:pPr>
        <w:tabs>
          <w:tab w:val="left" w:pos="7088"/>
        </w:tabs>
        <w:spacing w:before="120" w:after="120"/>
        <w:ind w:left="993" w:right="616"/>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w:t>
      </w:r>
    </w:p>
    <w:p w:rsidR="00294C8C" w:rsidRDefault="00FE203E">
      <w:pPr>
        <w:numPr>
          <w:ilvl w:val="0"/>
          <w:numId w:val="1"/>
        </w:numPr>
        <w:pBdr>
          <w:top w:val="nil"/>
          <w:left w:val="nil"/>
          <w:bottom w:val="nil"/>
          <w:right w:val="nil"/>
          <w:between w:val="nil"/>
        </w:pBdr>
        <w:tabs>
          <w:tab w:val="left" w:pos="7088"/>
        </w:tabs>
        <w:spacing w:before="120" w:after="120"/>
        <w:ind w:right="616" w:hanging="72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La negativa a la información solicitada;</w:t>
      </w:r>
    </w:p>
    <w:p w:rsidR="00294C8C" w:rsidRDefault="00FE203E">
      <w:pPr>
        <w:tabs>
          <w:tab w:val="left" w:pos="7088"/>
        </w:tabs>
        <w:spacing w:before="120" w:after="120"/>
        <w:ind w:left="993" w:right="616"/>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w:t>
      </w:r>
    </w:p>
    <w:p w:rsidR="00294C8C" w:rsidRDefault="00FE203E">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Tercero. Materia de la revisión. </w:t>
      </w:r>
      <w:r>
        <w:rPr>
          <w:rFonts w:ascii="Palatino Linotype" w:eastAsia="Palatino Linotype" w:hAnsi="Palatino Linotype" w:cs="Palatino Linotype"/>
        </w:rPr>
        <w:t xml:space="preserve">De la revisión a las constancias y documentos que obran en el expediente electrónico, se advierte que el tema sobre el que este Organismo Garante de Transparencia y Acceso a la Información se pronunciará, será: </w:t>
      </w:r>
      <w:r>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Pr>
          <w:rFonts w:ascii="Palatino Linotype" w:eastAsia="Palatino Linotype" w:hAnsi="Palatino Linotype" w:cs="Palatino Linotype"/>
        </w:rPr>
        <w:t>del</w:t>
      </w:r>
      <w:r>
        <w:rPr>
          <w:rFonts w:ascii="Palatino Linotype" w:eastAsia="Palatino Linotype" w:hAnsi="Palatino Linotype" w:cs="Palatino Linotype"/>
          <w:b/>
        </w:rPr>
        <w:t xml:space="preserve"> RECURRENTE</w:t>
      </w:r>
      <w:r>
        <w:rPr>
          <w:rFonts w:ascii="Palatino Linotype" w:eastAsia="Palatino Linotype" w:hAnsi="Palatino Linotype" w:cs="Palatino Linotype"/>
        </w:rPr>
        <w:t>, o en su defecto, en caso de ser procedente, ordenar la entrega de información oportuna.</w:t>
      </w:r>
    </w:p>
    <w:p w:rsidR="00294C8C" w:rsidRDefault="00FE203E">
      <w:pPr>
        <w:spacing w:before="240" w:after="240" w:line="360" w:lineRule="auto"/>
        <w:jc w:val="both"/>
        <w:rPr>
          <w:rFonts w:ascii="Palatino Linotype" w:eastAsia="Palatino Linotype" w:hAnsi="Palatino Linotype" w:cs="Palatino Linotype"/>
          <w:b/>
        </w:rPr>
      </w:pPr>
      <w:r>
        <w:rPr>
          <w:rFonts w:ascii="Palatino Linotype" w:eastAsia="Palatino Linotype" w:hAnsi="Palatino Linotype" w:cs="Palatino Linotype"/>
          <w:b/>
          <w:color w:val="000000"/>
        </w:rPr>
        <w:t>Cuarto. Estudio del asunto.</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rPr>
        <w:t xml:space="preserve">Antes de entrar al análisis de los pronunciamientos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la respuesta proporcionada, es necesario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w:t>
      </w:r>
      <w:r>
        <w:rPr>
          <w:rFonts w:ascii="Palatino Linotype" w:eastAsia="Palatino Linotype" w:hAnsi="Palatino Linotype" w:cs="Palatino Linotype"/>
        </w:rPr>
        <w:lastRenderedPageBreak/>
        <w:t>párrafos primero, segundo y tercero y 6 apartado A fracciones I, II, III, IV, V, VI y VII que a la letra señalan:</w:t>
      </w:r>
    </w:p>
    <w:p w:rsidR="00294C8C" w:rsidRDefault="00FE203E">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Artículo 1o. En los Estados Unidos Mexicanos todas las personas gozarán de los derechos humanos reconocidos en esta Constitución y en los tratados internacionales de los que el Estado Mexicano sea parte</w:t>
      </w:r>
      <w:r>
        <w:rPr>
          <w:rFonts w:ascii="Palatino Linotype" w:eastAsia="Palatino Linotype" w:hAnsi="Palatino Linotype" w:cs="Palatino Linotype"/>
          <w:i/>
          <w:sz w:val="22"/>
          <w:szCs w:val="22"/>
        </w:rPr>
        <w:t>, así como de las garantías para su protección, cuyo ejercicio no podrá restringirse ni suspenderse, salvo en los casos y bajo las condiciones que esta Constitución establece.</w:t>
      </w:r>
    </w:p>
    <w:p w:rsidR="00294C8C" w:rsidRDefault="00FE203E">
      <w:pPr>
        <w:tabs>
          <w:tab w:val="left" w:pos="709"/>
        </w:tabs>
        <w:ind w:left="851" w:right="85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Las normas relativas a los derechos humanos se interpretarán de conformidad con esta Constitución y con los tratados internacionales de la materia favoreciendo en todo tiempo a las personas la protección más amplia.</w:t>
      </w:r>
    </w:p>
    <w:p w:rsidR="00294C8C" w:rsidRDefault="00FE203E">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eastAsia="Palatino Linotype" w:hAnsi="Palatino Linotype" w:cs="Palatino Linotype"/>
          <w:i/>
          <w:sz w:val="22"/>
          <w:szCs w:val="22"/>
        </w:rPr>
        <w:t xml:space="preserve"> En consecuencia, el Estado deberá prevenir, investigar, sancionar y reparar las violaciones a los derechos humanos, en los términos que establezca la ley</w:t>
      </w:r>
    </w:p>
    <w:p w:rsidR="00294C8C" w:rsidRDefault="00FE203E">
      <w:pPr>
        <w:tabs>
          <w:tab w:val="left" w:pos="709"/>
        </w:tabs>
        <w:ind w:left="851" w:right="85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94C8C" w:rsidRDefault="00FE203E">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6o.</w:t>
      </w:r>
    </w:p>
    <w:p w:rsidR="00294C8C" w:rsidRDefault="00FE203E">
      <w:pPr>
        <w:ind w:left="851" w:right="90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A. Para el ejercicio del derecho de acceso a la información, la Federación y </w:t>
      </w:r>
      <w:r>
        <w:rPr>
          <w:rFonts w:ascii="Palatino Linotype" w:eastAsia="Palatino Linotype" w:hAnsi="Palatino Linotype" w:cs="Palatino Linotype"/>
          <w:b/>
          <w:i/>
          <w:sz w:val="22"/>
          <w:szCs w:val="22"/>
          <w:u w:val="single"/>
        </w:rPr>
        <w:t>las entidades federativas</w:t>
      </w:r>
      <w:r>
        <w:rPr>
          <w:rFonts w:ascii="Palatino Linotype" w:eastAsia="Palatino Linotype" w:hAnsi="Palatino Linotype" w:cs="Palatino Linotype"/>
          <w:b/>
          <w:i/>
          <w:sz w:val="22"/>
          <w:szCs w:val="22"/>
        </w:rPr>
        <w:t>,</w:t>
      </w:r>
      <w:r>
        <w:rPr>
          <w:rFonts w:ascii="Palatino Linotype" w:eastAsia="Palatino Linotype" w:hAnsi="Palatino Linotype" w:cs="Palatino Linotype"/>
          <w:i/>
          <w:sz w:val="22"/>
          <w:szCs w:val="22"/>
        </w:rPr>
        <w:t xml:space="preserve"> en el ámbito de sus respectivas competencias, se regirán por los siguientes principios y bases:</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 </w:t>
      </w:r>
      <w:r>
        <w:rPr>
          <w:rFonts w:ascii="Palatino Linotype" w:eastAsia="Palatino Linotype" w:hAnsi="Palatino Linotype" w:cs="Palatino Linotype"/>
          <w:b/>
          <w:i/>
          <w:sz w:val="22"/>
          <w:szCs w:val="22"/>
          <w:u w:val="single"/>
        </w:rPr>
        <w:t>Toda la información en posesión de cualquier autoridad, entidad, órgano y organismo de los Poderes</w:t>
      </w:r>
      <w:r>
        <w:rPr>
          <w:rFonts w:ascii="Palatino Linotype" w:eastAsia="Palatino Linotype" w:hAnsi="Palatino Linotype" w:cs="Palatino Linotype"/>
          <w:i/>
          <w:sz w:val="22"/>
          <w:szCs w:val="22"/>
        </w:rPr>
        <w:t xml:space="preserve"> Ejecutivo, Legislativo </w:t>
      </w:r>
      <w:r>
        <w:rPr>
          <w:rFonts w:ascii="Palatino Linotype" w:eastAsia="Palatino Linotype" w:hAnsi="Palatino Linotype" w:cs="Palatino Linotype"/>
          <w:b/>
          <w:i/>
          <w:sz w:val="22"/>
          <w:szCs w:val="22"/>
          <w:u w:val="single"/>
        </w:rPr>
        <w:t>y Judicial</w:t>
      </w:r>
      <w:r>
        <w:rPr>
          <w:rFonts w:ascii="Palatino Linotype" w:eastAsia="Palatino Linotype" w:hAnsi="Palatino Linotype" w:cs="Palatino Linotype"/>
          <w:i/>
          <w:sz w:val="22"/>
          <w:szCs w:val="22"/>
        </w:rPr>
        <w:t xml:space="preserve">, órganos autónomos, partidos políticos, fideicomisos y fondos públicos, así como de cualquier persona física, moral o sindicato que reciba y ejerza recursos públicos o realice actos de autoridad en el ámbito federal, estatal y municipal, </w:t>
      </w:r>
      <w:r>
        <w:rPr>
          <w:rFonts w:ascii="Palatino Linotype" w:eastAsia="Palatino Linotype" w:hAnsi="Palatino Linotype" w:cs="Palatino Linotype"/>
          <w:b/>
          <w:i/>
          <w:sz w:val="22"/>
          <w:szCs w:val="22"/>
        </w:rPr>
        <w:t>es pública y sólo podrá ser reservada temporalmente por razones de interés público y seguridad nacional,</w:t>
      </w:r>
      <w:r>
        <w:rPr>
          <w:rFonts w:ascii="Palatino Linotype" w:eastAsia="Palatino Linotype" w:hAnsi="Palatino Linotype" w:cs="Palatino Linotype"/>
          <w:i/>
          <w:sz w:val="22"/>
          <w:szCs w:val="22"/>
        </w:rPr>
        <w:t xml:space="preserve">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w:t>
      </w:r>
    </w:p>
    <w:p w:rsidR="00294C8C" w:rsidRDefault="00FE203E">
      <w:pPr>
        <w:ind w:left="851" w:right="851"/>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II. La información que se refiere a la vida privada y los datos personales será protegida en los términos y con las excepciones que fijen las leyes.</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III. </w:t>
      </w:r>
      <w:r>
        <w:rPr>
          <w:rFonts w:ascii="Palatino Linotype" w:eastAsia="Palatino Linotype" w:hAnsi="Palatino Linotype" w:cs="Palatino Linotype"/>
          <w:b/>
          <w:i/>
          <w:sz w:val="22"/>
          <w:szCs w:val="22"/>
          <w:u w:val="single"/>
        </w:rPr>
        <w:t>Toda persona, sin necesidad de acreditar interés alguno o justificar su utilización, tendrá acceso gratuito a la información pública,</w:t>
      </w:r>
      <w:r>
        <w:rPr>
          <w:rFonts w:ascii="Palatino Linotype" w:eastAsia="Palatino Linotype" w:hAnsi="Palatino Linotype" w:cs="Palatino Linotype"/>
          <w:i/>
          <w:sz w:val="22"/>
          <w:szCs w:val="22"/>
        </w:rPr>
        <w:t xml:space="preserve"> a sus datos personales o a la rectificación de éstos.</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IV. </w:t>
      </w:r>
      <w:r>
        <w:rPr>
          <w:rFonts w:ascii="Palatino Linotype" w:eastAsia="Palatino Linotype" w:hAnsi="Palatino Linotype" w:cs="Palatino Linotype"/>
          <w:i/>
          <w:sz w:val="22"/>
          <w:szCs w:val="22"/>
        </w:rPr>
        <w:t>Se establecerán mecanismos de acceso a la información y procedimientos de revisión expeditos que se sustanciarán ante los organismos autónomos especializados e imparciales que establece esta Constitución.</w:t>
      </w:r>
    </w:p>
    <w:p w:rsidR="00294C8C" w:rsidRDefault="00294C8C">
      <w:pPr>
        <w:ind w:left="851" w:right="851"/>
        <w:jc w:val="both"/>
        <w:rPr>
          <w:rFonts w:ascii="Palatino Linotype" w:eastAsia="Palatino Linotype" w:hAnsi="Palatino Linotype" w:cs="Palatino Linotype"/>
          <w:i/>
          <w:sz w:val="22"/>
          <w:szCs w:val="22"/>
        </w:rPr>
      </w:pP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 </w:t>
      </w:r>
      <w:r>
        <w:rPr>
          <w:rFonts w:ascii="Palatino Linotype" w:eastAsia="Palatino Linotype" w:hAnsi="Palatino Linotype" w:cs="Palatino Linotype"/>
          <w:i/>
          <w:sz w:val="22"/>
          <w:szCs w:val="22"/>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 </w:t>
      </w:r>
      <w:r>
        <w:rPr>
          <w:rFonts w:ascii="Palatino Linotype" w:eastAsia="Palatino Linotype" w:hAnsi="Palatino Linotype" w:cs="Palatino Linotype"/>
          <w:i/>
          <w:sz w:val="22"/>
          <w:szCs w:val="22"/>
        </w:rPr>
        <w:t>Las leyes determinarán la manera en que los sujetos obligados deberán hacer pública la información relativa a los recursos públicos que entreguen a personas físicas o morales.</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w:t>
      </w:r>
    </w:p>
    <w:p w:rsidR="00294C8C" w:rsidRDefault="00FE203E">
      <w:pPr>
        <w:ind w:left="851" w:right="851"/>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 xml:space="preserve">VII. </w:t>
      </w:r>
      <w:r>
        <w:rPr>
          <w:rFonts w:ascii="Palatino Linotype" w:eastAsia="Palatino Linotype" w:hAnsi="Palatino Linotype" w:cs="Palatino Linotype"/>
          <w:i/>
          <w:sz w:val="22"/>
          <w:szCs w:val="22"/>
        </w:rPr>
        <w:t>La inobservancia a las disposiciones en materia de acceso a la información pública será sancionada en los términos que dispongan las leyes. [...]</w:t>
      </w:r>
    </w:p>
    <w:p w:rsidR="00294C8C" w:rsidRDefault="00294C8C">
      <w:pPr>
        <w:ind w:right="851"/>
        <w:jc w:val="both"/>
        <w:rPr>
          <w:rFonts w:ascii="Palatino Linotype" w:eastAsia="Palatino Linotype" w:hAnsi="Palatino Linotype" w:cs="Palatino Linotype"/>
          <w:i/>
          <w:sz w:val="22"/>
          <w:szCs w:val="22"/>
        </w:rPr>
      </w:pPr>
    </w:p>
    <w:p w:rsidR="00294C8C" w:rsidRDefault="00FE203E">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Esto es, que cualquier persona tiene el derecho al acceso de la información pública, información que consiste en aquella que sea generada, obtenida, adquirida, 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w:t>
      </w:r>
      <w:r>
        <w:rPr>
          <w:rFonts w:ascii="Palatino Linotype" w:eastAsia="Palatino Linotype" w:hAnsi="Palatino Linotype" w:cs="Palatino Linotype"/>
        </w:rPr>
        <w:lastRenderedPageBreak/>
        <w:t>privilegiando el principio de máxima publicidad, como así lo establece dicha determinación, que a continuación se trascribe para un mejor entendimiento:</w:t>
      </w:r>
    </w:p>
    <w:p w:rsidR="00294C8C" w:rsidRDefault="00FE203E">
      <w:pPr>
        <w:spacing w:before="240"/>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4</w:t>
      </w:r>
      <w:r>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294C8C" w:rsidRDefault="00294C8C">
      <w:pPr>
        <w:spacing w:before="240"/>
        <w:ind w:left="709" w:right="760"/>
        <w:jc w:val="both"/>
        <w:rPr>
          <w:rFonts w:ascii="Palatino Linotype" w:eastAsia="Palatino Linotype" w:hAnsi="Palatino Linotype" w:cs="Palatino Linotype"/>
          <w:i/>
          <w:sz w:val="22"/>
          <w:szCs w:val="22"/>
        </w:rPr>
      </w:pPr>
    </w:p>
    <w:p w:rsidR="00294C8C" w:rsidRDefault="00FE203E">
      <w:pPr>
        <w:ind w:left="709" w:right="76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294C8C" w:rsidRDefault="00294C8C">
      <w:pPr>
        <w:ind w:left="709" w:right="760"/>
        <w:jc w:val="both"/>
        <w:rPr>
          <w:rFonts w:ascii="Palatino Linotype" w:eastAsia="Palatino Linotype" w:hAnsi="Palatino Linotype" w:cs="Palatino Linotype"/>
          <w:b/>
          <w:i/>
          <w:sz w:val="22"/>
          <w:szCs w:val="22"/>
        </w:rPr>
      </w:pPr>
    </w:p>
    <w:p w:rsidR="00294C8C" w:rsidRDefault="00FE203E">
      <w:pPr>
        <w:ind w:left="709" w:right="76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Los sujetos obligados deben poner en práctica, políticas y programas de acceso a la información que se apeguen a criterios de publicidad, veracidad, oportunidad, precisión y suficiencia en beneficio de los solicitantes.”(Sic)</w:t>
      </w:r>
    </w:p>
    <w:p w:rsidR="00294C8C" w:rsidRDefault="00294C8C">
      <w:pPr>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De lo precedente, se desprende que los Sujetos Obligados tiene la obligación o deber de atender las solicitudes de acceso a la información pública que se les hagan de su conocimiento y proporcionar la información pública que obren en su poder como así lo establece el artículo 12 de la Ley de Transparencia y Acceso a la Información Pública del Estado de México y Municipios, el cual a la letra dice:</w:t>
      </w:r>
    </w:p>
    <w:p w:rsidR="00294C8C" w:rsidRDefault="00294C8C">
      <w:pPr>
        <w:jc w:val="both"/>
        <w:rPr>
          <w:rFonts w:ascii="Palatino Linotype" w:eastAsia="Palatino Linotype" w:hAnsi="Palatino Linotype" w:cs="Palatino Linotype"/>
        </w:rPr>
      </w:pPr>
    </w:p>
    <w:p w:rsidR="00294C8C" w:rsidRDefault="00FE203E">
      <w:pPr>
        <w:spacing w:line="276" w:lineRule="auto"/>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12</w:t>
      </w:r>
      <w:r>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rsidR="00294C8C" w:rsidRDefault="00294C8C">
      <w:pPr>
        <w:spacing w:line="276" w:lineRule="auto"/>
        <w:ind w:left="567" w:right="758"/>
        <w:jc w:val="both"/>
        <w:rPr>
          <w:rFonts w:ascii="Palatino Linotype" w:eastAsia="Palatino Linotype" w:hAnsi="Palatino Linotype" w:cs="Palatino Linotype"/>
          <w:i/>
          <w:sz w:val="22"/>
          <w:szCs w:val="22"/>
        </w:rPr>
      </w:pPr>
    </w:p>
    <w:p w:rsidR="00294C8C" w:rsidRDefault="00FE203E">
      <w:pPr>
        <w:spacing w:line="276" w:lineRule="auto"/>
        <w:ind w:left="567" w:right="758"/>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r>
        <w:rPr>
          <w:rFonts w:ascii="Palatino Linotype" w:eastAsia="Palatino Linotype" w:hAnsi="Palatino Linotype" w:cs="Palatino Linotype"/>
          <w:sz w:val="22"/>
          <w:szCs w:val="22"/>
        </w:rPr>
        <w:t>(Sic)</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Es decir, que el derecho de acceso a la información pública se satisface en aquellos casos en que se entregue documento en que conste la información requerida, toda vez que, los Sujetos Obligados</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no tienen el deber de generar, poseer o administrar la información pública con el grado de detalle solicitado; esto es, que no tienen el deber de generar un documento </w:t>
      </w:r>
      <w:r>
        <w:rPr>
          <w:rFonts w:ascii="Palatino Linotype" w:eastAsia="Palatino Linotype" w:hAnsi="Palatino Linotype" w:cs="Palatino Linotype"/>
          <w:i/>
          <w:color w:val="000000"/>
        </w:rPr>
        <w:t>ad hoc</w:t>
      </w:r>
      <w:r>
        <w:rPr>
          <w:rFonts w:ascii="Palatino Linotype" w:eastAsia="Palatino Linotype" w:hAnsi="Palatino Linotype" w:cs="Palatino Linotype"/>
          <w:color w:val="000000"/>
        </w:rPr>
        <w:t xml:space="preserve">, para satisfacer el derecho de acceso a la información pública, </w:t>
      </w:r>
      <w:r>
        <w:rPr>
          <w:rFonts w:ascii="Palatino Linotype" w:eastAsia="Palatino Linotype" w:hAnsi="Palatino Linotype" w:cs="Palatino Linotype"/>
        </w:rPr>
        <w:t>como así lo establece el criterio 03/17 emitido por el Instituto Nacional de Transparencia, Acceso a la Información Pública y Protección de Datos Personales, los cuales señalan lo siguiente:</w:t>
      </w:r>
    </w:p>
    <w:p w:rsidR="00294C8C" w:rsidRDefault="00FE203E">
      <w:pPr>
        <w:spacing w:before="120" w:after="240" w:line="276" w:lineRule="auto"/>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03/17</w:t>
      </w:r>
    </w:p>
    <w:p w:rsidR="00294C8C" w:rsidRDefault="00FE203E">
      <w:pPr>
        <w:spacing w:before="120" w:after="240" w:line="276" w:lineRule="auto"/>
        <w:ind w:left="1134" w:right="902"/>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“NO EXISTE OBLIGACIÓN DE ELABORAR DOCUMENTOS AD HOC PARA ATENDER LAS SOLICITUDES DE ACCESO A LA INFORMACIÓN.</w:t>
      </w:r>
    </w:p>
    <w:p w:rsidR="00294C8C" w:rsidRDefault="00FE203E">
      <w:pPr>
        <w:spacing w:before="120" w:after="240" w:line="276" w:lineRule="auto"/>
        <w:ind w:left="1134" w:right="902"/>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2"/>
          <w:szCs w:val="22"/>
        </w:rPr>
        <w:t xml:space="preserve">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w:t>
      </w:r>
      <w:r>
        <w:rPr>
          <w:rFonts w:ascii="Palatino Linotype" w:eastAsia="Palatino Linotype" w:hAnsi="Palatino Linotype" w:cs="Palatino Linotype"/>
          <w:i/>
          <w:sz w:val="22"/>
          <w:szCs w:val="22"/>
        </w:rPr>
        <w:lastRenderedPageBreak/>
        <w:t>información con la que cuentan en el formato en que la misma obre en sus archivos; sin necesidad de elaborar documentos ad hoc para atender las solicitudes de información."(Sic</w:t>
      </w:r>
      <w:r>
        <w:rPr>
          <w:rFonts w:ascii="Palatino Linotype" w:eastAsia="Palatino Linotype" w:hAnsi="Palatino Linotype" w:cs="Palatino Linotype"/>
          <w:i/>
          <w:sz w:val="20"/>
          <w:szCs w:val="20"/>
        </w:rPr>
        <w:t>)</w:t>
      </w:r>
    </w:p>
    <w:p w:rsidR="00294C8C" w:rsidRDefault="00FE203E">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Por otra parte, y aunado a lo antepuesto, el último párrafo del artículo 24 de la Ley de la materia, dispone que los Sujetos Obligados </w:t>
      </w:r>
      <w:r>
        <w:rPr>
          <w:rFonts w:ascii="Palatino Linotype" w:eastAsia="Palatino Linotype" w:hAnsi="Palatino Linotype" w:cs="Palatino Linotype"/>
          <w:color w:val="000000"/>
        </w:rPr>
        <w:t xml:space="preserve">sólo proporcionarán la información pública que </w:t>
      </w:r>
      <w:r>
        <w:rPr>
          <w:rFonts w:ascii="Palatino Linotype" w:eastAsia="Palatino Linotype" w:hAnsi="Palatino Linotype" w:cs="Palatino Linotype"/>
        </w:rPr>
        <w:t>generen</w:t>
      </w:r>
      <w:r>
        <w:rPr>
          <w:rFonts w:ascii="Palatino Linotype" w:eastAsia="Palatino Linotype" w:hAnsi="Palatino Linotype" w:cs="Palatino Linotype"/>
          <w:color w:val="000000"/>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294C8C" w:rsidRDefault="00294C8C">
      <w:pPr>
        <w:spacing w:line="360" w:lineRule="auto"/>
        <w:jc w:val="both"/>
        <w:rPr>
          <w:rFonts w:ascii="Palatino Linotype" w:eastAsia="Palatino Linotype" w:hAnsi="Palatino Linotype" w:cs="Palatino Linotype"/>
          <w:color w:val="000000"/>
        </w:rPr>
      </w:pPr>
    </w:p>
    <w:p w:rsidR="00294C8C" w:rsidRDefault="00FE203E">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294C8C" w:rsidRDefault="00294C8C">
      <w:pPr>
        <w:jc w:val="both"/>
        <w:rPr>
          <w:rFonts w:ascii="Palatino Linotype" w:eastAsia="Palatino Linotype" w:hAnsi="Palatino Linotype" w:cs="Palatino Linotype"/>
          <w:color w:val="000000"/>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w:t>
      </w:r>
      <w:r>
        <w:rPr>
          <w:rFonts w:ascii="Palatino Linotype" w:eastAsia="Palatino Linotype" w:hAnsi="Palatino Linotype" w:cs="Palatino Linotype"/>
        </w:rPr>
        <w:lastRenderedPageBreak/>
        <w:t xml:space="preserve">podrán estar en cualquier medio, sea escrito, impreso, sonoro, visual, electrónico, informático u holográfico de conformidad con el artículo 3, fracción XI de la Ley de la materia, el cual señala lo siguiente: </w:t>
      </w:r>
    </w:p>
    <w:p w:rsidR="00294C8C" w:rsidRDefault="00294C8C">
      <w:pPr>
        <w:ind w:left="1134" w:right="899"/>
        <w:jc w:val="both"/>
        <w:rPr>
          <w:rFonts w:ascii="Palatino Linotype" w:eastAsia="Palatino Linotype" w:hAnsi="Palatino Linotype" w:cs="Palatino Linotype"/>
          <w:i/>
          <w:sz w:val="22"/>
          <w:szCs w:val="22"/>
        </w:rPr>
      </w:pPr>
    </w:p>
    <w:p w:rsidR="00294C8C" w:rsidRDefault="00FE203E">
      <w:pPr>
        <w:spacing w:line="276" w:lineRule="auto"/>
        <w:ind w:left="1134"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 xml:space="preserve">Artículo 3. </w:t>
      </w:r>
      <w:r>
        <w:rPr>
          <w:rFonts w:ascii="Palatino Linotype" w:eastAsia="Palatino Linotype" w:hAnsi="Palatino Linotype" w:cs="Palatino Linotype"/>
          <w:i/>
          <w:sz w:val="22"/>
          <w:szCs w:val="22"/>
        </w:rPr>
        <w:t>Para los efectos de la presente Ley se entenderá por:</w:t>
      </w:r>
    </w:p>
    <w:p w:rsidR="00294C8C" w:rsidRDefault="00FE203E">
      <w:pPr>
        <w:spacing w:line="276" w:lineRule="auto"/>
        <w:ind w:left="1134"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94C8C" w:rsidRDefault="00FE203E">
      <w:pPr>
        <w:spacing w:line="276" w:lineRule="auto"/>
        <w:ind w:left="1134"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b/>
          <w:i/>
          <w:color w:val="000000"/>
          <w:sz w:val="22"/>
          <w:szCs w:val="22"/>
        </w:rPr>
        <w:t>XI. Documento:</w:t>
      </w:r>
      <w:r>
        <w:rPr>
          <w:rFonts w:ascii="Palatino Linotype" w:eastAsia="Palatino Linotype" w:hAnsi="Palatino Linotype" w:cs="Palatino Linotype"/>
          <w:i/>
          <w:color w:val="000000"/>
          <w:sz w:val="22"/>
          <w:szCs w:val="22"/>
        </w:rPr>
        <w:t xml:space="preserve"> Los expedientes, reportes, estudios, </w:t>
      </w:r>
      <w:r>
        <w:rPr>
          <w:rFonts w:ascii="Palatino Linotype" w:eastAsia="Palatino Linotype" w:hAnsi="Palatino Linotype" w:cs="Palatino Linotype"/>
          <w:b/>
          <w:i/>
          <w:color w:val="000000"/>
          <w:sz w:val="22"/>
          <w:szCs w:val="22"/>
        </w:rPr>
        <w:t>actas,</w:t>
      </w:r>
      <w:r>
        <w:rPr>
          <w:rFonts w:ascii="Palatino Linotype" w:eastAsia="Palatino Linotype" w:hAnsi="Palatino Linotype" w:cs="Palatino Linotype"/>
          <w:i/>
          <w:color w:val="000000"/>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r>
        <w:rPr>
          <w:rFonts w:ascii="Palatino Linotype" w:eastAsia="Palatino Linotype" w:hAnsi="Palatino Linotype" w:cs="Palatino Linotype"/>
          <w:b/>
          <w:i/>
          <w:color w:val="000000"/>
          <w:sz w:val="22"/>
          <w:szCs w:val="22"/>
        </w:rPr>
        <w:t>…</w:t>
      </w:r>
      <w:r>
        <w:rPr>
          <w:rFonts w:ascii="Palatino Linotype" w:eastAsia="Palatino Linotype" w:hAnsi="Palatino Linotype" w:cs="Palatino Linotype"/>
          <w:i/>
          <w:color w:val="000000"/>
          <w:sz w:val="22"/>
          <w:szCs w:val="22"/>
        </w:rPr>
        <w:t>” (Sic)</w:t>
      </w:r>
    </w:p>
    <w:p w:rsidR="00294C8C" w:rsidRDefault="00294C8C">
      <w:pPr>
        <w:ind w:left="851" w:right="899"/>
        <w:jc w:val="both"/>
        <w:rPr>
          <w:rFonts w:ascii="Palatino Linotype" w:eastAsia="Palatino Linotype" w:hAnsi="Palatino Linotype" w:cs="Palatino Linotype"/>
          <w:i/>
          <w:color w:val="000000"/>
          <w:sz w:val="22"/>
          <w:szCs w:val="22"/>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294C8C" w:rsidRDefault="00294C8C">
      <w:pPr>
        <w:ind w:left="851" w:right="899"/>
        <w:jc w:val="both"/>
        <w:rPr>
          <w:rFonts w:ascii="Palatino Linotype" w:eastAsia="Palatino Linotype" w:hAnsi="Palatino Linotype" w:cs="Palatino Linotype"/>
        </w:rPr>
      </w:pPr>
    </w:p>
    <w:p w:rsidR="00294C8C" w:rsidRDefault="00FE203E">
      <w:pPr>
        <w:spacing w:line="276" w:lineRule="auto"/>
        <w:ind w:left="1134" w:right="899"/>
        <w:jc w:val="both"/>
        <w:rPr>
          <w:rFonts w:ascii="Palatino Linotype" w:eastAsia="Palatino Linotype" w:hAnsi="Palatino Linotype" w:cs="Palatino Linotype"/>
          <w:b/>
          <w:i/>
          <w:sz w:val="22"/>
          <w:szCs w:val="22"/>
        </w:rPr>
      </w:pPr>
      <w:r>
        <w:rPr>
          <w:rFonts w:ascii="Palatino Linotype" w:eastAsia="Palatino Linotype" w:hAnsi="Palatino Linotype" w:cs="Palatino Linotype"/>
          <w:b/>
          <w:sz w:val="22"/>
          <w:szCs w:val="22"/>
        </w:rPr>
        <w:t>“</w:t>
      </w:r>
      <w:r>
        <w:rPr>
          <w:rFonts w:ascii="Palatino Linotype" w:eastAsia="Palatino Linotype" w:hAnsi="Palatino Linotype" w:cs="Palatino Linotype"/>
          <w:b/>
          <w:i/>
          <w:sz w:val="22"/>
          <w:szCs w:val="22"/>
        </w:rPr>
        <w:t>CRITERIO 0002-11</w:t>
      </w:r>
    </w:p>
    <w:p w:rsidR="00294C8C" w:rsidRDefault="00FE203E">
      <w:pPr>
        <w:spacing w:line="276" w:lineRule="auto"/>
        <w:ind w:left="1134"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w:t>
      </w:r>
      <w:r>
        <w:rPr>
          <w:rFonts w:ascii="Palatino Linotype" w:eastAsia="Palatino Linotype" w:hAnsi="Palatino Linotype" w:cs="Palatino Linotype"/>
          <w:i/>
          <w:sz w:val="22"/>
          <w:szCs w:val="22"/>
        </w:rPr>
        <w:lastRenderedPageBreak/>
        <w:t>ejercicio de sus funciones de derecho público, sin importar su fuente, soporte o fecha de elaboración.</w:t>
      </w:r>
    </w:p>
    <w:p w:rsidR="00294C8C" w:rsidRDefault="00294C8C">
      <w:pPr>
        <w:spacing w:line="276" w:lineRule="auto"/>
        <w:ind w:left="1134" w:right="899"/>
        <w:jc w:val="both"/>
        <w:rPr>
          <w:rFonts w:ascii="Palatino Linotype" w:eastAsia="Palatino Linotype" w:hAnsi="Palatino Linotype" w:cs="Palatino Linotype"/>
          <w:i/>
          <w:sz w:val="22"/>
          <w:szCs w:val="22"/>
        </w:rPr>
      </w:pPr>
    </w:p>
    <w:p w:rsidR="00294C8C" w:rsidRDefault="00FE203E">
      <w:pPr>
        <w:spacing w:line="276" w:lineRule="auto"/>
        <w:ind w:left="1134" w:right="899"/>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En consecuencia el acceso a la información se refiere a que se cumplan cualquiera de los siguientes tres supuestos:</w:t>
      </w:r>
    </w:p>
    <w:p w:rsidR="00294C8C" w:rsidRDefault="00294C8C">
      <w:pPr>
        <w:spacing w:line="276" w:lineRule="auto"/>
        <w:ind w:left="1134" w:right="899"/>
        <w:jc w:val="both"/>
        <w:rPr>
          <w:rFonts w:ascii="Palatino Linotype" w:eastAsia="Palatino Linotype" w:hAnsi="Palatino Linotype" w:cs="Palatino Linotype"/>
          <w:i/>
          <w:sz w:val="22"/>
          <w:szCs w:val="22"/>
        </w:rPr>
      </w:pPr>
    </w:p>
    <w:p w:rsidR="00294C8C" w:rsidRDefault="00FE203E">
      <w:pPr>
        <w:numPr>
          <w:ilvl w:val="0"/>
          <w:numId w:val="5"/>
        </w:numPr>
        <w:pBdr>
          <w:top w:val="nil"/>
          <w:left w:val="nil"/>
          <w:bottom w:val="nil"/>
          <w:right w:val="nil"/>
          <w:between w:val="nil"/>
        </w:pBdr>
        <w:spacing w:line="276" w:lineRule="auto"/>
        <w:ind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Que se trate de información registrada en cualquier soporte documental, que en ejercicio de las atribuciones conferidas, sea generada por los Sujetos Obligados;</w:t>
      </w:r>
    </w:p>
    <w:p w:rsidR="00294C8C" w:rsidRDefault="00294C8C">
      <w:pPr>
        <w:pBdr>
          <w:top w:val="nil"/>
          <w:left w:val="nil"/>
          <w:bottom w:val="nil"/>
          <w:right w:val="nil"/>
          <w:between w:val="nil"/>
        </w:pBdr>
        <w:spacing w:line="276" w:lineRule="auto"/>
        <w:ind w:left="1494" w:right="899"/>
        <w:jc w:val="both"/>
        <w:rPr>
          <w:rFonts w:ascii="Palatino Linotype" w:eastAsia="Palatino Linotype" w:hAnsi="Palatino Linotype" w:cs="Palatino Linotype"/>
          <w:b/>
          <w:i/>
          <w:color w:val="000000"/>
          <w:sz w:val="22"/>
          <w:szCs w:val="22"/>
        </w:rPr>
      </w:pPr>
    </w:p>
    <w:p w:rsidR="00294C8C" w:rsidRDefault="00FE203E">
      <w:pPr>
        <w:numPr>
          <w:ilvl w:val="0"/>
          <w:numId w:val="5"/>
        </w:numPr>
        <w:pBdr>
          <w:top w:val="nil"/>
          <w:left w:val="nil"/>
          <w:bottom w:val="nil"/>
          <w:right w:val="nil"/>
          <w:between w:val="nil"/>
        </w:pBdr>
        <w:spacing w:line="276" w:lineRule="auto"/>
        <w:ind w:right="899"/>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Que se trate de información registrada en cualquier soporte documental, que en ejercicio de las atribuciones conferidas, sea administrada por los Sujetos Obligados, y</w:t>
      </w:r>
    </w:p>
    <w:p w:rsidR="00294C8C" w:rsidRDefault="00294C8C">
      <w:pPr>
        <w:pBdr>
          <w:top w:val="nil"/>
          <w:left w:val="nil"/>
          <w:bottom w:val="nil"/>
          <w:right w:val="nil"/>
          <w:between w:val="nil"/>
        </w:pBdr>
        <w:spacing w:line="276" w:lineRule="auto"/>
        <w:ind w:left="1494" w:right="899"/>
        <w:jc w:val="both"/>
        <w:rPr>
          <w:rFonts w:ascii="Palatino Linotype" w:eastAsia="Palatino Linotype" w:hAnsi="Palatino Linotype" w:cs="Palatino Linotype"/>
          <w:i/>
          <w:color w:val="000000"/>
          <w:sz w:val="22"/>
          <w:szCs w:val="22"/>
        </w:rPr>
      </w:pPr>
    </w:p>
    <w:p w:rsidR="00294C8C" w:rsidRDefault="00FE203E">
      <w:pPr>
        <w:spacing w:line="276" w:lineRule="auto"/>
        <w:ind w:left="1418" w:right="899" w:hanging="284"/>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3) </w:t>
      </w:r>
      <w:r>
        <w:rPr>
          <w:rFonts w:ascii="Palatino Linotype" w:eastAsia="Palatino Linotype" w:hAnsi="Palatino Linotype" w:cs="Palatino Linotype"/>
          <w:b/>
          <w:i/>
          <w:sz w:val="22"/>
          <w:szCs w:val="22"/>
        </w:rPr>
        <w:t>Que se trate de información registrada en cualquier soporte documental, que en ejercicio de las atribuciones conferidas, se encuentre en posesión de los Sujetos Obligados.” (Sic)</w:t>
      </w:r>
    </w:p>
    <w:p w:rsidR="00294C8C" w:rsidRDefault="00294C8C">
      <w:pPr>
        <w:ind w:left="1134" w:right="1041"/>
        <w:jc w:val="both"/>
        <w:rPr>
          <w:rFonts w:ascii="Palatino Linotype" w:eastAsia="Palatino Linotype" w:hAnsi="Palatino Linotype" w:cs="Palatino Linotype"/>
          <w:sz w:val="22"/>
          <w:szCs w:val="22"/>
        </w:rPr>
      </w:pPr>
    </w:p>
    <w:p w:rsidR="00294C8C" w:rsidRDefault="00FE203E">
      <w:pPr>
        <w:spacing w:before="280" w:after="28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De ahí que </w:t>
      </w:r>
      <w:r>
        <w:rPr>
          <w:rFonts w:ascii="Palatino Linotype" w:eastAsia="Palatino Linotype" w:hAnsi="Palatino Linotype" w:cs="Palatino Linotype"/>
          <w:b/>
        </w:rPr>
        <w:t>EL</w:t>
      </w:r>
      <w:r>
        <w:rPr>
          <w:rFonts w:ascii="Palatino Linotype" w:eastAsia="Palatino Linotype" w:hAnsi="Palatino Linotype" w:cs="Palatino Linotype"/>
        </w:rPr>
        <w:t xml:space="preserve">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el deber de satisfacer las solicitudes de acceso a la información que le sean formuladas y entregar la información pública que obre en sus archivos; más aún si la misma se trata de información pública de oficio la cual se relaciona con aquella que se genere de acuerdo con sus facultades, atribuciones señaladas por la Ley en la materia</w:t>
      </w:r>
      <w:r>
        <w:rPr>
          <w:rFonts w:ascii="Palatino Linotype" w:eastAsia="Palatino Linotype" w:hAnsi="Palatino Linotype" w:cs="Palatino Linotype"/>
          <w:vertAlign w:val="superscript"/>
        </w:rPr>
        <w:footnoteReference w:id="1"/>
      </w:r>
      <w:r>
        <w:rPr>
          <w:rFonts w:ascii="Palatino Linotype" w:eastAsia="Palatino Linotype" w:hAnsi="Palatino Linotype" w:cs="Palatino Linotype"/>
        </w:rPr>
        <w:t xml:space="preserve">, así como de interés público, es decir, aquella que resulta relevante o beneficiosa para la sociedad y no simplemente de </w:t>
      </w:r>
      <w:r>
        <w:rPr>
          <w:rFonts w:ascii="Palatino Linotype" w:eastAsia="Palatino Linotype" w:hAnsi="Palatino Linotype" w:cs="Palatino Linotype"/>
        </w:rPr>
        <w:lastRenderedPageBreak/>
        <w:t>interés individual, y cuya divulgación resulta útil para que el público comprenda las actividades que llevan a cabo los Sujetos Obligados</w:t>
      </w:r>
      <w:r>
        <w:rPr>
          <w:rFonts w:ascii="Palatino Linotype" w:eastAsia="Palatino Linotype" w:hAnsi="Palatino Linotype" w:cs="Palatino Linotype"/>
          <w:vertAlign w:val="superscript"/>
        </w:rPr>
        <w:footnoteReference w:id="2"/>
      </w:r>
      <w:r>
        <w:rPr>
          <w:rFonts w:ascii="Palatino Linotype" w:eastAsia="Palatino Linotype" w:hAnsi="Palatino Linotype" w:cs="Palatino Linotype"/>
        </w:rPr>
        <w:t>.</w:t>
      </w:r>
    </w:p>
    <w:p w:rsidR="00294C8C" w:rsidRDefault="00FE203E">
      <w:pPr>
        <w:pBdr>
          <w:top w:val="nil"/>
          <w:left w:val="nil"/>
          <w:bottom w:val="nil"/>
          <w:right w:val="nil"/>
          <w:between w:val="nil"/>
        </w:pBdr>
        <w:tabs>
          <w:tab w:val="left" w:pos="0"/>
        </w:tabs>
        <w:spacing w:line="360" w:lineRule="auto"/>
        <w:ind w:right="49"/>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rPr>
        <w:t>Por lo que, con la finalidad de ilustrar el asunto qué se resuelve, es importante precisar que lo que</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el</w:t>
      </w:r>
      <w:r>
        <w:rPr>
          <w:rFonts w:ascii="Palatino Linotype" w:eastAsia="Palatino Linotype" w:hAnsi="Palatino Linotype" w:cs="Palatino Linotype"/>
          <w:b/>
          <w:color w:val="000000"/>
        </w:rPr>
        <w:t xml:space="preserve"> RECURRENTE </w:t>
      </w:r>
      <w:r>
        <w:rPr>
          <w:rFonts w:ascii="Palatino Linotype" w:eastAsia="Palatino Linotype" w:hAnsi="Palatino Linotype" w:cs="Palatino Linotype"/>
          <w:color w:val="000000"/>
        </w:rPr>
        <w:t xml:space="preserve">solicitó al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 xml:space="preserve">fue: </w:t>
      </w:r>
      <w:r>
        <w:rPr>
          <w:rFonts w:ascii="Palatino Linotype" w:eastAsia="Palatino Linotype" w:hAnsi="Palatino Linotype" w:cs="Palatino Linotype"/>
          <w:i/>
          <w:color w:val="000000"/>
        </w:rPr>
        <w:t>“Durante la Administración 2019-2021 en el Municipio de Naucalpan de Juárez ,el Gobierno Estatal descontó al Municipio de Naucalpan hasta 90% de las participaciones recibidas para pagar el adeudo con el Instituto de Seguridad Social del Estado de México y Municipios (ISSEMYM), lo que resulta violatorio de la ley en la que se prevé máximo el 30% de aportación, 1.- por lo que solicito se me envié la resolución, convenio o instrumento celebrado por el cual se autorizó dicho descuento, 2.- Quienes lo firmaron, 3.- con que facultades y si contaban con estas, 4.- Si este instrumento puede rebasar lo establecido en la ley? y 5.- Que dice esta misma al respecto, 6.-Se tiene conocimiento de alguna queja o denuncia penal al respecto?, 7.-cantidades percibidas en 2019 y 2021 o link donde se puedan consultar, 8.- existe alguna demanda por daños y perjuicios o daño moral actualmente por afectación a las percepciones de los trabajadores de dicho ayuntamiento en contra de ese Organismo.” (</w:t>
      </w:r>
      <w:proofErr w:type="gramStart"/>
      <w:r>
        <w:rPr>
          <w:rFonts w:ascii="Palatino Linotype" w:eastAsia="Palatino Linotype" w:hAnsi="Palatino Linotype" w:cs="Palatino Linotype"/>
          <w:i/>
          <w:color w:val="000000"/>
        </w:rPr>
        <w:t>sic</w:t>
      </w:r>
      <w:proofErr w:type="gramEnd"/>
      <w:r>
        <w:rPr>
          <w:rFonts w:ascii="Palatino Linotype" w:eastAsia="Palatino Linotype" w:hAnsi="Palatino Linotype" w:cs="Palatino Linotype"/>
          <w:i/>
          <w:color w:val="000000"/>
        </w:rPr>
        <w:t>)</w:t>
      </w:r>
    </w:p>
    <w:p w:rsidR="00294C8C" w:rsidRDefault="00FE203E">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En su respuesta,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adjuntó el archivo electrónico identificado como: “</w:t>
      </w:r>
      <w:r>
        <w:rPr>
          <w:rFonts w:ascii="Palatino Linotype" w:eastAsia="Palatino Linotype" w:hAnsi="Palatino Linotype" w:cs="Palatino Linotype"/>
          <w:b/>
          <w:i/>
        </w:rPr>
        <w:t xml:space="preserve">RESPUESTA 36.IP.pdf” </w:t>
      </w:r>
      <w:r>
        <w:rPr>
          <w:rFonts w:ascii="Palatino Linotype" w:eastAsia="Palatino Linotype" w:hAnsi="Palatino Linotype" w:cs="Palatino Linotype"/>
        </w:rPr>
        <w:t xml:space="preserve">consistente en oficio número 207C 0401210001S-UT-154/2022, de fecha veintisiete de enero del año dos mil veintidós, suscrito por la </w:t>
      </w:r>
      <w:r>
        <w:rPr>
          <w:rFonts w:ascii="Palatino Linotype" w:eastAsia="Palatino Linotype" w:hAnsi="Palatino Linotype" w:cs="Palatino Linotype"/>
        </w:rPr>
        <w:lastRenderedPageBreak/>
        <w:t xml:space="preserve">Responsable y Titular de la Unidad de Transparencia del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en el que se destaca lo siguiente:</w:t>
      </w:r>
    </w:p>
    <w:p w:rsidR="00294C8C" w:rsidRDefault="00FE203E">
      <w:pPr>
        <w:tabs>
          <w:tab w:val="left" w:pos="2745"/>
        </w:tabs>
        <w:spacing w:line="360" w:lineRule="auto"/>
        <w:jc w:val="center"/>
        <w:rPr>
          <w:rFonts w:ascii="Palatino Linotype" w:eastAsia="Palatino Linotype" w:hAnsi="Palatino Linotype" w:cs="Palatino Linotype"/>
          <w:color w:val="000000"/>
        </w:rPr>
      </w:pPr>
      <w:r>
        <w:rPr>
          <w:noProof/>
          <w:lang w:val="es-MX"/>
        </w:rPr>
        <w:drawing>
          <wp:inline distT="0" distB="0" distL="0" distR="0">
            <wp:extent cx="4268071" cy="682011"/>
            <wp:effectExtent l="0" t="0" r="0" b="0"/>
            <wp:docPr id="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l="24270" t="35304" r="42803" b="55341"/>
                    <a:stretch>
                      <a:fillRect/>
                    </a:stretch>
                  </pic:blipFill>
                  <pic:spPr>
                    <a:xfrm>
                      <a:off x="0" y="0"/>
                      <a:ext cx="4268071" cy="682011"/>
                    </a:xfrm>
                    <a:prstGeom prst="rect">
                      <a:avLst/>
                    </a:prstGeom>
                    <a:ln/>
                  </pic:spPr>
                </pic:pic>
              </a:graphicData>
            </a:graphic>
          </wp:inline>
        </w:drawing>
      </w:r>
    </w:p>
    <w:p w:rsidR="00294C8C" w:rsidRDefault="00FE203E">
      <w:pPr>
        <w:tabs>
          <w:tab w:val="left" w:pos="2745"/>
        </w:tabs>
        <w:spacing w:line="360" w:lineRule="auto"/>
        <w:jc w:val="center"/>
        <w:rPr>
          <w:rFonts w:ascii="Palatino Linotype" w:eastAsia="Palatino Linotype" w:hAnsi="Palatino Linotype" w:cs="Palatino Linotype"/>
          <w:color w:val="000000"/>
        </w:rPr>
      </w:pPr>
      <w:r>
        <w:rPr>
          <w:noProof/>
          <w:lang w:val="es-MX"/>
        </w:rPr>
        <w:drawing>
          <wp:inline distT="0" distB="0" distL="0" distR="0">
            <wp:extent cx="4446974" cy="5391667"/>
            <wp:effectExtent l="0" t="0" r="0" b="0"/>
            <wp:docPr id="7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l="23592" t="22330" r="43652" b="7060"/>
                    <a:stretch>
                      <a:fillRect/>
                    </a:stretch>
                  </pic:blipFill>
                  <pic:spPr>
                    <a:xfrm>
                      <a:off x="0" y="0"/>
                      <a:ext cx="4446974" cy="5391667"/>
                    </a:xfrm>
                    <a:prstGeom prst="rect">
                      <a:avLst/>
                    </a:prstGeom>
                    <a:ln/>
                  </pic:spPr>
                </pic:pic>
              </a:graphicData>
            </a:graphic>
          </wp:inline>
        </w:drawing>
      </w:r>
      <w:r>
        <w:rPr>
          <w:noProof/>
          <w:lang w:val="es-MX"/>
        </w:rPr>
        <mc:AlternateContent>
          <mc:Choice Requires="wpg">
            <w:drawing>
              <wp:anchor distT="0" distB="0" distL="114300" distR="114300" simplePos="0" relativeHeight="251662336" behindDoc="0" locked="0" layoutInCell="1" hidden="0" allowOverlap="1">
                <wp:simplePos x="0" y="0"/>
                <wp:positionH relativeFrom="column">
                  <wp:posOffset>660400</wp:posOffset>
                </wp:positionH>
                <wp:positionV relativeFrom="paragraph">
                  <wp:posOffset>2946400</wp:posOffset>
                </wp:positionV>
                <wp:extent cx="4291330" cy="442461"/>
                <wp:effectExtent l="0" t="0" r="0" b="0"/>
                <wp:wrapNone/>
                <wp:docPr id="50" name="Rectángulo 50"/>
                <wp:cNvGraphicFramePr/>
                <a:graphic xmlns:a="http://schemas.openxmlformats.org/drawingml/2006/main">
                  <a:graphicData uri="http://schemas.microsoft.com/office/word/2010/wordprocessingShape">
                    <wps:wsp>
                      <wps:cNvSpPr/>
                      <wps:spPr>
                        <a:xfrm>
                          <a:off x="3214623" y="3573057"/>
                          <a:ext cx="4262755" cy="413886"/>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660400</wp:posOffset>
                </wp:positionH>
                <wp:positionV relativeFrom="paragraph">
                  <wp:posOffset>2946400</wp:posOffset>
                </wp:positionV>
                <wp:extent cx="4291330" cy="442461"/>
                <wp:effectExtent b="0" l="0" r="0" t="0"/>
                <wp:wrapNone/>
                <wp:docPr id="50" name="image29.png"/>
                <a:graphic>
                  <a:graphicData uri="http://schemas.openxmlformats.org/drawingml/2006/picture">
                    <pic:pic>
                      <pic:nvPicPr>
                        <pic:cNvPr id="0" name="image29.png"/>
                        <pic:cNvPicPr preferRelativeResize="0"/>
                      </pic:nvPicPr>
                      <pic:blipFill>
                        <a:blip r:embed="rId22"/>
                        <a:srcRect/>
                        <a:stretch>
                          <a:fillRect/>
                        </a:stretch>
                      </pic:blipFill>
                      <pic:spPr>
                        <a:xfrm>
                          <a:off x="0" y="0"/>
                          <a:ext cx="4291330" cy="442461"/>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3360" behindDoc="0" locked="0" layoutInCell="1" hidden="0" allowOverlap="1">
                <wp:simplePos x="0" y="0"/>
                <wp:positionH relativeFrom="column">
                  <wp:posOffset>685800</wp:posOffset>
                </wp:positionH>
                <wp:positionV relativeFrom="paragraph">
                  <wp:posOffset>3467100</wp:posOffset>
                </wp:positionV>
                <wp:extent cx="4282941" cy="577215"/>
                <wp:effectExtent l="0" t="0" r="0" b="0"/>
                <wp:wrapNone/>
                <wp:docPr id="52" name="Rectángulo 52"/>
                <wp:cNvGraphicFramePr/>
                <a:graphic xmlns:a="http://schemas.openxmlformats.org/drawingml/2006/main">
                  <a:graphicData uri="http://schemas.microsoft.com/office/word/2010/wordprocessingShape">
                    <wps:wsp>
                      <wps:cNvSpPr/>
                      <wps:spPr>
                        <a:xfrm>
                          <a:off x="3218817" y="3505680"/>
                          <a:ext cx="4254366" cy="548640"/>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685800</wp:posOffset>
                </wp:positionH>
                <wp:positionV relativeFrom="paragraph">
                  <wp:posOffset>3467100</wp:posOffset>
                </wp:positionV>
                <wp:extent cx="4282941" cy="577215"/>
                <wp:effectExtent b="0" l="0" r="0" t="0"/>
                <wp:wrapNone/>
                <wp:docPr id="52" name="image32.png"/>
                <a:graphic>
                  <a:graphicData uri="http://schemas.openxmlformats.org/drawingml/2006/picture">
                    <pic:pic>
                      <pic:nvPicPr>
                        <pic:cNvPr id="0" name="image32.png"/>
                        <pic:cNvPicPr preferRelativeResize="0"/>
                      </pic:nvPicPr>
                      <pic:blipFill>
                        <a:blip r:embed="rId23"/>
                        <a:srcRect/>
                        <a:stretch>
                          <a:fillRect/>
                        </a:stretch>
                      </pic:blipFill>
                      <pic:spPr>
                        <a:xfrm>
                          <a:off x="0" y="0"/>
                          <a:ext cx="4282941" cy="577215"/>
                        </a:xfrm>
                        <a:prstGeom prst="rect"/>
                        <a:ln/>
                      </pic:spPr>
                    </pic:pic>
                  </a:graphicData>
                </a:graphic>
              </wp:anchor>
            </w:drawing>
          </mc:Fallback>
        </mc:AlternateContent>
      </w:r>
    </w:p>
    <w:p w:rsidR="00294C8C" w:rsidRDefault="00FE203E">
      <w:pPr>
        <w:tabs>
          <w:tab w:val="left" w:pos="2745"/>
        </w:tabs>
        <w:spacing w:line="360" w:lineRule="auto"/>
        <w:jc w:val="both"/>
        <w:rPr>
          <w:rFonts w:ascii="Palatino Linotype" w:eastAsia="Palatino Linotype" w:hAnsi="Palatino Linotype" w:cs="Palatino Linotype"/>
          <w:i/>
        </w:rPr>
      </w:pPr>
      <w:r>
        <w:rPr>
          <w:noProof/>
          <w:lang w:val="es-MX"/>
        </w:rPr>
        <w:lastRenderedPageBreak/>
        <w:drawing>
          <wp:inline distT="0" distB="0" distL="0" distR="0">
            <wp:extent cx="5634417" cy="5924729"/>
            <wp:effectExtent l="0" t="0" r="0" b="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l="23930" t="28968" r="43788" b="10681"/>
                    <a:stretch>
                      <a:fillRect/>
                    </a:stretch>
                  </pic:blipFill>
                  <pic:spPr>
                    <a:xfrm>
                      <a:off x="0" y="0"/>
                      <a:ext cx="5634417" cy="5924729"/>
                    </a:xfrm>
                    <a:prstGeom prst="rect">
                      <a:avLst/>
                    </a:prstGeom>
                    <a:ln/>
                  </pic:spPr>
                </pic:pic>
              </a:graphicData>
            </a:graphic>
          </wp:inline>
        </w:drawing>
      </w:r>
      <w:r>
        <w:rPr>
          <w:rFonts w:ascii="Palatino Linotype" w:eastAsia="Palatino Linotype" w:hAnsi="Palatino Linotype" w:cs="Palatino Linotype"/>
          <w:color w:val="000000"/>
        </w:rPr>
        <w:t xml:space="preserve">Por lo antes señalado, la parte </w:t>
      </w:r>
      <w:r>
        <w:rPr>
          <w:rFonts w:ascii="Palatino Linotype" w:eastAsia="Palatino Linotype" w:hAnsi="Palatino Linotype" w:cs="Palatino Linotype"/>
          <w:b/>
          <w:color w:val="000000"/>
        </w:rPr>
        <w:t xml:space="preserve">RECURRENTE, </w:t>
      </w:r>
      <w:r>
        <w:rPr>
          <w:rFonts w:ascii="Palatino Linotype" w:eastAsia="Palatino Linotype" w:hAnsi="Palatino Linotype" w:cs="Palatino Linotype"/>
          <w:color w:val="000000"/>
        </w:rPr>
        <w:t xml:space="preserve">interpone recurso de revisión, y señala como </w:t>
      </w:r>
      <w:r>
        <w:rPr>
          <w:rFonts w:ascii="Palatino Linotype" w:eastAsia="Palatino Linotype" w:hAnsi="Palatino Linotype" w:cs="Palatino Linotype"/>
        </w:rPr>
        <w:t>Acto impugnado:</w:t>
      </w:r>
      <w:r>
        <w:rPr>
          <w:rFonts w:ascii="Palatino Linotype" w:eastAsia="Palatino Linotype" w:hAnsi="Palatino Linotype" w:cs="Palatino Linotype"/>
          <w:b/>
        </w:rPr>
        <w:t xml:space="preserve"> </w:t>
      </w:r>
      <w:r>
        <w:rPr>
          <w:rFonts w:ascii="Palatino Linotype" w:eastAsia="Palatino Linotype" w:hAnsi="Palatino Linotype" w:cs="Palatino Linotype"/>
          <w:i/>
        </w:rPr>
        <w:t>“la respuesta a mi solicitud de información...” (</w:t>
      </w:r>
      <w:proofErr w:type="gramStart"/>
      <w:r>
        <w:rPr>
          <w:rFonts w:ascii="Palatino Linotype" w:eastAsia="Palatino Linotype" w:hAnsi="Palatino Linotype" w:cs="Palatino Linotype"/>
          <w:i/>
        </w:rPr>
        <w:t>sic</w:t>
      </w:r>
      <w:proofErr w:type="gramEnd"/>
      <w:r>
        <w:rPr>
          <w:rFonts w:ascii="Palatino Linotype" w:eastAsia="Palatino Linotype" w:hAnsi="Palatino Linotype" w:cs="Palatino Linotype"/>
          <w:i/>
        </w:rPr>
        <w:t>)</w:t>
      </w:r>
      <w:r>
        <w:rPr>
          <w:noProof/>
          <w:lang w:val="es-MX"/>
        </w:rPr>
        <mc:AlternateContent>
          <mc:Choice Requires="wpg">
            <w:drawing>
              <wp:anchor distT="0" distB="0" distL="114300" distR="114300" simplePos="0" relativeHeight="251664384" behindDoc="0" locked="0" layoutInCell="1" hidden="0" allowOverlap="1">
                <wp:simplePos x="0" y="0"/>
                <wp:positionH relativeFrom="column">
                  <wp:posOffset>165100</wp:posOffset>
                </wp:positionH>
                <wp:positionV relativeFrom="paragraph">
                  <wp:posOffset>3416300</wp:posOffset>
                </wp:positionV>
                <wp:extent cx="5457825" cy="704850"/>
                <wp:effectExtent l="0" t="0" r="0" b="0"/>
                <wp:wrapNone/>
                <wp:docPr id="44" name="Rectángulo 44"/>
                <wp:cNvGraphicFramePr/>
                <a:graphic xmlns:a="http://schemas.openxmlformats.org/drawingml/2006/main">
                  <a:graphicData uri="http://schemas.microsoft.com/office/word/2010/wordprocessingShape">
                    <wps:wsp>
                      <wps:cNvSpPr/>
                      <wps:spPr>
                        <a:xfrm>
                          <a:off x="2631375" y="3441863"/>
                          <a:ext cx="5429250" cy="676275"/>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3416300</wp:posOffset>
                </wp:positionV>
                <wp:extent cx="5457825" cy="704850"/>
                <wp:effectExtent b="0" l="0" r="0" t="0"/>
                <wp:wrapNone/>
                <wp:docPr id="44" name="image5.png"/>
                <a:graphic>
                  <a:graphicData uri="http://schemas.openxmlformats.org/drawingml/2006/picture">
                    <pic:pic>
                      <pic:nvPicPr>
                        <pic:cNvPr id="0" name="image5.png"/>
                        <pic:cNvPicPr preferRelativeResize="0"/>
                      </pic:nvPicPr>
                      <pic:blipFill>
                        <a:blip r:embed="rId25"/>
                        <a:srcRect/>
                        <a:stretch>
                          <a:fillRect/>
                        </a:stretch>
                      </pic:blipFill>
                      <pic:spPr>
                        <a:xfrm>
                          <a:off x="0" y="0"/>
                          <a:ext cx="5457825" cy="704850"/>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5408" behindDoc="0" locked="0" layoutInCell="1" hidden="0" allowOverlap="1">
                <wp:simplePos x="0" y="0"/>
                <wp:positionH relativeFrom="column">
                  <wp:posOffset>-12699</wp:posOffset>
                </wp:positionH>
                <wp:positionV relativeFrom="paragraph">
                  <wp:posOffset>1993900</wp:posOffset>
                </wp:positionV>
                <wp:extent cx="5524500" cy="952500"/>
                <wp:effectExtent l="0" t="0" r="0" b="0"/>
                <wp:wrapNone/>
                <wp:docPr id="56" name="Rectángulo 56"/>
                <wp:cNvGraphicFramePr/>
                <a:graphic xmlns:a="http://schemas.openxmlformats.org/drawingml/2006/main">
                  <a:graphicData uri="http://schemas.microsoft.com/office/word/2010/wordprocessingShape">
                    <wps:wsp>
                      <wps:cNvSpPr/>
                      <wps:spPr>
                        <a:xfrm>
                          <a:off x="2598038" y="3318038"/>
                          <a:ext cx="5495925" cy="923925"/>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1993900</wp:posOffset>
                </wp:positionV>
                <wp:extent cx="5524500" cy="952500"/>
                <wp:effectExtent b="0" l="0" r="0" t="0"/>
                <wp:wrapNone/>
                <wp:docPr id="56" name="image38.png"/>
                <a:graphic>
                  <a:graphicData uri="http://schemas.openxmlformats.org/drawingml/2006/picture">
                    <pic:pic>
                      <pic:nvPicPr>
                        <pic:cNvPr id="0" name="image38.png"/>
                        <pic:cNvPicPr preferRelativeResize="0"/>
                      </pic:nvPicPr>
                      <pic:blipFill>
                        <a:blip r:embed="rId26"/>
                        <a:srcRect/>
                        <a:stretch>
                          <a:fillRect/>
                        </a:stretch>
                      </pic:blipFill>
                      <pic:spPr>
                        <a:xfrm>
                          <a:off x="0" y="0"/>
                          <a:ext cx="5524500" cy="952500"/>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6432" behindDoc="0" locked="0" layoutInCell="1" hidden="0" allowOverlap="1">
                <wp:simplePos x="0" y="0"/>
                <wp:positionH relativeFrom="column">
                  <wp:posOffset>114300</wp:posOffset>
                </wp:positionH>
                <wp:positionV relativeFrom="paragraph">
                  <wp:posOffset>4152900</wp:posOffset>
                </wp:positionV>
                <wp:extent cx="5514975" cy="1695450"/>
                <wp:effectExtent l="0" t="0" r="0" b="0"/>
                <wp:wrapNone/>
                <wp:docPr id="41" name="Rectángulo 41"/>
                <wp:cNvGraphicFramePr/>
                <a:graphic xmlns:a="http://schemas.openxmlformats.org/drawingml/2006/main">
                  <a:graphicData uri="http://schemas.microsoft.com/office/word/2010/wordprocessingShape">
                    <wps:wsp>
                      <wps:cNvSpPr/>
                      <wps:spPr>
                        <a:xfrm>
                          <a:off x="2602800" y="2946563"/>
                          <a:ext cx="5486400" cy="1666875"/>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4152900</wp:posOffset>
                </wp:positionV>
                <wp:extent cx="5514975" cy="1695450"/>
                <wp:effectExtent b="0" l="0" r="0" t="0"/>
                <wp:wrapNone/>
                <wp:docPr id="41" name="image2.png"/>
                <a:graphic>
                  <a:graphicData uri="http://schemas.openxmlformats.org/drawingml/2006/picture">
                    <pic:pic>
                      <pic:nvPicPr>
                        <pic:cNvPr id="0" name="image2.png"/>
                        <pic:cNvPicPr preferRelativeResize="0"/>
                      </pic:nvPicPr>
                      <pic:blipFill>
                        <a:blip r:embed="rId27"/>
                        <a:srcRect/>
                        <a:stretch>
                          <a:fillRect/>
                        </a:stretch>
                      </pic:blipFill>
                      <pic:spPr>
                        <a:xfrm>
                          <a:off x="0" y="0"/>
                          <a:ext cx="5514975" cy="1695450"/>
                        </a:xfrm>
                        <a:prstGeom prst="rect"/>
                        <a:ln/>
                      </pic:spPr>
                    </pic:pic>
                  </a:graphicData>
                </a:graphic>
              </wp:anchor>
            </w:drawing>
          </mc:Fallback>
        </mc:AlternateContent>
      </w:r>
    </w:p>
    <w:p w:rsidR="00294C8C" w:rsidRDefault="00294C8C">
      <w:pPr>
        <w:tabs>
          <w:tab w:val="left" w:pos="2745"/>
        </w:tabs>
        <w:spacing w:line="360" w:lineRule="auto"/>
        <w:jc w:val="both"/>
        <w:rPr>
          <w:rFonts w:ascii="Palatino Linotype" w:eastAsia="Palatino Linotype" w:hAnsi="Palatino Linotype" w:cs="Palatino Linotype"/>
          <w:i/>
        </w:rPr>
      </w:pPr>
    </w:p>
    <w:p w:rsidR="00294C8C" w:rsidRDefault="00294C8C">
      <w:pPr>
        <w:tabs>
          <w:tab w:val="left" w:pos="2745"/>
        </w:tabs>
        <w:spacing w:line="360" w:lineRule="auto"/>
        <w:jc w:val="both"/>
        <w:rPr>
          <w:rFonts w:ascii="Palatino Linotype" w:eastAsia="Palatino Linotype" w:hAnsi="Palatino Linotype" w:cs="Palatino Linotype"/>
          <w:i/>
        </w:rPr>
      </w:pPr>
    </w:p>
    <w:p w:rsidR="00294C8C" w:rsidRDefault="00FE203E">
      <w:pPr>
        <w:tabs>
          <w:tab w:val="left" w:pos="2745"/>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Y como razones o motivos de inconformidad:</w:t>
      </w:r>
    </w:p>
    <w:p w:rsidR="00294C8C" w:rsidRDefault="00294C8C">
      <w:pPr>
        <w:tabs>
          <w:tab w:val="left" w:pos="2745"/>
        </w:tabs>
        <w:spacing w:line="360" w:lineRule="auto"/>
        <w:jc w:val="both"/>
        <w:rPr>
          <w:rFonts w:ascii="Palatino Linotype" w:eastAsia="Palatino Linotype" w:hAnsi="Palatino Linotype" w:cs="Palatino Linotype"/>
          <w:i/>
        </w:rPr>
      </w:pPr>
    </w:p>
    <w:p w:rsidR="00294C8C" w:rsidRDefault="00FE203E">
      <w:pPr>
        <w:tabs>
          <w:tab w:val="left" w:pos="2745"/>
        </w:tabs>
        <w:spacing w:line="360" w:lineRule="auto"/>
        <w:jc w:val="both"/>
        <w:rPr>
          <w:rFonts w:ascii="Palatino Linotype" w:eastAsia="Palatino Linotype" w:hAnsi="Palatino Linotype" w:cs="Palatino Linotype"/>
        </w:rPr>
      </w:pPr>
      <w:r>
        <w:rPr>
          <w:rFonts w:ascii="Palatino Linotype" w:eastAsia="Palatino Linotype" w:hAnsi="Palatino Linotype" w:cs="Palatino Linotype"/>
          <w:i/>
        </w:rPr>
        <w:t xml:space="preserve">“"...1.- por lo que solicito se me envié la resolución, convenio o instrumento celebrado por el cual se autorizó dicho descuento.." citan gaceta, sin embargo y aun así, por qué su sistema autoriza descontar </w:t>
      </w:r>
      <w:proofErr w:type="spellStart"/>
      <w:r>
        <w:rPr>
          <w:rFonts w:ascii="Palatino Linotype" w:eastAsia="Palatino Linotype" w:hAnsi="Palatino Linotype" w:cs="Palatino Linotype"/>
          <w:i/>
        </w:rPr>
        <w:t>mas</w:t>
      </w:r>
      <w:proofErr w:type="spellEnd"/>
      <w:r>
        <w:rPr>
          <w:rFonts w:ascii="Palatino Linotype" w:eastAsia="Palatino Linotype" w:hAnsi="Palatino Linotype" w:cs="Palatino Linotype"/>
          <w:i/>
        </w:rPr>
        <w:t xml:space="preserve"> allá del </w:t>
      </w:r>
      <w:proofErr w:type="spellStart"/>
      <w:r>
        <w:rPr>
          <w:rFonts w:ascii="Palatino Linotype" w:eastAsia="Palatino Linotype" w:hAnsi="Palatino Linotype" w:cs="Palatino Linotype"/>
          <w:i/>
        </w:rPr>
        <w:t>limite</w:t>
      </w:r>
      <w:proofErr w:type="spellEnd"/>
      <w:r>
        <w:rPr>
          <w:rFonts w:ascii="Palatino Linotype" w:eastAsia="Palatino Linotype" w:hAnsi="Palatino Linotype" w:cs="Palatino Linotype"/>
          <w:i/>
        </w:rPr>
        <w:t xml:space="preserve"> permitido por la ley?, -</w:t>
      </w:r>
      <w:r>
        <w:rPr>
          <w:rFonts w:ascii="Palatino Linotype" w:eastAsia="Palatino Linotype" w:hAnsi="Palatino Linotype" w:cs="Palatino Linotype"/>
          <w:b/>
          <w:i/>
        </w:rPr>
        <w:t xml:space="preserve">dicen que no cuentan con información relativa a los convenios de reconocimiento y forma de pago con las instituciones </w:t>
      </w:r>
      <w:proofErr w:type="spellStart"/>
      <w:r>
        <w:rPr>
          <w:rFonts w:ascii="Palatino Linotype" w:eastAsia="Palatino Linotype" w:hAnsi="Palatino Linotype" w:cs="Palatino Linotype"/>
          <w:b/>
          <w:i/>
        </w:rPr>
        <w:t>publicas</w:t>
      </w:r>
      <w:proofErr w:type="spellEnd"/>
      <w:r>
        <w:rPr>
          <w:rFonts w:ascii="Palatino Linotype" w:eastAsia="Palatino Linotype" w:hAnsi="Palatino Linotype" w:cs="Palatino Linotype"/>
          <w:i/>
        </w:rPr>
        <w:t xml:space="preserve">, así como tampoco de las cantidades que el instituto percibe por estos conceptos-, es evidente que deben conocer sus percepciones y erogaciones, y </w:t>
      </w:r>
      <w:proofErr w:type="spellStart"/>
      <w:r>
        <w:rPr>
          <w:rFonts w:ascii="Palatino Linotype" w:eastAsia="Palatino Linotype" w:hAnsi="Palatino Linotype" w:cs="Palatino Linotype"/>
          <w:i/>
        </w:rPr>
        <w:t>ademas</w:t>
      </w:r>
      <w:proofErr w:type="spellEnd"/>
      <w:r>
        <w:rPr>
          <w:rFonts w:ascii="Palatino Linotype" w:eastAsia="Palatino Linotype" w:hAnsi="Palatino Linotype" w:cs="Palatino Linotype"/>
          <w:i/>
        </w:rPr>
        <w:t xml:space="preserve"> hacerlas </w:t>
      </w:r>
      <w:proofErr w:type="spellStart"/>
      <w:r>
        <w:rPr>
          <w:rFonts w:ascii="Palatino Linotype" w:eastAsia="Palatino Linotype" w:hAnsi="Palatino Linotype" w:cs="Palatino Linotype"/>
          <w:i/>
        </w:rPr>
        <w:t>publicas</w:t>
      </w:r>
      <w:proofErr w:type="spellEnd"/>
      <w:r>
        <w:rPr>
          <w:rFonts w:ascii="Palatino Linotype" w:eastAsia="Palatino Linotype" w:hAnsi="Palatino Linotype" w:cs="Palatino Linotype"/>
          <w:i/>
        </w:rPr>
        <w:t xml:space="preserve"> y señalarlas a través de los portales de transparencia, de igual manera deben tener los convenios con los distintos ayuntamientos, por lo que resulta inverosímil la respuesta, ya que debe existir un archivo y portales donde se puedan consultar o indicar mediante </w:t>
      </w:r>
      <w:proofErr w:type="spellStart"/>
      <w:r>
        <w:rPr>
          <w:rFonts w:ascii="Palatino Linotype" w:eastAsia="Palatino Linotype" w:hAnsi="Palatino Linotype" w:cs="Palatino Linotype"/>
          <w:i/>
        </w:rPr>
        <w:t>que</w:t>
      </w:r>
      <w:proofErr w:type="spellEnd"/>
      <w:r>
        <w:rPr>
          <w:rFonts w:ascii="Palatino Linotype" w:eastAsia="Palatino Linotype" w:hAnsi="Palatino Linotype" w:cs="Palatino Linotype"/>
          <w:i/>
        </w:rPr>
        <w:t xml:space="preserve"> medio o link sería consultable, por ser un tema que obliga la ley de transparencia, </w:t>
      </w:r>
      <w:proofErr w:type="spellStart"/>
      <w:r>
        <w:rPr>
          <w:rFonts w:ascii="Palatino Linotype" w:eastAsia="Palatino Linotype" w:hAnsi="Palatino Linotype" w:cs="Palatino Linotype"/>
          <w:i/>
        </w:rPr>
        <w:t>ha</w:t>
      </w:r>
      <w:proofErr w:type="spellEnd"/>
      <w:r>
        <w:rPr>
          <w:rFonts w:ascii="Palatino Linotype" w:eastAsia="Palatino Linotype" w:hAnsi="Palatino Linotype" w:cs="Palatino Linotype"/>
          <w:i/>
        </w:rPr>
        <w:t xml:space="preserve"> hacerlo </w:t>
      </w:r>
      <w:proofErr w:type="spellStart"/>
      <w:r>
        <w:rPr>
          <w:rFonts w:ascii="Palatino Linotype" w:eastAsia="Palatino Linotype" w:hAnsi="Palatino Linotype" w:cs="Palatino Linotype"/>
          <w:i/>
        </w:rPr>
        <w:t>publico</w:t>
      </w:r>
      <w:proofErr w:type="spellEnd"/>
      <w:r>
        <w:rPr>
          <w:rFonts w:ascii="Palatino Linotype" w:eastAsia="Palatino Linotype" w:hAnsi="Palatino Linotype" w:cs="Palatino Linotype"/>
          <w:i/>
        </w:rPr>
        <w:t xml:space="preserve"> y en consecuencia, no da debido cumplimiento a la solicitud de información y en su caso resulta opaco para la ciudadanía el hecho que no conozcan los mismos, ya que ellos generan, poseen y administran dicha información, no contesta específicamente y si existe que lo exhiban, o indiquen el medio por el cual es consultable, una vez resuelto esto, en consecuencia podrá contestar el total de los numerales de mi petición. </w:t>
      </w:r>
      <w:proofErr w:type="gramStart"/>
      <w:r>
        <w:rPr>
          <w:rFonts w:ascii="Palatino Linotype" w:eastAsia="Palatino Linotype" w:hAnsi="Palatino Linotype" w:cs="Palatino Linotype"/>
          <w:i/>
        </w:rPr>
        <w:t>cantidades</w:t>
      </w:r>
      <w:proofErr w:type="gramEnd"/>
      <w:r>
        <w:rPr>
          <w:rFonts w:ascii="Palatino Linotype" w:eastAsia="Palatino Linotype" w:hAnsi="Palatino Linotype" w:cs="Palatino Linotype"/>
          <w:i/>
        </w:rPr>
        <w:t xml:space="preserve"> percibidas en 2019 y 2021 o link donde se puedan consultar? es transparencia y debe ser </w:t>
      </w:r>
      <w:proofErr w:type="spellStart"/>
      <w:r>
        <w:rPr>
          <w:rFonts w:ascii="Palatino Linotype" w:eastAsia="Palatino Linotype" w:hAnsi="Palatino Linotype" w:cs="Palatino Linotype"/>
          <w:i/>
        </w:rPr>
        <w:t>publico</w:t>
      </w:r>
      <w:proofErr w:type="spellEnd"/>
      <w:r>
        <w:rPr>
          <w:rFonts w:ascii="Palatino Linotype" w:eastAsia="Palatino Linotype" w:hAnsi="Palatino Linotype" w:cs="Palatino Linotype"/>
          <w:i/>
        </w:rPr>
        <w:t xml:space="preserve"> en algún portal de las </w:t>
      </w:r>
      <w:proofErr w:type="spellStart"/>
      <w:r>
        <w:rPr>
          <w:rFonts w:ascii="Palatino Linotype" w:eastAsia="Palatino Linotype" w:hAnsi="Palatino Linotype" w:cs="Palatino Linotype"/>
          <w:i/>
        </w:rPr>
        <w:t>paginas</w:t>
      </w:r>
      <w:proofErr w:type="spellEnd"/>
      <w:r>
        <w:rPr>
          <w:rFonts w:ascii="Palatino Linotype" w:eastAsia="Palatino Linotype" w:hAnsi="Palatino Linotype" w:cs="Palatino Linotype"/>
          <w:i/>
        </w:rPr>
        <w:t xml:space="preserve"> del Gobierno del Estado de México y tienen obligación de hacer publica dicha información.” </w:t>
      </w:r>
      <w:r>
        <w:rPr>
          <w:rFonts w:ascii="Palatino Linotype" w:eastAsia="Palatino Linotype" w:hAnsi="Palatino Linotype" w:cs="Palatino Linotype"/>
        </w:rPr>
        <w:t>(</w:t>
      </w:r>
      <w:proofErr w:type="gramStart"/>
      <w:r>
        <w:rPr>
          <w:rFonts w:ascii="Palatino Linotype" w:eastAsia="Palatino Linotype" w:hAnsi="Palatino Linotype" w:cs="Palatino Linotype"/>
        </w:rPr>
        <w:t>sic</w:t>
      </w:r>
      <w:proofErr w:type="gramEnd"/>
      <w:r>
        <w:rPr>
          <w:rFonts w:ascii="Palatino Linotype" w:eastAsia="Palatino Linotype" w:hAnsi="Palatino Linotype" w:cs="Palatino Linotype"/>
        </w:rPr>
        <w:t>)</w:t>
      </w:r>
    </w:p>
    <w:p w:rsidR="00294C8C" w:rsidRDefault="00FE203E">
      <w:p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lo que a través del informe justificado la Responsable y Titular de la Unidad de Transparencia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confirma su respuesta y  rinde el informe </w:t>
      </w:r>
      <w:r>
        <w:rPr>
          <w:rFonts w:ascii="Palatino Linotype" w:eastAsia="Palatino Linotype" w:hAnsi="Palatino Linotype" w:cs="Palatino Linotype"/>
          <w:color w:val="000000"/>
        </w:rPr>
        <w:lastRenderedPageBreak/>
        <w:t xml:space="preserve">justificado, acompañando los oficios de los Servidores Públicos Habilitados, en los términos siguientes: </w:t>
      </w:r>
    </w:p>
    <w:p w:rsidR="00294C8C" w:rsidRDefault="00FE203E">
      <w:pPr>
        <w:pBdr>
          <w:top w:val="nil"/>
          <w:left w:val="nil"/>
          <w:bottom w:val="nil"/>
          <w:right w:val="nil"/>
          <w:between w:val="nil"/>
        </w:pBdr>
        <w:spacing w:before="280" w:after="280" w:line="360" w:lineRule="auto"/>
        <w:jc w:val="center"/>
        <w:rPr>
          <w:rFonts w:ascii="Palatino Linotype" w:eastAsia="Palatino Linotype" w:hAnsi="Palatino Linotype" w:cs="Palatino Linotype"/>
          <w:color w:val="000000"/>
        </w:rPr>
      </w:pPr>
      <w:r>
        <w:rPr>
          <w:noProof/>
          <w:color w:val="000000"/>
          <w:lang w:val="es-MX"/>
        </w:rPr>
        <w:drawing>
          <wp:inline distT="0" distB="0" distL="0" distR="0">
            <wp:extent cx="5450692" cy="3933290"/>
            <wp:effectExtent l="0" t="0" r="0" b="0"/>
            <wp:docPr id="7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l="22234" t="33192" r="46877" b="32709"/>
                    <a:stretch>
                      <a:fillRect/>
                    </a:stretch>
                  </pic:blipFill>
                  <pic:spPr>
                    <a:xfrm>
                      <a:off x="0" y="0"/>
                      <a:ext cx="5450692" cy="3933290"/>
                    </a:xfrm>
                    <a:prstGeom prst="rect">
                      <a:avLst/>
                    </a:prstGeom>
                    <a:ln/>
                  </pic:spPr>
                </pic:pic>
              </a:graphicData>
            </a:graphic>
          </wp:inline>
        </w:drawing>
      </w:r>
      <w:r>
        <w:rPr>
          <w:noProof/>
          <w:lang w:val="es-MX"/>
        </w:rPr>
        <mc:AlternateContent>
          <mc:Choice Requires="wpg">
            <w:drawing>
              <wp:anchor distT="0" distB="0" distL="114300" distR="114300" simplePos="0" relativeHeight="251667456" behindDoc="0" locked="0" layoutInCell="1" hidden="0" allowOverlap="1">
                <wp:simplePos x="0" y="0"/>
                <wp:positionH relativeFrom="column">
                  <wp:posOffset>241300</wp:posOffset>
                </wp:positionH>
                <wp:positionV relativeFrom="paragraph">
                  <wp:posOffset>4254500</wp:posOffset>
                </wp:positionV>
                <wp:extent cx="5140325" cy="2044700"/>
                <wp:effectExtent l="0" t="0" r="0" b="0"/>
                <wp:wrapNone/>
                <wp:docPr id="55" name="Conector recto de flecha 55"/>
                <wp:cNvGraphicFramePr/>
                <a:graphic xmlns:a="http://schemas.openxmlformats.org/drawingml/2006/main">
                  <a:graphicData uri="http://schemas.microsoft.com/office/word/2010/wordprocessingShape">
                    <wps:wsp>
                      <wps:cNvCnPr/>
                      <wps:spPr>
                        <a:xfrm>
                          <a:off x="2788538" y="2770350"/>
                          <a:ext cx="5114925" cy="2019300"/>
                        </a:xfrm>
                        <a:prstGeom prst="straightConnector1">
                          <a:avLst/>
                        </a:prstGeom>
                        <a:noFill/>
                        <a:ln w="25400" cap="flat" cmpd="sng">
                          <a:solidFill>
                            <a:schemeClr val="accent1"/>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241300</wp:posOffset>
                </wp:positionH>
                <wp:positionV relativeFrom="paragraph">
                  <wp:posOffset>4254500</wp:posOffset>
                </wp:positionV>
                <wp:extent cx="5140325" cy="2044700"/>
                <wp:effectExtent b="0" l="0" r="0" t="0"/>
                <wp:wrapNone/>
                <wp:docPr id="55" name="image37.png"/>
                <a:graphic>
                  <a:graphicData uri="http://schemas.openxmlformats.org/drawingml/2006/picture">
                    <pic:pic>
                      <pic:nvPicPr>
                        <pic:cNvPr id="0" name="image37.png"/>
                        <pic:cNvPicPr preferRelativeResize="0"/>
                      </pic:nvPicPr>
                      <pic:blipFill>
                        <a:blip r:embed="rId29"/>
                        <a:srcRect/>
                        <a:stretch>
                          <a:fillRect/>
                        </a:stretch>
                      </pic:blipFill>
                      <pic:spPr>
                        <a:xfrm>
                          <a:off x="0" y="0"/>
                          <a:ext cx="5140325" cy="2044700"/>
                        </a:xfrm>
                        <a:prstGeom prst="rect"/>
                        <a:ln/>
                      </pic:spPr>
                    </pic:pic>
                  </a:graphicData>
                </a:graphic>
              </wp:anchor>
            </w:drawing>
          </mc:Fallback>
        </mc:AlternateContent>
      </w:r>
    </w:p>
    <w:p w:rsidR="00294C8C" w:rsidRDefault="00FE203E">
      <w:pPr>
        <w:pBdr>
          <w:top w:val="nil"/>
          <w:left w:val="nil"/>
          <w:bottom w:val="nil"/>
          <w:right w:val="nil"/>
          <w:between w:val="nil"/>
        </w:pBdr>
        <w:spacing w:before="280" w:after="280" w:line="360" w:lineRule="auto"/>
        <w:jc w:val="center"/>
        <w:rPr>
          <w:rFonts w:ascii="Palatino Linotype" w:eastAsia="Palatino Linotype" w:hAnsi="Palatino Linotype" w:cs="Palatino Linotype"/>
          <w:color w:val="000000"/>
        </w:rPr>
      </w:pPr>
      <w:r>
        <w:rPr>
          <w:noProof/>
          <w:color w:val="000000"/>
          <w:lang w:val="es-MX"/>
        </w:rPr>
        <w:lastRenderedPageBreak/>
        <w:drawing>
          <wp:inline distT="0" distB="0" distL="0" distR="0">
            <wp:extent cx="5568888" cy="6309259"/>
            <wp:effectExtent l="0" t="0" r="0" b="0"/>
            <wp:docPr id="7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l="23930" t="30175" r="46708" b="10681"/>
                    <a:stretch>
                      <a:fillRect/>
                    </a:stretch>
                  </pic:blipFill>
                  <pic:spPr>
                    <a:xfrm>
                      <a:off x="0" y="0"/>
                      <a:ext cx="5568888" cy="6309259"/>
                    </a:xfrm>
                    <a:prstGeom prst="rect">
                      <a:avLst/>
                    </a:prstGeom>
                    <a:ln/>
                  </pic:spPr>
                </pic:pic>
              </a:graphicData>
            </a:graphic>
          </wp:inline>
        </w:drawing>
      </w:r>
    </w:p>
    <w:p w:rsidR="00294C8C" w:rsidRDefault="00FE203E">
      <w:pPr>
        <w:pBdr>
          <w:top w:val="nil"/>
          <w:left w:val="nil"/>
          <w:bottom w:val="nil"/>
          <w:right w:val="nil"/>
          <w:between w:val="nil"/>
        </w:pBdr>
        <w:spacing w:before="280" w:after="280" w:line="360" w:lineRule="auto"/>
        <w:jc w:val="center"/>
        <w:rPr>
          <w:rFonts w:ascii="Palatino Linotype" w:eastAsia="Palatino Linotype" w:hAnsi="Palatino Linotype" w:cs="Palatino Linotype"/>
          <w:color w:val="000000"/>
        </w:rPr>
      </w:pPr>
      <w:r>
        <w:rPr>
          <w:noProof/>
          <w:color w:val="000000"/>
          <w:lang w:val="es-MX"/>
        </w:rPr>
        <w:lastRenderedPageBreak/>
        <w:drawing>
          <wp:inline distT="0" distB="0" distL="0" distR="0">
            <wp:extent cx="5593291" cy="6161595"/>
            <wp:effectExtent l="0" t="0" r="0" b="0"/>
            <wp:docPr id="7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l="22063" t="28063" r="46198" b="9776"/>
                    <a:stretch>
                      <a:fillRect/>
                    </a:stretch>
                  </pic:blipFill>
                  <pic:spPr>
                    <a:xfrm>
                      <a:off x="0" y="0"/>
                      <a:ext cx="5593291" cy="6161595"/>
                    </a:xfrm>
                    <a:prstGeom prst="rect">
                      <a:avLst/>
                    </a:prstGeom>
                    <a:ln/>
                  </pic:spPr>
                </pic:pic>
              </a:graphicData>
            </a:graphic>
          </wp:inline>
        </w:drawing>
      </w:r>
      <w:r>
        <w:rPr>
          <w:noProof/>
          <w:lang w:val="es-MX"/>
        </w:rPr>
        <mc:AlternateContent>
          <mc:Choice Requires="wpg">
            <w:drawing>
              <wp:anchor distT="0" distB="0" distL="114300" distR="114300" simplePos="0" relativeHeight="251668480" behindDoc="0" locked="0" layoutInCell="1" hidden="0" allowOverlap="1">
                <wp:simplePos x="0" y="0"/>
                <wp:positionH relativeFrom="column">
                  <wp:posOffset>190500</wp:posOffset>
                </wp:positionH>
                <wp:positionV relativeFrom="paragraph">
                  <wp:posOffset>3606800</wp:posOffset>
                </wp:positionV>
                <wp:extent cx="5172075" cy="828675"/>
                <wp:effectExtent l="0" t="0" r="0" b="0"/>
                <wp:wrapNone/>
                <wp:docPr id="48" name="Rectángulo 48"/>
                <wp:cNvGraphicFramePr/>
                <a:graphic xmlns:a="http://schemas.openxmlformats.org/drawingml/2006/main">
                  <a:graphicData uri="http://schemas.microsoft.com/office/word/2010/wordprocessingShape">
                    <wps:wsp>
                      <wps:cNvSpPr/>
                      <wps:spPr>
                        <a:xfrm>
                          <a:off x="2774250" y="3379950"/>
                          <a:ext cx="5143500" cy="800100"/>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3606800</wp:posOffset>
                </wp:positionV>
                <wp:extent cx="5172075" cy="828675"/>
                <wp:effectExtent b="0" l="0" r="0" t="0"/>
                <wp:wrapNone/>
                <wp:docPr id="48" name="image21.png"/>
                <a:graphic>
                  <a:graphicData uri="http://schemas.openxmlformats.org/drawingml/2006/picture">
                    <pic:pic>
                      <pic:nvPicPr>
                        <pic:cNvPr id="0" name="image21.png"/>
                        <pic:cNvPicPr preferRelativeResize="0"/>
                      </pic:nvPicPr>
                      <pic:blipFill>
                        <a:blip r:embed="rId32"/>
                        <a:srcRect/>
                        <a:stretch>
                          <a:fillRect/>
                        </a:stretch>
                      </pic:blipFill>
                      <pic:spPr>
                        <a:xfrm>
                          <a:off x="0" y="0"/>
                          <a:ext cx="5172075" cy="828675"/>
                        </a:xfrm>
                        <a:prstGeom prst="rect"/>
                        <a:ln/>
                      </pic:spPr>
                    </pic:pic>
                  </a:graphicData>
                </a:graphic>
              </wp:anchor>
            </w:drawing>
          </mc:Fallback>
        </mc:AlternateContent>
      </w:r>
      <w:r>
        <w:rPr>
          <w:noProof/>
          <w:lang w:val="es-MX"/>
        </w:rPr>
        <mc:AlternateContent>
          <mc:Choice Requires="wpg">
            <w:drawing>
              <wp:anchor distT="0" distB="0" distL="114300" distR="114300" simplePos="0" relativeHeight="251669504" behindDoc="0" locked="0" layoutInCell="1" hidden="0" allowOverlap="1">
                <wp:simplePos x="0" y="0"/>
                <wp:positionH relativeFrom="column">
                  <wp:posOffset>215900</wp:posOffset>
                </wp:positionH>
                <wp:positionV relativeFrom="paragraph">
                  <wp:posOffset>4876800</wp:posOffset>
                </wp:positionV>
                <wp:extent cx="5229225" cy="1028700"/>
                <wp:effectExtent l="0" t="0" r="0" b="0"/>
                <wp:wrapNone/>
                <wp:docPr id="43" name="Rectángulo 43"/>
                <wp:cNvGraphicFramePr/>
                <a:graphic xmlns:a="http://schemas.openxmlformats.org/drawingml/2006/main">
                  <a:graphicData uri="http://schemas.microsoft.com/office/word/2010/wordprocessingShape">
                    <wps:wsp>
                      <wps:cNvSpPr/>
                      <wps:spPr>
                        <a:xfrm>
                          <a:off x="2745675" y="3279938"/>
                          <a:ext cx="5200650" cy="1000125"/>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4876800</wp:posOffset>
                </wp:positionV>
                <wp:extent cx="5229225" cy="1028700"/>
                <wp:effectExtent b="0" l="0" r="0" t="0"/>
                <wp:wrapNone/>
                <wp:docPr id="43" name="image4.png"/>
                <a:graphic>
                  <a:graphicData uri="http://schemas.openxmlformats.org/drawingml/2006/picture">
                    <pic:pic>
                      <pic:nvPicPr>
                        <pic:cNvPr id="0" name="image4.png"/>
                        <pic:cNvPicPr preferRelativeResize="0"/>
                      </pic:nvPicPr>
                      <pic:blipFill>
                        <a:blip r:embed="rId33"/>
                        <a:srcRect/>
                        <a:stretch>
                          <a:fillRect/>
                        </a:stretch>
                      </pic:blipFill>
                      <pic:spPr>
                        <a:xfrm>
                          <a:off x="0" y="0"/>
                          <a:ext cx="5229225" cy="1028700"/>
                        </a:xfrm>
                        <a:prstGeom prst="rect"/>
                        <a:ln/>
                      </pic:spPr>
                    </pic:pic>
                  </a:graphicData>
                </a:graphic>
              </wp:anchor>
            </w:drawing>
          </mc:Fallback>
        </mc:AlternateContent>
      </w:r>
    </w:p>
    <w:p w:rsidR="00294C8C" w:rsidRDefault="00FE203E">
      <w:p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Pr>
          <w:noProof/>
          <w:color w:val="000000"/>
          <w:lang w:val="es-MX"/>
        </w:rPr>
        <w:lastRenderedPageBreak/>
        <w:drawing>
          <wp:inline distT="0" distB="0" distL="0" distR="0">
            <wp:extent cx="5810250" cy="5810250"/>
            <wp:effectExtent l="0" t="0" r="0" b="0"/>
            <wp:docPr id="7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l="22064" t="33796" r="46538" b="10380"/>
                    <a:stretch>
                      <a:fillRect/>
                    </a:stretch>
                  </pic:blipFill>
                  <pic:spPr>
                    <a:xfrm>
                      <a:off x="0" y="0"/>
                      <a:ext cx="5810250" cy="5810250"/>
                    </a:xfrm>
                    <a:prstGeom prst="rect">
                      <a:avLst/>
                    </a:prstGeom>
                    <a:ln/>
                  </pic:spPr>
                </pic:pic>
              </a:graphicData>
            </a:graphic>
          </wp:inline>
        </w:drawing>
      </w:r>
      <w:r>
        <w:rPr>
          <w:noProof/>
          <w:lang w:val="es-MX"/>
        </w:rPr>
        <mc:AlternateContent>
          <mc:Choice Requires="wpg">
            <w:drawing>
              <wp:anchor distT="0" distB="0" distL="114300" distR="114300" simplePos="0" relativeHeight="251670528" behindDoc="0" locked="0" layoutInCell="1" hidden="0" allowOverlap="1">
                <wp:simplePos x="0" y="0"/>
                <wp:positionH relativeFrom="column">
                  <wp:posOffset>215900</wp:posOffset>
                </wp:positionH>
                <wp:positionV relativeFrom="paragraph">
                  <wp:posOffset>787400</wp:posOffset>
                </wp:positionV>
                <wp:extent cx="5505450" cy="1095375"/>
                <wp:effectExtent l="0" t="0" r="0" b="0"/>
                <wp:wrapNone/>
                <wp:docPr id="47" name="Rectángulo 47"/>
                <wp:cNvGraphicFramePr/>
                <a:graphic xmlns:a="http://schemas.openxmlformats.org/drawingml/2006/main">
                  <a:graphicData uri="http://schemas.microsoft.com/office/word/2010/wordprocessingShape">
                    <wps:wsp>
                      <wps:cNvSpPr/>
                      <wps:spPr>
                        <a:xfrm>
                          <a:off x="2607563" y="3246600"/>
                          <a:ext cx="5476875" cy="1066800"/>
                        </a:xfrm>
                        <a:prstGeom prst="rect">
                          <a:avLst/>
                        </a:prstGeom>
                        <a:noFill/>
                        <a:ln w="28575"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787400</wp:posOffset>
                </wp:positionV>
                <wp:extent cx="5505450" cy="1095375"/>
                <wp:effectExtent b="0" l="0" r="0" t="0"/>
                <wp:wrapNone/>
                <wp:docPr id="47" name="image20.png"/>
                <a:graphic>
                  <a:graphicData uri="http://schemas.openxmlformats.org/drawingml/2006/picture">
                    <pic:pic>
                      <pic:nvPicPr>
                        <pic:cNvPr id="0" name="image20.png"/>
                        <pic:cNvPicPr preferRelativeResize="0"/>
                      </pic:nvPicPr>
                      <pic:blipFill>
                        <a:blip r:embed="rId35"/>
                        <a:srcRect/>
                        <a:stretch>
                          <a:fillRect/>
                        </a:stretch>
                      </pic:blipFill>
                      <pic:spPr>
                        <a:xfrm>
                          <a:off x="0" y="0"/>
                          <a:ext cx="5505450" cy="1095375"/>
                        </a:xfrm>
                        <a:prstGeom prst="rect"/>
                        <a:ln/>
                      </pic:spPr>
                    </pic:pic>
                  </a:graphicData>
                </a:graphic>
              </wp:anchor>
            </w:drawing>
          </mc:Fallback>
        </mc:AlternateContent>
      </w:r>
    </w:p>
    <w:p w:rsidR="00294C8C" w:rsidRDefault="00FE203E">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el </w:t>
      </w:r>
      <w:r>
        <w:rPr>
          <w:rFonts w:ascii="Palatino Linotype" w:eastAsia="Palatino Linotype" w:hAnsi="Palatino Linotype" w:cs="Palatino Linotype"/>
          <w:b/>
        </w:rPr>
        <w:t xml:space="preserve">RECURRENTE </w:t>
      </w:r>
      <w:r>
        <w:rPr>
          <w:rFonts w:ascii="Palatino Linotype" w:eastAsia="Palatino Linotype" w:hAnsi="Palatino Linotype" w:cs="Palatino Linotype"/>
        </w:rPr>
        <w:t xml:space="preserve">envió el documento </w:t>
      </w:r>
      <w:r>
        <w:rPr>
          <w:rFonts w:ascii="Palatino Linotype" w:eastAsia="Palatino Linotype" w:hAnsi="Palatino Linotype" w:cs="Palatino Linotype"/>
          <w:b/>
        </w:rPr>
        <w:t>3.-_estado_analitico_de_ingresos_7.pdf</w:t>
      </w:r>
      <w:r>
        <w:rPr>
          <w:rFonts w:ascii="Palatino Linotype" w:eastAsia="Palatino Linotype" w:hAnsi="Palatino Linotype" w:cs="Palatino Linotype"/>
        </w:rPr>
        <w:t xml:space="preserve">. </w:t>
      </w:r>
      <w:proofErr w:type="gramStart"/>
      <w:r>
        <w:rPr>
          <w:rFonts w:ascii="Palatino Linotype" w:eastAsia="Palatino Linotype" w:hAnsi="Palatino Linotype" w:cs="Palatino Linotype"/>
        </w:rPr>
        <w:t>que</w:t>
      </w:r>
      <w:proofErr w:type="gramEnd"/>
      <w:r>
        <w:rPr>
          <w:rFonts w:ascii="Palatino Linotype" w:eastAsia="Palatino Linotype" w:hAnsi="Palatino Linotype" w:cs="Palatino Linotype"/>
        </w:rPr>
        <w:t xml:space="preserve"> se muestra a continuación:</w:t>
      </w:r>
    </w:p>
    <w:p w:rsidR="00294C8C" w:rsidRDefault="00FE203E">
      <w:pPr>
        <w:widowControl w:val="0"/>
        <w:spacing w:before="240" w:after="240" w:line="360" w:lineRule="auto"/>
        <w:jc w:val="both"/>
        <w:rPr>
          <w:rFonts w:ascii="Palatino Linotype" w:eastAsia="Palatino Linotype" w:hAnsi="Palatino Linotype" w:cs="Palatino Linotype"/>
        </w:rPr>
      </w:pPr>
      <w:r>
        <w:rPr>
          <w:noProof/>
          <w:lang w:val="es-MX"/>
        </w:rPr>
        <w:lastRenderedPageBreak/>
        <w:drawing>
          <wp:inline distT="0" distB="0" distL="0" distR="0">
            <wp:extent cx="5529095" cy="4316323"/>
            <wp:effectExtent l="0" t="0" r="0" b="0"/>
            <wp:docPr id="7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l="26865" t="17257" r="13848" b="6001"/>
                    <a:stretch>
                      <a:fillRect/>
                    </a:stretch>
                  </pic:blipFill>
                  <pic:spPr>
                    <a:xfrm>
                      <a:off x="0" y="0"/>
                      <a:ext cx="5529095" cy="4316323"/>
                    </a:xfrm>
                    <a:prstGeom prst="rect">
                      <a:avLst/>
                    </a:prstGeom>
                    <a:ln/>
                  </pic:spPr>
                </pic:pic>
              </a:graphicData>
            </a:graphic>
          </wp:inline>
        </w:drawing>
      </w:r>
    </w:p>
    <w:p w:rsidR="00294C8C" w:rsidRDefault="00FE203E">
      <w:pPr>
        <w:widowControl w:val="0"/>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Que contiene el Estado Analítico de Ingresos del 1 de enero al 30 de septiembre de dos mil veintiuno del </w:t>
      </w:r>
      <w:r>
        <w:rPr>
          <w:rFonts w:ascii="Palatino Linotype" w:eastAsia="Palatino Linotype" w:hAnsi="Palatino Linotype" w:cs="Palatino Linotype"/>
          <w:b/>
        </w:rPr>
        <w:t>SUJETO OBLIGADO</w:t>
      </w:r>
      <w:r>
        <w:rPr>
          <w:rFonts w:ascii="Palatino Linotype" w:eastAsia="Palatino Linotype" w:hAnsi="Palatino Linotype" w:cs="Palatino Linotype"/>
        </w:rPr>
        <w:t>, que muestra su Rubro de Ingresos y Estado Analítico de Ingresos por Fuente de Financiamiento, sin advertir la existencia de la información solicitada, solo en atención a la generalidad de las Cuotas y Aportaciones de Seguridad Social.</w:t>
      </w: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Bajo ese contexto, se considera necesario mencionar que, por cuestiones de técnica jurídica, así como para determinar si la respuesta emitida por </w:t>
      </w:r>
      <w:r>
        <w:rPr>
          <w:rFonts w:ascii="Palatino Linotype" w:eastAsia="Palatino Linotype" w:hAnsi="Palatino Linotype" w:cs="Palatino Linotype"/>
          <w:b/>
        </w:rPr>
        <w:t>EL SUJETO OBLIGADO</w:t>
      </w:r>
      <w:r>
        <w:rPr>
          <w:rFonts w:ascii="Palatino Linotype" w:eastAsia="Palatino Linotype" w:hAnsi="Palatino Linotype" w:cs="Palatino Linotype"/>
        </w:rPr>
        <w:t xml:space="preserve"> atendió de manera puntual a todos y cada uno de los requerimientos </w:t>
      </w:r>
      <w:r>
        <w:rPr>
          <w:rFonts w:ascii="Palatino Linotype" w:eastAsia="Palatino Linotype" w:hAnsi="Palatino Linotype" w:cs="Palatino Linotype"/>
        </w:rPr>
        <w:lastRenderedPageBreak/>
        <w:t xml:space="preserve">formulados por el hoy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es pertinente el análisis de cada uno de los puntos de la solicitud de información y la respuesta brindada a cada uno de ellos por parte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 la siguiente manera:</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ind w:left="567" w:right="900"/>
        <w:jc w:val="both"/>
        <w:rPr>
          <w:rFonts w:ascii="Palatino Linotype" w:eastAsia="Palatino Linotype" w:hAnsi="Palatino Linotype" w:cs="Palatino Linotype"/>
        </w:rPr>
      </w:pPr>
      <w:r>
        <w:rPr>
          <w:rFonts w:ascii="Palatino Linotype" w:eastAsia="Palatino Linotype" w:hAnsi="Palatino Linotype" w:cs="Palatino Linotype"/>
          <w:i/>
        </w:rPr>
        <w:t xml:space="preserve">“Durante la Administración 2019-2021 en el Municipio de Naucalpan de Juárez, el Gobierno Estatal descontó al Municipio de Naucalpan hasta 90% de las participaciones recibidas para pagar el adeudo con el Instituto de Seguridad Social del Estado de México y Municipios (ISSEMYM), lo que resulta violatorio de la ley en la que se prevé máximo el 30% de aportación: …” </w:t>
      </w:r>
      <w:r>
        <w:rPr>
          <w:rFonts w:ascii="Palatino Linotype" w:eastAsia="Palatino Linotype" w:hAnsi="Palatino Linotype" w:cs="Palatino Linotype"/>
        </w:rPr>
        <w:t>(Sic)</w:t>
      </w:r>
    </w:p>
    <w:tbl>
      <w:tblPr>
        <w:tblStyle w:val="a"/>
        <w:tblW w:w="8926" w:type="dxa"/>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645"/>
        <w:gridCol w:w="2461"/>
        <w:gridCol w:w="2410"/>
        <w:gridCol w:w="2410"/>
      </w:tblGrid>
      <w:tr w:rsidR="00294C8C">
        <w:tc>
          <w:tcPr>
            <w:tcW w:w="1645" w:type="dxa"/>
            <w:shd w:val="clear" w:color="auto" w:fill="D9D9D9"/>
          </w:tcPr>
          <w:p w:rsidR="00294C8C" w:rsidRDefault="00FE203E">
            <w:pPr>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SOLICITUD</w:t>
            </w:r>
          </w:p>
        </w:tc>
        <w:tc>
          <w:tcPr>
            <w:tcW w:w="2461" w:type="dxa"/>
            <w:shd w:val="clear" w:color="auto" w:fill="D9D9D9"/>
          </w:tcPr>
          <w:p w:rsidR="00294C8C" w:rsidRDefault="00FE203E">
            <w:pPr>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RESPUESTA</w:t>
            </w:r>
          </w:p>
        </w:tc>
        <w:tc>
          <w:tcPr>
            <w:tcW w:w="2410" w:type="dxa"/>
            <w:shd w:val="clear" w:color="auto" w:fill="D9D9D9"/>
          </w:tcPr>
          <w:p w:rsidR="00294C8C" w:rsidRDefault="00FE203E">
            <w:pPr>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MOTIVOS DE INCONFORMIDAD</w:t>
            </w:r>
          </w:p>
        </w:tc>
        <w:tc>
          <w:tcPr>
            <w:tcW w:w="2410" w:type="dxa"/>
            <w:shd w:val="clear" w:color="auto" w:fill="D9D9D9"/>
          </w:tcPr>
          <w:p w:rsidR="00294C8C" w:rsidRDefault="00FE203E">
            <w:pPr>
              <w:jc w:val="center"/>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INFORME JUSTIFICADO</w:t>
            </w: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1.- por lo que solicito se me envié la resolución, convenio o instrumento celebrado por el cual se autorizó dicho descuento.</w:t>
            </w:r>
          </w:p>
        </w:tc>
        <w:tc>
          <w:tcPr>
            <w:tcW w:w="2461" w:type="dxa"/>
            <w:vMerge w:val="restart"/>
          </w:tcPr>
          <w:p w:rsidR="00294C8C" w:rsidRDefault="00294C8C">
            <w:pPr>
              <w:jc w:val="both"/>
              <w:rPr>
                <w:rFonts w:ascii="Palatino Linotype" w:eastAsia="Palatino Linotype" w:hAnsi="Palatino Linotype" w:cs="Palatino Linotype"/>
                <w:b/>
                <w:color w:val="000000"/>
                <w:sz w:val="20"/>
                <w:szCs w:val="20"/>
              </w:rPr>
            </w:pPr>
          </w:p>
          <w:p w:rsidR="00294C8C" w:rsidRDefault="00FE203E">
            <w:pPr>
              <w:jc w:val="both"/>
              <w:rPr>
                <w:rFonts w:ascii="Palatino Linotype" w:eastAsia="Palatino Linotype" w:hAnsi="Palatino Linotype" w:cs="Palatino Linotype"/>
                <w:b/>
                <w:color w:val="000000"/>
                <w:sz w:val="20"/>
                <w:szCs w:val="20"/>
              </w:rPr>
            </w:pPr>
            <w:r>
              <w:rPr>
                <w:rFonts w:ascii="Palatino Linotype" w:eastAsia="Palatino Linotype" w:hAnsi="Palatino Linotype" w:cs="Palatino Linotype"/>
                <w:b/>
                <w:color w:val="000000"/>
                <w:sz w:val="20"/>
                <w:szCs w:val="20"/>
              </w:rPr>
              <w:t>No se cuenta con un convenio de reconocimiento de adeudos y pago en parcialidades por concepto de contribuciones de aportaciones y cuotas de seguridad social, correspondiente al periodo 2019 – 2021, celebrado por el municipio de Naucalpan de Juárez y el Instituto de Seguridad Social del Estado de México y Municipios.</w:t>
            </w:r>
          </w:p>
          <w:p w:rsidR="00294C8C" w:rsidRDefault="00294C8C">
            <w:pPr>
              <w:jc w:val="both"/>
              <w:rPr>
                <w:rFonts w:ascii="Palatino Linotype" w:eastAsia="Palatino Linotype" w:hAnsi="Palatino Linotype" w:cs="Palatino Linotype"/>
                <w:b/>
                <w:color w:val="000000"/>
                <w:sz w:val="20"/>
                <w:szCs w:val="20"/>
              </w:rPr>
            </w:pPr>
          </w:p>
          <w:p w:rsidR="00294C8C" w:rsidRDefault="00294C8C">
            <w:pPr>
              <w:jc w:val="both"/>
              <w:rPr>
                <w:rFonts w:ascii="Palatino Linotype" w:eastAsia="Palatino Linotype" w:hAnsi="Palatino Linotype" w:cs="Palatino Linotype"/>
                <w:color w:val="000000"/>
                <w:sz w:val="20"/>
                <w:szCs w:val="20"/>
              </w:rPr>
            </w:pPr>
          </w:p>
        </w:tc>
        <w:tc>
          <w:tcPr>
            <w:tcW w:w="2410" w:type="dxa"/>
            <w:vMerge w:val="restart"/>
          </w:tcPr>
          <w:p w:rsidR="00294C8C" w:rsidRDefault="00294C8C">
            <w:pPr>
              <w:jc w:val="both"/>
              <w:rPr>
                <w:rFonts w:ascii="Palatino Linotype" w:eastAsia="Palatino Linotype" w:hAnsi="Palatino Linotype" w:cs="Palatino Linotype"/>
                <w:i/>
                <w:color w:val="000000"/>
                <w:sz w:val="20"/>
                <w:szCs w:val="20"/>
              </w:rPr>
            </w:pPr>
          </w:p>
          <w:p w:rsidR="00294C8C" w:rsidRDefault="00FE203E">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i/>
                <w:color w:val="000000"/>
                <w:sz w:val="20"/>
                <w:szCs w:val="20"/>
              </w:rPr>
              <w:t xml:space="preserve">“…dicen que no cuentan con información relativa a los convenios de reconocimiento y forma de pago con las instituciones </w:t>
            </w:r>
            <w:proofErr w:type="spellStart"/>
            <w:r>
              <w:rPr>
                <w:rFonts w:ascii="Palatino Linotype" w:eastAsia="Palatino Linotype" w:hAnsi="Palatino Linotype" w:cs="Palatino Linotype"/>
                <w:i/>
                <w:color w:val="000000"/>
                <w:sz w:val="20"/>
                <w:szCs w:val="20"/>
              </w:rPr>
              <w:t>publicas</w:t>
            </w:r>
            <w:proofErr w:type="spellEnd"/>
            <w:proofErr w:type="gramStart"/>
            <w:r>
              <w:rPr>
                <w:rFonts w:ascii="Palatino Linotype" w:eastAsia="Palatino Linotype" w:hAnsi="Palatino Linotype" w:cs="Palatino Linotype"/>
                <w:i/>
                <w:color w:val="000000"/>
                <w:sz w:val="20"/>
                <w:szCs w:val="20"/>
              </w:rPr>
              <w:t>, …</w:t>
            </w:r>
            <w:proofErr w:type="gramEnd"/>
            <w:r>
              <w:rPr>
                <w:rFonts w:ascii="Palatino Linotype" w:eastAsia="Palatino Linotype" w:hAnsi="Palatino Linotype" w:cs="Palatino Linotype"/>
                <w:i/>
                <w:color w:val="000000"/>
                <w:sz w:val="20"/>
                <w:szCs w:val="20"/>
              </w:rPr>
              <w:t xml:space="preserve">de igual manera deben tener los convenios con los distintos ayuntamientos, por lo que resulta inverosímil la respuesta, ya que debe existir un archivo y portales donde se puedan consultar o indicar mediante </w:t>
            </w:r>
            <w:proofErr w:type="spellStart"/>
            <w:r>
              <w:rPr>
                <w:rFonts w:ascii="Palatino Linotype" w:eastAsia="Palatino Linotype" w:hAnsi="Palatino Linotype" w:cs="Palatino Linotype"/>
                <w:i/>
                <w:color w:val="000000"/>
                <w:sz w:val="20"/>
                <w:szCs w:val="20"/>
              </w:rPr>
              <w:t>que</w:t>
            </w:r>
            <w:proofErr w:type="spellEnd"/>
            <w:r>
              <w:rPr>
                <w:rFonts w:ascii="Palatino Linotype" w:eastAsia="Palatino Linotype" w:hAnsi="Palatino Linotype" w:cs="Palatino Linotype"/>
                <w:i/>
                <w:color w:val="000000"/>
                <w:sz w:val="20"/>
                <w:szCs w:val="20"/>
              </w:rPr>
              <w:t xml:space="preserve"> medio o link sería consultable, por ser un tema que obliga la ley de transparencia.</w:t>
            </w:r>
          </w:p>
        </w:tc>
        <w:tc>
          <w:tcPr>
            <w:tcW w:w="2410" w:type="dxa"/>
            <w:vMerge w:val="restart"/>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Confirma su respuesta y reitera que no existe convenio.</w:t>
            </w: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 2.- Quienes lo firmaron</w:t>
            </w:r>
          </w:p>
        </w:tc>
        <w:tc>
          <w:tcPr>
            <w:tcW w:w="2461"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3.- con que facultades y si contaban con estas</w:t>
            </w:r>
          </w:p>
        </w:tc>
        <w:tc>
          <w:tcPr>
            <w:tcW w:w="2461"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sz w:val="20"/>
                <w:szCs w:val="20"/>
              </w:rPr>
            </w:pP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4.- Si este instrumento puede rebasar lo establecido en la ley</w:t>
            </w:r>
            <w:proofErr w:type="gramStart"/>
            <w:r>
              <w:rPr>
                <w:rFonts w:ascii="Palatino Linotype" w:eastAsia="Palatino Linotype" w:hAnsi="Palatino Linotype" w:cs="Palatino Linotype"/>
                <w:i/>
                <w:sz w:val="20"/>
                <w:szCs w:val="20"/>
              </w:rPr>
              <w:t>?</w:t>
            </w:r>
            <w:proofErr w:type="gramEnd"/>
          </w:p>
          <w:p w:rsidR="00294C8C" w:rsidRDefault="00294C8C">
            <w:pPr>
              <w:jc w:val="both"/>
              <w:rPr>
                <w:rFonts w:ascii="Palatino Linotype" w:eastAsia="Palatino Linotype" w:hAnsi="Palatino Linotype" w:cs="Palatino Linotype"/>
                <w:i/>
                <w:color w:val="000000"/>
                <w:sz w:val="20"/>
                <w:szCs w:val="20"/>
              </w:rPr>
            </w:pPr>
          </w:p>
        </w:tc>
        <w:tc>
          <w:tcPr>
            <w:tcW w:w="2461"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color w:val="000000"/>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color w:val="000000"/>
                <w:sz w:val="20"/>
                <w:szCs w:val="20"/>
              </w:rPr>
            </w:pPr>
          </w:p>
        </w:tc>
        <w:tc>
          <w:tcPr>
            <w:tcW w:w="2410" w:type="dxa"/>
            <w:vMerge/>
          </w:tcPr>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i/>
                <w:color w:val="000000"/>
                <w:sz w:val="20"/>
                <w:szCs w:val="20"/>
              </w:rPr>
            </w:pP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lastRenderedPageBreak/>
              <w:t xml:space="preserve"> 5.- Que dice esta misma al respecto,</w:t>
            </w:r>
          </w:p>
        </w:tc>
        <w:tc>
          <w:tcPr>
            <w:tcW w:w="2461" w:type="dxa"/>
          </w:tcPr>
          <w:p w:rsidR="00294C8C" w:rsidRDefault="00FE203E">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color w:val="000000"/>
                <w:sz w:val="20"/>
                <w:szCs w:val="20"/>
              </w:rPr>
              <w:t>I</w:t>
            </w:r>
            <w:r>
              <w:rPr>
                <w:rFonts w:ascii="Palatino Linotype" w:eastAsia="Palatino Linotype" w:hAnsi="Palatino Linotype" w:cs="Palatino Linotype"/>
                <w:b/>
                <w:color w:val="000000"/>
                <w:sz w:val="20"/>
                <w:szCs w:val="20"/>
              </w:rPr>
              <w:t>nforma que el Artículo 271 del Código Financiero del Estado de México y Municipios, señala que los municipios podrán comprometer y otorga en pago o como garantía de pago para la contratación de sus obligaciones directas y contingentes, hasta el 30% del monto anual de sus ingresos por participaciones derivadas de la Coordinación Fiscal.</w:t>
            </w:r>
          </w:p>
        </w:tc>
        <w:tc>
          <w:tcPr>
            <w:tcW w:w="2410" w:type="dxa"/>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No realiza manifestación de este punto.</w:t>
            </w:r>
          </w:p>
        </w:tc>
        <w:tc>
          <w:tcPr>
            <w:tcW w:w="2410" w:type="dxa"/>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Confirma su respuesta.</w:t>
            </w:r>
          </w:p>
        </w:tc>
      </w:tr>
      <w:tr w:rsidR="00294C8C">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7.-cantidades percibidas en 2019 y 2021 o link donde se puedan consultar</w:t>
            </w:r>
          </w:p>
        </w:tc>
        <w:tc>
          <w:tcPr>
            <w:tcW w:w="2461" w:type="dxa"/>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Informó que derivado de que no se cuenta con información relativa a convenios de reconocimiento y forma de pago con las instituciones públicas</w:t>
            </w:r>
            <w:r>
              <w:rPr>
                <w:rFonts w:ascii="Palatino Linotype" w:eastAsia="Palatino Linotype" w:hAnsi="Palatino Linotype" w:cs="Palatino Linotype"/>
                <w:b/>
                <w:color w:val="000000"/>
                <w:sz w:val="20"/>
                <w:szCs w:val="20"/>
              </w:rPr>
              <w:t>, así como tampoco de las cantidades que el Instituto percibe por éstos conceptos.</w:t>
            </w:r>
          </w:p>
        </w:tc>
        <w:tc>
          <w:tcPr>
            <w:tcW w:w="2410" w:type="dxa"/>
          </w:tcPr>
          <w:p w:rsidR="00294C8C" w:rsidRDefault="00FE203E">
            <w:pPr>
              <w:jc w:val="both"/>
              <w:rPr>
                <w:rFonts w:ascii="Palatino Linotype" w:eastAsia="Palatino Linotype" w:hAnsi="Palatino Linotype" w:cs="Palatino Linotype"/>
                <w:i/>
                <w:color w:val="000000"/>
                <w:sz w:val="20"/>
                <w:szCs w:val="20"/>
              </w:rPr>
            </w:pPr>
            <w:r>
              <w:rPr>
                <w:rFonts w:ascii="Palatino Linotype" w:eastAsia="Palatino Linotype" w:hAnsi="Palatino Linotype" w:cs="Palatino Linotype"/>
                <w:i/>
                <w:color w:val="000000"/>
                <w:sz w:val="20"/>
                <w:szCs w:val="20"/>
              </w:rPr>
              <w:t>“… es evidente que deben conocer sus percepciones y erogaciones...</w:t>
            </w:r>
          </w:p>
          <w:p w:rsidR="00294C8C" w:rsidRDefault="00294C8C">
            <w:pPr>
              <w:jc w:val="both"/>
              <w:rPr>
                <w:rFonts w:ascii="Palatino Linotype" w:eastAsia="Palatino Linotype" w:hAnsi="Palatino Linotype" w:cs="Palatino Linotype"/>
                <w:i/>
                <w:color w:val="000000"/>
                <w:sz w:val="20"/>
                <w:szCs w:val="20"/>
              </w:rPr>
            </w:pPr>
          </w:p>
          <w:p w:rsidR="00294C8C" w:rsidRDefault="00FE203E">
            <w:pPr>
              <w:jc w:val="both"/>
              <w:rPr>
                <w:rFonts w:ascii="Palatino Linotype" w:eastAsia="Palatino Linotype" w:hAnsi="Palatino Linotype" w:cs="Palatino Linotype"/>
                <w:b/>
                <w:color w:val="000000"/>
                <w:sz w:val="20"/>
                <w:szCs w:val="20"/>
              </w:rPr>
            </w:pPr>
            <w:r>
              <w:rPr>
                <w:rFonts w:ascii="Palatino Linotype" w:eastAsia="Palatino Linotype" w:hAnsi="Palatino Linotype" w:cs="Palatino Linotype"/>
                <w:i/>
                <w:color w:val="000000"/>
                <w:sz w:val="20"/>
                <w:szCs w:val="20"/>
              </w:rPr>
              <w:t>…cantidades percibidas en 2019 y 2021 o link donde se puedan consultar</w:t>
            </w:r>
            <w:proofErr w:type="gramStart"/>
            <w:r>
              <w:rPr>
                <w:rFonts w:ascii="Palatino Linotype" w:eastAsia="Palatino Linotype" w:hAnsi="Palatino Linotype" w:cs="Palatino Linotype"/>
                <w:i/>
                <w:color w:val="000000"/>
                <w:sz w:val="20"/>
                <w:szCs w:val="20"/>
              </w:rPr>
              <w:t>?</w:t>
            </w:r>
            <w:proofErr w:type="gramEnd"/>
            <w:r>
              <w:rPr>
                <w:rFonts w:ascii="Palatino Linotype" w:eastAsia="Palatino Linotype" w:hAnsi="Palatino Linotype" w:cs="Palatino Linotype"/>
                <w:i/>
                <w:color w:val="000000"/>
                <w:sz w:val="20"/>
                <w:szCs w:val="20"/>
              </w:rPr>
              <w:t xml:space="preserve"> es transparencia y debe ser </w:t>
            </w:r>
            <w:proofErr w:type="spellStart"/>
            <w:r>
              <w:rPr>
                <w:rFonts w:ascii="Palatino Linotype" w:eastAsia="Palatino Linotype" w:hAnsi="Palatino Linotype" w:cs="Palatino Linotype"/>
                <w:i/>
                <w:color w:val="000000"/>
                <w:sz w:val="20"/>
                <w:szCs w:val="20"/>
              </w:rPr>
              <w:t>publico</w:t>
            </w:r>
            <w:proofErr w:type="spellEnd"/>
            <w:r>
              <w:rPr>
                <w:rFonts w:ascii="Palatino Linotype" w:eastAsia="Palatino Linotype" w:hAnsi="Palatino Linotype" w:cs="Palatino Linotype"/>
                <w:i/>
                <w:color w:val="000000"/>
                <w:sz w:val="20"/>
                <w:szCs w:val="20"/>
              </w:rPr>
              <w:t xml:space="preserve"> en algún portal de las </w:t>
            </w:r>
            <w:proofErr w:type="spellStart"/>
            <w:r>
              <w:rPr>
                <w:rFonts w:ascii="Palatino Linotype" w:eastAsia="Palatino Linotype" w:hAnsi="Palatino Linotype" w:cs="Palatino Linotype"/>
                <w:i/>
                <w:color w:val="000000"/>
                <w:sz w:val="20"/>
                <w:szCs w:val="20"/>
              </w:rPr>
              <w:t>paginas</w:t>
            </w:r>
            <w:proofErr w:type="spellEnd"/>
            <w:r>
              <w:rPr>
                <w:rFonts w:ascii="Palatino Linotype" w:eastAsia="Palatino Linotype" w:hAnsi="Palatino Linotype" w:cs="Palatino Linotype"/>
                <w:i/>
                <w:color w:val="000000"/>
                <w:sz w:val="20"/>
                <w:szCs w:val="20"/>
              </w:rPr>
              <w:t xml:space="preserve"> del Gobierno del Estado de México y tienen obligación de hacer publica dicha información.” (sic)</w:t>
            </w:r>
          </w:p>
        </w:tc>
        <w:tc>
          <w:tcPr>
            <w:tcW w:w="2410" w:type="dxa"/>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Confirma la respuesta</w:t>
            </w:r>
            <w:r>
              <w:rPr>
                <w:rFonts w:ascii="Palatino Linotype" w:eastAsia="Palatino Linotype" w:hAnsi="Palatino Linotype" w:cs="Palatino Linotype"/>
                <w:color w:val="000000"/>
                <w:sz w:val="20"/>
                <w:szCs w:val="20"/>
              </w:rPr>
              <w:t xml:space="preserve">, y agrega que los convenios de reconocimiento de adeudos y pago en parcialidades por concepto de contribuciones de aportaciones y cuotas de seguridad social celebrados </w:t>
            </w:r>
            <w:r>
              <w:rPr>
                <w:rFonts w:ascii="Palatino Linotype" w:eastAsia="Palatino Linotype" w:hAnsi="Palatino Linotype" w:cs="Palatino Linotype"/>
                <w:b/>
                <w:color w:val="000000"/>
                <w:sz w:val="20"/>
                <w:szCs w:val="20"/>
              </w:rPr>
              <w:t>entre el Instituto y las diferentes instituciones públicas</w:t>
            </w:r>
            <w:r>
              <w:rPr>
                <w:rFonts w:ascii="Palatino Linotype" w:eastAsia="Palatino Linotype" w:hAnsi="Palatino Linotype" w:cs="Palatino Linotype"/>
                <w:color w:val="000000"/>
                <w:sz w:val="20"/>
                <w:szCs w:val="20"/>
              </w:rPr>
              <w:t xml:space="preserve">, </w:t>
            </w:r>
            <w:r>
              <w:rPr>
                <w:rFonts w:ascii="Palatino Linotype" w:eastAsia="Palatino Linotype" w:hAnsi="Palatino Linotype" w:cs="Palatino Linotype"/>
                <w:b/>
                <w:color w:val="000000"/>
                <w:sz w:val="20"/>
                <w:szCs w:val="20"/>
              </w:rPr>
              <w:t>se encuentran disponibles para su consulta en IPOMEX,  da a conocer la liga y lo pasos a seguir para localizar la información.</w:t>
            </w:r>
          </w:p>
        </w:tc>
      </w:tr>
      <w:tr w:rsidR="00294C8C">
        <w:trPr>
          <w:trHeight w:val="2056"/>
        </w:trPr>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lastRenderedPageBreak/>
              <w:t>6.-Se tiene conocimiento de alguna queja o denuncia penal al respecto</w:t>
            </w:r>
            <w:proofErr w:type="gramStart"/>
            <w:r>
              <w:rPr>
                <w:rFonts w:ascii="Palatino Linotype" w:eastAsia="Palatino Linotype" w:hAnsi="Palatino Linotype" w:cs="Palatino Linotype"/>
                <w:i/>
                <w:sz w:val="20"/>
                <w:szCs w:val="20"/>
              </w:rPr>
              <w:t>?</w:t>
            </w:r>
            <w:proofErr w:type="gramEnd"/>
          </w:p>
          <w:p w:rsidR="00294C8C" w:rsidRDefault="00294C8C">
            <w:pPr>
              <w:jc w:val="both"/>
              <w:rPr>
                <w:rFonts w:ascii="Palatino Linotype" w:eastAsia="Palatino Linotype" w:hAnsi="Palatino Linotype" w:cs="Palatino Linotype"/>
                <w:i/>
                <w:sz w:val="20"/>
                <w:szCs w:val="20"/>
              </w:rPr>
            </w:pPr>
          </w:p>
        </w:tc>
        <w:tc>
          <w:tcPr>
            <w:tcW w:w="2461" w:type="dxa"/>
          </w:tcPr>
          <w:p w:rsidR="00294C8C" w:rsidRDefault="00FE203E">
            <w:pPr>
              <w:jc w:val="both"/>
              <w:rPr>
                <w:rFonts w:ascii="Palatino Linotype" w:eastAsia="Palatino Linotype" w:hAnsi="Palatino Linotype" w:cs="Palatino Linotype"/>
                <w:b/>
                <w:color w:val="000000"/>
                <w:sz w:val="20"/>
                <w:szCs w:val="20"/>
              </w:rPr>
            </w:pPr>
            <w:r>
              <w:rPr>
                <w:rFonts w:ascii="Palatino Linotype" w:eastAsia="Palatino Linotype" w:hAnsi="Palatino Linotype" w:cs="Palatino Linotype"/>
                <w:color w:val="000000"/>
                <w:sz w:val="20"/>
                <w:szCs w:val="20"/>
              </w:rPr>
              <w:t xml:space="preserve">Informa que, </w:t>
            </w:r>
            <w:r>
              <w:rPr>
                <w:rFonts w:ascii="Palatino Linotype" w:eastAsia="Palatino Linotype" w:hAnsi="Palatino Linotype" w:cs="Palatino Linotype"/>
                <w:b/>
                <w:color w:val="000000"/>
                <w:sz w:val="20"/>
                <w:szCs w:val="20"/>
              </w:rPr>
              <w:t>no se localizó información relativa a alguna queja  o denuncia penal por algún ente público o persona física o moral.</w:t>
            </w:r>
          </w:p>
        </w:tc>
        <w:tc>
          <w:tcPr>
            <w:tcW w:w="2410" w:type="dxa"/>
          </w:tcPr>
          <w:p w:rsidR="00294C8C" w:rsidRDefault="00FE203E">
            <w:pP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color w:val="000000"/>
                <w:sz w:val="20"/>
                <w:szCs w:val="20"/>
              </w:rPr>
              <w:t>No realizó manifestaciones en este sentido.</w:t>
            </w:r>
          </w:p>
        </w:tc>
        <w:tc>
          <w:tcPr>
            <w:tcW w:w="2410" w:type="dxa"/>
          </w:tcPr>
          <w:p w:rsidR="00294C8C" w:rsidRDefault="00FE203E">
            <w:pPr>
              <w:spacing w:line="360" w:lineRule="auto"/>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sz w:val="20"/>
                <w:szCs w:val="20"/>
              </w:rPr>
              <w:t>Confirma su respuesta</w:t>
            </w:r>
          </w:p>
        </w:tc>
      </w:tr>
      <w:tr w:rsidR="00294C8C">
        <w:trPr>
          <w:trHeight w:val="3248"/>
        </w:trPr>
        <w:tc>
          <w:tcPr>
            <w:tcW w:w="1645" w:type="dxa"/>
          </w:tcPr>
          <w:p w:rsidR="00294C8C" w:rsidRDefault="00FE203E">
            <w:pPr>
              <w:jc w:val="both"/>
              <w:rPr>
                <w:rFonts w:ascii="Palatino Linotype" w:eastAsia="Palatino Linotype" w:hAnsi="Palatino Linotype" w:cs="Palatino Linotype"/>
                <w:i/>
                <w:sz w:val="20"/>
                <w:szCs w:val="20"/>
              </w:rPr>
            </w:pPr>
            <w:r>
              <w:rPr>
                <w:rFonts w:ascii="Palatino Linotype" w:eastAsia="Palatino Linotype" w:hAnsi="Palatino Linotype" w:cs="Palatino Linotype"/>
                <w:i/>
                <w:sz w:val="20"/>
                <w:szCs w:val="20"/>
              </w:rPr>
              <w:t xml:space="preserve">8.- existe alguna demanda por daños y perjuicios o daño moral actualmente por afectación a las percepciones de los trabajadores de dicho ayuntamiento en contra de ese Organismo. </w:t>
            </w:r>
          </w:p>
        </w:tc>
        <w:tc>
          <w:tcPr>
            <w:tcW w:w="2461" w:type="dxa"/>
          </w:tcPr>
          <w:p w:rsidR="00294C8C" w:rsidRDefault="00FE203E">
            <w:pPr>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sz w:val="20"/>
                <w:szCs w:val="20"/>
              </w:rPr>
              <w:t>Señala que:</w:t>
            </w:r>
            <w:r>
              <w:rPr>
                <w:rFonts w:ascii="Palatino Linotype" w:eastAsia="Palatino Linotype" w:hAnsi="Palatino Linotype" w:cs="Palatino Linotype"/>
                <w:b/>
                <w:color w:val="000000"/>
                <w:sz w:val="20"/>
                <w:szCs w:val="20"/>
              </w:rPr>
              <w:t xml:space="preserve"> tampoco se encuentra con registro alguno de demanda por daños y perjuicios o daño moral por afectación a la percepción de los trabajadores de dicho ayuntamiento en contra de este Instituto.</w:t>
            </w:r>
          </w:p>
        </w:tc>
        <w:tc>
          <w:tcPr>
            <w:tcW w:w="2410" w:type="dxa"/>
          </w:tcPr>
          <w:p w:rsidR="00294C8C" w:rsidRDefault="00FE203E">
            <w:pPr>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sz w:val="20"/>
                <w:szCs w:val="20"/>
              </w:rPr>
              <w:t>No realizó manifestaciones en este sentido.</w:t>
            </w:r>
          </w:p>
        </w:tc>
        <w:tc>
          <w:tcPr>
            <w:tcW w:w="2410" w:type="dxa"/>
          </w:tcPr>
          <w:p w:rsidR="00294C8C" w:rsidRDefault="00FE203E">
            <w:pPr>
              <w:spacing w:line="360" w:lineRule="auto"/>
              <w:jc w:val="both"/>
              <w:rPr>
                <w:rFonts w:ascii="Palatino Linotype" w:eastAsia="Palatino Linotype" w:hAnsi="Palatino Linotype" w:cs="Palatino Linotype"/>
                <w:i/>
                <w:color w:val="000000"/>
              </w:rPr>
            </w:pPr>
            <w:r>
              <w:rPr>
                <w:rFonts w:ascii="Palatino Linotype" w:eastAsia="Palatino Linotype" w:hAnsi="Palatino Linotype" w:cs="Palatino Linotype"/>
                <w:color w:val="000000"/>
                <w:sz w:val="20"/>
                <w:szCs w:val="20"/>
              </w:rPr>
              <w:t>Confirma su respuesta</w:t>
            </w:r>
          </w:p>
        </w:tc>
      </w:tr>
    </w:tbl>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i/>
          <w:sz w:val="20"/>
          <w:szCs w:val="20"/>
        </w:rPr>
      </w:pPr>
      <w:r>
        <w:rPr>
          <w:rFonts w:ascii="Palatino Linotype" w:eastAsia="Palatino Linotype" w:hAnsi="Palatino Linotype" w:cs="Palatino Linotype"/>
        </w:rPr>
        <w:t xml:space="preserve">Ahora bien, en atención a la tabla que antecede, resulta oportuno mencionar que de los motivos de inconformidad se advierte que </w:t>
      </w:r>
      <w:r>
        <w:rPr>
          <w:rFonts w:ascii="Palatino Linotype" w:eastAsia="Palatino Linotype" w:hAnsi="Palatino Linotype" w:cs="Palatino Linotype"/>
          <w:b/>
        </w:rPr>
        <w:t>EL RECURRENTE</w:t>
      </w:r>
      <w:r>
        <w:rPr>
          <w:rFonts w:ascii="Palatino Linotype" w:eastAsia="Palatino Linotype" w:hAnsi="Palatino Linotype" w:cs="Palatino Linotype"/>
        </w:rPr>
        <w:t xml:space="preserve"> solo se inconforma de la información correspondiente a los numerales 1 a 4 y 7, puntualizando en el </w:t>
      </w:r>
      <w:r>
        <w:rPr>
          <w:rFonts w:ascii="Palatino Linotype" w:eastAsia="Palatino Linotype" w:hAnsi="Palatino Linotype" w:cs="Palatino Linotype"/>
          <w:i/>
        </w:rPr>
        <w:t>convenio o instrumento celebrado por el cual se autorizó dicho descuento y cantidades percibidas en 2019 y 2021 o link donde se puedan consultar</w:t>
      </w:r>
      <w:r>
        <w:rPr>
          <w:rFonts w:ascii="Palatino Linotype" w:eastAsia="Palatino Linotype" w:hAnsi="Palatino Linotype" w:cs="Palatino Linotype"/>
        </w:rPr>
        <w:t xml:space="preserve">, por lo que la parte de la respuesta que no fue impugnada y que corresponde a los numerales 5, 6 y 8 que señalan: </w:t>
      </w:r>
      <w:r>
        <w:rPr>
          <w:rFonts w:ascii="Palatino Linotype" w:eastAsia="Palatino Linotype" w:hAnsi="Palatino Linotype" w:cs="Palatino Linotype"/>
          <w:i/>
        </w:rPr>
        <w:t xml:space="preserve">Que dice esta misma al respecto </w:t>
      </w:r>
      <w:r>
        <w:rPr>
          <w:rFonts w:ascii="Palatino Linotype" w:eastAsia="Palatino Linotype" w:hAnsi="Palatino Linotype" w:cs="Palatino Linotype"/>
        </w:rPr>
        <w:t>(Ley),</w:t>
      </w:r>
      <w:r>
        <w:rPr>
          <w:rFonts w:ascii="Palatino Linotype" w:eastAsia="Palatino Linotype" w:hAnsi="Palatino Linotype" w:cs="Palatino Linotype"/>
          <w:i/>
        </w:rPr>
        <w:t xml:space="preserve"> se tiene conocimiento de alguna queja o denuncia penal al respecto? y existe alguna demanda por daños y perjuicios o daño moral actualmente por afectación a las percepciones de los trabajadores de dicho ayuntamiento en contra de ese Organismo</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rPr>
        <w:t xml:space="preserve">deben declararse consentidas por el hoy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en razón de que no se realizaron manifestaciones de inconformidad, por lo que no </w:t>
      </w:r>
      <w:r>
        <w:rPr>
          <w:rFonts w:ascii="Palatino Linotype" w:eastAsia="Palatino Linotype" w:hAnsi="Palatino Linotype" w:cs="Palatino Linotype"/>
        </w:rPr>
        <w:lastRenderedPageBreak/>
        <w:t xml:space="preserve">pueden producirse efectos jurídicos tendentes a revocar, confirmar o modificar el acto reclamado ya que se infiere un consentimiento del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ante la falta de impugnación eficaz. </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Sirve de sustento a lo anterior, por analogía, la tesis jurisprudencial número VI.3o.C. J/60, publicada en el Semanario Judicial de la Federación y su Gaceta bajo el número de registro 176,608 que a la letra dice:</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ACTOS CONSENTIDOS. SON LOS QUE NO SE IMPUGNAN MEDIANTE EL RECURSO IDÓNEO.</w:t>
      </w:r>
      <w:r>
        <w:rPr>
          <w:rFonts w:ascii="Palatino Linotype" w:eastAsia="Palatino Linotype" w:hAnsi="Palatino Linotype" w:cs="Palatino Linotype"/>
          <w:i/>
          <w:sz w:val="22"/>
          <w:szCs w:val="22"/>
        </w:rPr>
        <w:t xml:space="preserve"> 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Lo anterior es así, debido a que, cuando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impugnó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no expresó razón o motivo de inconformidad en contra de todos los rubros solicitados; por lo que, debe declararse atendido pues se entiende que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está conforme con la información al no contravenir la misma.</w:t>
      </w: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Consecuentemente, la parte de la respuesta que no fue impugnada debe declararse consentida, toda vez que,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no realizó manifestaciones de inconformidad; por lo que, no pueden producirse efectos jurídicos tendentes a revocar, confirmar o modificar el acto reclamado, ya que se infiere su consentimiento ante la falta de impugnación eficaz.</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Sirve como apoyo a lo anterior, por analogía, la Tesis Jurisprudencial Número 3ª./J.7/91, Publicada en el Semanario Judicial de la Federación y su Gaceta bajo el número de registro 174,177, que establece lo siguiente:</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REVISIÓN EN AMPARO. LOS RESOLUTIVOS NO COMBATIDOS DEBEN DECLARARSE FIRMES</w:t>
      </w:r>
      <w:r>
        <w:rPr>
          <w:rFonts w:ascii="Palatino Linotype" w:eastAsia="Palatino Linotype" w:hAnsi="Palatino Linotype" w:cs="Palatino Linotype"/>
          <w:i/>
          <w:sz w:val="22"/>
          <w:szCs w:val="22"/>
        </w:rPr>
        <w:t>. 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rsidR="00294C8C" w:rsidRDefault="00294C8C">
      <w:pPr>
        <w:spacing w:line="276" w:lineRule="auto"/>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lo antes expuesto, este Instituto procede a analizar el ámbito competencial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para generar, administrar y poseer la información, tal como fue solicitada por el particular.</w:t>
      </w:r>
    </w:p>
    <w:p w:rsidR="00294C8C" w:rsidRDefault="00FE203E">
      <w:pPr>
        <w:spacing w:line="360" w:lineRule="auto"/>
        <w:ind w:right="18"/>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Por lo que, el presente estudio se enfocará en los siguientes temas:</w:t>
      </w:r>
    </w:p>
    <w:p w:rsidR="00294C8C" w:rsidRDefault="00294C8C">
      <w:pPr>
        <w:spacing w:line="360" w:lineRule="auto"/>
        <w:ind w:right="18"/>
        <w:jc w:val="both"/>
        <w:rPr>
          <w:rFonts w:ascii="Palatino Linotype" w:eastAsia="Palatino Linotype" w:hAnsi="Palatino Linotype" w:cs="Palatino Linotype"/>
          <w:color w:val="000000"/>
        </w:rPr>
      </w:pPr>
    </w:p>
    <w:p w:rsidR="00294C8C" w:rsidRDefault="00FE203E">
      <w:pPr>
        <w:numPr>
          <w:ilvl w:val="1"/>
          <w:numId w:val="5"/>
        </w:numPr>
        <w:pBdr>
          <w:top w:val="nil"/>
          <w:left w:val="nil"/>
          <w:bottom w:val="nil"/>
          <w:right w:val="nil"/>
          <w:between w:val="nil"/>
        </w:pBdr>
        <w:spacing w:line="360" w:lineRule="auto"/>
        <w:ind w:left="1418" w:right="18" w:hanging="284"/>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Resolución, convenio o instrumento celebrado por el cual se autorizó descuento al Municipio de Naucalpan de Juárez; y </w:t>
      </w:r>
    </w:p>
    <w:p w:rsidR="00294C8C" w:rsidRDefault="00294C8C">
      <w:pPr>
        <w:pBdr>
          <w:top w:val="nil"/>
          <w:left w:val="nil"/>
          <w:bottom w:val="nil"/>
          <w:right w:val="nil"/>
          <w:between w:val="nil"/>
        </w:pBdr>
        <w:spacing w:line="360" w:lineRule="auto"/>
        <w:ind w:left="1418" w:right="18"/>
        <w:jc w:val="both"/>
        <w:rPr>
          <w:rFonts w:ascii="Palatino Linotype" w:eastAsia="Palatino Linotype" w:hAnsi="Palatino Linotype" w:cs="Palatino Linotype"/>
          <w:color w:val="000000"/>
        </w:rPr>
      </w:pPr>
    </w:p>
    <w:p w:rsidR="00294C8C" w:rsidRDefault="00FE203E">
      <w:pPr>
        <w:numPr>
          <w:ilvl w:val="1"/>
          <w:numId w:val="5"/>
        </w:numPr>
        <w:pBdr>
          <w:top w:val="nil"/>
          <w:left w:val="nil"/>
          <w:bottom w:val="nil"/>
          <w:right w:val="nil"/>
          <w:between w:val="nil"/>
        </w:pBdr>
        <w:spacing w:line="360" w:lineRule="auto"/>
        <w:ind w:left="1418" w:right="18" w:hanging="284"/>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Cantidades percibidas en 2019 y 2021 o link donde se puedan consultar.</w:t>
      </w:r>
    </w:p>
    <w:p w:rsidR="00294C8C" w:rsidRDefault="00294C8C">
      <w:pPr>
        <w:spacing w:line="360" w:lineRule="auto"/>
        <w:ind w:right="18"/>
        <w:jc w:val="both"/>
        <w:rPr>
          <w:rFonts w:ascii="Palatino Linotype" w:eastAsia="Palatino Linotype" w:hAnsi="Palatino Linotype" w:cs="Palatino Linotype"/>
          <w:color w:val="000000"/>
        </w:rPr>
      </w:pPr>
    </w:p>
    <w:p w:rsidR="00294C8C" w:rsidRDefault="00FE203E">
      <w:pPr>
        <w:numPr>
          <w:ilvl w:val="0"/>
          <w:numId w:val="6"/>
        </w:numPr>
        <w:pBdr>
          <w:top w:val="nil"/>
          <w:left w:val="nil"/>
          <w:bottom w:val="nil"/>
          <w:right w:val="nil"/>
          <w:between w:val="nil"/>
        </w:pBdr>
        <w:spacing w:line="360" w:lineRule="auto"/>
        <w:ind w:right="18"/>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Resolución, convenio o instrumento celebrado por el cual se autorizó descuento al Municipio de Naucalpan de Juárez.</w:t>
      </w:r>
    </w:p>
    <w:p w:rsidR="00294C8C" w:rsidRDefault="00294C8C">
      <w:pPr>
        <w:spacing w:line="360" w:lineRule="auto"/>
        <w:ind w:right="18"/>
        <w:jc w:val="both"/>
        <w:rPr>
          <w:rFonts w:ascii="Palatino Linotype" w:eastAsia="Palatino Linotype" w:hAnsi="Palatino Linotype" w:cs="Palatino Linotype"/>
          <w:b/>
          <w:color w:val="000000"/>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Es importante destacar que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 señaló no contar con la información solicitada, por lo que inmerso en los motivos de inconformidad, el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refiere que: “…</w:t>
      </w:r>
      <w:r>
        <w:rPr>
          <w:rFonts w:ascii="Palatino Linotype" w:eastAsia="Palatino Linotype" w:hAnsi="Palatino Linotype" w:cs="Palatino Linotype"/>
          <w:i/>
        </w:rPr>
        <w:t xml:space="preserve">debe existir un archivo y portales donde se puedan consultar o indicar mediante </w:t>
      </w:r>
      <w:proofErr w:type="spellStart"/>
      <w:r>
        <w:rPr>
          <w:rFonts w:ascii="Palatino Linotype" w:eastAsia="Palatino Linotype" w:hAnsi="Palatino Linotype" w:cs="Palatino Linotype"/>
          <w:i/>
        </w:rPr>
        <w:t>que</w:t>
      </w:r>
      <w:proofErr w:type="spellEnd"/>
      <w:r>
        <w:rPr>
          <w:rFonts w:ascii="Palatino Linotype" w:eastAsia="Palatino Linotype" w:hAnsi="Palatino Linotype" w:cs="Palatino Linotype"/>
          <w:i/>
        </w:rPr>
        <w:t xml:space="preserve"> medio o link sería consultable, por ser un tema que obliga la ley de transparencia, </w:t>
      </w:r>
      <w:proofErr w:type="spellStart"/>
      <w:r>
        <w:rPr>
          <w:rFonts w:ascii="Palatino Linotype" w:eastAsia="Palatino Linotype" w:hAnsi="Palatino Linotype" w:cs="Palatino Linotype"/>
          <w:i/>
        </w:rPr>
        <w:t>ha</w:t>
      </w:r>
      <w:proofErr w:type="spellEnd"/>
      <w:r>
        <w:rPr>
          <w:rFonts w:ascii="Palatino Linotype" w:eastAsia="Palatino Linotype" w:hAnsi="Palatino Linotype" w:cs="Palatino Linotype"/>
          <w:i/>
        </w:rPr>
        <w:t xml:space="preserve"> hacerlo </w:t>
      </w:r>
      <w:proofErr w:type="spellStart"/>
      <w:r>
        <w:rPr>
          <w:rFonts w:ascii="Palatino Linotype" w:eastAsia="Palatino Linotype" w:hAnsi="Palatino Linotype" w:cs="Palatino Linotype"/>
          <w:i/>
        </w:rPr>
        <w:t>publico</w:t>
      </w:r>
      <w:proofErr w:type="spellEnd"/>
      <w:r>
        <w:rPr>
          <w:rFonts w:ascii="Palatino Linotype" w:eastAsia="Palatino Linotype" w:hAnsi="Palatino Linotype" w:cs="Palatino Linotype"/>
          <w:i/>
        </w:rPr>
        <w:t xml:space="preserve"> y en consecuencia, no da debido cumplimiento a la solicitud de información y en su caso resulta opaco para la ciudadanía el hecho que no conozcan los mismos, ya que ellos generan, poseen y administran dicha información, no contesta específicamente y si existe que lo exhiban, o indiquen el medio por el cual es consultable, una vez resuelto esto, en consecuencia podrá contestar el total de los numerales de mi petición. </w:t>
      </w:r>
      <w:proofErr w:type="gramStart"/>
      <w:r>
        <w:rPr>
          <w:rFonts w:ascii="Palatino Linotype" w:eastAsia="Palatino Linotype" w:hAnsi="Palatino Linotype" w:cs="Palatino Linotype"/>
          <w:i/>
        </w:rPr>
        <w:t>cantidades</w:t>
      </w:r>
      <w:proofErr w:type="gramEnd"/>
      <w:r>
        <w:rPr>
          <w:rFonts w:ascii="Palatino Linotype" w:eastAsia="Palatino Linotype" w:hAnsi="Palatino Linotype" w:cs="Palatino Linotype"/>
          <w:i/>
        </w:rPr>
        <w:t xml:space="preserve"> percibidas en 2019 y 2021 o link donde se puedan consultar? es transparencia y debe ser </w:t>
      </w:r>
      <w:proofErr w:type="spellStart"/>
      <w:r>
        <w:rPr>
          <w:rFonts w:ascii="Palatino Linotype" w:eastAsia="Palatino Linotype" w:hAnsi="Palatino Linotype" w:cs="Palatino Linotype"/>
          <w:i/>
        </w:rPr>
        <w:t>publico</w:t>
      </w:r>
      <w:proofErr w:type="spellEnd"/>
      <w:r>
        <w:rPr>
          <w:rFonts w:ascii="Palatino Linotype" w:eastAsia="Palatino Linotype" w:hAnsi="Palatino Linotype" w:cs="Palatino Linotype"/>
          <w:i/>
        </w:rPr>
        <w:t xml:space="preserve"> en algún portal de las </w:t>
      </w:r>
      <w:proofErr w:type="spellStart"/>
      <w:r>
        <w:rPr>
          <w:rFonts w:ascii="Palatino Linotype" w:eastAsia="Palatino Linotype" w:hAnsi="Palatino Linotype" w:cs="Palatino Linotype"/>
          <w:i/>
        </w:rPr>
        <w:t>paginas</w:t>
      </w:r>
      <w:proofErr w:type="spellEnd"/>
      <w:r>
        <w:rPr>
          <w:rFonts w:ascii="Palatino Linotype" w:eastAsia="Palatino Linotype" w:hAnsi="Palatino Linotype" w:cs="Palatino Linotype"/>
          <w:i/>
        </w:rPr>
        <w:t xml:space="preserve"> del Gobierno del Estado de México y tienen obligación de hacer publica dicha información.” </w:t>
      </w:r>
      <w:r>
        <w:rPr>
          <w:rFonts w:ascii="Palatino Linotype" w:eastAsia="Palatino Linotype" w:hAnsi="Palatino Linotype" w:cs="Palatino Linotype"/>
        </w:rPr>
        <w:t xml:space="preserve">(sic), en este sentido,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en el informe justificado refiere una liga del portal IPOMEX  </w:t>
      </w:r>
      <w:hyperlink r:id="rId37">
        <w:r>
          <w:rPr>
            <w:rFonts w:ascii="Palatino Linotype" w:eastAsia="Palatino Linotype" w:hAnsi="Palatino Linotype" w:cs="Palatino Linotype"/>
            <w:color w:val="0000FF"/>
            <w:u w:val="single"/>
          </w:rPr>
          <w:t>https://www.ipomex.org.mx/ipo3/lgt/indice/ISSEMYM.web</w:t>
        </w:r>
      </w:hyperlink>
      <w:r>
        <w:rPr>
          <w:rFonts w:ascii="Palatino Linotype" w:eastAsia="Palatino Linotype" w:hAnsi="Palatino Linotype" w:cs="Palatino Linotype"/>
        </w:rPr>
        <w:t>, donde se muestra la Cartera de Adeudos al treinta y uno de diciembre de dos mil veintiuno, señalando que el H. Ayuntamiento de Naucalpan de Juárez tiene  un deudo con el ISSEMYM, monto que puede consultar en dicha página y da a conocer los pasos a seguir para localizar la información, la cual se muestra a continuación:</w:t>
      </w:r>
    </w:p>
    <w:p w:rsidR="00294C8C" w:rsidRDefault="00FE203E">
      <w:pPr>
        <w:spacing w:line="360" w:lineRule="auto"/>
        <w:ind w:right="18"/>
        <w:jc w:val="both"/>
        <w:rPr>
          <w:rFonts w:ascii="Palatino Linotype" w:eastAsia="Palatino Linotype" w:hAnsi="Palatino Linotype" w:cs="Palatino Linotype"/>
        </w:rPr>
      </w:pPr>
      <w:r>
        <w:rPr>
          <w:noProof/>
          <w:lang w:val="es-MX"/>
        </w:rPr>
        <w:lastRenderedPageBreak/>
        <w:drawing>
          <wp:inline distT="0" distB="0" distL="0" distR="0">
            <wp:extent cx="5883376" cy="3423978"/>
            <wp:effectExtent l="0" t="0" r="0" b="0"/>
            <wp:docPr id="7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8"/>
                    <a:srcRect l="4073" t="26856" r="28717" b="10682"/>
                    <a:stretch>
                      <a:fillRect/>
                    </a:stretch>
                  </pic:blipFill>
                  <pic:spPr>
                    <a:xfrm>
                      <a:off x="0" y="0"/>
                      <a:ext cx="5883376" cy="3423978"/>
                    </a:xfrm>
                    <a:prstGeom prst="rect">
                      <a:avLst/>
                    </a:prstGeom>
                    <a:ln/>
                  </pic:spPr>
                </pic:pic>
              </a:graphicData>
            </a:graphic>
          </wp:inline>
        </w:drawing>
      </w:r>
      <w:r>
        <w:rPr>
          <w:noProof/>
          <w:lang w:val="es-MX"/>
        </w:rPr>
        <mc:AlternateContent>
          <mc:Choice Requires="wpg">
            <w:drawing>
              <wp:anchor distT="0" distB="0" distL="114300" distR="114300" simplePos="0" relativeHeight="251671552" behindDoc="0" locked="0" layoutInCell="1" hidden="0" allowOverlap="1">
                <wp:simplePos x="0" y="0"/>
                <wp:positionH relativeFrom="column">
                  <wp:posOffset>-50799</wp:posOffset>
                </wp:positionH>
                <wp:positionV relativeFrom="paragraph">
                  <wp:posOffset>1828800</wp:posOffset>
                </wp:positionV>
                <wp:extent cx="6099853" cy="212761"/>
                <wp:effectExtent l="0" t="0" r="0" b="0"/>
                <wp:wrapNone/>
                <wp:docPr id="42" name="Rectángulo 42"/>
                <wp:cNvGraphicFramePr/>
                <a:graphic xmlns:a="http://schemas.openxmlformats.org/drawingml/2006/main">
                  <a:graphicData uri="http://schemas.microsoft.com/office/word/2010/wordprocessingShape">
                    <wps:wsp>
                      <wps:cNvSpPr/>
                      <wps:spPr>
                        <a:xfrm>
                          <a:off x="2315124" y="3692670"/>
                          <a:ext cx="6061753" cy="174661"/>
                        </a:xfrm>
                        <a:prstGeom prst="rect">
                          <a:avLst/>
                        </a:prstGeom>
                        <a:noFill/>
                        <a:ln w="38100"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-50799</wp:posOffset>
                </wp:positionH>
                <wp:positionV relativeFrom="paragraph">
                  <wp:posOffset>1828800</wp:posOffset>
                </wp:positionV>
                <wp:extent cx="6099853" cy="212761"/>
                <wp:effectExtent b="0" l="0" r="0" t="0"/>
                <wp:wrapNone/>
                <wp:docPr id="42" name="image3.png"/>
                <a:graphic>
                  <a:graphicData uri="http://schemas.openxmlformats.org/drawingml/2006/picture">
                    <pic:pic>
                      <pic:nvPicPr>
                        <pic:cNvPr id="0" name="image3.png"/>
                        <pic:cNvPicPr preferRelativeResize="0"/>
                      </pic:nvPicPr>
                      <pic:blipFill>
                        <a:blip r:embed="rId39"/>
                        <a:srcRect/>
                        <a:stretch>
                          <a:fillRect/>
                        </a:stretch>
                      </pic:blipFill>
                      <pic:spPr>
                        <a:xfrm>
                          <a:off x="0" y="0"/>
                          <a:ext cx="6099853" cy="212761"/>
                        </a:xfrm>
                        <a:prstGeom prst="rect"/>
                        <a:ln/>
                      </pic:spPr>
                    </pic:pic>
                  </a:graphicData>
                </a:graphic>
              </wp:anchor>
            </w:drawing>
          </mc:Fallback>
        </mc:AlternateContent>
      </w:r>
    </w:p>
    <w:p w:rsidR="00294C8C" w:rsidRDefault="00FE203E">
      <w:pPr>
        <w:spacing w:line="360" w:lineRule="auto"/>
        <w:ind w:right="18"/>
        <w:jc w:val="both"/>
        <w:rPr>
          <w:rFonts w:ascii="Palatino Linotype" w:eastAsia="Palatino Linotype" w:hAnsi="Palatino Linotype" w:cs="Palatino Linotype"/>
        </w:rPr>
      </w:pPr>
      <w:r>
        <w:rPr>
          <w:noProof/>
          <w:lang w:val="es-MX"/>
        </w:rPr>
        <w:drawing>
          <wp:inline distT="0" distB="0" distL="0" distR="0">
            <wp:extent cx="5823409" cy="3486417"/>
            <wp:effectExtent l="0" t="0" r="0" b="0"/>
            <wp:docPr id="7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l="4921" t="22047" r="28547" b="9455"/>
                    <a:stretch>
                      <a:fillRect/>
                    </a:stretch>
                  </pic:blipFill>
                  <pic:spPr>
                    <a:xfrm>
                      <a:off x="0" y="0"/>
                      <a:ext cx="5823409" cy="3486417"/>
                    </a:xfrm>
                    <a:prstGeom prst="rect">
                      <a:avLst/>
                    </a:prstGeom>
                    <a:ln/>
                  </pic:spPr>
                </pic:pic>
              </a:graphicData>
            </a:graphic>
          </wp:inline>
        </w:drawing>
      </w:r>
      <w:r>
        <w:rPr>
          <w:noProof/>
          <w:lang w:val="es-MX"/>
        </w:rPr>
        <mc:AlternateContent>
          <mc:Choice Requires="wpg">
            <w:drawing>
              <wp:anchor distT="0" distB="0" distL="114300" distR="114300" simplePos="0" relativeHeight="251672576" behindDoc="0" locked="0" layoutInCell="1" hidden="0" allowOverlap="1">
                <wp:simplePos x="0" y="0"/>
                <wp:positionH relativeFrom="column">
                  <wp:posOffset>-152399</wp:posOffset>
                </wp:positionH>
                <wp:positionV relativeFrom="paragraph">
                  <wp:posOffset>1993900</wp:posOffset>
                </wp:positionV>
                <wp:extent cx="5997112" cy="253707"/>
                <wp:effectExtent l="0" t="0" r="0" b="0"/>
                <wp:wrapNone/>
                <wp:docPr id="45" name="Rectángulo 45"/>
                <wp:cNvGraphicFramePr/>
                <a:graphic xmlns:a="http://schemas.openxmlformats.org/drawingml/2006/main">
                  <a:graphicData uri="http://schemas.microsoft.com/office/word/2010/wordprocessingShape">
                    <wps:wsp>
                      <wps:cNvSpPr/>
                      <wps:spPr>
                        <a:xfrm>
                          <a:off x="2366494" y="3672197"/>
                          <a:ext cx="5959012" cy="215607"/>
                        </a:xfrm>
                        <a:prstGeom prst="rect">
                          <a:avLst/>
                        </a:prstGeom>
                        <a:noFill/>
                        <a:ln w="38100" cap="flat" cmpd="sng">
                          <a:solidFill>
                            <a:srgbClr val="FF0000"/>
                          </a:solidFill>
                          <a:prstDash val="solid"/>
                          <a:round/>
                          <a:headEnd type="none" w="sm" len="sm"/>
                          <a:tailEnd type="none" w="sm" len="sm"/>
                        </a:ln>
                      </wps:spPr>
                      <wps:txbx>
                        <w:txbxContent>
                          <w:p w:rsidR="00294C8C" w:rsidRDefault="00294C8C">
                            <w:pPr>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-152399</wp:posOffset>
                </wp:positionH>
                <wp:positionV relativeFrom="paragraph">
                  <wp:posOffset>1993900</wp:posOffset>
                </wp:positionV>
                <wp:extent cx="5997112" cy="253707"/>
                <wp:effectExtent b="0" l="0" r="0" t="0"/>
                <wp:wrapNone/>
                <wp:docPr id="45" name="image6.png"/>
                <a:graphic>
                  <a:graphicData uri="http://schemas.openxmlformats.org/drawingml/2006/picture">
                    <pic:pic>
                      <pic:nvPicPr>
                        <pic:cNvPr id="0" name="image6.png"/>
                        <pic:cNvPicPr preferRelativeResize="0"/>
                      </pic:nvPicPr>
                      <pic:blipFill>
                        <a:blip r:embed="rId41"/>
                        <a:srcRect/>
                        <a:stretch>
                          <a:fillRect/>
                        </a:stretch>
                      </pic:blipFill>
                      <pic:spPr>
                        <a:xfrm>
                          <a:off x="0" y="0"/>
                          <a:ext cx="5997112" cy="253707"/>
                        </a:xfrm>
                        <a:prstGeom prst="rect"/>
                        <a:ln/>
                      </pic:spPr>
                    </pic:pic>
                  </a:graphicData>
                </a:graphic>
              </wp:anchor>
            </w:drawing>
          </mc:Fallback>
        </mc:AlternateConten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En dicho documento, refiere la Cartera de Adeudos al treinta y uno de diciembre de dos mil veintiuno, en la cual se detalla Clave, Institución Pública, Periodo de Incumplimiento (final, inicial, importe del adeudo), Decreto, Saldo Insoluto del Convenio de Pago en Parcialidades, Parcialidad Vencida (importe y número) y Adeudo Total, </w:t>
      </w:r>
      <w:r>
        <w:rPr>
          <w:rFonts w:ascii="Palatino Linotype" w:eastAsia="Palatino Linotype" w:hAnsi="Palatino Linotype" w:cs="Palatino Linotype"/>
          <w:b/>
        </w:rPr>
        <w:t xml:space="preserve">en el que se subraya el Decreto para el Municipio de Naucalpan de Juárez, el cual tiene las siguientes iniciales: en página 1; 33-249 y en página 2; A.A, </w:t>
      </w:r>
      <w:r>
        <w:rPr>
          <w:rFonts w:ascii="Palatino Linotype" w:eastAsia="Palatino Linotype" w:hAnsi="Palatino Linotype" w:cs="Palatino Linotype"/>
        </w:rPr>
        <w:t>los cuales se clarifican al final del documento, de la siguiente manera:</w:t>
      </w:r>
    </w:p>
    <w:p w:rsidR="00294C8C" w:rsidRDefault="00FE203E">
      <w:pPr>
        <w:spacing w:line="360" w:lineRule="auto"/>
        <w:ind w:right="18"/>
        <w:jc w:val="both"/>
        <w:rPr>
          <w:rFonts w:ascii="Palatino Linotype" w:eastAsia="Palatino Linotype" w:hAnsi="Palatino Linotype" w:cs="Palatino Linotype"/>
        </w:rPr>
      </w:pPr>
      <w:r>
        <w:rPr>
          <w:noProof/>
          <w:lang w:val="es-MX"/>
        </w:rPr>
        <w:drawing>
          <wp:inline distT="0" distB="0" distL="0" distR="0">
            <wp:extent cx="5653643" cy="1406783"/>
            <wp:effectExtent l="0" t="0" r="0" b="0"/>
            <wp:docPr id="7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
                    <a:srcRect l="5092" t="56428" r="68651" b="34218"/>
                    <a:stretch>
                      <a:fillRect/>
                    </a:stretch>
                  </pic:blipFill>
                  <pic:spPr>
                    <a:xfrm>
                      <a:off x="0" y="0"/>
                      <a:ext cx="5653643" cy="1406783"/>
                    </a:xfrm>
                    <a:prstGeom prst="rect">
                      <a:avLst/>
                    </a:prstGeom>
                    <a:ln/>
                  </pic:spPr>
                </pic:pic>
              </a:graphicData>
            </a:graphic>
          </wp:inline>
        </w:drawing>
      </w: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Lo que indica la existencia de dos convenios, el primero suscrito conforme a los Decretos 33 y 249, y el segundo conforme al artículo 32 del Código Financiero del Estado de México y Municipios.</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En atención al Decreto 33, publicado en el Periódico Oficial “Gaceta de Gobierno” en fecha cinco de enero de dos mil diez, con el que se autoriza a las Instituciones públicas la celebración de Convenios de pago en parcialidades al amparo del Programa de regularización de adeudos con el Instituto de Seguridad Social del Estado de México y Municipios, obteniendo la condonación de las multas y recargos que en su caso hubiesen generado, </w:t>
      </w:r>
      <w:r>
        <w:rPr>
          <w:rFonts w:ascii="Palatino Linotype" w:eastAsia="Palatino Linotype" w:hAnsi="Palatino Linotype" w:cs="Palatino Linotype"/>
          <w:b/>
        </w:rPr>
        <w:t xml:space="preserve">debiendo suscribir los convenios respectivos </w:t>
      </w:r>
      <w:r>
        <w:rPr>
          <w:rFonts w:ascii="Palatino Linotype" w:eastAsia="Palatino Linotype" w:hAnsi="Palatino Linotype" w:cs="Palatino Linotype"/>
          <w:b/>
        </w:rPr>
        <w:lastRenderedPageBreak/>
        <w:t>en un plazo que no excedan de los tres meses posteriores a la publicación del presente Decreto, en el periódico oficial “Gaceta del Gobierno” del Estado de México.</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b/>
        </w:rPr>
      </w:pPr>
      <w:r>
        <w:rPr>
          <w:rFonts w:ascii="Palatino Linotype" w:eastAsia="Palatino Linotype" w:hAnsi="Palatino Linotype" w:cs="Palatino Linotype"/>
        </w:rPr>
        <w:t xml:space="preserve">Por otra parte, el Decreto 249, publicado el veintiuno de diciembre de dos mil diez en el Periódico Oficial “Gaceta de Gobierno”, mediante el cual, dentro de sus artículos Quinto al Décimo Tercero,  se autorizó a los Municipios que hayan suscrito convenios al amparo del Decreto 33, </w:t>
      </w:r>
      <w:r>
        <w:rPr>
          <w:rFonts w:ascii="Palatino Linotype" w:eastAsia="Palatino Linotype" w:hAnsi="Palatino Linotype" w:cs="Palatino Linotype"/>
          <w:b/>
        </w:rPr>
        <w:t>a novar sus adeudos y obligaciones establecidas en dichos convenios, sujeto a términos y condiciones establecidos en dicho Decreto.</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Por cuanto hace al Convenio suscrito conforme al artículo 32 del Código Financiero del Estado de México y Municipios, que señala:</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Artículo 32.-</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 autoridad fiscal competente, podrá autorizar el pago a plazos, ya sea diferido o en parcialidades, para cubrir las contribuciones, o aprovechamientos omitidos y sus accesorios, sin que dicho plazo exceda de treinta y seis meses tratándose del pago en parcialidades y de doce meses para el pago diferid</w:t>
      </w:r>
      <w:r>
        <w:rPr>
          <w:rFonts w:ascii="Palatino Linotype" w:eastAsia="Palatino Linotype" w:hAnsi="Palatino Linotype" w:cs="Palatino Linotype"/>
          <w:i/>
          <w:sz w:val="22"/>
          <w:szCs w:val="22"/>
        </w:rPr>
        <w:t>o, autorización que podrá otorgarse siempre y cuando el contribuyente:</w:t>
      </w:r>
    </w:p>
    <w:p w:rsidR="00294C8C" w:rsidRDefault="00294C8C">
      <w:pPr>
        <w:spacing w:line="276" w:lineRule="auto"/>
        <w:ind w:left="1134"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w:t>
      </w:r>
      <w:r>
        <w:rPr>
          <w:rFonts w:ascii="Palatino Linotype" w:eastAsia="Palatino Linotype" w:hAnsi="Palatino Linotype" w:cs="Palatino Linotype"/>
          <w:i/>
          <w:sz w:val="22"/>
          <w:szCs w:val="22"/>
        </w:rPr>
        <w:tab/>
        <w:t>Pague el 20% del monto total del crédito fiscal; cuyo importe se integrará de las contribuciones omitidas actualizadas y los accesorios causados hasta la fecha del entero.</w:t>
      </w:r>
    </w:p>
    <w:p w:rsidR="00294C8C" w:rsidRDefault="00294C8C">
      <w:pPr>
        <w:spacing w:line="276" w:lineRule="auto"/>
        <w:ind w:left="1134"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II.</w:t>
      </w:r>
      <w:r>
        <w:rPr>
          <w:rFonts w:ascii="Palatino Linotype" w:eastAsia="Palatino Linotype" w:hAnsi="Palatino Linotype" w:cs="Palatino Linotype"/>
          <w:i/>
          <w:sz w:val="22"/>
          <w:szCs w:val="22"/>
        </w:rPr>
        <w:tab/>
        <w:t>Solicite la autorización dentro de los quince días siguientes a aquel en que se efectúe el pago del 20%, debiendo anexar el comprobante de pago correspondiente.</w:t>
      </w:r>
    </w:p>
    <w:p w:rsidR="00294C8C" w:rsidRDefault="00294C8C">
      <w:pPr>
        <w:spacing w:line="276" w:lineRule="auto"/>
        <w:ind w:left="1134"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w:t>
      </w:r>
      <w:r>
        <w:rPr>
          <w:rFonts w:ascii="Palatino Linotype" w:eastAsia="Palatino Linotype" w:hAnsi="Palatino Linotype" w:cs="Palatino Linotype"/>
          <w:i/>
          <w:sz w:val="22"/>
          <w:szCs w:val="22"/>
        </w:rPr>
        <w:tab/>
        <w:t xml:space="preserve">Otorgue garantía al momento de presentar su solicitud de autorización de pago a plazos, respecto </w:t>
      </w:r>
      <w:proofErr w:type="gramStart"/>
      <w:r>
        <w:rPr>
          <w:rFonts w:ascii="Palatino Linotype" w:eastAsia="Palatino Linotype" w:hAnsi="Palatino Linotype" w:cs="Palatino Linotype"/>
          <w:i/>
          <w:sz w:val="22"/>
          <w:szCs w:val="22"/>
        </w:rPr>
        <w:t>del 80% del total del adeudo, incluidos</w:t>
      </w:r>
      <w:proofErr w:type="gramEnd"/>
      <w:r>
        <w:rPr>
          <w:rFonts w:ascii="Palatino Linotype" w:eastAsia="Palatino Linotype" w:hAnsi="Palatino Linotype" w:cs="Palatino Linotype"/>
          <w:i/>
          <w:sz w:val="22"/>
          <w:szCs w:val="22"/>
        </w:rPr>
        <w:t xml:space="preserve"> los accesorios que se causen en el plazo elegido. La autoridad fiscal mediante Reglas de Carácter General podrá establecer los supuestos de dispensa de la garantía del interés fiscal.</w:t>
      </w:r>
    </w:p>
    <w:p w:rsidR="00294C8C" w:rsidRDefault="00294C8C">
      <w:pPr>
        <w:spacing w:line="276" w:lineRule="auto"/>
        <w:ind w:left="1134"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La autoridad fiscal podrá determinar y cobrar el saldo de las diferencias que resulten por el uso indebido del pago a plazos, entendiéndose como uso indebido, cuando la solicitud de autorización correspondiente, no se presente dentro del plazo a que refiere la fracción II de este artículo; cuando se pretenda pagar contribuciones retenidas, trasladadas o recaudadas, así como las sanciones económicas e indemnizaciones resarcitorias derivadas de una responsabilidad administrativa o cuando la solicitud de autorización no se presente con todos los requisitos a que se refiere este artículo.”</w:t>
      </w:r>
    </w:p>
    <w:p w:rsidR="00294C8C" w:rsidRDefault="00294C8C">
      <w:pPr>
        <w:spacing w:line="276" w:lineRule="auto"/>
        <w:ind w:right="900"/>
        <w:jc w:val="both"/>
        <w:rPr>
          <w:rFonts w:ascii="Palatino Linotype" w:eastAsia="Palatino Linotype" w:hAnsi="Palatino Linotype" w:cs="Palatino Linotype"/>
          <w:sz w:val="22"/>
          <w:szCs w:val="22"/>
        </w:rPr>
      </w:pPr>
    </w:p>
    <w:p w:rsidR="00294C8C" w:rsidRDefault="00FE203E">
      <w:pPr>
        <w:spacing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rPr>
        <w:t xml:space="preserve">Por lo que dicho convenio también se elabora con las Instituciones públicas y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al respecto, la Ley de Seguridad Social para los Servidores Públicos del Estado de México y Municipios, refiere: </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276" w:lineRule="auto"/>
        <w:ind w:left="1134"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r>
        <w:rPr>
          <w:rFonts w:ascii="Palatino Linotype" w:eastAsia="Palatino Linotype" w:hAnsi="Palatino Linotype" w:cs="Palatino Linotype"/>
          <w:b/>
          <w:i/>
          <w:sz w:val="22"/>
          <w:szCs w:val="22"/>
        </w:rPr>
        <w:t>ARTICULO 35.-</w:t>
      </w:r>
      <w:r>
        <w:rPr>
          <w:rFonts w:ascii="Palatino Linotype" w:eastAsia="Palatino Linotype" w:hAnsi="Palatino Linotype" w:cs="Palatino Linotype"/>
          <w:i/>
          <w:sz w:val="22"/>
          <w:szCs w:val="22"/>
        </w:rPr>
        <w:t xml:space="preserve"> </w:t>
      </w:r>
      <w:r>
        <w:rPr>
          <w:rFonts w:ascii="Palatino Linotype" w:eastAsia="Palatino Linotype" w:hAnsi="Palatino Linotype" w:cs="Palatino Linotype"/>
          <w:b/>
          <w:i/>
          <w:sz w:val="22"/>
          <w:szCs w:val="22"/>
        </w:rPr>
        <w:t>Las instituciones públicas deberán enterar al Instituto el importe de las cuotas retenidas quincenalmente a los servidores públicos</w:t>
      </w:r>
      <w:r>
        <w:rPr>
          <w:rFonts w:ascii="Palatino Linotype" w:eastAsia="Palatino Linotype" w:hAnsi="Palatino Linotype" w:cs="Palatino Linotype"/>
          <w:i/>
          <w:sz w:val="22"/>
          <w:szCs w:val="22"/>
        </w:rPr>
        <w:t>, así como el de las aportaciones que les correspondan, dentro de los cinco días siguientes al de la fecha en que efectúen la retención. En el mismo plazo, deberán enterar el importe de los descuentos que por créditos u otros conceptos que ordene el propio Instituto, en cumplimiento de lo dispuesto por esta ley.</w:t>
      </w:r>
    </w:p>
    <w:p w:rsidR="00294C8C" w:rsidRDefault="00294C8C">
      <w:pPr>
        <w:spacing w:line="276" w:lineRule="auto"/>
        <w:ind w:left="1134" w:right="1041"/>
        <w:jc w:val="both"/>
        <w:rPr>
          <w:rFonts w:ascii="Palatino Linotype" w:eastAsia="Palatino Linotype" w:hAnsi="Palatino Linotype" w:cs="Palatino Linotype"/>
          <w:i/>
          <w:sz w:val="22"/>
          <w:szCs w:val="22"/>
        </w:rPr>
      </w:pPr>
    </w:p>
    <w:p w:rsidR="00294C8C" w:rsidRDefault="00FE203E">
      <w:pPr>
        <w:spacing w:line="276" w:lineRule="auto"/>
        <w:ind w:left="1134" w:right="1041"/>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 El entero de cuotas y aportaciones que los ayuntamientos convengan a través de descuento de las participaciones federales que les correspondan, se realizará de forma mensual.”</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A manera de ejemplo, este Instituto localizó en la liga electrónica: </w:t>
      </w:r>
      <w:hyperlink r:id="rId43">
        <w:r>
          <w:rPr>
            <w:rFonts w:ascii="Palatino Linotype" w:eastAsia="Palatino Linotype" w:hAnsi="Palatino Linotype" w:cs="Palatino Linotype"/>
            <w:color w:val="0000FF"/>
            <w:u w:val="single"/>
          </w:rPr>
          <w:t>https://www.ipomex.org.mx/recursos/ipo/files_ipo3/2018/43051/7/d7620a9ca0b0ad849fc119e18fb0f094.pdf</w:t>
        </w:r>
      </w:hyperlink>
      <w:r>
        <w:rPr>
          <w:rFonts w:ascii="Palatino Linotype" w:eastAsia="Palatino Linotype" w:hAnsi="Palatino Linotype" w:cs="Palatino Linotype"/>
        </w:rPr>
        <w:t xml:space="preserve">, un convenio de Novación de Adeudos y Obligaciones derivadas de las Aportaciones y Cuotas de Seguridad Social, de pago en parcialidades y mecanismo de pago de contribuciones corrientes, celebrado por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y el municipio de Chalco, cuyo objeto es establecer términos, condiciones y procedimientos para la novación de adeudos y obligaciones derivadas de aportaciones y cuotas de seguridad social, de pago de parcialidades y mecanismo de pago de las contribuciones corrientes entre las partes de acuerdo a los términos y condiciones establecidos en el Decreto Número 249.  </w:t>
      </w:r>
    </w:p>
    <w:p w:rsidR="00294C8C" w:rsidRDefault="00FE203E">
      <w:pPr>
        <w:spacing w:line="360" w:lineRule="auto"/>
        <w:ind w:right="18"/>
        <w:jc w:val="both"/>
        <w:rPr>
          <w:rFonts w:ascii="Palatino Linotype" w:eastAsia="Palatino Linotype" w:hAnsi="Palatino Linotype" w:cs="Palatino Linotype"/>
        </w:rPr>
      </w:pPr>
      <w:r>
        <w:rPr>
          <w:noProof/>
          <w:lang w:val="es-MX"/>
        </w:rPr>
        <mc:AlternateContent>
          <mc:Choice Requires="wpg">
            <w:drawing>
              <wp:anchor distT="0" distB="0" distL="114300" distR="114300" simplePos="0" relativeHeight="251673600" behindDoc="0" locked="0" layoutInCell="1" hidden="0" allowOverlap="1">
                <wp:simplePos x="0" y="0"/>
                <wp:positionH relativeFrom="column">
                  <wp:posOffset>-38099</wp:posOffset>
                </wp:positionH>
                <wp:positionV relativeFrom="paragraph">
                  <wp:posOffset>50800</wp:posOffset>
                </wp:positionV>
                <wp:extent cx="5559508" cy="2943528"/>
                <wp:effectExtent l="0" t="0" r="0" b="0"/>
                <wp:wrapNone/>
                <wp:docPr id="49" name="Conector recto de flecha 49"/>
                <wp:cNvGraphicFramePr/>
                <a:graphic xmlns:a="http://schemas.openxmlformats.org/drawingml/2006/main">
                  <a:graphicData uri="http://schemas.microsoft.com/office/word/2010/wordprocessingShape">
                    <wps:wsp>
                      <wps:cNvCnPr/>
                      <wps:spPr>
                        <a:xfrm>
                          <a:off x="2578946" y="2320936"/>
                          <a:ext cx="5534108" cy="2918128"/>
                        </a:xfrm>
                        <a:prstGeom prst="straightConnector1">
                          <a:avLst/>
                        </a:prstGeom>
                        <a:noFill/>
                        <a:ln w="25400" cap="flat" cmpd="sng">
                          <a:solidFill>
                            <a:schemeClr val="accent1"/>
                          </a:solidFill>
                          <a:prstDash val="solid"/>
                          <a:round/>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-38099</wp:posOffset>
                </wp:positionH>
                <wp:positionV relativeFrom="paragraph">
                  <wp:posOffset>50800</wp:posOffset>
                </wp:positionV>
                <wp:extent cx="5559508" cy="2943528"/>
                <wp:effectExtent b="0" l="0" r="0" t="0"/>
                <wp:wrapNone/>
                <wp:docPr id="49" name="image28.png"/>
                <a:graphic>
                  <a:graphicData uri="http://schemas.openxmlformats.org/drawingml/2006/picture">
                    <pic:pic>
                      <pic:nvPicPr>
                        <pic:cNvPr id="0" name="image28.png"/>
                        <pic:cNvPicPr preferRelativeResize="0"/>
                      </pic:nvPicPr>
                      <pic:blipFill>
                        <a:blip r:embed="rId44"/>
                        <a:srcRect/>
                        <a:stretch>
                          <a:fillRect/>
                        </a:stretch>
                      </pic:blipFill>
                      <pic:spPr>
                        <a:xfrm>
                          <a:off x="0" y="0"/>
                          <a:ext cx="5559508" cy="2943528"/>
                        </a:xfrm>
                        <a:prstGeom prst="rect"/>
                        <a:ln/>
                      </pic:spPr>
                    </pic:pic>
                  </a:graphicData>
                </a:graphic>
              </wp:anchor>
            </w:drawing>
          </mc:Fallback>
        </mc:AlternateContent>
      </w:r>
    </w:p>
    <w:p w:rsidR="00294C8C" w:rsidRDefault="00FE203E">
      <w:pPr>
        <w:spacing w:line="360" w:lineRule="auto"/>
        <w:ind w:right="18"/>
        <w:jc w:val="center"/>
        <w:rPr>
          <w:rFonts w:ascii="Palatino Linotype" w:eastAsia="Palatino Linotype" w:hAnsi="Palatino Linotype" w:cs="Palatino Linotype"/>
        </w:rPr>
      </w:pPr>
      <w:r>
        <w:rPr>
          <w:noProof/>
          <w:lang w:val="es-MX"/>
        </w:rPr>
        <w:lastRenderedPageBreak/>
        <w:drawing>
          <wp:inline distT="0" distB="0" distL="0" distR="0">
            <wp:extent cx="4587076" cy="5965708"/>
            <wp:effectExtent l="0" t="0" r="0" b="0"/>
            <wp:docPr id="8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a:srcRect l="62061" t="14972" r="4430" b="7550"/>
                    <a:stretch>
                      <a:fillRect/>
                    </a:stretch>
                  </pic:blipFill>
                  <pic:spPr>
                    <a:xfrm>
                      <a:off x="0" y="0"/>
                      <a:ext cx="4587076" cy="5965708"/>
                    </a:xfrm>
                    <a:prstGeom prst="rect">
                      <a:avLst/>
                    </a:prstGeom>
                    <a:ln/>
                  </pic:spPr>
                </pic:pic>
              </a:graphicData>
            </a:graphic>
          </wp:inline>
        </w:drawing>
      </w: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Por tanto, de los documentos que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presentó en el informe justificado, se puede advertir que existen convenios suscritos con el Ayuntamiento de Naucalpan de Juárez, por tanto se debe hacer entrega de la información correspondiente a esos convenios, el primero suscrito conforme a los Decretos 33 y </w:t>
      </w:r>
      <w:r>
        <w:rPr>
          <w:rFonts w:ascii="Palatino Linotype" w:eastAsia="Palatino Linotype" w:hAnsi="Palatino Linotype" w:cs="Palatino Linotype"/>
        </w:rPr>
        <w:lastRenderedPageBreak/>
        <w:t>249, y el segundo en atención al artículo 32 del Código Financiero del Estado de México y Municipios, mismos que se entiende que se encuentran o encontraban vigentes para la administración 2019 -2021 del Ayuntamiento de Naucalpan de Juárez, pues así se señalan en la cartera de adeudos.</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rPr>
        <w:t xml:space="preserve">Por lo anterior, se considera que con la información proporcionada por el </w:t>
      </w:r>
      <w:r>
        <w:rPr>
          <w:rFonts w:ascii="Palatino Linotype" w:eastAsia="Palatino Linotype" w:hAnsi="Palatino Linotype" w:cs="Palatino Linotype"/>
          <w:b/>
        </w:rPr>
        <w:t xml:space="preserve">SUJETO OBLIGADO </w:t>
      </w:r>
      <w:r>
        <w:rPr>
          <w:rFonts w:ascii="Palatino Linotype" w:eastAsia="Palatino Linotype" w:hAnsi="Palatino Linotype" w:cs="Palatino Linotype"/>
        </w:rPr>
        <w:t xml:space="preserve">en este punto de la solicitud de información no se satisface  las pretensiones del ahora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pues como se ha podido advertir, no proporcionó la información solicitada en atención a los convenios o instrumentos celebrados por el Municipio de Naucalpan de Juárez con el ISSEMYM durante el periodo 2019-2021 y en todo caso proporcionar los vigentes a la fecha, en los cuales se establecieron términos y condiciones, así como el procedimiento para la novación de adeudos y obligaciones derivadas de las aportaciones y cuotas de Seguridad Social, lo cual colmaría los puntos 1, 2, 3 y 4, que señalan:</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left="567" w:right="18" w:hanging="141"/>
        <w:jc w:val="both"/>
        <w:rPr>
          <w:rFonts w:ascii="Palatino Linotype" w:eastAsia="Palatino Linotype" w:hAnsi="Palatino Linotype" w:cs="Palatino Linotype"/>
          <w:i/>
        </w:rPr>
      </w:pPr>
      <w:r>
        <w:rPr>
          <w:rFonts w:ascii="Palatino Linotype" w:eastAsia="Palatino Linotype" w:hAnsi="Palatino Linotype" w:cs="Palatino Linotype"/>
          <w:i/>
        </w:rPr>
        <w:t>1.- Por lo que solicito se me envié la resolución,</w:t>
      </w:r>
    </w:p>
    <w:p w:rsidR="00294C8C" w:rsidRDefault="00FE203E">
      <w:pPr>
        <w:spacing w:line="360" w:lineRule="auto"/>
        <w:ind w:left="567" w:right="18" w:hanging="141"/>
        <w:jc w:val="both"/>
        <w:rPr>
          <w:rFonts w:ascii="Palatino Linotype" w:eastAsia="Palatino Linotype" w:hAnsi="Palatino Linotype" w:cs="Palatino Linotype"/>
          <w:i/>
        </w:rPr>
      </w:pPr>
      <w:r>
        <w:rPr>
          <w:rFonts w:ascii="Palatino Linotype" w:eastAsia="Palatino Linotype" w:hAnsi="Palatino Linotype" w:cs="Palatino Linotype"/>
          <w:i/>
        </w:rPr>
        <w:t>2.- Quienes lo firmaron,</w:t>
      </w:r>
    </w:p>
    <w:p w:rsidR="00294C8C" w:rsidRDefault="00FE203E">
      <w:pPr>
        <w:spacing w:line="360" w:lineRule="auto"/>
        <w:ind w:right="18"/>
        <w:jc w:val="both"/>
        <w:rPr>
          <w:rFonts w:ascii="Palatino Linotype" w:eastAsia="Palatino Linotype" w:hAnsi="Palatino Linotype" w:cs="Palatino Linotype"/>
          <w:i/>
        </w:rPr>
      </w:pPr>
      <w:r>
        <w:rPr>
          <w:rFonts w:ascii="Palatino Linotype" w:eastAsia="Palatino Linotype" w:hAnsi="Palatino Linotype" w:cs="Palatino Linotype"/>
          <w:i/>
        </w:rPr>
        <w:t xml:space="preserve">       3.- con que facultades y si contaban con estas, </w:t>
      </w:r>
    </w:p>
    <w:p w:rsidR="00294C8C" w:rsidRDefault="00FE203E">
      <w:pPr>
        <w:spacing w:line="360" w:lineRule="auto"/>
        <w:ind w:left="567" w:right="18" w:hanging="141"/>
        <w:jc w:val="both"/>
        <w:rPr>
          <w:rFonts w:ascii="Palatino Linotype" w:eastAsia="Palatino Linotype" w:hAnsi="Palatino Linotype" w:cs="Palatino Linotype"/>
          <w:i/>
        </w:rPr>
      </w:pPr>
      <w:r>
        <w:rPr>
          <w:rFonts w:ascii="Palatino Linotype" w:eastAsia="Palatino Linotype" w:hAnsi="Palatino Linotype" w:cs="Palatino Linotype"/>
          <w:i/>
        </w:rPr>
        <w:t>4.- Si este instrumento puede rebasar lo establecido en la ley</w:t>
      </w:r>
      <w:proofErr w:type="gramStart"/>
      <w:r>
        <w:rPr>
          <w:rFonts w:ascii="Palatino Linotype" w:eastAsia="Palatino Linotype" w:hAnsi="Palatino Linotype" w:cs="Palatino Linotype"/>
          <w:i/>
        </w:rPr>
        <w:t>?</w:t>
      </w:r>
      <w:proofErr w:type="gramEnd"/>
      <w:r>
        <w:rPr>
          <w:rFonts w:ascii="Palatino Linotype" w:eastAsia="Palatino Linotype" w:hAnsi="Palatino Linotype" w:cs="Palatino Linotype"/>
          <w:i/>
        </w:rPr>
        <w:t xml:space="preserve"> </w:t>
      </w:r>
    </w:p>
    <w:p w:rsidR="00294C8C" w:rsidRDefault="00294C8C">
      <w:pPr>
        <w:spacing w:line="360" w:lineRule="auto"/>
        <w:ind w:right="18"/>
        <w:jc w:val="both"/>
        <w:rPr>
          <w:rFonts w:ascii="Palatino Linotype" w:eastAsia="Palatino Linotype" w:hAnsi="Palatino Linotype" w:cs="Palatino Linotype"/>
        </w:rPr>
      </w:pPr>
    </w:p>
    <w:p w:rsidR="00294C8C" w:rsidRDefault="00294C8C">
      <w:pPr>
        <w:spacing w:line="360" w:lineRule="auto"/>
        <w:ind w:right="18"/>
        <w:jc w:val="both"/>
        <w:rPr>
          <w:rFonts w:ascii="Palatino Linotype" w:eastAsia="Palatino Linotype" w:hAnsi="Palatino Linotype" w:cs="Palatino Linotype"/>
        </w:rPr>
      </w:pPr>
    </w:p>
    <w:p w:rsidR="00294C8C" w:rsidRDefault="00294C8C">
      <w:pPr>
        <w:spacing w:line="360" w:lineRule="auto"/>
        <w:ind w:right="18"/>
        <w:jc w:val="both"/>
        <w:rPr>
          <w:rFonts w:ascii="Palatino Linotype" w:eastAsia="Palatino Linotype" w:hAnsi="Palatino Linotype" w:cs="Palatino Linotype"/>
        </w:rPr>
      </w:pPr>
    </w:p>
    <w:p w:rsidR="00294C8C" w:rsidRDefault="00294C8C">
      <w:pPr>
        <w:spacing w:line="360" w:lineRule="auto"/>
        <w:ind w:right="18"/>
        <w:jc w:val="both"/>
        <w:rPr>
          <w:rFonts w:ascii="Palatino Linotype" w:eastAsia="Palatino Linotype" w:hAnsi="Palatino Linotype" w:cs="Palatino Linotype"/>
        </w:rPr>
      </w:pPr>
    </w:p>
    <w:p w:rsidR="00294C8C" w:rsidRDefault="00294C8C">
      <w:pPr>
        <w:spacing w:line="360" w:lineRule="auto"/>
        <w:ind w:right="18"/>
        <w:jc w:val="both"/>
        <w:rPr>
          <w:rFonts w:ascii="Palatino Linotype" w:eastAsia="Palatino Linotype" w:hAnsi="Palatino Linotype" w:cs="Palatino Linotype"/>
        </w:rPr>
      </w:pPr>
    </w:p>
    <w:p w:rsidR="00294C8C" w:rsidRDefault="00FE203E">
      <w:pPr>
        <w:numPr>
          <w:ilvl w:val="0"/>
          <w:numId w:val="6"/>
        </w:numPr>
        <w:pBdr>
          <w:top w:val="nil"/>
          <w:left w:val="nil"/>
          <w:bottom w:val="nil"/>
          <w:right w:val="nil"/>
          <w:between w:val="nil"/>
        </w:pBdr>
        <w:spacing w:line="360" w:lineRule="auto"/>
        <w:ind w:right="18"/>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Cantidades percibidas en 2019 y 2021 o link donde se puedan consultar.</w:t>
      </w:r>
    </w:p>
    <w:p w:rsidR="00294C8C" w:rsidRDefault="00294C8C">
      <w:pPr>
        <w:spacing w:line="360" w:lineRule="auto"/>
        <w:ind w:right="18"/>
        <w:jc w:val="both"/>
        <w:rPr>
          <w:rFonts w:ascii="Palatino Linotype" w:eastAsia="Palatino Linotype" w:hAnsi="Palatino Linotype" w:cs="Palatino Linotype"/>
          <w:b/>
          <w:color w:val="000000"/>
        </w:rPr>
      </w:pPr>
    </w:p>
    <w:p w:rsidR="00294C8C" w:rsidRDefault="00FE203E">
      <w:pPr>
        <w:spacing w:line="360" w:lineRule="auto"/>
        <w:ind w:right="18"/>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informa al </w:t>
      </w:r>
      <w:r>
        <w:rPr>
          <w:rFonts w:ascii="Palatino Linotype" w:eastAsia="Palatino Linotype" w:hAnsi="Palatino Linotype" w:cs="Palatino Linotype"/>
          <w:b/>
          <w:color w:val="000000"/>
        </w:rPr>
        <w:t xml:space="preserve">RECURRENTE </w:t>
      </w:r>
      <w:r>
        <w:rPr>
          <w:rFonts w:ascii="Palatino Linotype" w:eastAsia="Palatino Linotype" w:hAnsi="Palatino Linotype" w:cs="Palatino Linotype"/>
          <w:color w:val="000000"/>
        </w:rPr>
        <w:t xml:space="preserve">que los Convenios de Reconocimiento de Adeudos y Pago en Parcialidades por Concepto de Contribuciones de Aportaciones y Cuotas de Seguridad Social celebrados entre este Instituto y las diferentes instituciones públicas, se encuentran disponibles para su consulta en el Sistema de Información Mexiquense (IPOMEX) correspondiente al artículo 92 fracción XXXII. </w:t>
      </w:r>
      <w:r>
        <w:rPr>
          <w:rFonts w:ascii="Palatino Linotype" w:eastAsia="Palatino Linotype" w:hAnsi="Palatino Linotype" w:cs="Palatino Linotype"/>
          <w:i/>
          <w:color w:val="000000"/>
        </w:rPr>
        <w:t>Las concesiones, contratos, convenios, permisos, licencias o autorizaciones otorgados,</w:t>
      </w:r>
      <w:r>
        <w:rPr>
          <w:rFonts w:ascii="Palatino Linotype" w:eastAsia="Palatino Linotype" w:hAnsi="Palatino Linotype" w:cs="Palatino Linotype"/>
          <w:color w:val="000000"/>
        </w:rPr>
        <w:t xml:space="preserve"> de la Ley de</w:t>
      </w:r>
      <w:r>
        <w:t xml:space="preserve"> </w:t>
      </w:r>
      <w:r>
        <w:rPr>
          <w:rFonts w:ascii="Palatino Linotype" w:eastAsia="Palatino Linotype" w:hAnsi="Palatino Linotype" w:cs="Palatino Linotype"/>
          <w:color w:val="000000"/>
        </w:rPr>
        <w:t>Transparencia y Acceso a la Información Pública del Estado de México y Municipios, dónde podrá consultar los ejercicios 2019, 2020 y 2021, en la siguiente dirección electrónica: https://www.ipomex.org.mx/ipo3/lgt/indice/lSSEMYM.web, sin observar alguno referente al Ayuntamiento de Naucalpan de Juárez.</w:t>
      </w:r>
    </w:p>
    <w:p w:rsidR="00294C8C" w:rsidRDefault="00FE203E">
      <w:pPr>
        <w:spacing w:line="360" w:lineRule="auto"/>
        <w:ind w:right="18"/>
        <w:jc w:val="center"/>
        <w:rPr>
          <w:rFonts w:ascii="Palatino Linotype" w:eastAsia="Palatino Linotype" w:hAnsi="Palatino Linotype" w:cs="Palatino Linotype"/>
          <w:color w:val="000000"/>
        </w:rPr>
      </w:pPr>
      <w:r>
        <w:rPr>
          <w:noProof/>
          <w:lang w:val="es-MX"/>
        </w:rPr>
        <w:drawing>
          <wp:inline distT="0" distB="0" distL="0" distR="0">
            <wp:extent cx="3852465" cy="2425159"/>
            <wp:effectExtent l="0" t="0" r="0" b="0"/>
            <wp:docPr id="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l="49730" t="10328" r="7048" b="41299"/>
                    <a:stretch>
                      <a:fillRect/>
                    </a:stretch>
                  </pic:blipFill>
                  <pic:spPr>
                    <a:xfrm>
                      <a:off x="0" y="0"/>
                      <a:ext cx="3852465" cy="2425159"/>
                    </a:xfrm>
                    <a:prstGeom prst="rect">
                      <a:avLst/>
                    </a:prstGeom>
                    <a:ln/>
                  </pic:spPr>
                </pic:pic>
              </a:graphicData>
            </a:graphic>
          </wp:inline>
        </w:drawing>
      </w:r>
    </w:p>
    <w:p w:rsidR="00294C8C" w:rsidRDefault="00294C8C">
      <w:pPr>
        <w:spacing w:line="360" w:lineRule="auto"/>
        <w:ind w:right="18"/>
        <w:jc w:val="both"/>
        <w:rPr>
          <w:rFonts w:ascii="Palatino Linotype" w:eastAsia="Palatino Linotype" w:hAnsi="Palatino Linotype" w:cs="Palatino Linotype"/>
          <w:color w:val="000000"/>
        </w:rPr>
      </w:pPr>
    </w:p>
    <w:p w:rsidR="00294C8C" w:rsidRDefault="00FE203E">
      <w:pPr>
        <w:spacing w:line="360" w:lineRule="auto"/>
        <w:ind w:right="18"/>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 xml:space="preserve">Adicionalmente, informa al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que el Ayuntamiento de Naucalpan de Juárez tiene un adeudo con el </w:t>
      </w:r>
      <w:proofErr w:type="spellStart"/>
      <w:r>
        <w:rPr>
          <w:rFonts w:ascii="Palatino Linotype" w:eastAsia="Palatino Linotype" w:hAnsi="Palatino Linotype" w:cs="Palatino Linotype"/>
          <w:color w:val="000000"/>
        </w:rPr>
        <w:t>ISSEMyM</w:t>
      </w:r>
      <w:proofErr w:type="spellEnd"/>
      <w:r>
        <w:rPr>
          <w:rFonts w:ascii="Palatino Linotype" w:eastAsia="Palatino Linotype" w:hAnsi="Palatino Linotype" w:cs="Palatino Linotype"/>
          <w:color w:val="000000"/>
        </w:rPr>
        <w:t xml:space="preserve">, monto de puede consultar en la Cartera de Adeudos, en el Sistema IPOMEX, correspondiente al artículo 92 fracción LII A. Información de interés público, de la Ley de Transparencia y Acceso a la Información Pública del Estado de México y Municipios, correspondiente al cuarto trimestre del ejercicio 2021, en la siguiente dirección electrónica:  </w:t>
      </w:r>
      <w:r>
        <w:rPr>
          <w:rFonts w:ascii="Palatino Linotype" w:eastAsia="Palatino Linotype" w:hAnsi="Palatino Linotype" w:cs="Palatino Linotype"/>
          <w:b/>
          <w:color w:val="000000"/>
        </w:rPr>
        <w:t>https://www.ipomex.org.mx/ipo3/lgt/indice/lSSEMYM.web.</w:t>
      </w:r>
      <w:r>
        <w:rPr>
          <w:rFonts w:ascii="Palatino Linotype" w:eastAsia="Palatino Linotype" w:hAnsi="Palatino Linotype" w:cs="Palatino Linotype"/>
          <w:color w:val="000000"/>
        </w:rPr>
        <w:t xml:space="preserve"> para realizar la búsqueda de la información le da a conocer los pasos seguir, donde efectivamente se pudo comprobar la deuda, pero no así de las cantidades percibidas es decir, el ingreso pagado por cada municipio</w:t>
      </w:r>
      <w:r>
        <w:t xml:space="preserve"> </w:t>
      </w:r>
      <w:r>
        <w:rPr>
          <w:rFonts w:ascii="Palatino Linotype" w:eastAsia="Palatino Linotype" w:hAnsi="Palatino Linotype" w:cs="Palatino Linotype"/>
          <w:color w:val="000000"/>
        </w:rPr>
        <w:t>por concepto de aportaciones de seguridad social u otro concepto.</w:t>
      </w:r>
    </w:p>
    <w:p w:rsidR="00294C8C" w:rsidRDefault="00294C8C">
      <w:pPr>
        <w:spacing w:line="360" w:lineRule="auto"/>
        <w:ind w:right="18"/>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En consecuencia, es importante señalar lo que establece la Ley de Seguridad Social para los Servidores Públicos del Estado de México y Municipios, en los artículos 5 fracciones II, VII y VIII; 32, 34 y 35, que disponen lo siguiente:</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“ARTÍCULO 5.- Para los efectos de esta ley se entiende por:</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II. </w:t>
      </w:r>
      <w:r>
        <w:rPr>
          <w:rFonts w:ascii="Palatino Linotype" w:eastAsia="Palatino Linotype" w:hAnsi="Palatino Linotype" w:cs="Palatino Linotype"/>
          <w:i/>
          <w:color w:val="000000"/>
          <w:sz w:val="22"/>
          <w:szCs w:val="22"/>
          <w:u w:val="single"/>
        </w:rPr>
        <w:t>Institución pública</w:t>
      </w:r>
      <w:r>
        <w:rPr>
          <w:rFonts w:ascii="Palatino Linotype" w:eastAsia="Palatino Linotype" w:hAnsi="Palatino Linotype" w:cs="Palatino Linotype"/>
          <w:i/>
          <w:color w:val="000000"/>
          <w:sz w:val="22"/>
          <w:szCs w:val="22"/>
        </w:rPr>
        <w:t xml:space="preserve">, a los </w:t>
      </w:r>
      <w:r>
        <w:rPr>
          <w:rFonts w:ascii="Palatino Linotype" w:eastAsia="Palatino Linotype" w:hAnsi="Palatino Linotype" w:cs="Palatino Linotype"/>
          <w:b/>
          <w:i/>
          <w:color w:val="000000"/>
          <w:sz w:val="22"/>
          <w:szCs w:val="22"/>
        </w:rPr>
        <w:t>poderes públicos del estado</w:t>
      </w:r>
      <w:r>
        <w:rPr>
          <w:rFonts w:ascii="Palatino Linotype" w:eastAsia="Palatino Linotype" w:hAnsi="Palatino Linotype" w:cs="Palatino Linotype"/>
          <w:i/>
          <w:color w:val="000000"/>
          <w:sz w:val="22"/>
          <w:szCs w:val="22"/>
        </w:rPr>
        <w:t xml:space="preserve">, los </w:t>
      </w:r>
      <w:r>
        <w:rPr>
          <w:rFonts w:ascii="Palatino Linotype" w:eastAsia="Palatino Linotype" w:hAnsi="Palatino Linotype" w:cs="Palatino Linotype"/>
          <w:b/>
          <w:i/>
          <w:color w:val="000000"/>
          <w:sz w:val="22"/>
          <w:szCs w:val="22"/>
        </w:rPr>
        <w:t>ayuntamientos de los municipios</w:t>
      </w:r>
      <w:r>
        <w:rPr>
          <w:rFonts w:ascii="Palatino Linotype" w:eastAsia="Palatino Linotype" w:hAnsi="Palatino Linotype" w:cs="Palatino Linotype"/>
          <w:i/>
          <w:color w:val="000000"/>
          <w:sz w:val="22"/>
          <w:szCs w:val="22"/>
        </w:rPr>
        <w:t xml:space="preserve"> y los tribunales administrativos, así como los organismos auxiliares y fideicomisos públicos de carácter estatal y municipal;</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VII. </w:t>
      </w:r>
      <w:r>
        <w:rPr>
          <w:rFonts w:ascii="Palatino Linotype" w:eastAsia="Palatino Linotype" w:hAnsi="Palatino Linotype" w:cs="Palatino Linotype"/>
          <w:b/>
          <w:i/>
          <w:color w:val="000000"/>
          <w:sz w:val="22"/>
          <w:szCs w:val="22"/>
        </w:rPr>
        <w:t>Cuota,</w:t>
      </w:r>
      <w:r>
        <w:rPr>
          <w:rFonts w:ascii="Palatino Linotype" w:eastAsia="Palatino Linotype" w:hAnsi="Palatino Linotype" w:cs="Palatino Linotype"/>
          <w:i/>
          <w:color w:val="000000"/>
          <w:sz w:val="22"/>
          <w:szCs w:val="22"/>
        </w:rPr>
        <w:t xml:space="preserve"> al monto que le corresponde cubrir al servidor público, equivalente a un porcentaje determinado de sus sueldo sujeto a cotización, así como el que debe cubrir el pensionado o pensionista y que recibe el Instituto para otorgar las prestaciones establecidas en la presente ley;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 xml:space="preserve">VIII. </w:t>
      </w:r>
      <w:r>
        <w:rPr>
          <w:rFonts w:ascii="Palatino Linotype" w:eastAsia="Palatino Linotype" w:hAnsi="Palatino Linotype" w:cs="Palatino Linotype"/>
          <w:b/>
          <w:i/>
          <w:color w:val="000000"/>
          <w:sz w:val="22"/>
          <w:szCs w:val="22"/>
        </w:rPr>
        <w:t>Aportación</w:t>
      </w:r>
      <w:r>
        <w:rPr>
          <w:rFonts w:ascii="Palatino Linotype" w:eastAsia="Palatino Linotype" w:hAnsi="Palatino Linotype" w:cs="Palatino Linotype"/>
          <w:i/>
          <w:color w:val="000000"/>
          <w:sz w:val="22"/>
          <w:szCs w:val="22"/>
        </w:rPr>
        <w:t>, al monto que le corresponde cubrir a las instituciones públicas como porcentaje del sueldo sujeto a cotización de cada servidor público;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Artículo 32.- Las cuotas obligatorias que deberán cubrir los servidores públicos al Instituto, serán las siguientes: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 El 4.625% del sueldo sujeto a cotización, para cubrir las prestaciones de servicios de salud;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II. El 7.50% del sueldo sujeto a cotización, para cubrir el financiamiento de pensiones, de la siguiente manera: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 6.10% para el fondo del sistema solidario de reparto.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b. 1.40% para el sistema de capitalización individual.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III. Las que determine anualmente el Consejo Directivo para otras prestaciones, señaladas en el Título IV.</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Artículo 34.- Las aportaciones que deberán cubrir obligatoriamente las instituciones públicas serán las siguientes: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 El 10% del sueldo sujeto a cotización, para cubrir las prestaciones de servicios de salud;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II. El 9.27% del sueldo sujeto a cotización, para cubrir el financiamiento de pensiones, de la siguiente manera: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 7.42% para el fondo del sistema solidario de reparto.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b. 1.85% para el sistema de capitalización individual.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III. Las que determine anualmente el Consejo Directivo para otras prestaciones, señaladas en el Título IV;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IV. El 0.875% para gastos de administración;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V. Las que se generen a cargo de las Instituciones públicas por concepto de riesgos de trabajo.</w:t>
      </w:r>
    </w:p>
    <w:p w:rsidR="00294C8C" w:rsidRDefault="00294C8C">
      <w:pPr>
        <w:spacing w:line="276" w:lineRule="auto"/>
        <w:rPr>
          <w:rFonts w:ascii="Palatino Linotype" w:eastAsia="Palatino Linotype" w:hAnsi="Palatino Linotype" w:cs="Palatino Linotype"/>
          <w:sz w:val="22"/>
          <w:szCs w:val="22"/>
        </w:rPr>
      </w:pP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i/>
          <w:color w:val="000000"/>
          <w:sz w:val="22"/>
          <w:szCs w:val="22"/>
        </w:rPr>
      </w:pPr>
      <w:r>
        <w:rPr>
          <w:rFonts w:ascii="Palatino Linotype" w:eastAsia="Palatino Linotype" w:hAnsi="Palatino Linotype" w:cs="Palatino Linotype"/>
          <w:i/>
          <w:color w:val="000000"/>
          <w:sz w:val="22"/>
          <w:szCs w:val="22"/>
        </w:rPr>
        <w:t xml:space="preserve">Artículo 35.- Las instituciones públicas deberán enterar al Instituto el importe de las cuotas retenidas quincenalmente a los servidores públicos, así como el de las aportaciones que les correspondan, dentro de los cinco días siguientes al de la fecha en que efectúen la retención. En el mismo plazo, deberán enterar el importe </w:t>
      </w:r>
      <w:r>
        <w:rPr>
          <w:rFonts w:ascii="Palatino Linotype" w:eastAsia="Palatino Linotype" w:hAnsi="Palatino Linotype" w:cs="Palatino Linotype"/>
          <w:i/>
          <w:color w:val="000000"/>
          <w:sz w:val="22"/>
          <w:szCs w:val="22"/>
        </w:rPr>
        <w:lastRenderedPageBreak/>
        <w:t>de los descuentos que por créditos u otros conceptos que ordene el propio Instituto, en cumplimiento de lo dispuesto por esta ley. </w:t>
      </w:r>
    </w:p>
    <w:p w:rsidR="00294C8C" w:rsidRDefault="00294C8C">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El entero de cuotas y aportaciones que los ayuntamientos convengan a través de descuento de las participaciones federales que les correspondan, se realizará de forma mensual.” </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 los preceptos previamente citados, se puede deducir, que las Instituciones Públicas, deben enterar al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el importe de </w:t>
      </w:r>
      <w:r>
        <w:rPr>
          <w:rFonts w:ascii="Palatino Linotype" w:eastAsia="Palatino Linotype" w:hAnsi="Palatino Linotype" w:cs="Palatino Linotype"/>
          <w:b/>
          <w:color w:val="000000"/>
          <w:u w:val="single"/>
        </w:rPr>
        <w:t>las cuotas</w:t>
      </w:r>
      <w:r>
        <w:rPr>
          <w:rFonts w:ascii="Palatino Linotype" w:eastAsia="Palatino Linotype" w:hAnsi="Palatino Linotype" w:cs="Palatino Linotype"/>
          <w:color w:val="000000"/>
        </w:rPr>
        <w:t xml:space="preserve"> retenidas a los servidores públicos de </w:t>
      </w:r>
      <w:r>
        <w:rPr>
          <w:rFonts w:ascii="Palatino Linotype" w:eastAsia="Palatino Linotype" w:hAnsi="Palatino Linotype" w:cs="Palatino Linotype"/>
          <w:b/>
          <w:color w:val="000000"/>
          <w:u w:val="single"/>
        </w:rPr>
        <w:t>manera quincenal</w:t>
      </w:r>
      <w:r>
        <w:rPr>
          <w:rFonts w:ascii="Palatino Linotype" w:eastAsia="Palatino Linotype" w:hAnsi="Palatino Linotype" w:cs="Palatino Linotype"/>
          <w:color w:val="000000"/>
        </w:rPr>
        <w:t xml:space="preserve"> por concepto de prestaciones</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de servicios de salud; financiamiento de pensiones, de este se deriva  el fondo del sistema solidario de reparto y el sistema de capitalización individual;</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así como </w:t>
      </w:r>
      <w:r>
        <w:rPr>
          <w:rFonts w:ascii="Palatino Linotype" w:eastAsia="Palatino Linotype" w:hAnsi="Palatino Linotype" w:cs="Palatino Linotype"/>
          <w:b/>
          <w:color w:val="000000"/>
          <w:u w:val="single"/>
        </w:rPr>
        <w:t>las aportaciones</w:t>
      </w:r>
      <w:r>
        <w:rPr>
          <w:rFonts w:ascii="Palatino Linotype" w:eastAsia="Palatino Linotype" w:hAnsi="Palatino Linotype" w:cs="Palatino Linotype"/>
          <w:color w:val="000000"/>
        </w:rPr>
        <w:t xml:space="preserve"> por concepto de prestaciones de servicios de salud; el financiamiento de pensiones, de este se deriva el fondo del sistema solidario de reparto y el sistema de capitalización individual; para gastos de administración y las que se generen a cargo de las Instituciones Públicas por concepto de riesgos de trabajo. Así también que las cuotas y aportaciones se deberán enterar </w:t>
      </w:r>
      <w:r>
        <w:rPr>
          <w:rFonts w:ascii="Palatino Linotype" w:eastAsia="Palatino Linotype" w:hAnsi="Palatino Linotype" w:cs="Palatino Linotype"/>
          <w:b/>
          <w:color w:val="000000"/>
        </w:rPr>
        <w:t xml:space="preserve">de </w:t>
      </w:r>
      <w:r>
        <w:rPr>
          <w:rFonts w:ascii="Palatino Linotype" w:eastAsia="Palatino Linotype" w:hAnsi="Palatino Linotype" w:cs="Palatino Linotype"/>
          <w:b/>
          <w:color w:val="000000"/>
          <w:u w:val="single"/>
        </w:rPr>
        <w:t>manera mensual cuando los  ayuntamientos convengan a través de descuento de las participaciones federales que les corresponda.</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otra parte, los Lineamientos Generales para la Operación de la Plataforma de Recaudación e Información de Seguridad Social del ISSEMYM (PRISMA), publicados mediante la “Gaceta del Gobierno”, el día diez de junio de dos mil diez, cuyo objetivo es contar con una herramienta tecnológica que permita la recepción oportuna de información del entero de las cuotas, aportaciones, accesorios y retenciones de los </w:t>
      </w:r>
      <w:r>
        <w:rPr>
          <w:rFonts w:ascii="Palatino Linotype" w:eastAsia="Palatino Linotype" w:hAnsi="Palatino Linotype" w:cs="Palatino Linotype"/>
          <w:color w:val="000000"/>
        </w:rPr>
        <w:lastRenderedPageBreak/>
        <w:t xml:space="preserve">servidores públicos, que laboran en las Instituciones Públicas afiliadas al régimen de seguridad social del Estado de México y sus municipios y a la vez permita hacer </w:t>
      </w:r>
      <w:r>
        <w:rPr>
          <w:rFonts w:ascii="Palatino Linotype" w:eastAsia="Palatino Linotype" w:hAnsi="Palatino Linotype" w:cs="Palatino Linotype"/>
          <w:color w:val="000000"/>
          <w:u w:val="single"/>
        </w:rPr>
        <w:t xml:space="preserve">más eficiente la </w:t>
      </w:r>
      <w:r>
        <w:rPr>
          <w:rFonts w:ascii="Palatino Linotype" w:eastAsia="Palatino Linotype" w:hAnsi="Palatino Linotype" w:cs="Palatino Linotype"/>
          <w:b/>
          <w:color w:val="000000"/>
          <w:u w:val="single"/>
        </w:rPr>
        <w:t>recaudación</w:t>
      </w:r>
      <w:r>
        <w:rPr>
          <w:rFonts w:ascii="Palatino Linotype" w:eastAsia="Palatino Linotype" w:hAnsi="Palatino Linotype" w:cs="Palatino Linotype"/>
          <w:color w:val="000000"/>
          <w:u w:val="single"/>
        </w:rPr>
        <w:t xml:space="preserve">, </w:t>
      </w:r>
      <w:r>
        <w:rPr>
          <w:rFonts w:ascii="Palatino Linotype" w:eastAsia="Palatino Linotype" w:hAnsi="Palatino Linotype" w:cs="Palatino Linotype"/>
          <w:b/>
          <w:color w:val="000000"/>
          <w:u w:val="single"/>
        </w:rPr>
        <w:t>cobro y fiscalización de cuotas, aportaciones</w:t>
      </w:r>
      <w:r>
        <w:rPr>
          <w:rFonts w:ascii="Palatino Linotype" w:eastAsia="Palatino Linotype" w:hAnsi="Palatino Linotype" w:cs="Palatino Linotype"/>
          <w:color w:val="000000"/>
          <w:u w:val="single"/>
        </w:rPr>
        <w:t>,</w:t>
      </w:r>
      <w:r>
        <w:rPr>
          <w:rFonts w:ascii="Palatino Linotype" w:eastAsia="Palatino Linotype" w:hAnsi="Palatino Linotype" w:cs="Palatino Linotype"/>
          <w:color w:val="000000"/>
        </w:rPr>
        <w:t xml:space="preserve"> accesorios, retenciones y aprovechamientos que deriven de las mismas, así como de los créditos fiscales que se generen, los cuales deben ser enterados y cubiertos al Instituto.</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Por ello, resulta importante aludir a lo que establece la fracción II de dicho ordenamiento y que a continuación se cita:</w:t>
      </w:r>
    </w:p>
    <w:p w:rsidR="00294C8C" w:rsidRDefault="00294C8C">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“AUTODETERMINACIÓN.- Declaración que presentan las instituciones públicas a la autoridad fiscal en una fecha establecida en el calendario operativo, y en la cual se fija y registra la información relativa a las retenciones, enteros y pagos de los diversos conceptos de las contribuciones de seguridad social, las retenciones y los aprovechamientos respectivos, manifestándose la situación fiscal de las instituciones públicas.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CERTIFICADO DIGITAL.- Archivo llave de seguridad, que permite autenticar electrónicamente al usuario de la institución pública, con el objeto de permitir </w:t>
      </w:r>
      <w:proofErr w:type="spellStart"/>
      <w:r>
        <w:rPr>
          <w:rFonts w:ascii="Palatino Linotype" w:eastAsia="Palatino Linotype" w:hAnsi="Palatino Linotype" w:cs="Palatino Linotype"/>
          <w:i/>
          <w:color w:val="000000"/>
          <w:sz w:val="22"/>
          <w:szCs w:val="22"/>
        </w:rPr>
        <w:t>el</w:t>
      </w:r>
      <w:proofErr w:type="spellEnd"/>
      <w:r>
        <w:rPr>
          <w:rFonts w:ascii="Palatino Linotype" w:eastAsia="Palatino Linotype" w:hAnsi="Palatino Linotype" w:cs="Palatino Linotype"/>
          <w:i/>
          <w:color w:val="000000"/>
          <w:sz w:val="22"/>
          <w:szCs w:val="22"/>
        </w:rPr>
        <w:t xml:space="preserve"> envió y descarga de archivos en la Plataforma.</w:t>
      </w:r>
    </w:p>
    <w:p w:rsidR="00294C8C" w:rsidRDefault="00294C8C">
      <w:pPr>
        <w:spacing w:line="276" w:lineRule="auto"/>
        <w:rPr>
          <w:rFonts w:ascii="Palatino Linotype" w:eastAsia="Palatino Linotype" w:hAnsi="Palatino Linotype" w:cs="Palatino Linotype"/>
          <w:sz w:val="22"/>
          <w:szCs w:val="22"/>
        </w:rPr>
      </w:pP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COMPROBANTE DE PAGO.- Documento emitido por la entidad recaudadora que da cuenta de un desembolso en una fecha específica, respecto a los datos establecidos en la referencia de pago, sobre la base de la autodeterminación</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ESTADO DE CUENTA.- Documento emitido por la plataforma que contiene los movimientos y saldo de las autodeterminaciones y pagos efectuados por las instituciones públicas.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FISCALIZACIÓN.- Conjunto de actividades y procedimientos de control, inspección, vigilancia y otras que puede llevar a cabo el Instituto, en términos de lo dispuesto por el Código y la Ley, encaminadas a verificar el cumplimiento de obligaciones y disposiciones del régimen de seguridad social, respecto de las retenciones, pagos y enteros de los diversos conceptos de las contribuciones de seguridad social, accesorios, retenciones y los aprovechamientos respectivos.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REFERENCIA DE PAGO.- Folio o documento que emite la entidad recaudadora a nombre del Instituto, el cual permitirá la identificación de las instituciones públicas, el periodo y el importe a pagar por parte de la misma, respecto de las contribuciones de seguridad social, accesorios, retenciones y aprovechamientos respectivos, registrados en la autodeterminación.</w:t>
      </w:r>
      <w:r>
        <w:rPr>
          <w:rFonts w:ascii="Palatino Linotype" w:eastAsia="Palatino Linotype" w:hAnsi="Palatino Linotype" w:cs="Palatino Linotype"/>
          <w:i/>
          <w:color w:val="000000"/>
          <w:sz w:val="22"/>
          <w:szCs w:val="22"/>
        </w:rPr>
        <w:t>” (Sic)</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after="240" w:line="360" w:lineRule="auto"/>
        <w:ind w:right="-9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 lo que se deduce,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cuenta con tal herramienta para generar registros contables, que le permitan conocer las retenciones, enteros y pagos de los </w:t>
      </w:r>
      <w:r>
        <w:rPr>
          <w:rFonts w:ascii="Palatino Linotype" w:eastAsia="Palatino Linotype" w:hAnsi="Palatino Linotype" w:cs="Palatino Linotype"/>
          <w:b/>
          <w:color w:val="000000"/>
          <w:u w:val="single"/>
        </w:rPr>
        <w:t>diversos conceptos de las contribuciones de seguridad social</w:t>
      </w:r>
      <w:r>
        <w:rPr>
          <w:rFonts w:ascii="Palatino Linotype" w:eastAsia="Palatino Linotype" w:hAnsi="Palatino Linotype" w:cs="Palatino Linotype"/>
          <w:color w:val="000000"/>
        </w:rPr>
        <w:t xml:space="preserve">, las retenciones y los aprovechamientos respectivos, manifestándose la </w:t>
      </w:r>
      <w:r>
        <w:rPr>
          <w:rFonts w:ascii="Palatino Linotype" w:eastAsia="Palatino Linotype" w:hAnsi="Palatino Linotype" w:cs="Palatino Linotype"/>
          <w:b/>
          <w:color w:val="000000"/>
          <w:u w:val="single"/>
        </w:rPr>
        <w:t>situación fiscal de las instituciones públicas</w:t>
      </w:r>
      <w:r>
        <w:rPr>
          <w:rFonts w:ascii="Palatino Linotype" w:eastAsia="Palatino Linotype" w:hAnsi="Palatino Linotype" w:cs="Palatino Linotype"/>
          <w:color w:val="000000"/>
        </w:rPr>
        <w:t xml:space="preserve">, lo que se traduce en la factibilidad que 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tiene de proporcionar la información solicitada por el recurrente, respecto de los años  2017, 2018, 2019, 2020 y 2021, de los pagos que ha realizado cada  municipio y el Gobierno del Estado de México, máxime que de la plataforma PRISMA, se puede obtener el </w:t>
      </w:r>
      <w:r>
        <w:rPr>
          <w:rFonts w:ascii="Palatino Linotype" w:eastAsia="Palatino Linotype" w:hAnsi="Palatino Linotype" w:cs="Palatino Linotype"/>
          <w:b/>
          <w:color w:val="000000"/>
        </w:rPr>
        <w:t>Estado de Cuenta</w:t>
      </w:r>
      <w:r>
        <w:rPr>
          <w:rFonts w:ascii="Palatino Linotype" w:eastAsia="Palatino Linotype" w:hAnsi="Palatino Linotype" w:cs="Palatino Linotype"/>
          <w:color w:val="000000"/>
        </w:rPr>
        <w:t xml:space="preserve">, que es el documento emitido por dicha plataforma que contiene los movimientos y saldo de las autodeterminaciones y pagos realizados por las instituciones públicas, en el caso particular los municipios y el Gobierno del Estado de México. </w:t>
      </w:r>
      <w:r>
        <w:rPr>
          <w:rFonts w:ascii="Palatino Linotype" w:eastAsia="Palatino Linotype" w:hAnsi="Palatino Linotype" w:cs="Palatino Linotype"/>
          <w:b/>
          <w:color w:val="000000"/>
        </w:rPr>
        <w:t xml:space="preserve">En este sentido, el SUJETO OBLIGADO debe </w:t>
      </w:r>
      <w:r>
        <w:rPr>
          <w:rFonts w:ascii="Palatino Linotype" w:eastAsia="Palatino Linotype" w:hAnsi="Palatino Linotype" w:cs="Palatino Linotype"/>
          <w:b/>
          <w:color w:val="000000"/>
        </w:rPr>
        <w:lastRenderedPageBreak/>
        <w:t>entregar la información generada quincenal o mensualmente según sea el caso y en el estado que ésta se encuentre.</w:t>
      </w:r>
    </w:p>
    <w:p w:rsidR="00294C8C" w:rsidRDefault="00FE203E">
      <w:pPr>
        <w:spacing w:line="360" w:lineRule="auto"/>
        <w:ind w:right="18"/>
        <w:jc w:val="both"/>
        <w:rPr>
          <w:rFonts w:ascii="Palatino Linotype" w:eastAsia="Palatino Linotype" w:hAnsi="Palatino Linotype" w:cs="Palatino Linotype"/>
        </w:rPr>
      </w:pPr>
      <w:r>
        <w:rPr>
          <w:rFonts w:ascii="Palatino Linotype" w:eastAsia="Palatino Linotype" w:hAnsi="Palatino Linotype" w:cs="Palatino Linotype"/>
          <w:color w:val="000000"/>
        </w:rPr>
        <w:t>Lo anterior manifestado, se robustece con lo establecido en</w:t>
      </w:r>
      <w:r>
        <w:rPr>
          <w:rFonts w:ascii="Palatino Linotype" w:eastAsia="Palatino Linotype" w:hAnsi="Palatino Linotype" w:cs="Palatino Linotype"/>
        </w:rPr>
        <w:t xml:space="preserve"> el Reglamento Interior del Instituto de Seguridad Social del Estado de México y Municipios, que refiere lo siguiente:</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18.-</w:t>
      </w:r>
      <w:r>
        <w:rPr>
          <w:rFonts w:ascii="Palatino Linotype" w:eastAsia="Palatino Linotype" w:hAnsi="Palatino Linotype" w:cs="Palatino Linotype"/>
          <w:i/>
          <w:sz w:val="22"/>
          <w:szCs w:val="22"/>
        </w:rPr>
        <w:t xml:space="preserve"> Corresponden a la </w:t>
      </w:r>
      <w:r>
        <w:rPr>
          <w:rFonts w:ascii="Palatino Linotype" w:eastAsia="Palatino Linotype" w:hAnsi="Palatino Linotype" w:cs="Palatino Linotype"/>
          <w:b/>
          <w:i/>
          <w:sz w:val="22"/>
          <w:szCs w:val="22"/>
        </w:rPr>
        <w:t>Coordinación de Administración y Finanzas</w:t>
      </w:r>
      <w:r>
        <w:rPr>
          <w:rFonts w:ascii="Palatino Linotype" w:eastAsia="Palatino Linotype" w:hAnsi="Palatino Linotype" w:cs="Palatino Linotype"/>
          <w:i/>
          <w:sz w:val="22"/>
          <w:szCs w:val="22"/>
        </w:rPr>
        <w:t xml:space="preserve"> las atribuciones siguientes:</w:t>
      </w:r>
      <w:r>
        <w:rPr>
          <w:rFonts w:ascii="Palatino Linotype" w:eastAsia="Palatino Linotype" w:hAnsi="Palatino Linotype" w:cs="Palatino Linotype"/>
          <w:i/>
          <w:sz w:val="22"/>
          <w:szCs w:val="22"/>
        </w:rPr>
        <w:br/>
        <w:t xml:space="preserve"> </w:t>
      </w: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 Planear, organizar, integrar, controlar y evaluar los ingresos y egresos de los fondos y valores del Instituto.</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II. Administrar los recursos financieros del Instituto conforme a los fondos, programas y presupuestos aprobados</w:t>
      </w:r>
      <w:r>
        <w:rPr>
          <w:rFonts w:ascii="Palatino Linotype" w:eastAsia="Palatino Linotype" w:hAnsi="Palatino Linotype" w:cs="Palatino Linotype"/>
          <w:i/>
          <w:sz w:val="22"/>
          <w:szCs w:val="22"/>
        </w:rPr>
        <w:t>.</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Constituir y administrar las reservas financieras del Instituto, conforme a lo previsto por la Ley y demás disposiciones aplicables.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IV. Proponer al Comité de Inversiones modificaciones a las políticas de inversión y operación y, en su caso, vigilar su cumplimiento.</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Vigilar y evaluar el riesgo derivado de las inversiones de las reservas constituidas.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 Presentar al Director General los estados financieros y presupuestales, así como la cuenta pública del Instituto, en términos de las disposiciones aplicables.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 Proponer al Director General sistemas de control de captación de ingresos previstos por la Ley, orientados a garantizar la disponibilidad suficiente y oportuna de recursos.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VIII. Efectuar los pagos derivados de las obligaciones contraídas por el Instituto, conforme a la normatividad aplicable.</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IX. Dar cumplimiento a las obligaciones fiscales contraídas por el Instituto.</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 Proponer al Director General disposiciones de carácter general para la planeación, programación, </w:t>
      </w:r>
      <w:proofErr w:type="spellStart"/>
      <w:r>
        <w:rPr>
          <w:rFonts w:ascii="Palatino Linotype" w:eastAsia="Palatino Linotype" w:hAnsi="Palatino Linotype" w:cs="Palatino Linotype"/>
          <w:i/>
          <w:sz w:val="22"/>
          <w:szCs w:val="22"/>
        </w:rPr>
        <w:t>presupuestación</w:t>
      </w:r>
      <w:proofErr w:type="spellEnd"/>
      <w:r>
        <w:rPr>
          <w:rFonts w:ascii="Palatino Linotype" w:eastAsia="Palatino Linotype" w:hAnsi="Palatino Linotype" w:cs="Palatino Linotype"/>
          <w:i/>
          <w:sz w:val="22"/>
          <w:szCs w:val="22"/>
        </w:rPr>
        <w:t xml:space="preserve"> y evaluación de la actividad financiera del Instituto, en coordinación con las áreas correspondientes.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 xml:space="preserve">XI. </w:t>
      </w:r>
      <w:r>
        <w:rPr>
          <w:rFonts w:ascii="Palatino Linotype" w:eastAsia="Palatino Linotype" w:hAnsi="Palatino Linotype" w:cs="Palatino Linotype"/>
          <w:b/>
          <w:i/>
          <w:sz w:val="22"/>
          <w:szCs w:val="22"/>
        </w:rPr>
        <w:t>Vigilar que el entero programado de las contribuciones de seguridad social y retenciones de créditos otorgados por el Instituto, se realice en los plazos establecidos por la normatividad aplicable.</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XII. Determinar y notificar el monto de los créditos fiscales derivados de la omisión en el entero de cuotas y aportaciones de seguridad social, así como mantener una relación de coordinación con la Secretaría de Finanzas de la Entidad para lograr la recuperación total de los créditos fiscales, a través de la instrumentación del procedimiento administrativo de ejecución, en términos de lo previsto en el Código Financiero del Estado de México y Municipios.</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 xml:space="preserve">XIII. </w:t>
      </w:r>
      <w:r>
        <w:rPr>
          <w:rFonts w:ascii="Palatino Linotype" w:eastAsia="Palatino Linotype" w:hAnsi="Palatino Linotype" w:cs="Palatino Linotype"/>
          <w:b/>
          <w:i/>
          <w:sz w:val="22"/>
          <w:szCs w:val="22"/>
        </w:rPr>
        <w:t>Proponer al Director General el programa de fiscalización a instituciones públicas afiliadas al régimen de seguridad social y llevar a cabo su ejecución.</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w:t>
      </w:r>
    </w:p>
    <w:p w:rsidR="00294C8C" w:rsidRDefault="00294C8C">
      <w:pPr>
        <w:spacing w:line="276" w:lineRule="auto"/>
        <w:ind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b/>
          <w:i/>
          <w:sz w:val="22"/>
          <w:szCs w:val="22"/>
        </w:rPr>
        <w:t>Artículo 17.-</w:t>
      </w:r>
      <w:r>
        <w:rPr>
          <w:rFonts w:ascii="Palatino Linotype" w:eastAsia="Palatino Linotype" w:hAnsi="Palatino Linotype" w:cs="Palatino Linotype"/>
          <w:i/>
          <w:sz w:val="22"/>
          <w:szCs w:val="22"/>
        </w:rPr>
        <w:t xml:space="preserve"> Corresponden a la C</w:t>
      </w:r>
      <w:r>
        <w:rPr>
          <w:rFonts w:ascii="Palatino Linotype" w:eastAsia="Palatino Linotype" w:hAnsi="Palatino Linotype" w:cs="Palatino Linotype"/>
          <w:b/>
          <w:i/>
          <w:sz w:val="22"/>
          <w:szCs w:val="22"/>
        </w:rPr>
        <w:t>oordinación de Prestaciones y Seguridad Social</w:t>
      </w:r>
      <w:r>
        <w:rPr>
          <w:rFonts w:ascii="Palatino Linotype" w:eastAsia="Palatino Linotype" w:hAnsi="Palatino Linotype" w:cs="Palatino Linotype"/>
          <w:i/>
          <w:sz w:val="22"/>
          <w:szCs w:val="22"/>
        </w:rPr>
        <w:t xml:space="preserve"> las atribuciones siguientes:</w:t>
      </w:r>
    </w:p>
    <w:p w:rsidR="00294C8C" w:rsidRDefault="00294C8C">
      <w:pPr>
        <w:spacing w:line="276" w:lineRule="auto"/>
        <w:ind w:left="1134" w:right="900"/>
        <w:jc w:val="both"/>
        <w:rPr>
          <w:rFonts w:ascii="Palatino Linotype" w:eastAsia="Palatino Linotype" w:hAnsi="Palatino Linotype" w:cs="Palatino Linotype"/>
          <w:i/>
          <w:sz w:val="22"/>
          <w:szCs w:val="22"/>
        </w:rPr>
      </w:pP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 Establecer lineamientos y mecanismos que garanticen a los derechohabientes su acceso a las prestaciones establecidas en la Ley y vigilar que se otorguen en términos de la normatividad aplicable.</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 Promover que el régimen de seguridad social cuente con datos de la vigencia de derechos de los servidores públicos y sus dependientes económicos afiliados, así como del pensionado o pensionista.</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III. Elaborar conjuntamente con la Coordinación de Servicios de Salud, el proyecto de aportaciones por concepto de riesgo de trabajo.</w:t>
      </w: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IV. Elaborar el proyecto de cuotas y aportaciones por concepto de las prestaciones señaladas en el Título Cuarto de la Ley y someterlo a la consideración del Director General.</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 Presentar al Director General el proyecto de incremento anual de montos de pensiones, de conformidad con lo establecido por la Ley.</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VI. Elaborar los proyectos de montos máximos a otorgar para los créditos a corto, mediano y largo plazos, y someterlos a la consideración del Director General.</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lastRenderedPageBreak/>
        <w:t>VII</w:t>
      </w:r>
      <w:r>
        <w:rPr>
          <w:rFonts w:ascii="Palatino Linotype" w:eastAsia="Palatino Linotype" w:hAnsi="Palatino Linotype" w:cs="Palatino Linotype"/>
          <w:b/>
          <w:i/>
          <w:sz w:val="22"/>
          <w:szCs w:val="22"/>
        </w:rPr>
        <w:t>. Elaborar los proyectos de convenios de portabilidad de derechos, en coordinación con la Unidad Jurídica Consultiva y de Igualdad de Género, y someterlos a consideración del Director General.</w:t>
      </w: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VIII. Celebrar convenios con terceros que ofrezcan bienes o servicios, a fin de promover la protección al salario de los servidores públicos afiliados al régimen de seguridad social, con base en los mecanismos que para tal efecto se establezcan.</w:t>
      </w:r>
    </w:p>
    <w:p w:rsidR="00294C8C" w:rsidRDefault="00FE203E">
      <w:pPr>
        <w:spacing w:line="276" w:lineRule="auto"/>
        <w:ind w:left="1134" w:right="900"/>
        <w:jc w:val="both"/>
        <w:rPr>
          <w:rFonts w:ascii="Palatino Linotype" w:eastAsia="Palatino Linotype" w:hAnsi="Palatino Linotype" w:cs="Palatino Linotype"/>
          <w:i/>
          <w:sz w:val="22"/>
          <w:szCs w:val="22"/>
        </w:rPr>
      </w:pPr>
      <w:r>
        <w:rPr>
          <w:rFonts w:ascii="Palatino Linotype" w:eastAsia="Palatino Linotype" w:hAnsi="Palatino Linotype" w:cs="Palatino Linotype"/>
          <w:i/>
          <w:sz w:val="22"/>
          <w:szCs w:val="22"/>
        </w:rPr>
        <w:t>IX. Solicitar a las instituciones públicas y derechohabientes, los documentos y datos necesarios para cumplir con las funciones que en materia de seguridad social establece la Ley.</w:t>
      </w: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b/>
          <w:i/>
          <w:sz w:val="22"/>
          <w:szCs w:val="22"/>
        </w:rPr>
        <w:t xml:space="preserve">X. Establecer procedimientos y mecanismos para que los derechohabientes se registren en el sistema que les permita acceder a las prestaciones que establece la Ley. </w:t>
      </w:r>
    </w:p>
    <w:p w:rsidR="00294C8C" w:rsidRDefault="00FE203E">
      <w:pPr>
        <w:spacing w:line="276" w:lineRule="auto"/>
        <w:ind w:left="1134" w:right="900"/>
        <w:jc w:val="both"/>
        <w:rPr>
          <w:rFonts w:ascii="Palatino Linotype" w:eastAsia="Palatino Linotype" w:hAnsi="Palatino Linotype" w:cs="Palatino Linotype"/>
          <w:b/>
          <w:i/>
          <w:sz w:val="22"/>
          <w:szCs w:val="22"/>
        </w:rPr>
      </w:pPr>
      <w:r>
        <w:rPr>
          <w:rFonts w:ascii="Palatino Linotype" w:eastAsia="Palatino Linotype" w:hAnsi="Palatino Linotype" w:cs="Palatino Linotype"/>
          <w:i/>
          <w:sz w:val="22"/>
          <w:szCs w:val="22"/>
        </w:rPr>
        <w:t>…”</w:t>
      </w:r>
    </w:p>
    <w:p w:rsidR="00294C8C" w:rsidRDefault="00294C8C">
      <w:pPr>
        <w:pBdr>
          <w:top w:val="nil"/>
          <w:left w:val="nil"/>
          <w:bottom w:val="nil"/>
          <w:right w:val="nil"/>
          <w:between w:val="nil"/>
        </w:pBdr>
        <w:spacing w:after="240" w:line="360" w:lineRule="auto"/>
        <w:ind w:right="-93"/>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after="240" w:line="360" w:lineRule="auto"/>
        <w:ind w:right="-93"/>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rPr>
        <w:t xml:space="preserve">Por otra parte, el Manual General de Organización del Instituto de Seguridad Social del Estado de México y Municipios, mismo que fue publicado el veintisiete de mayo de dos mil veintiuno en la Gaceta del Gobierno, Periódico Oficial del Gobierno del Estado Libre y Soberano de México, y que a continuación se </w:t>
      </w:r>
      <w:r>
        <w:rPr>
          <w:rFonts w:ascii="Palatino Linotype" w:eastAsia="Palatino Linotype" w:hAnsi="Palatino Linotype" w:cs="Palatino Linotype"/>
          <w:color w:val="000000"/>
          <w:sz w:val="22"/>
          <w:szCs w:val="22"/>
        </w:rPr>
        <w:t>cita: </w:t>
      </w:r>
    </w:p>
    <w:p w:rsidR="00294C8C" w:rsidRDefault="00FE203E">
      <w:pPr>
        <w:pBdr>
          <w:top w:val="nil"/>
          <w:left w:val="nil"/>
          <w:bottom w:val="nil"/>
          <w:right w:val="nil"/>
          <w:between w:val="nil"/>
        </w:pBdr>
        <w:spacing w:after="240" w:line="276" w:lineRule="auto"/>
        <w:ind w:left="851" w:right="900"/>
        <w:jc w:val="center"/>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“V. ESTRUCTURA ORGÁNICA</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207C04000000000 Consejo Directivo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207C04010000000 Dirección General</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207C0401700000L Coordinación de Administración y Finanzas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07C0401750000L Dirección de Administración Financiera</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207C0401750100L Subdirección de Ingresos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207C0401750103L Departamento de Cobranza</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207C0401750400L Subdirección de Contabilidad y Control Presupuesta</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b/>
          <w:i/>
          <w:color w:val="000000"/>
          <w:sz w:val="22"/>
          <w:szCs w:val="22"/>
        </w:rPr>
        <w:t>207C0401750401L Departamento de Contabilidad</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xml:space="preserve">207C0401750000L </w:t>
      </w:r>
      <w:r>
        <w:rPr>
          <w:rFonts w:ascii="Palatino Linotype" w:eastAsia="Palatino Linotype" w:hAnsi="Palatino Linotype" w:cs="Palatino Linotype"/>
          <w:b/>
          <w:i/>
          <w:color w:val="000000"/>
          <w:sz w:val="22"/>
          <w:szCs w:val="22"/>
        </w:rPr>
        <w:t>DIRECCIÓN DE ADMINISTRACIÓN FINANCIERA</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OBJETIVO: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Planear, administrar y controlar la captación y aplicación de los recursos financieros del Instituto.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FUNCIONES: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Coordinar, dirigir y controlar el proceso recaudatorio y de recuperación del Instituto, a través del cobro de contribuciones, productos, cuentas por cobrar, créditos y demás documentos análogos de seguridad social de las instituciones públicas afiliadas.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Someter a consideración de la Coordinación de Administración y Finanzas, la suscripción de los convenios de reconocimiento y forma de pago solicitados por las instituciones públicas, para regularizar su situación fiscal con el Instituto.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Vigilar que sean turnados a la Unidad Jurídica Consultiva y de Igualdad de Género, para el trámite correspondiente, los adeudos vencidos a favor del Instituto, derivados de los documentos, cuentas por cobrar y otros créditos de naturaleza análoga, una vez que sean agotados los procedimientos prácticos de cobro.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Autorizar el reporte de afectación de participaciones, que por recursos federales correspondan a los municipios, para el cobro de contribuciones de seguridad social.</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207C0401750100L SUBDIRECCIÓN DE INGRESOS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OBJETIVO: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Desarrollar el proceso recaudatorio y de fiscalización del Instituto, a través del seguimiento de cobro y recuperación de contribuciones, productos, cuentas por cobrar, créditos y demás documentos análogos de seguridad social.</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FUNCIONES: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Instrumentar mecanismos para la recaudación y recuperación del entero de contribuciones, productos, cuentas por cobrar, créditos y demás documentos análogos de seguridad social.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Presentar los reportes de adeudos de instituciones públicas y cartera de créditos institucionales a la Dirección de Administración Financiera, para la toma de decisiones.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Presentar para autorización de la Dirección de Administración Financiera el reporte de afectación de participaciones federales, para el cobro de contribuciones de seguridad social y retenciones de créditos institucionales y de terceros, así como de las exhibiciones de los convenios suscritos con las instituciones públicas.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Presentar a la Dirección de Administración Financiera los informes de resultados de la fiscalización a instituciones públicas.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Vigilar que los ingresos sean entregados en tiempo y forma a la Subdirección de Tesorería.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Evaluar el comportamiento de los ingresos, informando a las áreas que corresponda las observaciones y variaciones que se adviertan, para que implementen las acciones correspondientes.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207C0401750103L DEPARTAMENTO DE COBRANZA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OBJETIVO: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Controlar la información de los ingresos previstos en el presupuesto del Instituto y vigilar el entero de las determinaciones de las contribuciones y retenciones de seguridad social, generadas por las instituciones públicas, en el Sistema de Recaudación, y realizar la cobranza administrativa de las mismas y de los adeudos por atención médica proporcionada a pacientes no derechohabientes.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FUNCIONES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 Realizar conciliaciones de los estados de cuenta del sistema de recaudación con las instituciones públicas afiliadas solicitantes.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Generar y remitir, a las instancias correspondientes, los reportes de cobro y de adeudo de instituciones públicas del sistema de control de recaudación de contribuciones de seguridad social, retenciones y del control de créditos fiscales a favor del Instituto.</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Integrar los reportes de información del comportamiento de los ingresos del Instituto, que coadyuven en la toma de decisiones.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207C0401750400L SUBDIRECCIÓN DE CONTABILIDAD Y CONTROL PRESUPUESTAL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OBJETIVO: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Coordinar, organizar y controlar los sistemas de información financiera, contable y presupuestal del Instituto, así como supervisar la elaboración de estados financieros y presupuestales.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Analizar la información financiera del Instituto, que permita determinar el comportamiento de los ingresos y egresos, así como generar los informes de resultados.</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Supervisar la elaboración de conciliaciones bancarias y otras cuentas colectivas y, en su caso, la realización de las acciones necesarias para depurar los saldos de cuentas contables.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Supervisar la elaboración de conciliaciones con las unidades administrativas generadoras de información contable, financiera, patrimonial, presupuestal, y llevar a cabo las acciones necesarias para su depuración.</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207C0401750401L DEPARTAMENTO DE CONTABILIDAD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OBJETIVO: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lastRenderedPageBreak/>
        <w:t>Identificar, cuantificar, registrar y controlar los movimientos contables del Instituto y elaborar los estados financieros necesarios para la toma de decisiones en la materia.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FUNCIONES: </w:t>
      </w:r>
    </w:p>
    <w:p w:rsidR="00294C8C" w:rsidRDefault="00FE203E">
      <w:pPr>
        <w:pBdr>
          <w:top w:val="nil"/>
          <w:left w:val="nil"/>
          <w:bottom w:val="nil"/>
          <w:right w:val="nil"/>
          <w:between w:val="nil"/>
        </w:pBdr>
        <w:spacing w:line="276" w:lineRule="auto"/>
        <w:ind w:left="851" w:right="900"/>
        <w:jc w:val="both"/>
        <w:rPr>
          <w:rFonts w:ascii="Palatino Linotype" w:eastAsia="Palatino Linotype" w:hAnsi="Palatino Linotype" w:cs="Palatino Linotype"/>
          <w:color w:val="000000"/>
          <w:sz w:val="22"/>
          <w:szCs w:val="22"/>
        </w:rPr>
      </w:pPr>
      <w:r>
        <w:rPr>
          <w:rFonts w:ascii="Palatino Linotype" w:eastAsia="Palatino Linotype" w:hAnsi="Palatino Linotype" w:cs="Palatino Linotype"/>
          <w:i/>
          <w:color w:val="000000"/>
          <w:sz w:val="22"/>
          <w:szCs w:val="22"/>
        </w:rPr>
        <w:t>− Elaborar los estados financieros del Instituto con base en las disposiciones del Manual Único de Contabilidad Gubernamental para las Dependencias y Entidades Públicas del Gobierno y Municipios del Estado de México y demás lineamientos aplicables en la materia.” (Sic)</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b/>
          <w:color w:val="000000"/>
        </w:rPr>
      </w:pPr>
      <w:r>
        <w:rPr>
          <w:rFonts w:ascii="Palatino Linotype" w:eastAsia="Palatino Linotype" w:hAnsi="Palatino Linotype" w:cs="Palatino Linotype"/>
          <w:color w:val="000000"/>
        </w:rPr>
        <w:t xml:space="preserve">De lo citado se advierte que dentro de la estructura de Coordinación de Administración y Finanzas del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se cuenta con diversas áreas que son competentes para generar, poseer y administrar información referente a los ingresos recibidos por concepto de seguridad social y otros conceptos, así también respecto a la información de los adeudos que las instituciones públicas tienen con el </w:t>
      </w:r>
      <w:r>
        <w:rPr>
          <w:rFonts w:ascii="Palatino Linotype" w:eastAsia="Palatino Linotype" w:hAnsi="Palatino Linotype" w:cs="Palatino Linotype"/>
          <w:b/>
          <w:color w:val="000000"/>
        </w:rPr>
        <w:t>SUJETO OBLIGADO. </w:t>
      </w:r>
    </w:p>
    <w:p w:rsidR="00294C8C" w:rsidRDefault="00294C8C">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Lo anterior es así, porque la Dirección de Administración Financiera cuenta con funciones de poner a consideración de la Coordinación de Administración Financiera la suscripción de los convenios de reconocimiento y forma de pago solicitados por las instituciones públicas, para regularizar su situación fiscal con el Instituto</w:t>
      </w:r>
      <w:r>
        <w:rPr>
          <w:rFonts w:ascii="Palatino Linotype" w:eastAsia="Palatino Linotype" w:hAnsi="Palatino Linotype" w:cs="Palatino Linotype"/>
          <w:i/>
          <w:color w:val="000000"/>
        </w:rPr>
        <w:t xml:space="preserve">, </w:t>
      </w:r>
      <w:r>
        <w:rPr>
          <w:rFonts w:ascii="Palatino Linotype" w:eastAsia="Palatino Linotype" w:hAnsi="Palatino Linotype" w:cs="Palatino Linotype"/>
          <w:color w:val="000000"/>
        </w:rPr>
        <w:t xml:space="preserve">así como autorizar la afectación de participaciones, que por recursos federales correspondan a los municipios, para el cobro de contribuciones de seguridad social, lo que se traduce en que conoce las aportaciones que cada institución pública por concepto de seguridad social tiene con el </w:t>
      </w:r>
      <w:r>
        <w:rPr>
          <w:rFonts w:ascii="Palatino Linotype" w:eastAsia="Palatino Linotype" w:hAnsi="Palatino Linotype" w:cs="Palatino Linotype"/>
          <w:b/>
          <w:color w:val="000000"/>
        </w:rPr>
        <w:t>SUJETO OBLIGADO.</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En cuanto a las funciones de la Subdirección de Ingresos se observa que esta</w:t>
      </w:r>
      <w:r>
        <w:rPr>
          <w:rFonts w:ascii="Palatino Linotype" w:eastAsia="Palatino Linotype" w:hAnsi="Palatino Linotype" w:cs="Palatino Linotype"/>
          <w:b/>
          <w:color w:val="000000"/>
        </w:rPr>
        <w:t xml:space="preserve"> i</w:t>
      </w:r>
      <w:r>
        <w:rPr>
          <w:rFonts w:ascii="Palatino Linotype" w:eastAsia="Palatino Linotype" w:hAnsi="Palatino Linotype" w:cs="Palatino Linotype"/>
          <w:color w:val="000000"/>
        </w:rPr>
        <w:t xml:space="preserve">nstrumenta mecanismos para la recaudación y recuperación del entero de contribuciones de seguridad social, además presenta reportes de adeudos de instituciones públicas y cartera de créditos institucionales a la Dirección de Administración Financiera, así como los resultados de la fiscalización a instituciones públicas y </w:t>
      </w:r>
      <w:r>
        <w:rPr>
          <w:rFonts w:ascii="Palatino Linotype" w:eastAsia="Palatino Linotype" w:hAnsi="Palatino Linotype" w:cs="Palatino Linotype"/>
          <w:b/>
          <w:color w:val="000000"/>
        </w:rPr>
        <w:t>evaluar el comportamiento de los ingresos, informando a las áreas que corresponda las observaciones y variaciones que se adviertan, para que implementen las acciones correspondientes.</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Por lo que al Departamento de Cobranza respecta, se observa que realiza conciliaciones de los </w:t>
      </w:r>
      <w:r>
        <w:rPr>
          <w:rFonts w:ascii="Palatino Linotype" w:eastAsia="Palatino Linotype" w:hAnsi="Palatino Linotype" w:cs="Palatino Linotype"/>
          <w:b/>
          <w:color w:val="000000"/>
        </w:rPr>
        <w:t>estados de cuenta del sistema de recaudación</w:t>
      </w:r>
      <w:r>
        <w:rPr>
          <w:rFonts w:ascii="Palatino Linotype" w:eastAsia="Palatino Linotype" w:hAnsi="Palatino Linotype" w:cs="Palatino Linotype"/>
          <w:color w:val="000000"/>
        </w:rPr>
        <w:t xml:space="preserve"> con las instituciones públicas afiliadas solicitantes, genera y remite, a las instancias correspondientes, los </w:t>
      </w:r>
      <w:r>
        <w:rPr>
          <w:rFonts w:ascii="Palatino Linotype" w:eastAsia="Palatino Linotype" w:hAnsi="Palatino Linotype" w:cs="Palatino Linotype"/>
          <w:b/>
          <w:color w:val="000000"/>
        </w:rPr>
        <w:t>reportes de cobro y</w:t>
      </w:r>
      <w:r>
        <w:rPr>
          <w:rFonts w:ascii="Palatino Linotype" w:eastAsia="Palatino Linotype" w:hAnsi="Palatino Linotype" w:cs="Palatino Linotype"/>
          <w:color w:val="000000"/>
        </w:rPr>
        <w:t xml:space="preserve"> de adeudo de instituciones públicas del sistema de control de recaudación de contribuciones de seguridad social, retenciones y del control de créditos fiscales a favor del Instituto, así como también integra los reportes de información del comportamiento de los ingresos del Instituto.</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Dentro de las funciones primordiales de la Subdirección de Contabilidad y Control Presupuestal se encuentra, la de analizar la información financiera del Instituto, que permita determinar el </w:t>
      </w:r>
      <w:r>
        <w:rPr>
          <w:rFonts w:ascii="Palatino Linotype" w:eastAsia="Palatino Linotype" w:hAnsi="Palatino Linotype" w:cs="Palatino Linotype"/>
          <w:b/>
          <w:color w:val="000000"/>
        </w:rPr>
        <w:t>comportamiento de los ingresos</w:t>
      </w:r>
      <w:r>
        <w:rPr>
          <w:rFonts w:ascii="Palatino Linotype" w:eastAsia="Palatino Linotype" w:hAnsi="Palatino Linotype" w:cs="Palatino Linotype"/>
          <w:color w:val="000000"/>
        </w:rPr>
        <w:t xml:space="preserve"> y egresos, así como </w:t>
      </w:r>
      <w:r>
        <w:rPr>
          <w:rFonts w:ascii="Palatino Linotype" w:eastAsia="Palatino Linotype" w:hAnsi="Palatino Linotype" w:cs="Palatino Linotype"/>
          <w:b/>
          <w:color w:val="000000"/>
        </w:rPr>
        <w:t>generar los informes de resultados</w:t>
      </w:r>
      <w:r>
        <w:rPr>
          <w:rFonts w:ascii="Palatino Linotype" w:eastAsia="Palatino Linotype" w:hAnsi="Palatino Linotype" w:cs="Palatino Linotype"/>
          <w:color w:val="000000"/>
        </w:rPr>
        <w:t>.</w:t>
      </w:r>
    </w:p>
    <w:p w:rsidR="00294C8C" w:rsidRDefault="00294C8C">
      <w:pPr>
        <w:spacing w:line="360" w:lineRule="auto"/>
        <w:rPr>
          <w:rFonts w:ascii="Palatino Linotype" w:eastAsia="Palatino Linotype" w:hAnsi="Palatino Linotype" w:cs="Palatino Linotype"/>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 xml:space="preserve">Del Departamento de Contabilidad podemos referir que, </w:t>
      </w:r>
      <w:r>
        <w:rPr>
          <w:rFonts w:ascii="Palatino Linotype" w:eastAsia="Palatino Linotype" w:hAnsi="Palatino Linotype" w:cs="Palatino Linotype"/>
          <w:b/>
          <w:color w:val="000000"/>
        </w:rPr>
        <w:t>elabora los estados financieros del Instituto</w:t>
      </w:r>
      <w:r>
        <w:rPr>
          <w:rFonts w:ascii="Palatino Linotype" w:eastAsia="Palatino Linotype" w:hAnsi="Palatino Linotype" w:cs="Palatino Linotype"/>
          <w:color w:val="000000"/>
        </w:rPr>
        <w:t xml:space="preserve"> con base en las disposiciones del Manual Único de Contabilidad Gubernamental para las Dependencias y Entidades Públicas del Gobierno y Municipios del Estado de México y demás lineamientos aplicables en la materia.</w:t>
      </w:r>
    </w:p>
    <w:p w:rsidR="00294C8C" w:rsidRDefault="00294C8C">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A mayor abundamiento, se advierte que en los informes anuales que rinde el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 xml:space="preserve">reporta información relacionada con lo solicitado por el </w:t>
      </w:r>
      <w:r>
        <w:rPr>
          <w:rFonts w:ascii="Palatino Linotype" w:eastAsia="Palatino Linotype" w:hAnsi="Palatino Linotype" w:cs="Palatino Linotype"/>
          <w:b/>
          <w:color w:val="000000"/>
        </w:rPr>
        <w:t xml:space="preserve">Recurrente, </w:t>
      </w:r>
      <w:r>
        <w:rPr>
          <w:rFonts w:ascii="Palatino Linotype" w:eastAsia="Palatino Linotype" w:hAnsi="Palatino Linotype" w:cs="Palatino Linotype"/>
          <w:color w:val="000000"/>
        </w:rPr>
        <w:t>tal como se muestra a continuación</w:t>
      </w:r>
      <w:r>
        <w:rPr>
          <w:rFonts w:ascii="Palatino Linotype" w:eastAsia="Palatino Linotype" w:hAnsi="Palatino Linotype" w:cs="Palatino Linotype"/>
          <w:b/>
          <w:color w:val="000000"/>
        </w:rPr>
        <w:t>:</w:t>
      </w:r>
    </w:p>
    <w:p w:rsidR="00294C8C" w:rsidRDefault="00FE203E">
      <w:pPr>
        <w:pBdr>
          <w:top w:val="nil"/>
          <w:left w:val="nil"/>
          <w:bottom w:val="nil"/>
          <w:right w:val="nil"/>
          <w:between w:val="nil"/>
        </w:pBdr>
        <w:ind w:right="49"/>
        <w:jc w:val="center"/>
        <w:rPr>
          <w:color w:val="000000"/>
        </w:rPr>
      </w:pPr>
      <w:r>
        <w:rPr>
          <w:noProof/>
          <w:color w:val="000000"/>
          <w:lang w:val="es-MX"/>
        </w:rPr>
        <w:drawing>
          <wp:inline distT="0" distB="0" distL="0" distR="0">
            <wp:extent cx="3570388" cy="3212554"/>
            <wp:effectExtent l="0" t="0" r="0" b="0"/>
            <wp:docPr id="59" name="image9.png" descr="https://lh4.googleusercontent.com/Ubg-X_0unEVcK2iBfiICS7LOYIYph5krMfRZEHgt_NC7j02980KjDhtdN58_STF8JXuaLeXoNvTE7FfbLbLFCcbbl-N7_5txkROlnD4x-H8TzFswVW1QNEipoX7xor3ET6Txz7LP"/>
            <wp:cNvGraphicFramePr/>
            <a:graphic xmlns:a="http://schemas.openxmlformats.org/drawingml/2006/main">
              <a:graphicData uri="http://schemas.openxmlformats.org/drawingml/2006/picture">
                <pic:pic xmlns:pic="http://schemas.openxmlformats.org/drawingml/2006/picture">
                  <pic:nvPicPr>
                    <pic:cNvPr id="0" name="image9.png" descr="https://lh4.googleusercontent.com/Ubg-X_0unEVcK2iBfiICS7LOYIYph5krMfRZEHgt_NC7j02980KjDhtdN58_STF8JXuaLeXoNvTE7FfbLbLFCcbbl-N7_5txkROlnD4x-H8TzFswVW1QNEipoX7xor3ET6Txz7LP"/>
                    <pic:cNvPicPr preferRelativeResize="0"/>
                  </pic:nvPicPr>
                  <pic:blipFill>
                    <a:blip r:embed="rId47"/>
                    <a:srcRect l="24489" t="19344" r="29502" b="14419"/>
                    <a:stretch>
                      <a:fillRect/>
                    </a:stretch>
                  </pic:blipFill>
                  <pic:spPr>
                    <a:xfrm>
                      <a:off x="0" y="0"/>
                      <a:ext cx="3570388" cy="3212554"/>
                    </a:xfrm>
                    <a:prstGeom prst="rect">
                      <a:avLst/>
                    </a:prstGeom>
                    <a:ln/>
                  </pic:spPr>
                </pic:pic>
              </a:graphicData>
            </a:graphic>
          </wp:inline>
        </w:drawing>
      </w:r>
    </w:p>
    <w:p w:rsidR="00294C8C" w:rsidRDefault="00294C8C">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360" w:lineRule="auto"/>
        <w:ind w:right="49"/>
        <w:jc w:val="both"/>
        <w:rPr>
          <w:color w:val="000000"/>
        </w:rPr>
      </w:pPr>
      <w:r>
        <w:rPr>
          <w:rFonts w:ascii="Palatino Linotype" w:eastAsia="Palatino Linotype" w:hAnsi="Palatino Linotype" w:cs="Palatino Linotype"/>
          <w:color w:val="000000"/>
        </w:rPr>
        <w:t>Por lo que se advierte debe contar con la información solicitada por el</w:t>
      </w:r>
      <w:r>
        <w:rPr>
          <w:rFonts w:ascii="Palatino Linotype" w:eastAsia="Palatino Linotype" w:hAnsi="Palatino Linotype" w:cs="Palatino Linotype"/>
          <w:b/>
          <w:color w:val="000000"/>
        </w:rPr>
        <w:t xml:space="preserve"> RECURRENTE, </w:t>
      </w:r>
      <w:r>
        <w:rPr>
          <w:rFonts w:ascii="Palatino Linotype" w:eastAsia="Palatino Linotype" w:hAnsi="Palatino Linotype" w:cs="Palatino Linotype"/>
          <w:color w:val="000000"/>
        </w:rPr>
        <w:t xml:space="preserve">respecto a la cantidad que aporta el Municipio de Naucalpan de Juárez por concepto de seguridad social, por lo que en caso de que el </w:t>
      </w:r>
      <w:r>
        <w:rPr>
          <w:rFonts w:ascii="Palatino Linotype" w:eastAsia="Palatino Linotype" w:hAnsi="Palatino Linotype" w:cs="Palatino Linotype"/>
          <w:b/>
          <w:color w:val="000000"/>
        </w:rPr>
        <w:t xml:space="preserve">SUJETO </w:t>
      </w:r>
      <w:r>
        <w:rPr>
          <w:rFonts w:ascii="Palatino Linotype" w:eastAsia="Palatino Linotype" w:hAnsi="Palatino Linotype" w:cs="Palatino Linotype"/>
          <w:b/>
          <w:color w:val="000000"/>
        </w:rPr>
        <w:lastRenderedPageBreak/>
        <w:t>OBLIGADO</w:t>
      </w:r>
      <w:r>
        <w:rPr>
          <w:rFonts w:ascii="Palatino Linotype" w:eastAsia="Palatino Linotype" w:hAnsi="Palatino Linotype" w:cs="Palatino Linotype"/>
          <w:color w:val="000000"/>
        </w:rPr>
        <w:t xml:space="preserve"> advierta que la información solicitada por el </w:t>
      </w:r>
      <w:r>
        <w:rPr>
          <w:rFonts w:ascii="Palatino Linotype" w:eastAsia="Palatino Linotype" w:hAnsi="Palatino Linotype" w:cs="Palatino Linotype"/>
          <w:b/>
          <w:color w:val="000000"/>
        </w:rPr>
        <w:t xml:space="preserve">RECURRENTE </w:t>
      </w:r>
      <w:r>
        <w:rPr>
          <w:rFonts w:ascii="Palatino Linotype" w:eastAsia="Palatino Linotype" w:hAnsi="Palatino Linotype" w:cs="Palatino Linotype"/>
          <w:color w:val="000000"/>
        </w:rPr>
        <w:t>contenga información que se clasifique como confidencial, deberá proporcionarla en versión pública de acuerdo a lo establecido en el considerando Quinto.</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En este sentido, resulta procedente ordenar una búsqueda exhaustiva y razonable de la información requerida, en los</w:t>
      </w:r>
      <w:r>
        <w:rPr>
          <w:rFonts w:ascii="Palatino Linotype" w:eastAsia="Palatino Linotype" w:hAnsi="Palatino Linotype" w:cs="Palatino Linotype"/>
          <w:b/>
        </w:rPr>
        <w:t xml:space="preserve"> archivos</w:t>
      </w:r>
      <w:r>
        <w:rPr>
          <w:rFonts w:ascii="Palatino Linotype" w:eastAsia="Palatino Linotype" w:hAnsi="Palatino Linotype" w:cs="Palatino Linotype"/>
        </w:rPr>
        <w:t xml:space="preserve">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y de no encontrarse la información,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deberá elaborar y hacer entrega al </w:t>
      </w:r>
      <w:r>
        <w:rPr>
          <w:rFonts w:ascii="Palatino Linotype" w:eastAsia="Palatino Linotype" w:hAnsi="Palatino Linotype" w:cs="Palatino Linotype"/>
          <w:b/>
        </w:rPr>
        <w:t>RECURRENTE</w:t>
      </w:r>
      <w:r>
        <w:rPr>
          <w:rFonts w:ascii="Palatino Linotype" w:eastAsia="Palatino Linotype" w:hAnsi="Palatino Linotype" w:cs="Palatino Linotype"/>
        </w:rPr>
        <w:t xml:space="preserve"> del acuerdo de inexistencia o la resolución que confirme la inexistencia de los documentos.</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Cabe señalar que el acuerdo de inexistencia o resolución que confirme la inexistencia deberá emitirse en caso de que el </w:t>
      </w:r>
      <w:r>
        <w:rPr>
          <w:rFonts w:ascii="Palatino Linotype" w:eastAsia="Palatino Linotype" w:hAnsi="Palatino Linotype" w:cs="Palatino Linotype"/>
          <w:b/>
        </w:rPr>
        <w:t>SUJETO OBLIGADO</w:t>
      </w:r>
      <w:r>
        <w:rPr>
          <w:rFonts w:ascii="Palatino Linotype" w:eastAsia="Palatino Linotype" w:hAnsi="Palatino Linotype" w:cs="Palatino Linotype"/>
        </w:rPr>
        <w:t>, previa búsqueda exhaustiva y razonable de la información pública solicitada, no la localice, pero exista evidencia que haga alusión a que dichos convenios si existieron, sólo entonces su Comité de Transparencia tiene la obligación de emitir el Acuerdo de Inexistencia o resolución que confirme la inexistencia, de acuerdo a los artículos 19, 169 y 170 de la Ley de Transparencia y Acceso a la Información Pública del Estado de México y Municipios, de acuerdo a lo siguiente:</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Artículo 19</w:t>
      </w:r>
      <w:r>
        <w:rPr>
          <w:rFonts w:ascii="Palatino Linotype" w:eastAsia="Palatino Linotype" w:hAnsi="Palatino Linotype" w:cs="Palatino Linotype"/>
          <w:i/>
        </w:rPr>
        <w:t>. Se presume que la información debe existir si se refiere a las facultades, competencias y funciones que los ordenamientos jurídicos aplicables otorgan a los sujetos obligados.</w:t>
      </w:r>
    </w:p>
    <w:p w:rsidR="00294C8C" w:rsidRDefault="00294C8C">
      <w:pPr>
        <w:spacing w:line="276" w:lineRule="auto"/>
        <w:ind w:left="567" w:right="567"/>
        <w:jc w:val="both"/>
        <w:rPr>
          <w:rFonts w:ascii="Palatino Linotype" w:eastAsia="Palatino Linotype" w:hAnsi="Palatino Linotype" w:cs="Palatino Linotype"/>
          <w:i/>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En los casos en que ciertas facultades, competencias o funciones no se hayan ejercido, se debe motivar la respuesta en función de las causas que motiven tal circunstancia.</w:t>
      </w:r>
    </w:p>
    <w:p w:rsidR="00294C8C" w:rsidRDefault="00294C8C">
      <w:pPr>
        <w:spacing w:line="276" w:lineRule="auto"/>
        <w:ind w:left="567" w:right="567"/>
        <w:jc w:val="both"/>
        <w:rPr>
          <w:rFonts w:ascii="Palatino Linotype" w:eastAsia="Palatino Linotype" w:hAnsi="Palatino Linotype" w:cs="Palatino Linotype"/>
          <w:i/>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 xml:space="preserve">Si el sujeto obligado, en el ejercicio de sus atribuciones, debía generar, poseer o administrar la información, pero ésta no se encuentra, el </w:t>
      </w:r>
      <w:r>
        <w:rPr>
          <w:rFonts w:ascii="Palatino Linotype" w:eastAsia="Palatino Linotype" w:hAnsi="Palatino Linotype" w:cs="Palatino Linotype"/>
          <w:b/>
          <w:i/>
        </w:rPr>
        <w:t>Comité de transparencia</w:t>
      </w:r>
      <w:r>
        <w:rPr>
          <w:rFonts w:ascii="Palatino Linotype" w:eastAsia="Palatino Linotype" w:hAnsi="Palatino Linotype" w:cs="Palatino Linotype"/>
          <w:i/>
        </w:rPr>
        <w:t xml:space="preserve"> deberá emitir un </w:t>
      </w:r>
      <w:r>
        <w:rPr>
          <w:rFonts w:ascii="Palatino Linotype" w:eastAsia="Palatino Linotype" w:hAnsi="Palatino Linotype" w:cs="Palatino Linotype"/>
          <w:b/>
          <w:i/>
          <w:u w:val="single"/>
        </w:rPr>
        <w:t>acuerdo de inexistencia, debidamente fundado y motivado, en el que detalle las razones del por qué no obra en sus archivos.”</w:t>
      </w:r>
    </w:p>
    <w:p w:rsidR="00294C8C" w:rsidRDefault="00294C8C">
      <w:pPr>
        <w:spacing w:line="276"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podemos apreciar el artículo 19 refiere que si el sujeto obligado en el ejercicio de sus atribuciones, debía generar, poseer o administrar la información, pero ésta no se encuentra, el Comité de Transparencia deberá emitir un acuerdo de inexistencia, en el presente caso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las atribuciones para suscribir contratos o convenios como lo refiere el Reglamento Interior del ISSEMYM antes citado, pues establece:</w:t>
      </w:r>
    </w:p>
    <w:p w:rsidR="00294C8C" w:rsidRDefault="00294C8C">
      <w:pPr>
        <w:spacing w:line="276" w:lineRule="auto"/>
        <w:jc w:val="both"/>
        <w:rPr>
          <w:rFonts w:ascii="Palatino Linotype" w:eastAsia="Palatino Linotype" w:hAnsi="Palatino Linotype" w:cs="Palatino Linotype"/>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Artículo 14.-</w:t>
      </w:r>
      <w:r>
        <w:rPr>
          <w:rFonts w:ascii="Palatino Linotype" w:eastAsia="Palatino Linotype" w:hAnsi="Palatino Linotype" w:cs="Palatino Linotype"/>
          <w:i/>
        </w:rPr>
        <w:t xml:space="preserve"> Al frente de cada Coordinación habrá un Coordinador y de cada Unidad un Jefe de Unidad, quienes se auxiliarán de los servidores públicos que las necesidades del servicio requieran, de acuerdo con las disposiciones legales, administrativas y presupuestales aplicables.</w:t>
      </w:r>
    </w:p>
    <w:p w:rsidR="00294C8C" w:rsidRDefault="00294C8C">
      <w:pPr>
        <w:spacing w:line="276" w:lineRule="auto"/>
        <w:ind w:left="567" w:right="567"/>
        <w:jc w:val="both"/>
        <w:rPr>
          <w:rFonts w:ascii="Palatino Linotype" w:eastAsia="Palatino Linotype" w:hAnsi="Palatino Linotype" w:cs="Palatino Linotype"/>
          <w:i/>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Artículo 15.-</w:t>
      </w:r>
      <w:r>
        <w:rPr>
          <w:rFonts w:ascii="Palatino Linotype" w:eastAsia="Palatino Linotype" w:hAnsi="Palatino Linotype" w:cs="Palatino Linotype"/>
          <w:i/>
        </w:rPr>
        <w:t xml:space="preserve"> C</w:t>
      </w:r>
      <w:r>
        <w:rPr>
          <w:rFonts w:ascii="Palatino Linotype" w:eastAsia="Palatino Linotype" w:hAnsi="Palatino Linotype" w:cs="Palatino Linotype"/>
          <w:b/>
          <w:i/>
        </w:rPr>
        <w:t>orresponden a los Coordinadores y Jefes de Unidad</w:t>
      </w:r>
      <w:r>
        <w:rPr>
          <w:rFonts w:ascii="Palatino Linotype" w:eastAsia="Palatino Linotype" w:hAnsi="Palatino Linotype" w:cs="Palatino Linotype"/>
          <w:i/>
        </w:rPr>
        <w:t xml:space="preserve"> las atribuciones siguientes:</w:t>
      </w: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XI.</w:t>
      </w:r>
      <w:r>
        <w:rPr>
          <w:rFonts w:ascii="Palatino Linotype" w:eastAsia="Palatino Linotype" w:hAnsi="Palatino Linotype" w:cs="Palatino Linotype"/>
          <w:i/>
        </w:rPr>
        <w:t xml:space="preserve"> Proponer al Director General la suscripción de acuerdos, </w:t>
      </w:r>
      <w:r>
        <w:rPr>
          <w:rFonts w:ascii="Palatino Linotype" w:eastAsia="Palatino Linotype" w:hAnsi="Palatino Linotype" w:cs="Palatino Linotype"/>
          <w:b/>
          <w:i/>
        </w:rPr>
        <w:t>convenios</w:t>
      </w:r>
      <w:r>
        <w:rPr>
          <w:rFonts w:ascii="Palatino Linotype" w:eastAsia="Palatino Linotype" w:hAnsi="Palatino Linotype" w:cs="Palatino Linotype"/>
          <w:i/>
        </w:rPr>
        <w:t xml:space="preserve"> y contratos orientados al cumplimiento de los objetivos del Instituto y llevar a cabo su ejecución en el ámbito de su competencia.</w:t>
      </w:r>
    </w:p>
    <w:p w:rsidR="00294C8C" w:rsidRDefault="00FE203E">
      <w:pPr>
        <w:spacing w:line="276" w:lineRule="auto"/>
        <w:ind w:left="567" w:right="567"/>
        <w:jc w:val="both"/>
        <w:rPr>
          <w:rFonts w:ascii="Palatino Linotype" w:eastAsia="Palatino Linotype" w:hAnsi="Palatino Linotype" w:cs="Palatino Linotype"/>
          <w:b/>
          <w:i/>
        </w:rPr>
      </w:pPr>
      <w:r>
        <w:rPr>
          <w:rFonts w:ascii="Palatino Linotype" w:eastAsia="Palatino Linotype" w:hAnsi="Palatino Linotype" w:cs="Palatino Linotype"/>
          <w:b/>
          <w:i/>
        </w:rPr>
        <w:lastRenderedPageBreak/>
        <w:t>…</w:t>
      </w: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XVIII.</w:t>
      </w:r>
      <w:r>
        <w:rPr>
          <w:rFonts w:ascii="Palatino Linotype" w:eastAsia="Palatino Linotype" w:hAnsi="Palatino Linotype" w:cs="Palatino Linotype"/>
          <w:i/>
        </w:rPr>
        <w:t xml:space="preserve"> Gestionar y/o rescindir administrativamente los contratos o </w:t>
      </w:r>
      <w:r>
        <w:rPr>
          <w:rFonts w:ascii="Palatino Linotype" w:eastAsia="Palatino Linotype" w:hAnsi="Palatino Linotype" w:cs="Palatino Linotype"/>
          <w:b/>
          <w:i/>
        </w:rPr>
        <w:t>convenios</w:t>
      </w:r>
      <w:r>
        <w:rPr>
          <w:rFonts w:ascii="Palatino Linotype" w:eastAsia="Palatino Linotype" w:hAnsi="Palatino Linotype" w:cs="Palatino Linotype"/>
          <w:i/>
        </w:rPr>
        <w:t xml:space="preserve"> que suscriban en ejercicio de sus atribuciones, previa autorización del Director General y el cumplimiento del procedimiento y condiciones previstos en la normatividad aplicable.”</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Como podemos apreciar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cuenta con las facultades y atribuciones de suscribir convenios, sin embargo, es necesario considerar el texto del último párrafo del artículo 19 antes referido pues dispone: “</w:t>
      </w:r>
      <w:r>
        <w:rPr>
          <w:rFonts w:ascii="Palatino Linotype" w:eastAsia="Palatino Linotype" w:hAnsi="Palatino Linotype" w:cs="Palatino Linotype"/>
          <w:b/>
          <w:i/>
          <w:u w:val="single"/>
        </w:rPr>
        <w:t>Si</w:t>
      </w:r>
      <w:r>
        <w:rPr>
          <w:rFonts w:ascii="Palatino Linotype" w:eastAsia="Palatino Linotype" w:hAnsi="Palatino Linotype" w:cs="Palatino Linotype"/>
          <w:i/>
        </w:rPr>
        <w:t xml:space="preserve"> el sujeto obligado, en el ejercicio de sus atribuciones, </w:t>
      </w:r>
      <w:r>
        <w:rPr>
          <w:rFonts w:ascii="Palatino Linotype" w:eastAsia="Palatino Linotype" w:hAnsi="Palatino Linotype" w:cs="Palatino Linotype"/>
          <w:b/>
          <w:i/>
          <w:u w:val="single"/>
        </w:rPr>
        <w:t>debía</w:t>
      </w:r>
      <w:r>
        <w:rPr>
          <w:rFonts w:ascii="Palatino Linotype" w:eastAsia="Palatino Linotype" w:hAnsi="Palatino Linotype" w:cs="Palatino Linotype"/>
          <w:i/>
        </w:rPr>
        <w:t xml:space="preserve"> generar, poseer o administrar la información</w:t>
      </w:r>
      <w:r>
        <w:rPr>
          <w:rFonts w:ascii="Palatino Linotype" w:eastAsia="Palatino Linotype" w:hAnsi="Palatino Linotype" w:cs="Palatino Linotype"/>
        </w:rPr>
        <w:t>…” (Énfasis añadido), como podemos apreciar tal premisa es una condicional, las palabras “Si” y “debía” suponen una facultad potestativa, es decir, se tiene la función pero no se ejerce en consecuencia la información no existe, el segundo párrafo del citado artículo 19, lo establece: “</w:t>
      </w:r>
      <w:r>
        <w:rPr>
          <w:rFonts w:ascii="Palatino Linotype" w:eastAsia="Palatino Linotype" w:hAnsi="Palatino Linotype" w:cs="Palatino Linotype"/>
          <w:i/>
        </w:rPr>
        <w:t>En los casos en que ciertas facultades, competencias o funciones no se hayan ejercido, se debe motivar la respuesta en función de las causas que motiven tal circunstancia</w:t>
      </w:r>
      <w:r>
        <w:rPr>
          <w:rFonts w:ascii="Palatino Linotype" w:eastAsia="Palatino Linotype" w:hAnsi="Palatino Linotype" w:cs="Palatino Linotype"/>
        </w:rPr>
        <w:t>.”</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Entonces, para el caso de que los convenios si debieron suscribirse, porque exista algún oficio, circular o memorando, correos electrónicos, archivos almacenados en las computadoras, dirigido al director general, a los directores, coordinadores y demás personal del </w:t>
      </w:r>
      <w:proofErr w:type="spellStart"/>
      <w:r>
        <w:rPr>
          <w:rFonts w:ascii="Palatino Linotype" w:eastAsia="Palatino Linotype" w:hAnsi="Palatino Linotype" w:cs="Palatino Linotype"/>
        </w:rPr>
        <w:t>ISSEMyM</w:t>
      </w:r>
      <w:proofErr w:type="spellEnd"/>
      <w:r>
        <w:rPr>
          <w:rFonts w:ascii="Palatino Linotype" w:eastAsia="Palatino Linotype" w:hAnsi="Palatino Linotype" w:cs="Palatino Linotype"/>
        </w:rPr>
        <w:t>, en donde se instruya o se contemple la suscripción de los convenios, pero por alguna razón no se suscribieron, el Comité de Transparencia deberá emitir el acuerdo de inexistencia, en términos del párrafo tercero del artículo 19 en cita.</w:t>
      </w:r>
    </w:p>
    <w:p w:rsidR="00294C8C" w:rsidRDefault="00294C8C">
      <w:pPr>
        <w:spacing w:line="360" w:lineRule="auto"/>
        <w:jc w:val="both"/>
        <w:rPr>
          <w:rFonts w:ascii="Palatino Linotype" w:eastAsia="Palatino Linotype" w:hAnsi="Palatino Linotype" w:cs="Palatino Linotype"/>
          <w:highlight w:val="green"/>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Ahora bien, para el caso de que exista evidencia documental o electrónica almacenada en los equipos de cómputo, en el que se advierta que los convenios si se firmaron y existieron, y por alguna razón se perdieron o destruyeron el Comité de Transparencia </w:t>
      </w:r>
      <w:proofErr w:type="gramStart"/>
      <w:r>
        <w:rPr>
          <w:rFonts w:ascii="Palatino Linotype" w:eastAsia="Palatino Linotype" w:hAnsi="Palatino Linotype" w:cs="Palatino Linotype"/>
        </w:rPr>
        <w:t>deberá</w:t>
      </w:r>
      <w:proofErr w:type="gramEnd"/>
      <w:r>
        <w:rPr>
          <w:rFonts w:ascii="Palatino Linotype" w:eastAsia="Palatino Linotype" w:hAnsi="Palatino Linotype" w:cs="Palatino Linotype"/>
        </w:rPr>
        <w:t xml:space="preserve">: </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Artículo 169.</w:t>
      </w:r>
      <w:r>
        <w:rPr>
          <w:rFonts w:ascii="Palatino Linotype" w:eastAsia="Palatino Linotype" w:hAnsi="Palatino Linotype" w:cs="Palatino Linotype"/>
          <w:i/>
        </w:rPr>
        <w:t xml:space="preserve"> Cuando la información no se encuentre en los archivos del sujeto obligado, el Comité de Transparencia:</w:t>
      </w:r>
    </w:p>
    <w:p w:rsidR="00294C8C" w:rsidRDefault="00294C8C">
      <w:pPr>
        <w:spacing w:line="276" w:lineRule="auto"/>
        <w:ind w:left="567" w:right="567"/>
        <w:jc w:val="both"/>
        <w:rPr>
          <w:rFonts w:ascii="Palatino Linotype" w:eastAsia="Palatino Linotype" w:hAnsi="Palatino Linotype" w:cs="Palatino Linotype"/>
          <w:i/>
        </w:rPr>
      </w:pPr>
    </w:p>
    <w:p w:rsidR="00294C8C" w:rsidRDefault="00FE203E">
      <w:pPr>
        <w:numPr>
          <w:ilvl w:val="0"/>
          <w:numId w:val="3"/>
        </w:numPr>
        <w:pBdr>
          <w:top w:val="nil"/>
          <w:left w:val="nil"/>
          <w:bottom w:val="nil"/>
          <w:right w:val="nil"/>
          <w:between w:val="nil"/>
        </w:pBdr>
        <w:spacing w:line="276" w:lineRule="auto"/>
        <w:ind w:right="567"/>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Analizará el caso y tomará las medidas necesarias para localizar la información;</w:t>
      </w:r>
    </w:p>
    <w:p w:rsidR="00294C8C" w:rsidRDefault="00FE203E">
      <w:pPr>
        <w:numPr>
          <w:ilvl w:val="0"/>
          <w:numId w:val="3"/>
        </w:numPr>
        <w:pBdr>
          <w:top w:val="nil"/>
          <w:left w:val="nil"/>
          <w:bottom w:val="nil"/>
          <w:right w:val="nil"/>
          <w:between w:val="nil"/>
        </w:pBdr>
        <w:spacing w:line="276" w:lineRule="auto"/>
        <w:ind w:right="567"/>
        <w:jc w:val="both"/>
        <w:rPr>
          <w:rFonts w:ascii="Palatino Linotype" w:eastAsia="Palatino Linotype" w:hAnsi="Palatino Linotype" w:cs="Palatino Linotype"/>
          <w:i/>
          <w:color w:val="000000"/>
        </w:rPr>
      </w:pPr>
      <w:r>
        <w:rPr>
          <w:rFonts w:ascii="Palatino Linotype" w:eastAsia="Palatino Linotype" w:hAnsi="Palatino Linotype" w:cs="Palatino Linotype"/>
          <w:b/>
          <w:i/>
          <w:color w:val="000000"/>
        </w:rPr>
        <w:t>Expedirá una resolución que confirme la inexistencia del documento</w:t>
      </w:r>
      <w:r>
        <w:rPr>
          <w:rFonts w:ascii="Palatino Linotype" w:eastAsia="Palatino Linotype" w:hAnsi="Palatino Linotype" w:cs="Palatino Linotype"/>
          <w:i/>
          <w:color w:val="000000"/>
        </w:rPr>
        <w:t>;</w:t>
      </w:r>
    </w:p>
    <w:p w:rsidR="00294C8C" w:rsidRDefault="00FE203E">
      <w:pPr>
        <w:numPr>
          <w:ilvl w:val="0"/>
          <w:numId w:val="3"/>
        </w:numPr>
        <w:pBdr>
          <w:top w:val="nil"/>
          <w:left w:val="nil"/>
          <w:bottom w:val="nil"/>
          <w:right w:val="nil"/>
          <w:between w:val="nil"/>
        </w:pBdr>
        <w:spacing w:line="276" w:lineRule="auto"/>
        <w:ind w:right="567"/>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294C8C" w:rsidRDefault="00FE203E">
      <w:pPr>
        <w:numPr>
          <w:ilvl w:val="0"/>
          <w:numId w:val="3"/>
        </w:numPr>
        <w:pBdr>
          <w:top w:val="nil"/>
          <w:left w:val="nil"/>
          <w:bottom w:val="nil"/>
          <w:right w:val="nil"/>
          <w:between w:val="nil"/>
        </w:pBdr>
        <w:spacing w:line="276" w:lineRule="auto"/>
        <w:ind w:right="567"/>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Notificará al órgano interno de control o equivalente del sujeto obligado quien, en su caso, deberá iniciar el procedimiento de responsabilidad administrativa que corresponda.</w:t>
      </w:r>
    </w:p>
    <w:p w:rsidR="00294C8C" w:rsidRDefault="00294C8C">
      <w:pPr>
        <w:spacing w:line="276" w:lineRule="auto"/>
        <w:ind w:left="567" w:right="567"/>
        <w:jc w:val="both"/>
        <w:rPr>
          <w:rFonts w:ascii="Palatino Linotype" w:eastAsia="Palatino Linotype" w:hAnsi="Palatino Linotype" w:cs="Palatino Linotype"/>
          <w:i/>
          <w:highlight w:val="green"/>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La Unidad de Transparencia deberá notificarlo al solicitante por escrito, en un plazo que no exceda de quince días hábiles contados a partir del día siguiente a la presentación de la solicitud.</w:t>
      </w:r>
    </w:p>
    <w:p w:rsidR="00294C8C" w:rsidRDefault="00294C8C">
      <w:pPr>
        <w:ind w:left="567" w:right="567"/>
        <w:jc w:val="both"/>
        <w:rPr>
          <w:rFonts w:ascii="Palatino Linotype" w:eastAsia="Palatino Linotype" w:hAnsi="Palatino Linotype" w:cs="Palatino Linotype"/>
          <w:i/>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Este plazo podrá ampliarse hasta por otros siete días hábiles, siempre que existan razones para ello, debiendo notificarse por escrito al solicitante.</w:t>
      </w:r>
    </w:p>
    <w:p w:rsidR="00294C8C" w:rsidRDefault="00294C8C">
      <w:pPr>
        <w:spacing w:line="276" w:lineRule="auto"/>
        <w:ind w:left="567" w:right="567"/>
        <w:jc w:val="both"/>
        <w:rPr>
          <w:rFonts w:ascii="Palatino Linotype" w:eastAsia="Palatino Linotype" w:hAnsi="Palatino Linotype" w:cs="Palatino Linotype"/>
          <w:i/>
        </w:rPr>
      </w:pPr>
    </w:p>
    <w:p w:rsidR="00294C8C" w:rsidRDefault="00FE203E">
      <w:pPr>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Artículo 170</w:t>
      </w:r>
      <w:r>
        <w:rPr>
          <w:rFonts w:ascii="Palatino Linotype" w:eastAsia="Palatino Linotype" w:hAnsi="Palatino Linotype" w:cs="Palatino Linotype"/>
          <w:i/>
        </w:rPr>
        <w:t xml:space="preserve">. </w:t>
      </w:r>
      <w:r>
        <w:rPr>
          <w:rFonts w:ascii="Palatino Linotype" w:eastAsia="Palatino Linotype" w:hAnsi="Palatino Linotype" w:cs="Palatino Linotype"/>
          <w:b/>
          <w:i/>
        </w:rPr>
        <w:t xml:space="preserve">La resolución del Comité de Transparencia que confirme la inexistencia </w:t>
      </w:r>
      <w:r>
        <w:rPr>
          <w:rFonts w:ascii="Palatino Linotype" w:eastAsia="Palatino Linotype" w:hAnsi="Palatino Linotype" w:cs="Palatino Linotype"/>
          <w:i/>
        </w:rPr>
        <w:t>de la información solicitada contendrá los</w:t>
      </w:r>
      <w:r>
        <w:rPr>
          <w:rFonts w:ascii="Palatino Linotype" w:eastAsia="Palatino Linotype" w:hAnsi="Palatino Linotype" w:cs="Palatino Linotype"/>
          <w:b/>
          <w:i/>
          <w:u w:val="single"/>
        </w:rPr>
        <w:t xml:space="preserve"> elementos mínimos</w:t>
      </w:r>
      <w:r>
        <w:rPr>
          <w:rFonts w:ascii="Palatino Linotype" w:eastAsia="Palatino Linotype" w:hAnsi="Palatino Linotype" w:cs="Palatino Linotype"/>
          <w:i/>
        </w:rPr>
        <w:t xml:space="preserve"> que permitan al solicitante </w:t>
      </w:r>
      <w:r>
        <w:rPr>
          <w:rFonts w:ascii="Palatino Linotype" w:eastAsia="Palatino Linotype" w:hAnsi="Palatino Linotype" w:cs="Palatino Linotype"/>
          <w:b/>
          <w:i/>
          <w:u w:val="single"/>
        </w:rPr>
        <w:t>tener la certeza de que se utilizó un criterio de búsqueda exhaustivo</w:t>
      </w:r>
      <w:r>
        <w:rPr>
          <w:rFonts w:ascii="Palatino Linotype" w:eastAsia="Palatino Linotype" w:hAnsi="Palatino Linotype" w:cs="Palatino Linotype"/>
          <w:i/>
        </w:rPr>
        <w:t xml:space="preserve">, además de </w:t>
      </w:r>
      <w:r>
        <w:rPr>
          <w:rFonts w:ascii="Palatino Linotype" w:eastAsia="Palatino Linotype" w:hAnsi="Palatino Linotype" w:cs="Palatino Linotype"/>
          <w:b/>
          <w:i/>
          <w:u w:val="single"/>
        </w:rPr>
        <w:t>señalar las circunstancias de tiempo, modo y lugar que generaron la existencia</w:t>
      </w:r>
      <w:r>
        <w:rPr>
          <w:rFonts w:ascii="Palatino Linotype" w:eastAsia="Palatino Linotype" w:hAnsi="Palatino Linotype" w:cs="Palatino Linotype"/>
          <w:i/>
        </w:rPr>
        <w:t xml:space="preserve"> en cuestión y </w:t>
      </w:r>
      <w:r>
        <w:rPr>
          <w:rFonts w:ascii="Palatino Linotype" w:eastAsia="Palatino Linotype" w:hAnsi="Palatino Linotype" w:cs="Palatino Linotype"/>
          <w:b/>
          <w:i/>
          <w:u w:val="single"/>
        </w:rPr>
        <w:t>señalará al servidor público responsable de contar con la misma</w:t>
      </w:r>
      <w:r>
        <w:rPr>
          <w:rFonts w:ascii="Palatino Linotype" w:eastAsia="Palatino Linotype" w:hAnsi="Palatino Linotype" w:cs="Palatino Linotype"/>
          <w:i/>
        </w:rPr>
        <w:t>.</w:t>
      </w:r>
    </w:p>
    <w:p w:rsidR="00294C8C" w:rsidRDefault="00294C8C">
      <w:pPr>
        <w:spacing w:line="360" w:lineRule="auto"/>
        <w:jc w:val="both"/>
        <w:rPr>
          <w:rFonts w:ascii="Palatino Linotype" w:eastAsia="Palatino Linotype" w:hAnsi="Palatino Linotype" w:cs="Palatino Linotype"/>
          <w:highlight w:val="green"/>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La fracción II del artículo 169 en cita establece que el Comité de Transparencia deberá confirmar la inexistencia de los convenios, para que además de haber corroborado que se perdieron o destruyeron los convenios, se expongan los motivos y razones por las cuales estos no se pueden generar o reponer.</w:t>
      </w:r>
    </w:p>
    <w:p w:rsidR="00294C8C" w:rsidRDefault="00294C8C">
      <w:pPr>
        <w:spacing w:line="360" w:lineRule="auto"/>
        <w:jc w:val="both"/>
        <w:rPr>
          <w:rFonts w:ascii="Palatino Linotype" w:eastAsia="Palatino Linotype" w:hAnsi="Palatino Linotype" w:cs="Palatino Linotype"/>
          <w:highlight w:val="green"/>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Por todo lo anterior es que se considera </w:t>
      </w:r>
      <w:r>
        <w:rPr>
          <w:rFonts w:ascii="Palatino Linotype" w:eastAsia="Palatino Linotype" w:hAnsi="Palatino Linotype" w:cs="Palatino Linotype"/>
          <w:b/>
        </w:rPr>
        <w:t>Modificar</w:t>
      </w:r>
      <w:r>
        <w:rPr>
          <w:rFonts w:ascii="Palatino Linotype" w:eastAsia="Palatino Linotype" w:hAnsi="Palatino Linotype" w:cs="Palatino Linotype"/>
        </w:rPr>
        <w:t xml:space="preserve"> la respuesta del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a efecto que de que proporcione</w:t>
      </w:r>
      <w:r>
        <w:t xml:space="preserve"> </w:t>
      </w:r>
      <w:r>
        <w:rPr>
          <w:rFonts w:ascii="Palatino Linotype" w:eastAsia="Palatino Linotype" w:hAnsi="Palatino Linotype" w:cs="Palatino Linotype"/>
        </w:rPr>
        <w:t xml:space="preserve">los convenios, el primero suscrito conforme a los Decretos 33 y 249, y el segundo en atención al artículo 32 del Código Financiero del Estado de México y Municipios, con fundamento en los artículos 50, 51, 53 fracción IV, 162 y 165, de la Ley de Transparencia y Acceso a la Información Pública del Estado de México y Municipios, el artículo 162 es muy categórico al establecer: </w:t>
      </w:r>
    </w:p>
    <w:p w:rsidR="00294C8C" w:rsidRDefault="00294C8C">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294C8C" w:rsidRDefault="00FE203E">
      <w:pPr>
        <w:tabs>
          <w:tab w:val="left" w:pos="7938"/>
        </w:tabs>
        <w:spacing w:line="360" w:lineRule="auto"/>
        <w:ind w:left="851" w:right="902"/>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162. Las unidades de transparencia deberán garantizar que las solicitudes </w:t>
      </w:r>
      <w:r>
        <w:rPr>
          <w:rFonts w:ascii="Palatino Linotype" w:eastAsia="Palatino Linotype" w:hAnsi="Palatino Linotype" w:cs="Palatino Linotype"/>
          <w:b/>
          <w:i/>
          <w:u w:val="single"/>
        </w:rPr>
        <w:t>se turnen a todas las Áreas</w:t>
      </w:r>
      <w:r>
        <w:rPr>
          <w:rFonts w:ascii="Palatino Linotype" w:eastAsia="Palatino Linotype" w:hAnsi="Palatino Linotype" w:cs="Palatino Linotype"/>
          <w:i/>
        </w:rPr>
        <w:t xml:space="preserve"> competentes que cuenten con la </w:t>
      </w:r>
      <w:r>
        <w:rPr>
          <w:rFonts w:ascii="Palatino Linotype" w:eastAsia="Palatino Linotype" w:hAnsi="Palatino Linotype" w:cs="Palatino Linotype"/>
          <w:i/>
        </w:rPr>
        <w:lastRenderedPageBreak/>
        <w:t xml:space="preserve">información o deban tenerla de acuerdo a sus facultades, competencias y funciones, </w:t>
      </w:r>
      <w:r>
        <w:rPr>
          <w:rFonts w:ascii="Palatino Linotype" w:eastAsia="Palatino Linotype" w:hAnsi="Palatino Linotype" w:cs="Palatino Linotype"/>
          <w:b/>
          <w:i/>
          <w:u w:val="single"/>
        </w:rPr>
        <w:t>con el objeto de que realicen una búsqueda exhaustiva y razonable</w:t>
      </w:r>
      <w:r>
        <w:rPr>
          <w:rFonts w:ascii="Palatino Linotype" w:eastAsia="Palatino Linotype" w:hAnsi="Palatino Linotype" w:cs="Palatino Linotype"/>
          <w:i/>
        </w:rPr>
        <w:t xml:space="preserve"> de la información solicitada.”(Énfasis añadido)</w:t>
      </w:r>
    </w:p>
    <w:p w:rsidR="00294C8C" w:rsidRDefault="00294C8C">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rsidR="00294C8C" w:rsidRDefault="00FE203E">
      <w:pPr>
        <w:pBdr>
          <w:top w:val="nil"/>
          <w:left w:val="nil"/>
          <w:bottom w:val="nil"/>
          <w:right w:val="nil"/>
          <w:between w:val="nil"/>
        </w:pBdr>
        <w:spacing w:line="360" w:lineRule="auto"/>
        <w:jc w:val="both"/>
        <w:rPr>
          <w:rFonts w:ascii="Palatino Linotype" w:eastAsia="Palatino Linotype" w:hAnsi="Palatino Linotype" w:cs="Palatino Linotype"/>
          <w:b/>
          <w:color w:val="000000"/>
          <w:u w:val="single"/>
        </w:rPr>
      </w:pPr>
      <w:r>
        <w:rPr>
          <w:rFonts w:ascii="Palatino Linotype" w:eastAsia="Palatino Linotype" w:hAnsi="Palatino Linotype" w:cs="Palatino Linotype"/>
          <w:color w:val="000000"/>
        </w:rPr>
        <w:t xml:space="preserve">Como se puede apreciar, el Titular de la Unidad de Transparencia deberá garantizar que la solicitud de información se turne a todas las Áreas del </w:t>
      </w:r>
      <w:r>
        <w:rPr>
          <w:rFonts w:ascii="Palatino Linotype" w:eastAsia="Palatino Linotype" w:hAnsi="Palatino Linotype" w:cs="Palatino Linotype"/>
          <w:b/>
          <w:color w:val="000000"/>
        </w:rPr>
        <w:t xml:space="preserve">SUJETO OBLIGADO </w:t>
      </w:r>
      <w:r>
        <w:rPr>
          <w:rFonts w:ascii="Palatino Linotype" w:eastAsia="Palatino Linotype" w:hAnsi="Palatino Linotype" w:cs="Palatino Linotype"/>
          <w:color w:val="000000"/>
        </w:rPr>
        <w:t>que cuenten con la información o deban tenerla de acuerdo a sus facultades, competencias y funciones, quienes a su vez deberán realizar una búsqueda exhaustiva y razonable de la información solicitada en los archivos de las unidades administrativas de las que formen parte.</w:t>
      </w:r>
      <w:r>
        <w:rPr>
          <w:rFonts w:ascii="Palatino Linotype" w:eastAsia="Palatino Linotype" w:hAnsi="Palatino Linotype" w:cs="Palatino Linotype"/>
          <w:b/>
          <w:color w:val="000000"/>
        </w:rPr>
        <w:t xml:space="preserve"> </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 xml:space="preserve">Quinto. De la versión pública. </w:t>
      </w:r>
      <w:r>
        <w:rPr>
          <w:rFonts w:ascii="Palatino Linotype" w:eastAsia="Palatino Linotype" w:hAnsi="Palatino Linotype" w:cs="Palatino Linotype"/>
        </w:rPr>
        <w:t>El derecho de acceso a la información pública tiene como limitante el respeto a la intimidad y a la vida privada de las personas, por lo que la entrega de la información, deberá ser en versión pública en la que se suprima aquella información relacionada con la vida privada de los particulares y de los servidores públicos, de acuerdo con dispuesto en los artículos 3, fracciones IX, XX, XXI y XLV; 4, 51, 91, 137 y 143 de la Ley de Transparencia y Acceso a la Información Pública del Estado de México y Municipios.</w:t>
      </w:r>
    </w:p>
    <w:p w:rsidR="00294C8C" w:rsidRDefault="00FE203E">
      <w:pPr>
        <w:tabs>
          <w:tab w:val="left" w:pos="2235"/>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ab/>
      </w: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ello, los Sujetos Obligados deben observar que los datos personales en su posesión estén protegidos, adoptando las medidas de seguridad administrativa, física y técnica necesarias para garantizar la integridad, confidencialidad y disponibilidad de los mismos, considerando además, que conforme al principio de </w:t>
      </w:r>
      <w:r>
        <w:rPr>
          <w:rFonts w:ascii="Palatino Linotype" w:eastAsia="Palatino Linotype" w:hAnsi="Palatino Linotype" w:cs="Palatino Linotype"/>
        </w:rPr>
        <w:lastRenderedPageBreak/>
        <w:t>finalidad todo tratamiento de datos personales que efectúen los Sujetos Obligados deberá estar justificado en la Ley, tal como lo disponen los artículos 22, 38 y 43 de la Ley de Protección de Datos Personales en Posesión de Sujetos Obligados del Estado de México y Municipios.</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este supuesto, es criterio reiterado de este Instituto que además de los datos especificados en la Ley de Transparencia y Acceso a la Información Pública del Estado de México y Municipios, existen otros que se consideran confidenciales y por tanto deben testarse al momento de la elaboración de versiones públicas, tal es el caso del </w:t>
      </w:r>
      <w:r>
        <w:rPr>
          <w:rFonts w:ascii="Palatino Linotype" w:eastAsia="Palatino Linotype" w:hAnsi="Palatino Linotype" w:cs="Palatino Linotype"/>
          <w:b/>
        </w:rPr>
        <w:t>Registro Federal de Contribuyentes</w:t>
      </w:r>
      <w:r>
        <w:rPr>
          <w:rFonts w:ascii="Palatino Linotype" w:eastAsia="Palatino Linotype" w:hAnsi="Palatino Linotype" w:cs="Palatino Linotype"/>
        </w:rPr>
        <w:t xml:space="preserve"> (RFC), la </w:t>
      </w:r>
      <w:r>
        <w:rPr>
          <w:rFonts w:ascii="Palatino Linotype" w:eastAsia="Palatino Linotype" w:hAnsi="Palatino Linotype" w:cs="Palatino Linotype"/>
          <w:b/>
        </w:rPr>
        <w:t>Clave Única de Registro de Población</w:t>
      </w:r>
      <w:r>
        <w:rPr>
          <w:rFonts w:ascii="Palatino Linotype" w:eastAsia="Palatino Linotype" w:hAnsi="Palatino Linotype" w:cs="Palatino Linotype"/>
        </w:rPr>
        <w:t xml:space="preserve"> (CURP), la </w:t>
      </w:r>
      <w:r>
        <w:rPr>
          <w:rFonts w:ascii="Palatino Linotype" w:eastAsia="Palatino Linotype" w:hAnsi="Palatino Linotype" w:cs="Palatino Linotype"/>
          <w:b/>
        </w:rPr>
        <w:t>Clave de cualquier tipo de seguridad social</w:t>
      </w:r>
      <w:r>
        <w:rPr>
          <w:rFonts w:ascii="Palatino Linotype" w:eastAsia="Palatino Linotype" w:hAnsi="Palatino Linotype" w:cs="Palatino Linotype"/>
        </w:rPr>
        <w:t xml:space="preserve"> (ISSEMYM), u otros.</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En cuanto al RFC constituye un dato personal, ya que para su obtención es necesario acreditar ante la autoridad fiscal previamente la identidad de la persona, su fecha de nacimiento, entre otros aspectos. Ahora bien, las personas físicas tramitan su inscripción en el registro con el propósito de realizar —mediante esa clave de </w:t>
      </w:r>
      <w:r>
        <w:rPr>
          <w:rFonts w:ascii="Palatino Linotype" w:eastAsia="Palatino Linotype" w:hAnsi="Palatino Linotype" w:cs="Palatino Linotype"/>
        </w:rPr>
        <w:lastRenderedPageBreak/>
        <w:t>identificación— operaciones o actividades de naturaleza fiscal, la cual, les permite hacerse identificables respecto de una situación fiscal determinada.</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Lo anterior, es compartido por el entonces Instituto Federal de Acceso a la Información Protección de Datos (IFAI) a través del Criterio 09/2009, el cual es del tenor literal siguiente:</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 xml:space="preserve">“Registro Federal de Contribuyentes (RFC) de las personas físicas es un dato personal confidencial. </w:t>
      </w:r>
      <w:r>
        <w:rPr>
          <w:rFonts w:ascii="Palatino Linotype" w:eastAsia="Palatino Linotype" w:hAnsi="Palatino Linotype" w:cs="Palatino Linotype"/>
          <w:i/>
        </w:rPr>
        <w:t>De conformidad con lo establecido en el artículo 18,</w:t>
      </w:r>
      <w:r>
        <w:rPr>
          <w:rFonts w:ascii="Palatino Linotype" w:eastAsia="Palatino Linotype" w:hAnsi="Palatino Linotype" w:cs="Palatino Linotype"/>
          <w:b/>
          <w:i/>
        </w:rPr>
        <w:t xml:space="preserve"> </w:t>
      </w:r>
      <w:r>
        <w:rPr>
          <w:rFonts w:ascii="Palatino Linotype" w:eastAsia="Palatino Linotype" w:hAnsi="Palatino Linotype" w:cs="Palatino Linotype"/>
          <w:i/>
        </w:rPr>
        <w:t>fracción II de la Ley Federal de Transparencia y Acceso a la Información Pública</w:t>
      </w:r>
      <w:r>
        <w:rPr>
          <w:rFonts w:ascii="Palatino Linotype" w:eastAsia="Palatino Linotype" w:hAnsi="Palatino Linotype" w:cs="Palatino Linotype"/>
          <w:b/>
          <w:i/>
        </w:rPr>
        <w:t xml:space="preserve"> </w:t>
      </w:r>
      <w:r>
        <w:rPr>
          <w:rFonts w:ascii="Palatino Linotype" w:eastAsia="Palatino Linotype" w:hAnsi="Palatino Linotype" w:cs="Palatino Linotype"/>
          <w:i/>
        </w:rPr>
        <w:t xml:space="preserve">Gubernamental </w:t>
      </w:r>
      <w:r>
        <w:rPr>
          <w:rFonts w:ascii="Palatino Linotype" w:eastAsia="Palatino Linotype" w:hAnsi="Palatino Linotype" w:cs="Palatino Linotype"/>
          <w:i/>
          <w:u w:val="single"/>
        </w:rPr>
        <w:t>se considera información confidencial los datos personales que requieren el consentimiento de los individuos para su difusión, distribución o comercialización en los términos de esta Ley. Por su parte, según dispone el artículo 3, fracción II de la Ley Federal de Transparencia y Acceso a la Información Pública Gubernamental, dato personal es toda aquella información concerniente a una persona física identificada o identificable</w:t>
      </w:r>
      <w:r>
        <w:rPr>
          <w:rFonts w:ascii="Palatino Linotype" w:eastAsia="Palatino Linotype" w:hAnsi="Palatino Linotype" w:cs="Palatino Linotype"/>
          <w:i/>
        </w:rPr>
        <w:t xml:space="preserve">. Para </w:t>
      </w:r>
      <w:r>
        <w:rPr>
          <w:rFonts w:ascii="Palatino Linotype" w:eastAsia="Palatino Linotype" w:hAnsi="Palatino Linotype" w:cs="Palatino Linotype"/>
          <w:i/>
          <w:u w:val="single"/>
        </w:rPr>
        <w:t>obtener el RFC es necesario</w:t>
      </w:r>
      <w:r>
        <w:rPr>
          <w:rFonts w:ascii="Palatino Linotype" w:eastAsia="Palatino Linotype" w:hAnsi="Palatino Linotype" w:cs="Palatino Linotype"/>
          <w:b/>
          <w:i/>
          <w:u w:val="single"/>
        </w:rPr>
        <w:t xml:space="preserve"> </w:t>
      </w:r>
      <w:r>
        <w:rPr>
          <w:rFonts w:ascii="Palatino Linotype" w:eastAsia="Palatino Linotype" w:hAnsi="Palatino Linotype" w:cs="Palatino Linotype"/>
          <w:i/>
          <w:u w:val="single"/>
        </w:rPr>
        <w:t>acreditar previamente mediante documentos oficiales (pasaporte, acta de</w:t>
      </w:r>
      <w:r>
        <w:rPr>
          <w:rFonts w:ascii="Palatino Linotype" w:eastAsia="Palatino Linotype" w:hAnsi="Palatino Linotype" w:cs="Palatino Linotype"/>
          <w:b/>
          <w:i/>
          <w:u w:val="single"/>
        </w:rPr>
        <w:t xml:space="preserve"> </w:t>
      </w:r>
      <w:r>
        <w:rPr>
          <w:rFonts w:ascii="Palatino Linotype" w:eastAsia="Palatino Linotype" w:hAnsi="Palatino Linotype" w:cs="Palatino Linotype"/>
          <w:i/>
          <w:u w:val="single"/>
        </w:rPr>
        <w:t>nacimiento, etc.) la identidad de la persona, su fecha y lugar de nacimiento, entre</w:t>
      </w:r>
      <w:r>
        <w:rPr>
          <w:rFonts w:ascii="Palatino Linotype" w:eastAsia="Palatino Linotype" w:hAnsi="Palatino Linotype" w:cs="Palatino Linotype"/>
          <w:b/>
          <w:i/>
          <w:u w:val="single"/>
        </w:rPr>
        <w:t xml:space="preserve"> </w:t>
      </w:r>
      <w:r>
        <w:rPr>
          <w:rFonts w:ascii="Palatino Linotype" w:eastAsia="Palatino Linotype" w:hAnsi="Palatino Linotype" w:cs="Palatino Linotype"/>
          <w:i/>
          <w:u w:val="single"/>
        </w:rPr>
        <w:t xml:space="preserve">otros. </w:t>
      </w:r>
      <w:r>
        <w:rPr>
          <w:rFonts w:ascii="Palatino Linotype" w:eastAsia="Palatino Linotype" w:hAnsi="Palatino Linotype" w:cs="Palatino Linotype"/>
          <w:i/>
        </w:rPr>
        <w:t>De acuerdo con la legislación tributaria, las personas físicas tramitan su</w:t>
      </w:r>
      <w:r>
        <w:rPr>
          <w:rFonts w:ascii="Palatino Linotype" w:eastAsia="Palatino Linotype" w:hAnsi="Palatino Linotype" w:cs="Palatino Linotype"/>
          <w:b/>
          <w:i/>
        </w:rPr>
        <w:t xml:space="preserve"> </w:t>
      </w:r>
      <w:r>
        <w:rPr>
          <w:rFonts w:ascii="Palatino Linotype" w:eastAsia="Palatino Linotype" w:hAnsi="Palatino Linotype" w:cs="Palatino Linotype"/>
          <w:i/>
        </w:rPr>
        <w:t>inscripción en el Registro Federal de Contribuyentes con el único propósito de</w:t>
      </w:r>
      <w:r>
        <w:rPr>
          <w:rFonts w:ascii="Palatino Linotype" w:eastAsia="Palatino Linotype" w:hAnsi="Palatino Linotype" w:cs="Palatino Linotype"/>
          <w:b/>
          <w:i/>
        </w:rPr>
        <w:t xml:space="preserve"> </w:t>
      </w:r>
      <w:r>
        <w:rPr>
          <w:rFonts w:ascii="Palatino Linotype" w:eastAsia="Palatino Linotype" w:hAnsi="Palatino Linotype" w:cs="Palatino Linotype"/>
          <w:i/>
        </w:rPr>
        <w:t>realizar mediante esa clave de identificación, operaciones o actividades de</w:t>
      </w:r>
      <w:r>
        <w:rPr>
          <w:rFonts w:ascii="Palatino Linotype" w:eastAsia="Palatino Linotype" w:hAnsi="Palatino Linotype" w:cs="Palatino Linotype"/>
          <w:b/>
          <w:i/>
        </w:rPr>
        <w:t xml:space="preserve"> </w:t>
      </w:r>
      <w:r>
        <w:rPr>
          <w:rFonts w:ascii="Palatino Linotype" w:eastAsia="Palatino Linotype" w:hAnsi="Palatino Linotype" w:cs="Palatino Linotype"/>
          <w:i/>
        </w:rPr>
        <w:t>naturaleza tributaria. En este sentido, el artículo 79 del Código Fiscal de la</w:t>
      </w:r>
      <w:r>
        <w:rPr>
          <w:rFonts w:ascii="Palatino Linotype" w:eastAsia="Palatino Linotype" w:hAnsi="Palatino Linotype" w:cs="Palatino Linotype"/>
          <w:b/>
          <w:i/>
        </w:rPr>
        <w:t xml:space="preserve"> </w:t>
      </w:r>
      <w:r>
        <w:rPr>
          <w:rFonts w:ascii="Palatino Linotype" w:eastAsia="Palatino Linotype" w:hAnsi="Palatino Linotype" w:cs="Palatino Linotype"/>
          <w:i/>
        </w:rPr>
        <w:t>Federación prevé que la utilización de una clave de registro no asignada por la</w:t>
      </w:r>
      <w:r>
        <w:rPr>
          <w:rFonts w:ascii="Palatino Linotype" w:eastAsia="Palatino Linotype" w:hAnsi="Palatino Linotype" w:cs="Palatino Linotype"/>
          <w:b/>
          <w:i/>
        </w:rPr>
        <w:t xml:space="preserve"> </w:t>
      </w:r>
      <w:r>
        <w:rPr>
          <w:rFonts w:ascii="Palatino Linotype" w:eastAsia="Palatino Linotype" w:hAnsi="Palatino Linotype" w:cs="Palatino Linotype"/>
          <w:i/>
        </w:rPr>
        <w:t>autoridad constituye como una infracción en materia fiscal. De acuerdo con lo</w:t>
      </w:r>
      <w:r>
        <w:rPr>
          <w:rFonts w:ascii="Palatino Linotype" w:eastAsia="Palatino Linotype" w:hAnsi="Palatino Linotype" w:cs="Palatino Linotype"/>
          <w:b/>
          <w:i/>
        </w:rPr>
        <w:t xml:space="preserve"> </w:t>
      </w:r>
      <w:r>
        <w:rPr>
          <w:rFonts w:ascii="Palatino Linotype" w:eastAsia="Palatino Linotype" w:hAnsi="Palatino Linotype" w:cs="Palatino Linotype"/>
          <w:i/>
        </w:rPr>
        <w:t>antes apuntado, el RFC vinculado al nombre de su titular, permite identificar la</w:t>
      </w:r>
      <w:r>
        <w:rPr>
          <w:rFonts w:ascii="Palatino Linotype" w:eastAsia="Palatino Linotype" w:hAnsi="Palatino Linotype" w:cs="Palatino Linotype"/>
          <w:b/>
          <w:i/>
        </w:rPr>
        <w:t xml:space="preserve"> </w:t>
      </w:r>
      <w:r>
        <w:rPr>
          <w:rFonts w:ascii="Palatino Linotype" w:eastAsia="Palatino Linotype" w:hAnsi="Palatino Linotype" w:cs="Palatino Linotype"/>
          <w:i/>
        </w:rPr>
        <w:t xml:space="preserve">edad de la persona, así como su </w:t>
      </w:r>
      <w:proofErr w:type="spellStart"/>
      <w:r>
        <w:rPr>
          <w:rFonts w:ascii="Palatino Linotype" w:eastAsia="Palatino Linotype" w:hAnsi="Palatino Linotype" w:cs="Palatino Linotype"/>
          <w:i/>
        </w:rPr>
        <w:t>homoclave</w:t>
      </w:r>
      <w:proofErr w:type="spellEnd"/>
      <w:r>
        <w:rPr>
          <w:rFonts w:ascii="Palatino Linotype" w:eastAsia="Palatino Linotype" w:hAnsi="Palatino Linotype" w:cs="Palatino Linotype"/>
          <w:i/>
        </w:rPr>
        <w:t>, siendo esta última única e irrepetible,</w:t>
      </w:r>
      <w:r>
        <w:rPr>
          <w:rFonts w:ascii="Palatino Linotype" w:eastAsia="Palatino Linotype" w:hAnsi="Palatino Linotype" w:cs="Palatino Linotype"/>
          <w:b/>
          <w:i/>
        </w:rPr>
        <w:t xml:space="preserve"> </w:t>
      </w:r>
      <w:r>
        <w:rPr>
          <w:rFonts w:ascii="Palatino Linotype" w:eastAsia="Palatino Linotype" w:hAnsi="Palatino Linotype" w:cs="Palatino Linotype"/>
          <w:i/>
        </w:rPr>
        <w:t>por lo que es posible concluir que el RFC constituye un dato personal y, por tanto,</w:t>
      </w:r>
      <w:r>
        <w:rPr>
          <w:rFonts w:ascii="Palatino Linotype" w:eastAsia="Palatino Linotype" w:hAnsi="Palatino Linotype" w:cs="Palatino Linotype"/>
          <w:b/>
          <w:i/>
        </w:rPr>
        <w:t xml:space="preserve"> </w:t>
      </w:r>
      <w:r>
        <w:rPr>
          <w:rFonts w:ascii="Palatino Linotype" w:eastAsia="Palatino Linotype" w:hAnsi="Palatino Linotype" w:cs="Palatino Linotype"/>
          <w:i/>
        </w:rPr>
        <w:t>información confidencial, de conformidad con los previsto en el artículo 18,</w:t>
      </w:r>
      <w:r>
        <w:rPr>
          <w:rFonts w:ascii="Palatino Linotype" w:eastAsia="Palatino Linotype" w:hAnsi="Palatino Linotype" w:cs="Palatino Linotype"/>
          <w:b/>
          <w:i/>
        </w:rPr>
        <w:t xml:space="preserve"> </w:t>
      </w:r>
      <w:r>
        <w:rPr>
          <w:rFonts w:ascii="Palatino Linotype" w:eastAsia="Palatino Linotype" w:hAnsi="Palatino Linotype" w:cs="Palatino Linotype"/>
          <w:i/>
        </w:rPr>
        <w:t>fracción II de la Ley Federal de Transparencia y Acceso a la Información Pública</w:t>
      </w:r>
      <w:r>
        <w:rPr>
          <w:rFonts w:ascii="Palatino Linotype" w:eastAsia="Palatino Linotype" w:hAnsi="Palatino Linotype" w:cs="Palatino Linotype"/>
          <w:b/>
          <w:i/>
        </w:rPr>
        <w:t xml:space="preserve"> </w:t>
      </w:r>
      <w:r>
        <w:rPr>
          <w:rFonts w:ascii="Palatino Linotype" w:eastAsia="Palatino Linotype" w:hAnsi="Palatino Linotype" w:cs="Palatino Linotype"/>
          <w:i/>
        </w:rPr>
        <w:t>Gubernamental…” (Sic)</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lastRenderedPageBreak/>
        <w:t xml:space="preserve">Así, el RFC se vincula al nombre de su titular y permite identificar la edad de la persona, su fecha de nacimiento, así como su </w:t>
      </w:r>
      <w:proofErr w:type="spellStart"/>
      <w:r>
        <w:rPr>
          <w:rFonts w:ascii="Palatino Linotype" w:eastAsia="Palatino Linotype" w:hAnsi="Palatino Linotype" w:cs="Palatino Linotype"/>
        </w:rPr>
        <w:t>homoclave</w:t>
      </w:r>
      <w:proofErr w:type="spellEnd"/>
      <w:r>
        <w:rPr>
          <w:rFonts w:ascii="Palatino Linotype" w:eastAsia="Palatino Linotype" w:hAnsi="Palatino Linotype" w:cs="Palatino Linotype"/>
        </w:rPr>
        <w:t>,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En cuanto al CURP, en virtud de que éste se 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Argumento que es compartido por el entonces </w:t>
      </w:r>
      <w:r>
        <w:rPr>
          <w:rFonts w:ascii="Palatino Linotype" w:eastAsia="Palatino Linotype" w:hAnsi="Palatino Linotype" w:cs="Palatino Linotype"/>
          <w:b/>
        </w:rPr>
        <w:t xml:space="preserve">Instituto Federal de Acceso a la Información y Protección de Datos (IFAI), conforme al </w:t>
      </w:r>
      <w:r>
        <w:rPr>
          <w:rFonts w:ascii="Palatino Linotype" w:eastAsia="Palatino Linotype" w:hAnsi="Palatino Linotype" w:cs="Palatino Linotype"/>
        </w:rPr>
        <w:t xml:space="preserve">criterio número 0003-10, el cual refiere: </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505"/>
        </w:tabs>
        <w:spacing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 xml:space="preserve">“Clave Única de Registro de Población (CURP) es un dato personal confidencial. </w:t>
      </w:r>
      <w:r>
        <w:rPr>
          <w:rFonts w:ascii="Palatino Linotype" w:eastAsia="Palatino Linotype" w:hAnsi="Palatino Linotype" w:cs="Palatino Linotype"/>
          <w:i/>
        </w:rPr>
        <w:t xml:space="preserve">De conformidad con lo establecido en el artículo 3, fracción II de la Ley Federal de Transparencia y Acceso a la Información Pública Gubernamental, dato personal es toda aquella información concerniente a una persona física identificada o identificable. Por su parte, el artículo 18, fracción II de la Ley considera información confidencial los datos personales que requieren el consentimiento de los individuos para su difusión, distribución o comercialización en los términos de esta Ley. En este sentido, la CURP se integra </w:t>
      </w:r>
      <w:r>
        <w:rPr>
          <w:rFonts w:ascii="Palatino Linotype" w:eastAsia="Palatino Linotype" w:hAnsi="Palatino Linotype" w:cs="Palatino Linotype"/>
          <w:i/>
        </w:rPr>
        <w:lastRenderedPageBreak/>
        <w:t>por datos personales que únicamente le conciernen a un particular como son su fecha de nacimiento, su nombre, sus apellidos y su lugar de nacimiento, y esta es información que lo distingue plenamente del resto de los habitantes, por lo que es de carácter confidencial, en términos de lo dispuesto en el artículos anteriormente señalados</w:t>
      </w:r>
      <w:r>
        <w:rPr>
          <w:rFonts w:ascii="Palatino Linotype" w:eastAsia="Palatino Linotype" w:hAnsi="Palatino Linotype" w:cs="Palatino Linotype"/>
          <w:b/>
          <w:i/>
        </w:rPr>
        <w:t>..</w:t>
      </w:r>
      <w:r>
        <w:rPr>
          <w:rFonts w:ascii="Palatino Linotype" w:eastAsia="Palatino Linotype" w:hAnsi="Palatino Linotype" w:cs="Palatino Linotype"/>
          <w:i/>
        </w:rPr>
        <w:t>.” (Sic)</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294C8C" w:rsidRDefault="00294C8C">
      <w:pPr>
        <w:spacing w:line="360" w:lineRule="auto"/>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Además de ello, se considera que se deberá testar el sello digital del contribuyente que lo expide y la cadena original de éste, en virtud de que éstos se pueden vincular con la identidad de un sujeto o entidad y su clave pública; los que a su vez, guardan estrecha relación con la clave del Registro Federal de Contribuyentes de quien lo expida, el régimen fiscal en que tributen conforme a la Ley del Impuesto Sobre la Renta y, en su caso, la clave del Registro Federal de Contribuyentes de la persona a favor de quien se expida, así como la clave pública del titular del certificado, datos que, se insiste, no son de acceso público, de ahí que deben protegerse mediante la versión pública correspondiente.</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 xml:space="preserve">Por su parte, los Lineamientos Generales en materia de Clasificación y Desclasificación de la información, así como para la elaboración de versiones </w:t>
      </w:r>
      <w:r>
        <w:rPr>
          <w:rFonts w:ascii="Palatino Linotype" w:eastAsia="Palatino Linotype" w:hAnsi="Palatino Linotype" w:cs="Palatino Linotype"/>
        </w:rPr>
        <w:lastRenderedPageBreak/>
        <w:t>públicas, emitidos por el Sistema Nacional de Transparencia, Acceso a la Información Pública y Protección de Datos Personales, establecen lo siguiente:</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505"/>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Cuarto</w:t>
      </w:r>
      <w:r>
        <w:rPr>
          <w:rFonts w:ascii="Palatino Linotype" w:eastAsia="Palatino Linotype" w:hAnsi="Palatino Linotype" w:cs="Palatino Linotype"/>
          <w:i/>
        </w:rPr>
        <w:t xml:space="preserve">. </w:t>
      </w:r>
      <w:r>
        <w:rPr>
          <w:rFonts w:ascii="Palatino Linotype" w:eastAsia="Palatino Linotype" w:hAnsi="Palatino Linotype" w:cs="Palatino Linotype"/>
          <w:b/>
          <w:i/>
          <w:u w:val="single"/>
        </w:rPr>
        <w:t>Para clasificar la información como reservada o confidencial,</w:t>
      </w:r>
      <w:r>
        <w:rPr>
          <w:rFonts w:ascii="Palatino Linotype" w:eastAsia="Palatino Linotype" w:hAnsi="Palatino Linotype" w:cs="Palatino Linotype"/>
          <w:i/>
        </w:rPr>
        <w:t xml:space="preserve">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Los sujetos obligados deberán aplicar, de manera estricta, las excepciones al derecho de acceso a la información y sólo podrán invocarlas cuando acrediten su procedencia.</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Quinto</w:t>
      </w:r>
      <w:r>
        <w:rPr>
          <w:rFonts w:ascii="Palatino Linotype" w:eastAsia="Palatino Linotype" w:hAnsi="Palatino Linotype" w:cs="Palatino Linotype"/>
          <w:i/>
        </w:rPr>
        <w:t xml:space="preserve">. </w:t>
      </w:r>
      <w:r>
        <w:rPr>
          <w:rFonts w:ascii="Palatino Linotype" w:eastAsia="Palatino Linotype" w:hAnsi="Palatino Linotype" w:cs="Palatino Linotype"/>
          <w:b/>
          <w:i/>
        </w:rPr>
        <w:t xml:space="preserve">La carga de la prueba para justificar toda negativa de acceso a la información, </w:t>
      </w:r>
      <w:r>
        <w:rPr>
          <w:rFonts w:ascii="Palatino Linotype" w:eastAsia="Palatino Linotype" w:hAnsi="Palatino Linotype" w:cs="Palatino Linotype"/>
          <w:i/>
        </w:rPr>
        <w:t>por actualizarse cualquiera de los supuestos de clasificación previstos en la Ley General, la Ley Federal y leyes estatales, corresponderá</w:t>
      </w:r>
      <w:r>
        <w:rPr>
          <w:rFonts w:ascii="Palatino Linotype" w:eastAsia="Palatino Linotype" w:hAnsi="Palatino Linotype" w:cs="Palatino Linotype"/>
          <w:b/>
          <w:i/>
        </w:rPr>
        <w:t xml:space="preserve"> a los sujetos obligados, por lo que deberán fundar y motivar debidamente la clasificación de la información ante una solicitud de acceso o al momento en que generen versiones públicas para dar cumplimiento a las obligaciones de transparencia</w:t>
      </w:r>
      <w:r>
        <w:rPr>
          <w:rFonts w:ascii="Palatino Linotype" w:eastAsia="Palatino Linotype" w:hAnsi="Palatino Linotype" w:cs="Palatino Linotype"/>
          <w:i/>
        </w:rPr>
        <w:t>, observando lo dispuesto en la Ley General y las demás disposiciones aplicables en la materia.</w:t>
      </w:r>
    </w:p>
    <w:p w:rsidR="00294C8C" w:rsidRDefault="00294C8C">
      <w:pPr>
        <w:tabs>
          <w:tab w:val="left" w:pos="8647"/>
        </w:tabs>
        <w:ind w:left="567" w:right="567"/>
        <w:jc w:val="both"/>
        <w:rPr>
          <w:rFonts w:ascii="Palatino Linotype" w:eastAsia="Palatino Linotype" w:hAnsi="Palatino Linotype" w:cs="Palatino Linotype"/>
          <w:i/>
        </w:rPr>
      </w:pP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Octavo</w:t>
      </w:r>
      <w:r>
        <w:rPr>
          <w:rFonts w:ascii="Palatino Linotype" w:eastAsia="Palatino Linotype" w:hAnsi="Palatino Linotype" w:cs="Palatino Linotype"/>
          <w:i/>
        </w:rPr>
        <w:t xml:space="preserve">. </w:t>
      </w:r>
      <w:r>
        <w:rPr>
          <w:rFonts w:ascii="Palatino Linotype" w:eastAsia="Palatino Linotype" w:hAnsi="Palatino Linotype" w:cs="Palatino Linotype"/>
          <w:i/>
          <w:u w:val="single"/>
        </w:rPr>
        <w:t>Para fundar la clasificación de la información se debe señalar el artículo, fracción, inciso, párrafo o numeral de la ley o tratado internacional</w:t>
      </w:r>
      <w:r>
        <w:rPr>
          <w:rFonts w:ascii="Palatino Linotype" w:eastAsia="Palatino Linotype" w:hAnsi="Palatino Linotype" w:cs="Palatino Linotype"/>
          <w:i/>
        </w:rPr>
        <w:t xml:space="preserve"> suscrito por el Estado mexicano que expresamente le otorga el carácter de reservada o confidencial.</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Para motivar la clasificación se deberán señalar las razones o circunstancias especiales que lo llevaron a concluir que el caso particular se ajusta al supuesto previsto por la norma legal invocada como fundamento.</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w:t>
      </w:r>
    </w:p>
    <w:p w:rsidR="00294C8C" w:rsidRDefault="00FE203E">
      <w:pPr>
        <w:tabs>
          <w:tab w:val="left" w:pos="8647"/>
        </w:tabs>
        <w:ind w:left="567" w:right="567"/>
        <w:jc w:val="both"/>
        <w:rPr>
          <w:rFonts w:ascii="Palatino Linotype" w:eastAsia="Palatino Linotype" w:hAnsi="Palatino Linotype" w:cs="Palatino Linotype"/>
          <w:b/>
          <w:i/>
        </w:rPr>
      </w:pPr>
      <w:r>
        <w:rPr>
          <w:rFonts w:ascii="Palatino Linotype" w:eastAsia="Palatino Linotype" w:hAnsi="Palatino Linotype" w:cs="Palatino Linotype"/>
          <w:b/>
          <w:i/>
        </w:rPr>
        <w:t>DE LA INFORMACIÓN CONFIDENCIAL</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 xml:space="preserve">Trigésimo octavo. </w:t>
      </w:r>
      <w:r>
        <w:rPr>
          <w:rFonts w:ascii="Palatino Linotype" w:eastAsia="Palatino Linotype" w:hAnsi="Palatino Linotype" w:cs="Palatino Linotype"/>
          <w:i/>
        </w:rPr>
        <w:t>Se considera información confidencial:</w:t>
      </w:r>
    </w:p>
    <w:p w:rsidR="00294C8C" w:rsidRDefault="00FE203E">
      <w:pPr>
        <w:tabs>
          <w:tab w:val="left" w:pos="8647"/>
        </w:tabs>
        <w:ind w:left="567" w:right="567"/>
        <w:jc w:val="both"/>
        <w:rPr>
          <w:rFonts w:ascii="Palatino Linotype" w:eastAsia="Palatino Linotype" w:hAnsi="Palatino Linotype" w:cs="Palatino Linotype"/>
          <w:b/>
          <w:i/>
        </w:rPr>
      </w:pPr>
      <w:r>
        <w:rPr>
          <w:rFonts w:ascii="Palatino Linotype" w:eastAsia="Palatino Linotype" w:hAnsi="Palatino Linotype" w:cs="Palatino Linotype"/>
          <w:i/>
        </w:rPr>
        <w:t xml:space="preserve">I. </w:t>
      </w:r>
      <w:r>
        <w:rPr>
          <w:rFonts w:ascii="Palatino Linotype" w:eastAsia="Palatino Linotype" w:hAnsi="Palatino Linotype" w:cs="Palatino Linotype"/>
          <w:b/>
          <w:i/>
          <w:u w:val="single"/>
        </w:rPr>
        <w:t>Los datos personales en los términos de la norma aplicable</w:t>
      </w:r>
      <w:r>
        <w:rPr>
          <w:rFonts w:ascii="Palatino Linotype" w:eastAsia="Palatino Linotype" w:hAnsi="Palatino Linotype" w:cs="Palatino Linotype"/>
          <w:b/>
          <w:i/>
        </w:rPr>
        <w:t>;</w:t>
      </w:r>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II. La que se entregue con tal carácter por los particulares a los sujetos obligados, siempre y cuando tengan el derecho de entregar con dicho carácter la información, de conformidad con lo dispuesto en las leyes o en los Tratados Internacionales de los que el Estado mexicano sea parte, y</w:t>
      </w:r>
    </w:p>
    <w:p w:rsidR="00294C8C" w:rsidRDefault="00FE203E">
      <w:pPr>
        <w:tabs>
          <w:tab w:val="left" w:pos="8647"/>
        </w:tabs>
        <w:ind w:left="567" w:right="567"/>
        <w:jc w:val="both"/>
        <w:rPr>
          <w:rFonts w:ascii="Palatino Linotype" w:eastAsia="Palatino Linotype" w:hAnsi="Palatino Linotype" w:cs="Palatino Linotype"/>
          <w:i/>
        </w:rPr>
      </w:pPr>
      <w:proofErr w:type="gramStart"/>
      <w:r>
        <w:rPr>
          <w:rFonts w:ascii="Palatino Linotype" w:eastAsia="Palatino Linotype" w:hAnsi="Palatino Linotype" w:cs="Palatino Linotype"/>
          <w:i/>
        </w:rPr>
        <w:t>III …</w:t>
      </w:r>
      <w:proofErr w:type="gramEnd"/>
    </w:p>
    <w:p w:rsidR="00294C8C" w:rsidRDefault="00FE203E">
      <w:pPr>
        <w:tabs>
          <w:tab w:val="left" w:pos="8647"/>
        </w:tabs>
        <w:ind w:left="567" w:right="567"/>
        <w:jc w:val="both"/>
        <w:rPr>
          <w:rFonts w:ascii="Palatino Linotype" w:eastAsia="Palatino Linotype" w:hAnsi="Palatino Linotype" w:cs="Palatino Linotype"/>
          <w:i/>
        </w:rPr>
      </w:pPr>
      <w:r>
        <w:rPr>
          <w:rFonts w:ascii="Palatino Linotype" w:eastAsia="Palatino Linotype" w:hAnsi="Palatino Linotype" w:cs="Palatino Linotype"/>
          <w:i/>
        </w:rPr>
        <w:t>La información confidencial no estará sujeta a temporalidad alguna y sólo podrán tener acceso a ella los titulares de la misma, sus representantes y los servidores públicos facultados para ello.”</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rPr>
        <w:t>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Entonces,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debe seguir el procedimiento legal establecido para su clasificación, es decir, es necesario que el Comité de Transparencia emita un Acuerdo de Clasificación que cumpla con las formalidades previstas en los artículos 137, 143 y 149 de la Ley de Transparencia y Acceso a la Información Pública del Estado de México y Municipios, es decir, fundado y motivado</w:t>
      </w:r>
      <w:r>
        <w:rPr>
          <w:rFonts w:ascii="Palatino Linotype" w:eastAsia="Palatino Linotype" w:hAnsi="Palatino Linotype" w:cs="Palatino Linotype"/>
          <w:i/>
        </w:rPr>
        <w:t>.</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Finalmente se advierte que, de la confronta a la solicitud de información y las razones o motivos de inconformidad de la parte</w:t>
      </w:r>
      <w:r>
        <w:rPr>
          <w:rFonts w:ascii="Palatino Linotype" w:eastAsia="Palatino Linotype" w:hAnsi="Palatino Linotype" w:cs="Palatino Linotype"/>
          <w:b/>
          <w:color w:val="000000"/>
        </w:rPr>
        <w:t xml:space="preserve"> RECURRENTE</w:t>
      </w:r>
      <w:r>
        <w:rPr>
          <w:rFonts w:ascii="Palatino Linotype" w:eastAsia="Palatino Linotype" w:hAnsi="Palatino Linotype" w:cs="Palatino Linotype"/>
          <w:color w:val="000000"/>
        </w:rPr>
        <w:t xml:space="preserve">, constituyen en nuevos requerimientos de información, configurándose así lo que se conoce como </w:t>
      </w:r>
      <w:r>
        <w:rPr>
          <w:rFonts w:ascii="Palatino Linotype" w:eastAsia="Palatino Linotype" w:hAnsi="Palatino Linotype" w:cs="Palatino Linotype"/>
          <w:i/>
          <w:color w:val="000000"/>
        </w:rPr>
        <w:t xml:space="preserve">Plus </w:t>
      </w:r>
      <w:proofErr w:type="spellStart"/>
      <w:r>
        <w:rPr>
          <w:rFonts w:ascii="Palatino Linotype" w:eastAsia="Palatino Linotype" w:hAnsi="Palatino Linotype" w:cs="Palatino Linotype"/>
          <w:i/>
          <w:color w:val="000000"/>
        </w:rPr>
        <w:t>Petitio</w:t>
      </w:r>
      <w:proofErr w:type="spellEnd"/>
      <w:r>
        <w:rPr>
          <w:rFonts w:ascii="Palatino Linotype" w:eastAsia="Palatino Linotype" w:hAnsi="Palatino Linotype" w:cs="Palatino Linotype"/>
          <w:color w:val="000000"/>
        </w:rPr>
        <w:t xml:space="preserve">, que consiste en una ampliación a su requerimiento informativo, argumentos que no son susceptibles de ser valorados en términos de la fracción VII del Artículo 191 de la Ley de Transparencia y Acceso a la Información Pública del Estado de México y Municipios, el cual señala la improcedencia cuando el Recurrente amplíe su solicitud en el Recurso de Revisión, </w:t>
      </w:r>
      <w:r>
        <w:rPr>
          <w:rFonts w:ascii="Palatino Linotype" w:eastAsia="Palatino Linotype" w:hAnsi="Palatino Linotype" w:cs="Palatino Linotype"/>
          <w:b/>
          <w:color w:val="000000"/>
          <w:u w:val="single"/>
        </w:rPr>
        <w:t xml:space="preserve">únicamente respecto de los nuevos contenidos; </w:t>
      </w:r>
      <w:r>
        <w:rPr>
          <w:rFonts w:ascii="Palatino Linotype" w:eastAsia="Palatino Linotype" w:hAnsi="Palatino Linotype" w:cs="Palatino Linotype"/>
          <w:color w:val="000000"/>
        </w:rPr>
        <w:t>cuestión que tuvo lugar en el presente caso, pues la parte</w:t>
      </w:r>
      <w:r>
        <w:rPr>
          <w:rFonts w:ascii="Palatino Linotype" w:eastAsia="Palatino Linotype" w:hAnsi="Palatino Linotype" w:cs="Palatino Linotype"/>
          <w:b/>
          <w:color w:val="000000"/>
        </w:rPr>
        <w:t xml:space="preserve"> RECURRENTE</w:t>
      </w:r>
      <w:r>
        <w:rPr>
          <w:rFonts w:ascii="Palatino Linotype" w:eastAsia="Palatino Linotype" w:hAnsi="Palatino Linotype" w:cs="Palatino Linotype"/>
          <w:color w:val="000000"/>
        </w:rPr>
        <w:t xml:space="preserve"> formuló nuevos cuestionamientos, en los que solicitó información que no formó parte de su solicitud inicial, al señalar que “…</w:t>
      </w:r>
      <w:r>
        <w:rPr>
          <w:rFonts w:ascii="Palatino Linotype" w:eastAsia="Palatino Linotype" w:hAnsi="Palatino Linotype" w:cs="Palatino Linotype"/>
          <w:i/>
          <w:color w:val="000000"/>
        </w:rPr>
        <w:t xml:space="preserve"> por qué su sistema autoriza descontar </w:t>
      </w:r>
      <w:proofErr w:type="spellStart"/>
      <w:r>
        <w:rPr>
          <w:rFonts w:ascii="Palatino Linotype" w:eastAsia="Palatino Linotype" w:hAnsi="Palatino Linotype" w:cs="Palatino Linotype"/>
          <w:i/>
          <w:color w:val="000000"/>
        </w:rPr>
        <w:t>mas</w:t>
      </w:r>
      <w:proofErr w:type="spellEnd"/>
      <w:r>
        <w:rPr>
          <w:rFonts w:ascii="Palatino Linotype" w:eastAsia="Palatino Linotype" w:hAnsi="Palatino Linotype" w:cs="Palatino Linotype"/>
          <w:i/>
          <w:color w:val="000000"/>
        </w:rPr>
        <w:t xml:space="preserve"> allá del </w:t>
      </w:r>
      <w:proofErr w:type="spellStart"/>
      <w:r>
        <w:rPr>
          <w:rFonts w:ascii="Palatino Linotype" w:eastAsia="Palatino Linotype" w:hAnsi="Palatino Linotype" w:cs="Palatino Linotype"/>
          <w:i/>
          <w:color w:val="000000"/>
        </w:rPr>
        <w:t>limite</w:t>
      </w:r>
      <w:proofErr w:type="spellEnd"/>
      <w:r>
        <w:rPr>
          <w:rFonts w:ascii="Palatino Linotype" w:eastAsia="Palatino Linotype" w:hAnsi="Palatino Linotype" w:cs="Palatino Linotype"/>
          <w:i/>
          <w:color w:val="000000"/>
        </w:rPr>
        <w:t xml:space="preserve"> permitido por la ley?</w:t>
      </w:r>
      <w:r>
        <w:rPr>
          <w:rFonts w:ascii="Palatino Linotype" w:eastAsia="Palatino Linotype" w:hAnsi="Palatino Linotype" w:cs="Palatino Linotype"/>
          <w:b/>
          <w:color w:val="000000"/>
        </w:rPr>
        <w:t>”</w:t>
      </w:r>
      <w:r>
        <w:rPr>
          <w:rFonts w:ascii="Palatino Linotype" w:eastAsia="Palatino Linotype" w:hAnsi="Palatino Linotype" w:cs="Palatino Linotype"/>
          <w:color w:val="000000"/>
        </w:rPr>
        <w:t xml:space="preserve"> (Sic).</w:t>
      </w:r>
    </w:p>
    <w:p w:rsidR="00294C8C" w:rsidRDefault="00FE203E">
      <w:pPr>
        <w:pBdr>
          <w:top w:val="nil"/>
          <w:left w:val="nil"/>
          <w:bottom w:val="nil"/>
          <w:right w:val="nil"/>
          <w:between w:val="nil"/>
        </w:pBdr>
        <w:spacing w:before="240" w:after="240" w:line="360" w:lineRule="auto"/>
        <w:jc w:val="both"/>
        <w:rPr>
          <w:color w:val="000000"/>
        </w:rPr>
      </w:pPr>
      <w:r>
        <w:rPr>
          <w:rFonts w:ascii="Palatino Linotype" w:eastAsia="Palatino Linotype" w:hAnsi="Palatino Linotype" w:cs="Palatino Linotype"/>
          <w:color w:val="000000"/>
        </w:rPr>
        <w:t>En este tenor, es posible determinar que para el caso que nos ocupa, los argumentos formulados como motivos o razones de inconformidad son una ampliación a la solicitud inicial y corresponden a nuevos requerimientos de información, que no se encuentran relacionados con lo solicitado en un primer momento; por lo que se actualiza el supuesto de improcedencia previsto en el artículo 191 fracción VII de la Ley de Transparencia y Acceso a la Información Pública del Estado de México y Municipios; que prevé que son improcedentes los Recursos de Revisión en los que se plantean ampliaciones a las solicitudes iniciales.</w:t>
      </w:r>
    </w:p>
    <w:p w:rsidR="00294C8C" w:rsidRDefault="00FE203E">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En este orden de ideas, una vez formulada su solicitud inicial,</w:t>
      </w:r>
      <w:r>
        <w:rPr>
          <w:rFonts w:ascii="Palatino Linotype" w:eastAsia="Palatino Linotype" w:hAnsi="Palatino Linotype" w:cs="Palatino Linotype"/>
          <w:i/>
          <w:color w:val="000000"/>
        </w:rPr>
        <w:t> </w:t>
      </w:r>
      <w:r>
        <w:rPr>
          <w:rFonts w:ascii="Palatino Linotype" w:eastAsia="Palatino Linotype" w:hAnsi="Palatino Linotype" w:cs="Palatino Linotype"/>
          <w:color w:val="000000"/>
        </w:rPr>
        <w:t>los particulares no pueden modificarla o ampliarla a través de posteriores promociones o en el momento de ingresar su recurso de revisión; por tanto, la materia de las solicitudes de información se circunscribe a que se permita el acceso a los documentos inicialmente solicitados y en su caso a los aclarados o corregidos.</w:t>
      </w:r>
    </w:p>
    <w:p w:rsidR="00294C8C" w:rsidRDefault="00294C8C">
      <w:pPr>
        <w:pBdr>
          <w:top w:val="nil"/>
          <w:left w:val="nil"/>
          <w:bottom w:val="nil"/>
          <w:right w:val="nil"/>
          <w:between w:val="nil"/>
        </w:pBdr>
        <w:shd w:val="clear" w:color="auto" w:fill="FFFFFF"/>
        <w:spacing w:line="360" w:lineRule="auto"/>
        <w:jc w:val="both"/>
        <w:rPr>
          <w:color w:val="000000"/>
        </w:rPr>
      </w:pPr>
    </w:p>
    <w:p w:rsidR="00294C8C" w:rsidRDefault="00FE203E">
      <w:pPr>
        <w:pBdr>
          <w:top w:val="nil"/>
          <w:left w:val="nil"/>
          <w:bottom w:val="nil"/>
          <w:right w:val="nil"/>
          <w:between w:val="nil"/>
        </w:pBdr>
        <w:shd w:val="clear" w:color="auto" w:fill="FFFFFF"/>
        <w:spacing w:after="240" w:line="360" w:lineRule="auto"/>
        <w:jc w:val="both"/>
        <w:rPr>
          <w:color w:val="000000"/>
        </w:rPr>
      </w:pPr>
      <w:r>
        <w:rPr>
          <w:rFonts w:ascii="Palatino Linotype" w:eastAsia="Palatino Linotype" w:hAnsi="Palatino Linotype" w:cs="Palatino Linotype"/>
          <w:color w:val="222222"/>
        </w:rPr>
        <w:t>Robustece lo anterior lo plasmado en el criterio número 27/10 emitido por el entonces Instituto Federal de Acceso a la Información y Protección de Datos (IFAI) ahora Instituto Nacional de Transparencia, Acceso a la Información y Protección de Datos Personales (INAI), que lleva por rubro y texto lo que a continuación se transcribe:</w:t>
      </w:r>
    </w:p>
    <w:p w:rsidR="00294C8C" w:rsidRDefault="00FE203E">
      <w:pPr>
        <w:pBdr>
          <w:top w:val="nil"/>
          <w:left w:val="nil"/>
          <w:bottom w:val="nil"/>
          <w:right w:val="nil"/>
          <w:between w:val="nil"/>
        </w:pBdr>
        <w:shd w:val="clear" w:color="auto" w:fill="FFFFFF"/>
        <w:spacing w:before="240" w:after="240" w:line="360" w:lineRule="auto"/>
        <w:ind w:left="567" w:right="616"/>
        <w:jc w:val="both"/>
        <w:rPr>
          <w:color w:val="000000"/>
        </w:rPr>
      </w:pPr>
      <w:r>
        <w:rPr>
          <w:rFonts w:ascii="Palatino Linotype" w:eastAsia="Palatino Linotype" w:hAnsi="Palatino Linotype" w:cs="Palatino Linotype"/>
          <w:i/>
          <w:color w:val="222222"/>
          <w:sz w:val="22"/>
          <w:szCs w:val="22"/>
        </w:rPr>
        <w:t>“</w:t>
      </w:r>
      <w:r>
        <w:rPr>
          <w:rFonts w:ascii="Palatino Linotype" w:eastAsia="Palatino Linotype" w:hAnsi="Palatino Linotype" w:cs="Palatino Linotype"/>
          <w:b/>
          <w:i/>
          <w:color w:val="222222"/>
          <w:sz w:val="22"/>
          <w:szCs w:val="22"/>
        </w:rPr>
        <w:t>Es improcedente ampliar las solicitudes de acceso a información pública o datos personales</w:t>
      </w:r>
      <w:r>
        <w:rPr>
          <w:rFonts w:ascii="Palatino Linotype" w:eastAsia="Palatino Linotype" w:hAnsi="Palatino Linotype" w:cs="Palatino Linotype"/>
          <w:i/>
          <w:color w:val="222222"/>
          <w:sz w:val="22"/>
          <w:szCs w:val="22"/>
        </w:rPr>
        <w:t>, a través de la interposición del recurso de revisión. En aquellos casos en los que los recurrentes amplíen los alcances de su solicitud de información o acceso a datos personales a través de su recurso de revisión, esta ampliación no podrá constituir materia del procedimiento a sustanciarse por el Instituto Federal de Acceso a la Información y Protección de Datos. Lo anterior, sin perjuicio de que los recurrentes puedan ejercer su derecho a realizar una nueva solicitud en términos de la Ley de la materia.”</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b/>
          <w:sz w:val="22"/>
          <w:szCs w:val="22"/>
        </w:rPr>
      </w:pPr>
      <w:r>
        <w:rPr>
          <w:rFonts w:ascii="Palatino Linotype" w:eastAsia="Palatino Linotype" w:hAnsi="Palatino Linotype" w:cs="Palatino Linotype"/>
          <w:color w:val="000000"/>
        </w:rPr>
        <w:t xml:space="preserve">Por lo que en mérito de lo expuesto, esta Autoridad estima que las razones o motivos de inconformidad hechos valer por la parte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devienen parcialmente </w:t>
      </w:r>
      <w:r>
        <w:rPr>
          <w:rFonts w:ascii="Palatino Linotype" w:eastAsia="Palatino Linotype" w:hAnsi="Palatino Linotype" w:cs="Palatino Linotype"/>
          <w:color w:val="000000"/>
        </w:rPr>
        <w:lastRenderedPageBreak/>
        <w:t xml:space="preserve">fundados; por lo que, lo procedente es </w:t>
      </w:r>
      <w:r>
        <w:rPr>
          <w:rFonts w:ascii="Palatino Linotype" w:eastAsia="Palatino Linotype" w:hAnsi="Palatino Linotype" w:cs="Palatino Linotype"/>
          <w:b/>
          <w:color w:val="000000"/>
        </w:rPr>
        <w:t>MODIFICAR</w:t>
      </w:r>
      <w:r>
        <w:rPr>
          <w:rFonts w:ascii="Palatino Linotype" w:eastAsia="Palatino Linotype" w:hAnsi="Palatino Linotype" w:cs="Palatino Linotype"/>
          <w:color w:val="000000"/>
        </w:rPr>
        <w:t xml:space="preserve"> la respuesta del </w:t>
      </w:r>
      <w:r>
        <w:rPr>
          <w:rFonts w:ascii="Palatino Linotype" w:eastAsia="Palatino Linotype" w:hAnsi="Palatino Linotype" w:cs="Palatino Linotype"/>
          <w:b/>
          <w:color w:val="000000"/>
        </w:rPr>
        <w:t>SUJETO OBLIGADO.</w:t>
      </w:r>
    </w:p>
    <w:p w:rsidR="00294C8C" w:rsidRDefault="00FE203E">
      <w:pPr>
        <w:pBdr>
          <w:top w:val="nil"/>
          <w:left w:val="nil"/>
          <w:bottom w:val="nil"/>
          <w:right w:val="nil"/>
          <w:between w:val="nil"/>
        </w:pBdr>
        <w:spacing w:before="280" w:after="28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Así, con fundamento en lo prescrito en los artículos 5, párrafos trigésimo, trigésimo primero y trigésimo segundo, y fracciones IV y V de la Constitución Política del Estado Libre y Soberano de México; 2, fracción II, 29, 36, fracciones I y II, 176, 178, 179, 181, 185, fracción I, 186 y 188 de la Ley de Transparencia y Acceso a la Información Pública del Estado de México y Municipios, este Pleno:</w:t>
      </w:r>
    </w:p>
    <w:p w:rsidR="00294C8C" w:rsidRDefault="00FE203E">
      <w:pPr>
        <w:numPr>
          <w:ilvl w:val="0"/>
          <w:numId w:val="2"/>
        </w:numPr>
        <w:pBdr>
          <w:top w:val="nil"/>
          <w:left w:val="nil"/>
          <w:bottom w:val="nil"/>
          <w:right w:val="nil"/>
          <w:between w:val="nil"/>
        </w:pBdr>
        <w:spacing w:line="360" w:lineRule="auto"/>
        <w:ind w:left="708" w:hanging="708"/>
        <w:jc w:val="center"/>
        <w:rPr>
          <w:rFonts w:ascii="Palatino Linotype" w:eastAsia="Palatino Linotype" w:hAnsi="Palatino Linotype" w:cs="Palatino Linotype"/>
          <w:b/>
          <w:color w:val="000000"/>
        </w:rPr>
      </w:pPr>
      <w:bookmarkStart w:id="4" w:name="_heading=h.3znysh7" w:colFirst="0" w:colLast="0"/>
      <w:bookmarkEnd w:id="4"/>
      <w:r>
        <w:rPr>
          <w:rFonts w:ascii="Palatino Linotype" w:eastAsia="Palatino Linotype" w:hAnsi="Palatino Linotype" w:cs="Palatino Linotype"/>
          <w:b/>
          <w:color w:val="000000"/>
        </w:rPr>
        <w:t>R E S U E L V E</w:t>
      </w:r>
    </w:p>
    <w:p w:rsidR="00294C8C" w:rsidRDefault="00FE203E">
      <w:pPr>
        <w:pBdr>
          <w:top w:val="nil"/>
          <w:left w:val="nil"/>
          <w:bottom w:val="nil"/>
          <w:right w:val="nil"/>
          <w:between w:val="nil"/>
        </w:pBdr>
        <w:spacing w:before="240" w:after="240" w:line="360" w:lineRule="auto"/>
        <w:jc w:val="both"/>
        <w:rPr>
          <w:color w:val="000000"/>
        </w:rPr>
      </w:pPr>
      <w:bookmarkStart w:id="5" w:name="_heading=h.2et92p0" w:colFirst="0" w:colLast="0"/>
      <w:bookmarkEnd w:id="5"/>
      <w:r>
        <w:rPr>
          <w:rFonts w:ascii="Palatino Linotype" w:eastAsia="Palatino Linotype" w:hAnsi="Palatino Linotype" w:cs="Palatino Linotype"/>
          <w:b/>
          <w:color w:val="000000"/>
        </w:rPr>
        <w:t>PRIMERO.</w:t>
      </w:r>
      <w:r>
        <w:rPr>
          <w:rFonts w:ascii="Palatino Linotype" w:eastAsia="Palatino Linotype" w:hAnsi="Palatino Linotype" w:cs="Palatino Linotype"/>
          <w:color w:val="000000"/>
        </w:rPr>
        <w:t xml:space="preserve"> Resultan parcialmente fundados los motivos de inconformidad aducidos por el </w:t>
      </w:r>
      <w:r>
        <w:rPr>
          <w:rFonts w:ascii="Palatino Linotype" w:eastAsia="Palatino Linotype" w:hAnsi="Palatino Linotype" w:cs="Palatino Linotype"/>
          <w:b/>
          <w:color w:val="000000"/>
        </w:rPr>
        <w:t>RECURRENTE</w:t>
      </w:r>
      <w:r>
        <w:rPr>
          <w:rFonts w:ascii="Palatino Linotype" w:eastAsia="Palatino Linotype" w:hAnsi="Palatino Linotype" w:cs="Palatino Linotype"/>
          <w:color w:val="000000"/>
        </w:rPr>
        <w:t xml:space="preserve"> en el recurso de revisión </w:t>
      </w:r>
      <w:r>
        <w:rPr>
          <w:rFonts w:ascii="Palatino Linotype" w:eastAsia="Palatino Linotype" w:hAnsi="Palatino Linotype" w:cs="Palatino Linotype"/>
          <w:b/>
          <w:color w:val="000000"/>
        </w:rPr>
        <w:t>00739/INFOEM/IP/RR/2022</w:t>
      </w:r>
      <w:r>
        <w:rPr>
          <w:rFonts w:ascii="Palatino Linotype" w:eastAsia="Palatino Linotype" w:hAnsi="Palatino Linotype" w:cs="Palatino Linotype"/>
          <w:color w:val="000000"/>
        </w:rPr>
        <w:t xml:space="preserve">; en términos del Considerando </w:t>
      </w:r>
      <w:r>
        <w:rPr>
          <w:rFonts w:ascii="Palatino Linotype" w:eastAsia="Palatino Linotype" w:hAnsi="Palatino Linotype" w:cs="Palatino Linotype"/>
          <w:b/>
          <w:color w:val="000000"/>
        </w:rPr>
        <w:t>Cuarto</w:t>
      </w:r>
      <w:r>
        <w:rPr>
          <w:rFonts w:ascii="Palatino Linotype" w:eastAsia="Palatino Linotype" w:hAnsi="Palatino Linotype" w:cs="Palatino Linotype"/>
          <w:color w:val="000000"/>
        </w:rPr>
        <w:t xml:space="preserve"> de la presente resolución, se</w:t>
      </w:r>
      <w:r>
        <w:rPr>
          <w:rFonts w:ascii="Palatino Linotype" w:eastAsia="Palatino Linotype" w:hAnsi="Palatino Linotype" w:cs="Palatino Linotype"/>
          <w:b/>
          <w:color w:val="000000"/>
        </w:rPr>
        <w:t xml:space="preserve"> MODIFICA </w:t>
      </w:r>
      <w:r>
        <w:rPr>
          <w:rFonts w:ascii="Palatino Linotype" w:eastAsia="Palatino Linotype" w:hAnsi="Palatino Linotype" w:cs="Palatino Linotype"/>
          <w:color w:val="000000"/>
        </w:rPr>
        <w:t>la respuesta</w:t>
      </w:r>
      <w:r>
        <w:rPr>
          <w:rFonts w:ascii="Palatino Linotype" w:eastAsia="Palatino Linotype" w:hAnsi="Palatino Linotype" w:cs="Palatino Linotype"/>
          <w:b/>
          <w:color w:val="000000"/>
        </w:rPr>
        <w:t xml:space="preserve"> </w:t>
      </w:r>
      <w:r>
        <w:rPr>
          <w:rFonts w:ascii="Palatino Linotype" w:eastAsia="Palatino Linotype" w:hAnsi="Palatino Linotype" w:cs="Palatino Linotype"/>
          <w:color w:val="000000"/>
        </w:rPr>
        <w:t xml:space="preserve">del </w:t>
      </w:r>
      <w:r>
        <w:rPr>
          <w:rFonts w:ascii="Palatino Linotype" w:eastAsia="Palatino Linotype" w:hAnsi="Palatino Linotype" w:cs="Palatino Linotype"/>
          <w:b/>
          <w:color w:val="000000"/>
        </w:rPr>
        <w:t>SUJETO OBLIGADO.</w:t>
      </w:r>
    </w:p>
    <w:p w:rsidR="00294C8C" w:rsidRDefault="00FE203E">
      <w:pPr>
        <w:pBdr>
          <w:top w:val="nil"/>
          <w:left w:val="nil"/>
          <w:bottom w:val="nil"/>
          <w:right w:val="nil"/>
          <w:between w:val="nil"/>
        </w:pBdr>
        <w:spacing w:line="360" w:lineRule="auto"/>
        <w:jc w:val="both"/>
        <w:rPr>
          <w:rFonts w:ascii="Palatino Linotype" w:eastAsia="Palatino Linotype" w:hAnsi="Palatino Linotype" w:cs="Palatino Linotype"/>
          <w:b/>
          <w:color w:val="000000"/>
        </w:rPr>
      </w:pPr>
      <w:r>
        <w:rPr>
          <w:rFonts w:ascii="Palatino Linotype" w:eastAsia="Palatino Linotype" w:hAnsi="Palatino Linotype" w:cs="Palatino Linotype"/>
          <w:b/>
          <w:color w:val="000000"/>
        </w:rPr>
        <w:t xml:space="preserve"> SEGUNDO. </w:t>
      </w:r>
      <w:r>
        <w:rPr>
          <w:rFonts w:ascii="Palatino Linotype" w:eastAsia="Palatino Linotype" w:hAnsi="Palatino Linotype" w:cs="Palatino Linotype"/>
          <w:color w:val="000000"/>
        </w:rPr>
        <w:t xml:space="preserve">Se ordena al </w:t>
      </w:r>
      <w:r>
        <w:rPr>
          <w:rFonts w:ascii="Palatino Linotype" w:eastAsia="Palatino Linotype" w:hAnsi="Palatino Linotype" w:cs="Palatino Linotype"/>
          <w:b/>
          <w:color w:val="000000"/>
        </w:rPr>
        <w:t>SUJETO OBLIGADO,</w:t>
      </w:r>
      <w:r>
        <w:rPr>
          <w:rFonts w:ascii="Palatino Linotype" w:eastAsia="Palatino Linotype" w:hAnsi="Palatino Linotype" w:cs="Palatino Linotype"/>
          <w:color w:val="000000"/>
        </w:rPr>
        <w:t xml:space="preserve"> en términos de los Considerandos </w:t>
      </w:r>
      <w:r>
        <w:rPr>
          <w:rFonts w:ascii="Palatino Linotype" w:eastAsia="Palatino Linotype" w:hAnsi="Palatino Linotype" w:cs="Palatino Linotype"/>
          <w:b/>
          <w:color w:val="000000"/>
        </w:rPr>
        <w:t xml:space="preserve">Cuarto </w:t>
      </w:r>
      <w:r>
        <w:rPr>
          <w:rFonts w:ascii="Palatino Linotype" w:eastAsia="Palatino Linotype" w:hAnsi="Palatino Linotype" w:cs="Palatino Linotype"/>
          <w:color w:val="000000"/>
        </w:rPr>
        <w:t>y</w:t>
      </w:r>
      <w:r>
        <w:rPr>
          <w:rFonts w:ascii="Palatino Linotype" w:eastAsia="Palatino Linotype" w:hAnsi="Palatino Linotype" w:cs="Palatino Linotype"/>
          <w:b/>
          <w:color w:val="000000"/>
        </w:rPr>
        <w:t xml:space="preserve"> Quinto </w:t>
      </w:r>
      <w:r>
        <w:rPr>
          <w:rFonts w:ascii="Palatino Linotype" w:eastAsia="Palatino Linotype" w:hAnsi="Palatino Linotype" w:cs="Palatino Linotype"/>
          <w:color w:val="000000"/>
        </w:rPr>
        <w:t>de esta resolución, haga entrega a través del SAIMEX, en su caso, en versión pública, de lo siguiente:</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numPr>
          <w:ilvl w:val="0"/>
          <w:numId w:val="4"/>
        </w:numPr>
        <w:pBdr>
          <w:top w:val="nil"/>
          <w:left w:val="nil"/>
          <w:bottom w:val="nil"/>
          <w:right w:val="nil"/>
          <w:between w:val="nil"/>
        </w:pBdr>
        <w:spacing w:line="360" w:lineRule="auto"/>
        <w:ind w:right="90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Los convenios celebrados por el Municipio de Naucalpan de Juárez con el ISSEMYM vigentes al doce de enero de dos mil veintidós.</w:t>
      </w:r>
    </w:p>
    <w:p w:rsidR="00294C8C" w:rsidRDefault="00FE203E">
      <w:pPr>
        <w:numPr>
          <w:ilvl w:val="0"/>
          <w:numId w:val="4"/>
        </w:numPr>
        <w:pBdr>
          <w:top w:val="nil"/>
          <w:left w:val="nil"/>
          <w:bottom w:val="nil"/>
          <w:right w:val="nil"/>
          <w:between w:val="nil"/>
        </w:pBdr>
        <w:spacing w:line="360" w:lineRule="auto"/>
        <w:ind w:right="900"/>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Las cantidades percibidas por cualquier concepto durante el 1° de enero de 2019 al 31 de diciembre de 2021, por el Municipio de Naucalpan de Juárez.</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ind w:left="851" w:right="850"/>
        <w:jc w:val="both"/>
        <w:rPr>
          <w:rFonts w:ascii="Palatino Linotype" w:eastAsia="Palatino Linotype" w:hAnsi="Palatino Linotype" w:cs="Palatino Linotype"/>
          <w:i/>
        </w:rPr>
      </w:pPr>
      <w:r>
        <w:rPr>
          <w:rFonts w:ascii="Palatino Linotype" w:eastAsia="Palatino Linotype" w:hAnsi="Palatino Linotype" w:cs="Palatino Linotype"/>
          <w:i/>
        </w:rPr>
        <w:t xml:space="preserve">Para el caso de la clasificación de la información, se deberá emitir el Acuerdo del Comité de Transparencia en términos de los artículos 49, fracción VIII, 122 y 132 fracciones II y III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del </w:t>
      </w:r>
      <w:r>
        <w:rPr>
          <w:rFonts w:ascii="Palatino Linotype" w:eastAsia="Palatino Linotype" w:hAnsi="Palatino Linotype" w:cs="Palatino Linotype"/>
          <w:b/>
          <w:i/>
        </w:rPr>
        <w:t>RECURRENTE.</w:t>
      </w:r>
    </w:p>
    <w:p w:rsidR="00294C8C" w:rsidRDefault="00294C8C">
      <w:pPr>
        <w:spacing w:line="360" w:lineRule="auto"/>
        <w:ind w:left="851" w:right="850"/>
        <w:jc w:val="both"/>
        <w:rPr>
          <w:rFonts w:ascii="Palatino Linotype" w:eastAsia="Palatino Linotype" w:hAnsi="Palatino Linotype" w:cs="Palatino Linotype"/>
        </w:rPr>
      </w:pPr>
    </w:p>
    <w:p w:rsidR="00294C8C" w:rsidRDefault="00FE203E">
      <w:pPr>
        <w:spacing w:line="360" w:lineRule="auto"/>
        <w:ind w:left="851" w:right="850"/>
        <w:jc w:val="both"/>
        <w:rPr>
          <w:rFonts w:ascii="Palatino Linotype" w:eastAsia="Palatino Linotype" w:hAnsi="Palatino Linotype" w:cs="Palatino Linotype"/>
          <w:i/>
        </w:rPr>
      </w:pPr>
      <w:bookmarkStart w:id="6" w:name="_heading=h.tyjcwt" w:colFirst="0" w:colLast="0"/>
      <w:bookmarkEnd w:id="6"/>
      <w:r>
        <w:rPr>
          <w:rFonts w:ascii="Palatino Linotype" w:eastAsia="Palatino Linotype" w:hAnsi="Palatino Linotype" w:cs="Palatino Linotype"/>
          <w:i/>
        </w:rPr>
        <w:t xml:space="preserve">Para el caso de no localizar la información en atención al numeral 1., el Comité de Transparencia deberá notificar acuerdo que confirme su inexistencia en términos de los artículos 19 párrafo tercero, 169 y 170 de la Ley de Transparencia vigente local. </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tabs>
          <w:tab w:val="left" w:pos="8647"/>
        </w:tabs>
        <w:spacing w:line="360" w:lineRule="auto"/>
        <w:ind w:right="51"/>
        <w:jc w:val="both"/>
        <w:rPr>
          <w:rFonts w:ascii="Palatino Linotype" w:eastAsia="Palatino Linotype" w:hAnsi="Palatino Linotype" w:cs="Palatino Linotype"/>
        </w:rPr>
      </w:pPr>
      <w:r>
        <w:rPr>
          <w:rFonts w:ascii="Palatino Linotype" w:eastAsia="Palatino Linotype" w:hAnsi="Palatino Linotype" w:cs="Palatino Linotype"/>
          <w:b/>
        </w:rPr>
        <w:t>TERCERO.</w:t>
      </w:r>
      <w:r>
        <w:rPr>
          <w:rFonts w:ascii="Palatino Linotype" w:eastAsia="Palatino Linotype" w:hAnsi="Palatino Linotype" w:cs="Palatino Linotype"/>
        </w:rPr>
        <w:t xml:space="preserve"> </w:t>
      </w:r>
      <w:r>
        <w:rPr>
          <w:rFonts w:ascii="Palatino Linotype" w:eastAsia="Palatino Linotype" w:hAnsi="Palatino Linotype" w:cs="Palatino Linotype"/>
          <w:b/>
        </w:rPr>
        <w:t>Notifíquese</w:t>
      </w:r>
      <w:r>
        <w:rPr>
          <w:rFonts w:ascii="Palatino Linotype" w:eastAsia="Palatino Linotype" w:hAnsi="Palatino Linotype" w:cs="Palatino Linotype"/>
          <w:b/>
          <w:i/>
        </w:rPr>
        <w:t xml:space="preserve"> </w:t>
      </w:r>
      <w:r>
        <w:rPr>
          <w:rFonts w:ascii="Palatino Linotype" w:eastAsia="Palatino Linotype" w:hAnsi="Palatino Linotype" w:cs="Palatino Linotype"/>
        </w:rPr>
        <w:t>al Titular de la Unidad de Transparencia del</w:t>
      </w:r>
      <w:r>
        <w:rPr>
          <w:rFonts w:ascii="Palatino Linotype" w:eastAsia="Palatino Linotype" w:hAnsi="Palatino Linotype" w:cs="Palatino Linotype"/>
          <w:b/>
        </w:rPr>
        <w:t xml:space="preserve"> SUJETO OBLIGADO</w:t>
      </w:r>
      <w:r>
        <w:rPr>
          <w:rFonts w:ascii="Palatino Linotype" w:eastAsia="Palatino Linotype" w:hAnsi="Palatino Linotype" w:cs="Palatino Linotype"/>
        </w:rPr>
        <w:t xml:space="preserve"> la presente resolución, para que conforme al artículo 186 último párrafo y 189 segundo párrafo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rsidR="00294C8C" w:rsidRDefault="00294C8C">
      <w:pPr>
        <w:tabs>
          <w:tab w:val="left" w:pos="8647"/>
        </w:tabs>
        <w:spacing w:line="360" w:lineRule="auto"/>
        <w:ind w:right="51"/>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 xml:space="preserve">CUARTO. </w:t>
      </w:r>
      <w:r>
        <w:rPr>
          <w:rFonts w:ascii="Palatino Linotype" w:eastAsia="Palatino Linotype" w:hAnsi="Palatino Linotype" w:cs="Palatino Linotype"/>
        </w:rPr>
        <w:t xml:space="preserve">De conformidad con el artículo 198, de la Ley de Transparencia y Acceso a la Información Pública del Estado de México y Municipios, de considerarlo </w:t>
      </w:r>
      <w:r>
        <w:rPr>
          <w:rFonts w:ascii="Palatino Linotype" w:eastAsia="Palatino Linotype" w:hAnsi="Palatino Linotype" w:cs="Palatino Linotype"/>
        </w:rPr>
        <w:lastRenderedPageBreak/>
        <w:t xml:space="preserve">procedente, el </w:t>
      </w:r>
      <w:r>
        <w:rPr>
          <w:rFonts w:ascii="Palatino Linotype" w:eastAsia="Palatino Linotype" w:hAnsi="Palatino Linotype" w:cs="Palatino Linotype"/>
          <w:b/>
        </w:rPr>
        <w:t>SUJETO OBLIGADO</w:t>
      </w:r>
      <w:r>
        <w:rPr>
          <w:rFonts w:ascii="Palatino Linotype" w:eastAsia="Palatino Linotype" w:hAnsi="Palatino Linotype" w:cs="Palatino Linotype"/>
        </w:rPr>
        <w:t xml:space="preserve"> de manera fundada y motivada, podrá solicitar una ampliación de plazo para el cumplimiento de la presente resolución.</w:t>
      </w:r>
    </w:p>
    <w:p w:rsidR="00294C8C" w:rsidRDefault="00294C8C">
      <w:pPr>
        <w:spacing w:line="360" w:lineRule="auto"/>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QUINTO. Notifíquese</w:t>
      </w:r>
      <w:r>
        <w:rPr>
          <w:rFonts w:ascii="Palatino Linotype" w:eastAsia="Palatino Linotype" w:hAnsi="Palatino Linotype" w:cs="Palatino Linotype"/>
        </w:rPr>
        <w:t xml:space="preserve"> </w:t>
      </w:r>
      <w:r>
        <w:rPr>
          <w:rFonts w:ascii="Palatino Linotype" w:eastAsia="Palatino Linotype" w:hAnsi="Palatino Linotype" w:cs="Palatino Linotype"/>
          <w:b/>
        </w:rPr>
        <w:t>al RECURRENTE</w:t>
      </w:r>
      <w:r>
        <w:rPr>
          <w:rFonts w:ascii="Palatino Linotype" w:eastAsia="Palatino Linotype" w:hAnsi="Palatino Linotype" w:cs="Palatino Linotype"/>
        </w:rPr>
        <w:t xml:space="preserve"> la presente resolución, y hágase de su conocimiento que en caso de considerar que la presente resolución le causa algún perjuicio, podrá interponer el juicio de amparo, en los términos de las leyes aplicables de acuerdo a lo estipulado en el artículo 196 de la Ley de Transparencia y Acceso a la Información Pública del Estado de México y Municipios.</w:t>
      </w:r>
    </w:p>
    <w:p w:rsidR="00294C8C" w:rsidRDefault="00294C8C">
      <w:pPr>
        <w:spacing w:line="360" w:lineRule="auto"/>
        <w:ind w:right="18"/>
        <w:jc w:val="both"/>
        <w:rPr>
          <w:rFonts w:ascii="Palatino Linotype" w:eastAsia="Palatino Linotype" w:hAnsi="Palatino Linotype" w:cs="Palatino Linotype"/>
        </w:rPr>
      </w:pPr>
    </w:p>
    <w:p w:rsidR="00294C8C" w:rsidRDefault="00FE203E">
      <w:pPr>
        <w:spacing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ASÍ LO RESUELVE, POR </w:t>
      </w:r>
      <w:r>
        <w:rPr>
          <w:rFonts w:ascii="Palatino Linotype" w:eastAsia="Palatino Linotype" w:hAnsi="Palatino Linotype" w:cs="Palatino Linotype"/>
          <w:b/>
        </w:rPr>
        <w:t>UNANIMIDAD</w:t>
      </w:r>
      <w:r>
        <w:rPr>
          <w:rFonts w:ascii="Palatino Linotype" w:eastAsia="Palatino Linotype" w:hAnsi="Palatino Linotype" w:cs="Palatino Linotype"/>
        </w:rPr>
        <w:t xml:space="preserve">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DÉCIMA SEXTA  SESIÓN ORDINARIA, CELEBRADA EL CUATRO DE MAYO DE DOS MIL VEINTIDÓS, ANTE EL SECRETARIO TÉCNICO DEL PLENO, ALEXIS TAPIA RAMÍREZ. </w:t>
      </w:r>
    </w:p>
    <w:p w:rsidR="00294C8C" w:rsidRDefault="00294C8C">
      <w:pPr>
        <w:spacing w:line="360" w:lineRule="auto"/>
        <w:jc w:val="both"/>
        <w:rPr>
          <w:rFonts w:ascii="Palatino Linotype" w:eastAsia="Palatino Linotype" w:hAnsi="Palatino Linotype" w:cs="Palatino Linotype"/>
          <w:i/>
          <w:color w:val="000000"/>
        </w:rPr>
      </w:pPr>
    </w:p>
    <w:p w:rsidR="00294C8C" w:rsidRDefault="00294C8C">
      <w:pPr>
        <w:spacing w:line="360" w:lineRule="auto"/>
        <w:jc w:val="both"/>
        <w:rPr>
          <w:rFonts w:ascii="Palatino Linotype" w:eastAsia="Palatino Linotype" w:hAnsi="Palatino Linotype" w:cs="Palatino Linotype"/>
          <w:i/>
          <w:color w:val="00000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p w:rsidR="00294C8C" w:rsidRDefault="00294C8C">
      <w:pPr>
        <w:spacing w:before="240" w:after="240"/>
        <w:jc w:val="both"/>
        <w:rPr>
          <w:rFonts w:ascii="Palatino Linotype" w:eastAsia="Palatino Linotype" w:hAnsi="Palatino Linotype" w:cs="Palatino Linotype"/>
          <w:sz w:val="20"/>
          <w:szCs w:val="20"/>
        </w:rPr>
      </w:pPr>
    </w:p>
    <w:sectPr w:rsidR="00294C8C">
      <w:headerReference w:type="default" r:id="rId48"/>
      <w:footerReference w:type="default" r:id="rId49"/>
      <w:headerReference w:type="first" r:id="rId50"/>
      <w:footerReference w:type="first" r:id="rId51"/>
      <w:pgSz w:w="12240" w:h="15840"/>
      <w:pgMar w:top="1985" w:right="1701" w:bottom="1701" w:left="1701" w:header="709" w:footer="7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44C1" w:rsidRDefault="006544C1">
      <w:r>
        <w:separator/>
      </w:r>
    </w:p>
  </w:endnote>
  <w:endnote w:type="continuationSeparator" w:id="0">
    <w:p w:rsidR="006544C1" w:rsidRDefault="006544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Liberation Serif">
    <w:panose1 w:val="00000000000000000000"/>
    <w:charset w:val="00"/>
    <w:family w:val="roman"/>
    <w:notTrueType/>
    <w:pitch w:val="default"/>
  </w:font>
  <w:font w:name="DejaVu Sans">
    <w:panose1 w:val="00000000000000000000"/>
    <w:charset w:val="00"/>
    <w:family w:val="roman"/>
    <w:notTrueType/>
    <w:pitch w:val="default"/>
  </w:font>
  <w:font w:name="Lohit Hindi">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 Pro">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C8C" w:rsidRDefault="00FE203E">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2D716F">
      <w:rPr>
        <w:rFonts w:ascii="Palatino Linotype" w:eastAsia="Palatino Linotype" w:hAnsi="Palatino Linotype" w:cs="Palatino Linotype"/>
        <w:b/>
        <w:noProof/>
        <w:color w:val="000000"/>
        <w:sz w:val="20"/>
        <w:szCs w:val="20"/>
      </w:rPr>
      <w:t>21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2D716F">
      <w:rPr>
        <w:rFonts w:ascii="Palatino Linotype" w:eastAsia="Palatino Linotype" w:hAnsi="Palatino Linotype" w:cs="Palatino Linotype"/>
        <w:b/>
        <w:noProof/>
        <w:color w:val="000000"/>
        <w:sz w:val="20"/>
        <w:szCs w:val="20"/>
      </w:rPr>
      <w:t>76</w:t>
    </w:r>
    <w:r>
      <w:rPr>
        <w:rFonts w:ascii="Palatino Linotype" w:eastAsia="Palatino Linotype" w:hAnsi="Palatino Linotype" w:cs="Palatino Linotype"/>
        <w:b/>
        <w:color w:val="000000"/>
        <w:sz w:val="20"/>
        <w:szCs w:val="20"/>
      </w:rPr>
      <w:fldChar w:fldCharType="end"/>
    </w:r>
  </w:p>
  <w:p w:rsidR="00294C8C" w:rsidRDefault="00294C8C">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C8C" w:rsidRDefault="00FE203E">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2D716F">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2D716F">
      <w:rPr>
        <w:rFonts w:ascii="Palatino Linotype" w:eastAsia="Palatino Linotype" w:hAnsi="Palatino Linotype" w:cs="Palatino Linotype"/>
        <w:b/>
        <w:noProof/>
        <w:color w:val="000000"/>
        <w:sz w:val="20"/>
        <w:szCs w:val="20"/>
      </w:rPr>
      <w:t>76</w:t>
    </w:r>
    <w:r>
      <w:rPr>
        <w:rFonts w:ascii="Palatino Linotype" w:eastAsia="Palatino Linotype" w:hAnsi="Palatino Linotype" w:cs="Palatino Linotype"/>
        <w:b/>
        <w:color w:val="000000"/>
        <w:sz w:val="20"/>
        <w:szCs w:val="20"/>
      </w:rPr>
      <w:fldChar w:fldCharType="end"/>
    </w:r>
  </w:p>
  <w:p w:rsidR="00294C8C" w:rsidRDefault="00294C8C">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44C1" w:rsidRDefault="006544C1">
      <w:r>
        <w:separator/>
      </w:r>
    </w:p>
  </w:footnote>
  <w:footnote w:type="continuationSeparator" w:id="0">
    <w:p w:rsidR="006544C1" w:rsidRDefault="006544C1">
      <w:r>
        <w:continuationSeparator/>
      </w:r>
    </w:p>
  </w:footnote>
  <w:footnote w:id="1">
    <w:p w:rsidR="00294C8C" w:rsidRDefault="00FE203E">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Palatino Linotype" w:eastAsia="Palatino Linotype" w:hAnsi="Palatino Linotype" w:cs="Palatino Linotype"/>
          <w:color w:val="000000"/>
          <w:sz w:val="16"/>
          <w:szCs w:val="16"/>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r>
        <w:rPr>
          <w:rFonts w:ascii="Cambria" w:eastAsia="Cambria" w:hAnsi="Cambria" w:cs="Cambria"/>
          <w:color w:val="000000"/>
          <w:sz w:val="20"/>
          <w:szCs w:val="20"/>
        </w:rPr>
        <w:t xml:space="preserve"> (…)</w:t>
      </w:r>
    </w:p>
  </w:footnote>
  <w:footnote w:id="2">
    <w:p w:rsidR="00294C8C" w:rsidRDefault="00FE203E">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9"/>
          <w:szCs w:val="19"/>
        </w:rPr>
        <w:t xml:space="preserve"> </w:t>
      </w:r>
      <w:r>
        <w:rPr>
          <w:rFonts w:ascii="Palatino Linotype" w:eastAsia="Palatino Linotype" w:hAnsi="Palatino Linotype" w:cs="Palatino Linotype"/>
          <w:color w:val="000000"/>
          <w:sz w:val="16"/>
          <w:szCs w:val="16"/>
        </w:rPr>
        <w:t>“Artículo 3. Para los efectos de la presente Ley se entenderá por: (…) XXII. Información de interés público: Se refiere a la información que resulta relevante o beneficiosa para la sociedad y no simplemente de interés individual, cuya divulgación resulta útil para que el público comprenda las actividades que llevan a cabo los sujetos obligados…”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C8C" w:rsidRDefault="00FE203E">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noProof/>
        <w:lang w:val="es-MX"/>
      </w:rPr>
      <w:drawing>
        <wp:anchor distT="0" distB="0" distL="0" distR="0" simplePos="0" relativeHeight="251658240" behindDoc="1" locked="0" layoutInCell="1" hidden="0" allowOverlap="1">
          <wp:simplePos x="0" y="0"/>
          <wp:positionH relativeFrom="column">
            <wp:posOffset>-1080134</wp:posOffset>
          </wp:positionH>
          <wp:positionV relativeFrom="paragraph">
            <wp:posOffset>-396401</wp:posOffset>
          </wp:positionV>
          <wp:extent cx="7809865" cy="10165715"/>
          <wp:effectExtent l="0" t="0" r="0" b="0"/>
          <wp:wrapNone/>
          <wp:docPr id="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2"/>
      <w:tblW w:w="5953" w:type="dxa"/>
      <w:tblInd w:w="3261" w:type="dxa"/>
      <w:tblLayout w:type="fixed"/>
      <w:tblLook w:val="0400" w:firstRow="0" w:lastRow="0" w:firstColumn="0" w:lastColumn="0" w:noHBand="0" w:noVBand="1"/>
    </w:tblPr>
    <w:tblGrid>
      <w:gridCol w:w="2489"/>
      <w:gridCol w:w="3464"/>
    </w:tblGrid>
    <w:tr w:rsidR="00294C8C">
      <w:trPr>
        <w:trHeight w:val="101"/>
      </w:trPr>
      <w:tc>
        <w:tcPr>
          <w:tcW w:w="2489" w:type="dxa"/>
          <w:shd w:val="clear" w:color="auto" w:fill="auto"/>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64" w:type="dxa"/>
          <w:shd w:val="clear" w:color="auto" w:fill="auto"/>
          <w:vAlign w:val="center"/>
        </w:tcPr>
        <w:p w:rsidR="00294C8C" w:rsidRDefault="00FE203E">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00739/INFOEM/IP/RR/2022</w:t>
          </w:r>
        </w:p>
      </w:tc>
    </w:tr>
    <w:tr w:rsidR="00294C8C">
      <w:trPr>
        <w:trHeight w:val="228"/>
      </w:trPr>
      <w:tc>
        <w:tcPr>
          <w:tcW w:w="2489" w:type="dxa"/>
          <w:shd w:val="clear" w:color="auto" w:fill="auto"/>
          <w:vAlign w:val="center"/>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64" w:type="dxa"/>
          <w:shd w:val="clear" w:color="auto" w:fill="auto"/>
          <w:vAlign w:val="center"/>
        </w:tcPr>
        <w:p w:rsidR="00294C8C" w:rsidRDefault="00FE203E">
          <w:pPr>
            <w:ind w:left="-45" w:right="176"/>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Seguridad Social del Estado de México y Municipios</w:t>
          </w:r>
        </w:p>
      </w:tc>
    </w:tr>
    <w:tr w:rsidR="00294C8C">
      <w:tc>
        <w:tcPr>
          <w:tcW w:w="2489" w:type="dxa"/>
          <w:shd w:val="clear" w:color="auto" w:fill="auto"/>
          <w:vAlign w:val="center"/>
        </w:tcPr>
        <w:p w:rsidR="00294C8C" w:rsidRDefault="00FE203E">
          <w:pPr>
            <w:ind w:right="-108"/>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64" w:type="dxa"/>
          <w:shd w:val="clear" w:color="auto" w:fill="auto"/>
          <w:vAlign w:val="center"/>
        </w:tcPr>
        <w:p w:rsidR="00294C8C" w:rsidRDefault="00FE203E">
          <w:pPr>
            <w:ind w:right="17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294C8C" w:rsidRDefault="00FE203E">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4C8C" w:rsidRDefault="00294C8C">
    <w:pPr>
      <w:widowControl w:val="0"/>
      <w:pBdr>
        <w:top w:val="nil"/>
        <w:left w:val="nil"/>
        <w:bottom w:val="nil"/>
        <w:right w:val="nil"/>
        <w:between w:val="nil"/>
      </w:pBdr>
      <w:spacing w:line="276" w:lineRule="auto"/>
      <w:rPr>
        <w:rFonts w:ascii="Palatino Linotype" w:eastAsia="Palatino Linotype" w:hAnsi="Palatino Linotype" w:cs="Palatino Linotype"/>
        <w:color w:val="000000"/>
        <w:sz w:val="16"/>
        <w:szCs w:val="16"/>
      </w:rPr>
    </w:pPr>
  </w:p>
  <w:tbl>
    <w:tblPr>
      <w:tblStyle w:val="a0"/>
      <w:tblW w:w="5953" w:type="dxa"/>
      <w:tblInd w:w="3261" w:type="dxa"/>
      <w:tblLayout w:type="fixed"/>
      <w:tblLook w:val="0400" w:firstRow="0" w:lastRow="0" w:firstColumn="0" w:lastColumn="0" w:noHBand="0" w:noVBand="1"/>
    </w:tblPr>
    <w:tblGrid>
      <w:gridCol w:w="2551"/>
      <w:gridCol w:w="3402"/>
    </w:tblGrid>
    <w:tr w:rsidR="00294C8C">
      <w:tc>
        <w:tcPr>
          <w:tcW w:w="2551" w:type="dxa"/>
          <w:shd w:val="clear" w:color="auto" w:fill="auto"/>
          <w:vAlign w:val="center"/>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402" w:type="dxa"/>
          <w:shd w:val="clear" w:color="auto" w:fill="auto"/>
          <w:vAlign w:val="center"/>
        </w:tcPr>
        <w:p w:rsidR="00294C8C" w:rsidRDefault="00FE203E">
          <w:pPr>
            <w:tabs>
              <w:tab w:val="left" w:pos="3153"/>
            </w:tabs>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00739/INFOEM/IP/RR/2022</w:t>
          </w:r>
        </w:p>
      </w:tc>
    </w:tr>
    <w:tr w:rsidR="00294C8C">
      <w:trPr>
        <w:trHeight w:val="130"/>
      </w:trPr>
      <w:tc>
        <w:tcPr>
          <w:tcW w:w="2551" w:type="dxa"/>
          <w:shd w:val="clear" w:color="auto" w:fill="auto"/>
          <w:vAlign w:val="center"/>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402" w:type="dxa"/>
          <w:shd w:val="clear" w:color="auto" w:fill="auto"/>
          <w:vAlign w:val="center"/>
        </w:tcPr>
        <w:p w:rsidR="00294C8C" w:rsidRDefault="002D716F">
          <w:pPr>
            <w:ind w:left="-45"/>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XXXXX XXXXXX </w:t>
          </w:r>
          <w:proofErr w:type="spellStart"/>
          <w:r>
            <w:rPr>
              <w:rFonts w:ascii="Palatino Linotype" w:eastAsia="Palatino Linotype" w:hAnsi="Palatino Linotype" w:cs="Palatino Linotype"/>
              <w:b/>
              <w:sz w:val="22"/>
              <w:szCs w:val="22"/>
            </w:rPr>
            <w:t>XXXXXX</w:t>
          </w:r>
          <w:proofErr w:type="spellEnd"/>
        </w:p>
      </w:tc>
    </w:tr>
    <w:tr w:rsidR="00294C8C">
      <w:trPr>
        <w:trHeight w:val="228"/>
      </w:trPr>
      <w:tc>
        <w:tcPr>
          <w:tcW w:w="2551" w:type="dxa"/>
          <w:shd w:val="clear" w:color="auto" w:fill="auto"/>
          <w:vAlign w:val="center"/>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402" w:type="dxa"/>
          <w:shd w:val="clear" w:color="auto" w:fill="auto"/>
          <w:vAlign w:val="center"/>
        </w:tcPr>
        <w:p w:rsidR="00294C8C" w:rsidRDefault="00FE203E">
          <w:pPr>
            <w:ind w:left="-45" w:right="34"/>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Seguridad Social del Estado de México y Municipios</w:t>
          </w:r>
          <w:r>
            <w:rPr>
              <w:noProof/>
              <w:lang w:val="es-MX"/>
            </w:rPr>
            <w:drawing>
              <wp:anchor distT="0" distB="0" distL="0" distR="0" simplePos="0" relativeHeight="251659264" behindDoc="1" locked="0" layoutInCell="1" hidden="0" allowOverlap="1">
                <wp:simplePos x="0" y="0"/>
                <wp:positionH relativeFrom="column">
                  <wp:posOffset>-5128894</wp:posOffset>
                </wp:positionH>
                <wp:positionV relativeFrom="paragraph">
                  <wp:posOffset>-1631949</wp:posOffset>
                </wp:positionV>
                <wp:extent cx="7809865" cy="10165715"/>
                <wp:effectExtent l="0" t="0" r="0" b="0"/>
                <wp:wrapNone/>
                <wp:docPr id="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c>
    </w:tr>
    <w:tr w:rsidR="00294C8C">
      <w:tc>
        <w:tcPr>
          <w:tcW w:w="2551" w:type="dxa"/>
          <w:shd w:val="clear" w:color="auto" w:fill="auto"/>
          <w:vAlign w:val="center"/>
        </w:tcPr>
        <w:p w:rsidR="00294C8C" w:rsidRDefault="00FE203E">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402" w:type="dxa"/>
          <w:shd w:val="clear" w:color="auto" w:fill="auto"/>
          <w:vAlign w:val="center"/>
        </w:tcPr>
        <w:p w:rsidR="00294C8C" w:rsidRDefault="00FE203E">
          <w:pPr>
            <w:ind w:left="-45"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rsidR="00294C8C" w:rsidRDefault="00294C8C">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A2C39"/>
    <w:multiLevelType w:val="multilevel"/>
    <w:tmpl w:val="8FB475A0"/>
    <w:lvl w:ilvl="0">
      <w:start w:val="1"/>
      <w:numFmt w:val="upperRoman"/>
      <w:pStyle w:val="Listaconvietas3"/>
      <w:lvlText w:val="%1."/>
      <w:lvlJc w:val="left"/>
      <w:pPr>
        <w:ind w:left="1713" w:hanging="719"/>
      </w:pPr>
      <w:rPr>
        <w:b/>
        <w:color w:val="000000"/>
      </w:r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1" w15:restartNumberingAfterBreak="0">
    <w:nsid w:val="13612DFE"/>
    <w:multiLevelType w:val="multilevel"/>
    <w:tmpl w:val="5CA81A5C"/>
    <w:lvl w:ilvl="0">
      <w:start w:val="1"/>
      <w:numFmt w:val="decimal"/>
      <w:lvlText w:val="%1)"/>
      <w:lvlJc w:val="left"/>
      <w:pPr>
        <w:ind w:left="1494" w:hanging="360"/>
      </w:pPr>
    </w:lvl>
    <w:lvl w:ilvl="1">
      <w:start w:val="1"/>
      <w:numFmt w:val="lowerLetter"/>
      <w:lvlText w:val="%2."/>
      <w:lvlJc w:val="left"/>
      <w:pPr>
        <w:ind w:left="2214" w:hanging="360"/>
      </w:pPr>
    </w:lvl>
    <w:lvl w:ilvl="2">
      <w:start w:val="1"/>
      <w:numFmt w:val="lowerRoman"/>
      <w:lvlText w:val="%3."/>
      <w:lvlJc w:val="right"/>
      <w:pPr>
        <w:ind w:left="2934" w:hanging="180"/>
      </w:pPr>
    </w:lvl>
    <w:lvl w:ilvl="3">
      <w:start w:val="1"/>
      <w:numFmt w:val="decimal"/>
      <w:lvlText w:val="%4."/>
      <w:lvlJc w:val="left"/>
      <w:pPr>
        <w:ind w:left="3654" w:hanging="360"/>
      </w:pPr>
    </w:lvl>
    <w:lvl w:ilvl="4">
      <w:start w:val="1"/>
      <w:numFmt w:val="lowerLetter"/>
      <w:lvlText w:val="%5."/>
      <w:lvlJc w:val="left"/>
      <w:pPr>
        <w:ind w:left="4374" w:hanging="360"/>
      </w:pPr>
    </w:lvl>
    <w:lvl w:ilvl="5">
      <w:start w:val="1"/>
      <w:numFmt w:val="lowerRoman"/>
      <w:lvlText w:val="%6."/>
      <w:lvlJc w:val="right"/>
      <w:pPr>
        <w:ind w:left="5094" w:hanging="180"/>
      </w:pPr>
    </w:lvl>
    <w:lvl w:ilvl="6">
      <w:start w:val="1"/>
      <w:numFmt w:val="decimal"/>
      <w:lvlText w:val="%7."/>
      <w:lvlJc w:val="left"/>
      <w:pPr>
        <w:ind w:left="5814" w:hanging="360"/>
      </w:pPr>
    </w:lvl>
    <w:lvl w:ilvl="7">
      <w:start w:val="1"/>
      <w:numFmt w:val="lowerLetter"/>
      <w:lvlText w:val="%8."/>
      <w:lvlJc w:val="left"/>
      <w:pPr>
        <w:ind w:left="6534" w:hanging="360"/>
      </w:pPr>
    </w:lvl>
    <w:lvl w:ilvl="8">
      <w:start w:val="1"/>
      <w:numFmt w:val="lowerRoman"/>
      <w:lvlText w:val="%9."/>
      <w:lvlJc w:val="right"/>
      <w:pPr>
        <w:ind w:left="7254" w:hanging="180"/>
      </w:pPr>
    </w:lvl>
  </w:abstractNum>
  <w:abstractNum w:abstractNumId="2" w15:restartNumberingAfterBreak="0">
    <w:nsid w:val="391F1DF9"/>
    <w:multiLevelType w:val="multilevel"/>
    <w:tmpl w:val="05FE604E"/>
    <w:lvl w:ilvl="0">
      <w:start w:val="1"/>
      <w:numFmt w:val="decimal"/>
      <w:lvlText w:val="%1."/>
      <w:lvlJc w:val="left"/>
      <w:pPr>
        <w:ind w:left="781" w:hanging="360"/>
      </w:p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3" w15:restartNumberingAfterBreak="0">
    <w:nsid w:val="5BF80105"/>
    <w:multiLevelType w:val="multilevel"/>
    <w:tmpl w:val="9BB27604"/>
    <w:lvl w:ilvl="0">
      <w:start w:val="1"/>
      <w:numFmt w:val="bullet"/>
      <w:lvlText w:val="●"/>
      <w:lvlJc w:val="left"/>
      <w:pPr>
        <w:ind w:left="781" w:hanging="360"/>
      </w:pPr>
      <w:rPr>
        <w:rFonts w:ascii="Noto Sans Symbols" w:eastAsia="Noto Sans Symbols" w:hAnsi="Noto Sans Symbols" w:cs="Noto Sans Symbols"/>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4" w15:restartNumberingAfterBreak="0">
    <w:nsid w:val="70D43261"/>
    <w:multiLevelType w:val="multilevel"/>
    <w:tmpl w:val="D60AE140"/>
    <w:lvl w:ilvl="0">
      <w:start w:val="3"/>
      <w:numFmt w:val="upperRoman"/>
      <w:lvlText w:val="%1."/>
      <w:lvlJc w:val="left"/>
      <w:pPr>
        <w:ind w:left="2433" w:hanging="720"/>
      </w:pPr>
    </w:lvl>
    <w:lvl w:ilvl="1">
      <w:start w:val="1"/>
      <w:numFmt w:val="lowerLetter"/>
      <w:lvlText w:val="%2."/>
      <w:lvlJc w:val="left"/>
      <w:pPr>
        <w:ind w:left="2793" w:hanging="360"/>
      </w:pPr>
    </w:lvl>
    <w:lvl w:ilvl="2">
      <w:start w:val="1"/>
      <w:numFmt w:val="lowerRoman"/>
      <w:lvlText w:val="%3."/>
      <w:lvlJc w:val="right"/>
      <w:pPr>
        <w:ind w:left="3513" w:hanging="180"/>
      </w:pPr>
    </w:lvl>
    <w:lvl w:ilvl="3">
      <w:start w:val="1"/>
      <w:numFmt w:val="decimal"/>
      <w:lvlText w:val="%4."/>
      <w:lvlJc w:val="left"/>
      <w:pPr>
        <w:ind w:left="4233" w:hanging="360"/>
      </w:pPr>
    </w:lvl>
    <w:lvl w:ilvl="4">
      <w:start w:val="1"/>
      <w:numFmt w:val="lowerLetter"/>
      <w:lvlText w:val="%5."/>
      <w:lvlJc w:val="left"/>
      <w:pPr>
        <w:ind w:left="4953" w:hanging="360"/>
      </w:pPr>
    </w:lvl>
    <w:lvl w:ilvl="5">
      <w:start w:val="1"/>
      <w:numFmt w:val="lowerRoman"/>
      <w:lvlText w:val="%6."/>
      <w:lvlJc w:val="right"/>
      <w:pPr>
        <w:ind w:left="5673" w:hanging="180"/>
      </w:pPr>
    </w:lvl>
    <w:lvl w:ilvl="6">
      <w:start w:val="1"/>
      <w:numFmt w:val="decimal"/>
      <w:lvlText w:val="%7."/>
      <w:lvlJc w:val="left"/>
      <w:pPr>
        <w:ind w:left="6393" w:hanging="360"/>
      </w:pPr>
    </w:lvl>
    <w:lvl w:ilvl="7">
      <w:start w:val="1"/>
      <w:numFmt w:val="lowerLetter"/>
      <w:lvlText w:val="%8."/>
      <w:lvlJc w:val="left"/>
      <w:pPr>
        <w:ind w:left="7113" w:hanging="360"/>
      </w:pPr>
    </w:lvl>
    <w:lvl w:ilvl="8">
      <w:start w:val="1"/>
      <w:numFmt w:val="lowerRoman"/>
      <w:lvlText w:val="%9."/>
      <w:lvlJc w:val="right"/>
      <w:pPr>
        <w:ind w:left="7833" w:hanging="180"/>
      </w:pPr>
    </w:lvl>
  </w:abstractNum>
  <w:abstractNum w:abstractNumId="5" w15:restartNumberingAfterBreak="0">
    <w:nsid w:val="735834DC"/>
    <w:multiLevelType w:val="multilevel"/>
    <w:tmpl w:val="3B325ABC"/>
    <w:lvl w:ilvl="0">
      <w:start w:val="1"/>
      <w:numFmt w:val="upperRoman"/>
      <w:lvlText w:val="%1."/>
      <w:lvlJc w:val="left"/>
      <w:pPr>
        <w:ind w:left="1287" w:hanging="72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0"/>
  </w:num>
  <w:num w:numId="2">
    <w:abstractNumId w:val="4"/>
  </w:num>
  <w:num w:numId="3">
    <w:abstractNumId w:val="5"/>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4C8C"/>
    <w:rsid w:val="00084B8C"/>
    <w:rsid w:val="00294C8C"/>
    <w:rsid w:val="002D716F"/>
    <w:rsid w:val="003429B3"/>
    <w:rsid w:val="00501FB1"/>
    <w:rsid w:val="006544C1"/>
    <w:rsid w:val="00FE203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70E58F9-1022-4746-BE24-752E9FE2A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7757"/>
  </w:style>
  <w:style w:type="paragraph" w:styleId="Ttulo1">
    <w:name w:val="heading 1"/>
    <w:basedOn w:val="Normal"/>
    <w:next w:val="Normal"/>
    <w:link w:val="Ttulo1Car"/>
    <w:uiPriority w:val="9"/>
    <w:qFormat/>
    <w:rsid w:val="00603D7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603D7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3B73CD"/>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3B73CD"/>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3B73C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semiHidden/>
    <w:unhideWhenUsed/>
    <w:qFormat/>
    <w:rsid w:val="003B73CD"/>
    <w:pPr>
      <w:tabs>
        <w:tab w:val="num" w:pos="4320"/>
      </w:tabs>
      <w:spacing w:before="240" w:after="60"/>
      <w:ind w:left="4320" w:hanging="720"/>
      <w:outlineLvl w:val="5"/>
    </w:pPr>
    <w:rPr>
      <w:b/>
      <w:bCs/>
      <w:sz w:val="22"/>
      <w:szCs w:val="22"/>
      <w:lang w:val="en-US" w:eastAsia="en-US"/>
    </w:rPr>
  </w:style>
  <w:style w:type="paragraph" w:styleId="Ttulo7">
    <w:name w:val="heading 7"/>
    <w:basedOn w:val="Normal"/>
    <w:next w:val="Normal"/>
    <w:link w:val="Ttulo7Car"/>
    <w:uiPriority w:val="9"/>
    <w:semiHidden/>
    <w:unhideWhenUsed/>
    <w:qFormat/>
    <w:rsid w:val="003B73C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Ttulo8">
    <w:name w:val="heading 8"/>
    <w:basedOn w:val="Normal"/>
    <w:next w:val="Normal"/>
    <w:link w:val="Ttulo8Car"/>
    <w:uiPriority w:val="9"/>
    <w:semiHidden/>
    <w:unhideWhenUsed/>
    <w:qFormat/>
    <w:rsid w:val="003B73C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Ttulo9">
    <w:name w:val="heading 9"/>
    <w:basedOn w:val="Normal"/>
    <w:next w:val="Normal"/>
    <w:link w:val="Ttulo9Car"/>
    <w:uiPriority w:val="9"/>
    <w:semiHidden/>
    <w:unhideWhenUsed/>
    <w:qFormat/>
    <w:rsid w:val="003B73C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1"/>
    <w:qFormat/>
    <w:rsid w:val="0070703E"/>
    <w:pPr>
      <w:ind w:left="720"/>
      <w:contextualSpacing/>
    </w:p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1"/>
    <w:qFormat/>
    <w:locked/>
    <w:rsid w:val="007E1FF4"/>
    <w:rPr>
      <w:rFonts w:ascii="Times New Roman" w:eastAsia="Times New Roman" w:hAnsi="Times New Roman" w:cs="Times New Roman"/>
      <w:lang w:val="es-ES"/>
    </w:rPr>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2944C8"/>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2944C8"/>
    <w:rPr>
      <w:vertAlign w:val="superscript"/>
    </w:rPr>
  </w:style>
  <w:style w:type="paragraph" w:styleId="Sinespaciado">
    <w:name w:val="No Spacing"/>
    <w:aliases w:val="Francesa,INAI"/>
    <w:link w:val="SinespaciadoCar"/>
    <w:uiPriority w:val="1"/>
    <w:qFormat/>
    <w:rsid w:val="002944C8"/>
    <w:rPr>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character" w:customStyle="1" w:styleId="SinespaciadoCar">
    <w:name w:val="Sin espaciado Car"/>
    <w:aliases w:val="Francesa Car,INAI Car"/>
    <w:link w:val="Sinespaciado"/>
    <w:uiPriority w:val="1"/>
    <w:locked/>
    <w:rsid w:val="00270539"/>
    <w:rPr>
      <w:rFonts w:ascii="Times New Roman" w:eastAsia="Times New Roman" w:hAnsi="Times New Roman" w:cs="Times New Roman"/>
      <w:lang w:val="es-MX"/>
    </w:rPr>
  </w:style>
  <w:style w:type="character" w:customStyle="1" w:styleId="medium">
    <w:name w:val="medium"/>
    <w:basedOn w:val="Fuentedeprrafopredeter"/>
    <w:rsid w:val="00354DB7"/>
  </w:style>
  <w:style w:type="table" w:styleId="Tablaconcuadrcula">
    <w:name w:val="Table Grid"/>
    <w:basedOn w:val="Tablanormal"/>
    <w:uiPriority w:val="59"/>
    <w:rsid w:val="00BB3A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eroconsecutivo">
    <w:name w:val="numeroconsecutivo"/>
    <w:basedOn w:val="Fuentedeprrafopredeter"/>
    <w:rsid w:val="00615060"/>
  </w:style>
  <w:style w:type="character" w:customStyle="1" w:styleId="titulorubrolgt">
    <w:name w:val="titulorubrolgt"/>
    <w:basedOn w:val="Fuentedeprrafopredeter"/>
    <w:rsid w:val="00615060"/>
  </w:style>
  <w:style w:type="character" w:customStyle="1" w:styleId="ctr">
    <w:name w:val="ctr"/>
    <w:basedOn w:val="Fuentedeprrafopredeter"/>
    <w:rsid w:val="00615060"/>
  </w:style>
  <w:style w:type="paragraph" w:styleId="Textonotaalfinal">
    <w:name w:val="endnote text"/>
    <w:basedOn w:val="Normal"/>
    <w:link w:val="TextonotaalfinalCar"/>
    <w:uiPriority w:val="99"/>
    <w:semiHidden/>
    <w:unhideWhenUsed/>
    <w:rsid w:val="00D25E88"/>
    <w:rPr>
      <w:sz w:val="20"/>
      <w:szCs w:val="20"/>
    </w:rPr>
  </w:style>
  <w:style w:type="character" w:customStyle="1" w:styleId="TextonotaalfinalCar">
    <w:name w:val="Texto nota al final Car"/>
    <w:basedOn w:val="Fuentedeprrafopredeter"/>
    <w:link w:val="Textonotaalfinal"/>
    <w:uiPriority w:val="99"/>
    <w:semiHidden/>
    <w:rsid w:val="00D25E88"/>
    <w:rPr>
      <w:rFonts w:ascii="Times New Roman" w:eastAsia="Times New Roman" w:hAnsi="Times New Roman" w:cs="Times New Roman"/>
      <w:sz w:val="20"/>
      <w:szCs w:val="20"/>
      <w:lang w:val="es-ES"/>
    </w:rPr>
  </w:style>
  <w:style w:type="character" w:styleId="Refdenotaalfinal">
    <w:name w:val="endnote reference"/>
    <w:basedOn w:val="Fuentedeprrafopredeter"/>
    <w:uiPriority w:val="99"/>
    <w:semiHidden/>
    <w:unhideWhenUsed/>
    <w:rsid w:val="00D25E88"/>
    <w:rPr>
      <w:vertAlign w:val="superscript"/>
    </w:rPr>
  </w:style>
  <w:style w:type="character" w:customStyle="1" w:styleId="A1">
    <w:name w:val="A1"/>
    <w:uiPriority w:val="99"/>
    <w:rsid w:val="00EC4ECD"/>
    <w:rPr>
      <w:rFonts w:ascii="Myriad Pro" w:hAnsi="Myriad Pro" w:cs="Myriad Pro" w:hint="default"/>
      <w:color w:val="000000"/>
      <w:sz w:val="22"/>
      <w:szCs w:val="22"/>
    </w:rPr>
  </w:style>
  <w:style w:type="paragraph" w:customStyle="1" w:styleId="Pa9">
    <w:name w:val="Pa9"/>
    <w:basedOn w:val="Normal"/>
    <w:next w:val="Normal"/>
    <w:uiPriority w:val="99"/>
    <w:rsid w:val="00EC4ECD"/>
    <w:pPr>
      <w:autoSpaceDE w:val="0"/>
      <w:autoSpaceDN w:val="0"/>
      <w:adjustRightInd w:val="0"/>
      <w:spacing w:line="241" w:lineRule="atLeast"/>
    </w:pPr>
    <w:rPr>
      <w:rFonts w:ascii="Myriad Pro" w:eastAsiaTheme="minorHAnsi" w:hAnsi="Myriad Pro" w:cstheme="minorBidi"/>
      <w:lang w:val="es-MX" w:eastAsia="en-US"/>
    </w:rPr>
  </w:style>
  <w:style w:type="paragraph" w:customStyle="1" w:styleId="Pa5">
    <w:name w:val="Pa5"/>
    <w:basedOn w:val="Normal"/>
    <w:next w:val="Normal"/>
    <w:uiPriority w:val="99"/>
    <w:rsid w:val="00EC4ECD"/>
    <w:pPr>
      <w:autoSpaceDE w:val="0"/>
      <w:autoSpaceDN w:val="0"/>
      <w:adjustRightInd w:val="0"/>
      <w:spacing w:line="201" w:lineRule="atLeast"/>
    </w:pPr>
    <w:rPr>
      <w:rFonts w:ascii="Myriad Pro" w:eastAsiaTheme="minorHAnsi" w:hAnsi="Myriad Pro" w:cstheme="minorBidi"/>
      <w:lang w:val="es-MX" w:eastAsia="en-US"/>
    </w:rPr>
  </w:style>
  <w:style w:type="paragraph" w:customStyle="1" w:styleId="m5127500252372250437gmail-paragraph">
    <w:name w:val="m_5127500252372250437gmail-paragraph"/>
    <w:basedOn w:val="Normal"/>
    <w:rsid w:val="00980B7E"/>
    <w:pPr>
      <w:spacing w:before="100" w:beforeAutospacing="1" w:after="100" w:afterAutospacing="1"/>
    </w:pPr>
    <w:rPr>
      <w:lang w:val="es-MX"/>
    </w:rPr>
  </w:style>
  <w:style w:type="character" w:customStyle="1" w:styleId="nombrefraccder">
    <w:name w:val="nombrefraccder"/>
    <w:basedOn w:val="Fuentedeprrafopredeter"/>
    <w:rsid w:val="009B4A68"/>
  </w:style>
  <w:style w:type="character" w:customStyle="1" w:styleId="numberfraccder">
    <w:name w:val="numberfraccder"/>
    <w:basedOn w:val="Fuentedeprrafopredeter"/>
    <w:rsid w:val="009B4A68"/>
  </w:style>
  <w:style w:type="character" w:customStyle="1" w:styleId="TextoCar">
    <w:name w:val="Texto Car"/>
    <w:link w:val="Texto"/>
    <w:locked/>
    <w:rsid w:val="002B0963"/>
    <w:rPr>
      <w:rFonts w:ascii="Arial" w:eastAsia="Times New Roman" w:hAnsi="Arial" w:cs="Arial"/>
      <w:sz w:val="18"/>
      <w:szCs w:val="18"/>
      <w:lang w:val="es-MX"/>
    </w:rPr>
  </w:style>
  <w:style w:type="character" w:styleId="nfasis">
    <w:name w:val="Emphasis"/>
    <w:basedOn w:val="Fuentedeprrafopredeter"/>
    <w:uiPriority w:val="20"/>
    <w:qFormat/>
    <w:rsid w:val="00C536F2"/>
    <w:rPr>
      <w:i/>
      <w:iCs/>
    </w:rPr>
  </w:style>
  <w:style w:type="character" w:customStyle="1" w:styleId="normaltextrun">
    <w:name w:val="normaltextrun"/>
    <w:basedOn w:val="Fuentedeprrafopredeter"/>
    <w:rsid w:val="0011437B"/>
  </w:style>
  <w:style w:type="character" w:customStyle="1" w:styleId="m5127500252372250437gmail-normaltextrun">
    <w:name w:val="m_5127500252372250437gmail-normaltextrun"/>
    <w:basedOn w:val="Fuentedeprrafopredeter"/>
    <w:rsid w:val="0011437B"/>
  </w:style>
  <w:style w:type="paragraph" w:customStyle="1" w:styleId="m-60081275284358516gmail-msolistparagraph">
    <w:name w:val="m_-60081275284358516gmail-msolistparagraph"/>
    <w:basedOn w:val="Normal"/>
    <w:rsid w:val="00207C90"/>
    <w:pPr>
      <w:spacing w:before="100" w:beforeAutospacing="1" w:after="100" w:afterAutospacing="1"/>
    </w:pPr>
    <w:rPr>
      <w:lang w:val="es-MX"/>
    </w:rPr>
  </w:style>
  <w:style w:type="paragraph" w:customStyle="1" w:styleId="ANOTACION">
    <w:name w:val="ANOTACION"/>
    <w:basedOn w:val="Normal"/>
    <w:link w:val="ANOTACIONCar"/>
    <w:rsid w:val="001B5A73"/>
    <w:pPr>
      <w:spacing w:before="101" w:after="101" w:line="216" w:lineRule="atLeast"/>
      <w:jc w:val="center"/>
    </w:pPr>
    <w:rPr>
      <w:b/>
      <w:sz w:val="18"/>
      <w:szCs w:val="20"/>
      <w:lang w:val="es-ES_tradnl"/>
    </w:rPr>
  </w:style>
  <w:style w:type="character" w:customStyle="1" w:styleId="ANOTACIONCar">
    <w:name w:val="ANOTACION Car"/>
    <w:link w:val="ANOTACION"/>
    <w:locked/>
    <w:rsid w:val="001B5A73"/>
    <w:rPr>
      <w:rFonts w:ascii="Times New Roman" w:eastAsia="Times New Roman" w:hAnsi="Times New Roman" w:cs="Times New Roman"/>
      <w:b/>
      <w:sz w:val="18"/>
      <w:szCs w:val="20"/>
    </w:rPr>
  </w:style>
  <w:style w:type="paragraph" w:customStyle="1" w:styleId="j">
    <w:name w:val="j"/>
    <w:basedOn w:val="Normal"/>
    <w:rsid w:val="007B00BD"/>
    <w:pPr>
      <w:spacing w:before="100" w:beforeAutospacing="1" w:after="100" w:afterAutospacing="1"/>
    </w:pPr>
    <w:rPr>
      <w:lang w:val="es-MX"/>
    </w:rPr>
  </w:style>
  <w:style w:type="character" w:customStyle="1" w:styleId="nacep">
    <w:name w:val="n_acep"/>
    <w:basedOn w:val="Fuentedeprrafopredeter"/>
    <w:rsid w:val="007B00BD"/>
  </w:style>
  <w:style w:type="paragraph" w:customStyle="1" w:styleId="k5">
    <w:name w:val="k5"/>
    <w:basedOn w:val="Normal"/>
    <w:rsid w:val="007B00BD"/>
    <w:pPr>
      <w:spacing w:before="100" w:beforeAutospacing="1" w:after="100" w:afterAutospacing="1"/>
    </w:pPr>
    <w:rPr>
      <w:lang w:val="es-MX"/>
    </w:rPr>
  </w:style>
  <w:style w:type="paragraph" w:customStyle="1" w:styleId="m">
    <w:name w:val="m"/>
    <w:basedOn w:val="Normal"/>
    <w:rsid w:val="007B00BD"/>
    <w:pPr>
      <w:spacing w:before="100" w:beforeAutospacing="1" w:after="100" w:afterAutospacing="1"/>
    </w:pPr>
    <w:rPr>
      <w:lang w:val="es-MX"/>
    </w:rPr>
  </w:style>
  <w:style w:type="character" w:styleId="Refdecomentario">
    <w:name w:val="annotation reference"/>
    <w:basedOn w:val="Fuentedeprrafopredeter"/>
    <w:uiPriority w:val="99"/>
    <w:semiHidden/>
    <w:unhideWhenUsed/>
    <w:rsid w:val="003219FE"/>
    <w:rPr>
      <w:sz w:val="16"/>
      <w:szCs w:val="16"/>
    </w:rPr>
  </w:style>
  <w:style w:type="paragraph" w:styleId="Textocomentario">
    <w:name w:val="annotation text"/>
    <w:basedOn w:val="Normal"/>
    <w:link w:val="TextocomentarioCar"/>
    <w:uiPriority w:val="99"/>
    <w:semiHidden/>
    <w:unhideWhenUsed/>
    <w:rsid w:val="003219FE"/>
    <w:rPr>
      <w:sz w:val="20"/>
      <w:szCs w:val="20"/>
    </w:rPr>
  </w:style>
  <w:style w:type="character" w:customStyle="1" w:styleId="TextocomentarioCar">
    <w:name w:val="Texto comentario Car"/>
    <w:basedOn w:val="Fuentedeprrafopredeter"/>
    <w:link w:val="Textocomentario"/>
    <w:uiPriority w:val="99"/>
    <w:semiHidden/>
    <w:rsid w:val="003219FE"/>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3219FE"/>
    <w:rPr>
      <w:b/>
      <w:bCs/>
    </w:rPr>
  </w:style>
  <w:style w:type="character" w:customStyle="1" w:styleId="AsuntodelcomentarioCar">
    <w:name w:val="Asunto del comentario Car"/>
    <w:basedOn w:val="TextocomentarioCar"/>
    <w:link w:val="Asuntodelcomentario"/>
    <w:uiPriority w:val="99"/>
    <w:semiHidden/>
    <w:rsid w:val="003219FE"/>
    <w:rPr>
      <w:rFonts w:ascii="Times New Roman" w:eastAsia="Times New Roman" w:hAnsi="Times New Roman" w:cs="Times New Roman"/>
      <w:b/>
      <w:bCs/>
      <w:sz w:val="20"/>
      <w:szCs w:val="20"/>
      <w:lang w:val="es-ES"/>
    </w:rPr>
  </w:style>
  <w:style w:type="paragraph" w:customStyle="1" w:styleId="FAFunotente1">
    <w:name w:val="FA Fu?notente1"/>
    <w:basedOn w:val="Normal"/>
    <w:next w:val="Textonotapie"/>
    <w:uiPriority w:val="99"/>
    <w:unhideWhenUsed/>
    <w:rsid w:val="00A403D3"/>
    <w:rPr>
      <w:rFonts w:asciiTheme="minorHAnsi" w:eastAsia="Cambria" w:hAnsiTheme="minorHAnsi" w:cstheme="minorBidi"/>
      <w:sz w:val="20"/>
      <w:szCs w:val="20"/>
      <w:lang w:val="es-MX" w:eastAsia="en-US"/>
    </w:rPr>
  </w:style>
  <w:style w:type="character" w:customStyle="1" w:styleId="Ttulo1Car">
    <w:name w:val="Título 1 Car"/>
    <w:basedOn w:val="Fuentedeprrafopredeter"/>
    <w:link w:val="Ttulo1"/>
    <w:uiPriority w:val="9"/>
    <w:rsid w:val="00603D72"/>
    <w:rPr>
      <w:rFonts w:asciiTheme="majorHAnsi" w:eastAsiaTheme="majorEastAsia" w:hAnsiTheme="majorHAnsi" w:cstheme="majorBidi"/>
      <w:color w:val="365F91" w:themeColor="accent1" w:themeShade="BF"/>
      <w:sz w:val="32"/>
      <w:szCs w:val="32"/>
      <w:lang w:val="es-ES"/>
    </w:rPr>
  </w:style>
  <w:style w:type="character" w:customStyle="1" w:styleId="Ttulo2Car">
    <w:name w:val="Título 2 Car"/>
    <w:basedOn w:val="Fuentedeprrafopredeter"/>
    <w:link w:val="Ttulo2"/>
    <w:uiPriority w:val="9"/>
    <w:rsid w:val="00603D72"/>
    <w:rPr>
      <w:rFonts w:asciiTheme="majorHAnsi" w:eastAsiaTheme="majorEastAsia" w:hAnsiTheme="majorHAnsi" w:cstheme="majorBidi"/>
      <w:color w:val="365F91" w:themeColor="accent1" w:themeShade="BF"/>
      <w:sz w:val="26"/>
      <w:szCs w:val="26"/>
      <w:lang w:val="es-ES"/>
    </w:rPr>
  </w:style>
  <w:style w:type="paragraph" w:styleId="Lista">
    <w:name w:val="List"/>
    <w:basedOn w:val="Normal"/>
    <w:uiPriority w:val="99"/>
    <w:unhideWhenUsed/>
    <w:rsid w:val="00603D72"/>
    <w:pPr>
      <w:ind w:left="283" w:hanging="283"/>
      <w:contextualSpacing/>
    </w:pPr>
  </w:style>
  <w:style w:type="paragraph" w:styleId="Lista2">
    <w:name w:val="List 2"/>
    <w:basedOn w:val="Normal"/>
    <w:uiPriority w:val="99"/>
    <w:unhideWhenUsed/>
    <w:rsid w:val="00603D72"/>
    <w:pPr>
      <w:ind w:left="566" w:hanging="283"/>
      <w:contextualSpacing/>
    </w:pPr>
  </w:style>
  <w:style w:type="paragraph" w:styleId="Lista3">
    <w:name w:val="List 3"/>
    <w:basedOn w:val="Normal"/>
    <w:uiPriority w:val="99"/>
    <w:unhideWhenUsed/>
    <w:rsid w:val="00603D72"/>
    <w:pPr>
      <w:ind w:left="849" w:hanging="283"/>
      <w:contextualSpacing/>
    </w:pPr>
  </w:style>
  <w:style w:type="paragraph" w:styleId="Listaconvietas3">
    <w:name w:val="List Bullet 3"/>
    <w:basedOn w:val="Normal"/>
    <w:uiPriority w:val="99"/>
    <w:unhideWhenUsed/>
    <w:rsid w:val="00603D72"/>
    <w:pPr>
      <w:numPr>
        <w:numId w:val="1"/>
      </w:numPr>
      <w:contextualSpacing/>
    </w:pPr>
  </w:style>
  <w:style w:type="paragraph" w:styleId="Continuarlista">
    <w:name w:val="List Continue"/>
    <w:basedOn w:val="Normal"/>
    <w:uiPriority w:val="99"/>
    <w:unhideWhenUsed/>
    <w:rsid w:val="00603D72"/>
    <w:pPr>
      <w:spacing w:after="120"/>
      <w:ind w:left="283"/>
      <w:contextualSpacing/>
    </w:pPr>
  </w:style>
  <w:style w:type="paragraph" w:styleId="Continuarlista2">
    <w:name w:val="List Continue 2"/>
    <w:basedOn w:val="Normal"/>
    <w:uiPriority w:val="99"/>
    <w:unhideWhenUsed/>
    <w:rsid w:val="00603D72"/>
    <w:pPr>
      <w:spacing w:after="120"/>
      <w:ind w:left="566"/>
      <w:contextualSpacing/>
    </w:pPr>
  </w:style>
  <w:style w:type="paragraph" w:styleId="Textoindependiente">
    <w:name w:val="Body Text"/>
    <w:basedOn w:val="Normal"/>
    <w:link w:val="TextoindependienteCar"/>
    <w:uiPriority w:val="99"/>
    <w:unhideWhenUsed/>
    <w:rsid w:val="00603D72"/>
    <w:pPr>
      <w:spacing w:after="120"/>
    </w:pPr>
  </w:style>
  <w:style w:type="character" w:customStyle="1" w:styleId="TextoindependienteCar">
    <w:name w:val="Texto independiente Car"/>
    <w:basedOn w:val="Fuentedeprrafopredeter"/>
    <w:link w:val="Textoindependiente"/>
    <w:uiPriority w:val="99"/>
    <w:rsid w:val="00603D72"/>
    <w:rPr>
      <w:rFonts w:ascii="Times New Roman" w:eastAsia="Times New Roman" w:hAnsi="Times New Roman" w:cs="Times New Roman"/>
      <w:lang w:val="es-ES"/>
    </w:rPr>
  </w:style>
  <w:style w:type="paragraph" w:styleId="Sangradetextonormal">
    <w:name w:val="Body Text Indent"/>
    <w:basedOn w:val="Normal"/>
    <w:link w:val="SangradetextonormalCar"/>
    <w:uiPriority w:val="99"/>
    <w:semiHidden/>
    <w:unhideWhenUsed/>
    <w:rsid w:val="00603D72"/>
    <w:pPr>
      <w:spacing w:after="120"/>
      <w:ind w:left="283"/>
    </w:pPr>
  </w:style>
  <w:style w:type="character" w:customStyle="1" w:styleId="SangradetextonormalCar">
    <w:name w:val="Sangría de texto normal Car"/>
    <w:basedOn w:val="Fuentedeprrafopredeter"/>
    <w:link w:val="Sangradetextonormal"/>
    <w:uiPriority w:val="99"/>
    <w:semiHidden/>
    <w:rsid w:val="00603D72"/>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603D72"/>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03D72"/>
    <w:rPr>
      <w:rFonts w:ascii="Times New Roman" w:eastAsia="Times New Roman" w:hAnsi="Times New Roman" w:cs="Times New Roman"/>
      <w:lang w:val="es-ES"/>
    </w:rPr>
  </w:style>
  <w:style w:type="paragraph" w:customStyle="1" w:styleId="paragraph">
    <w:name w:val="paragraph"/>
    <w:basedOn w:val="Normal"/>
    <w:rsid w:val="00E34821"/>
    <w:pPr>
      <w:spacing w:before="100" w:beforeAutospacing="1" w:after="100" w:afterAutospacing="1"/>
    </w:pPr>
    <w:rPr>
      <w:lang w:val="es-MX"/>
    </w:rPr>
  </w:style>
  <w:style w:type="paragraph" w:customStyle="1" w:styleId="n2">
    <w:name w:val="n2"/>
    <w:basedOn w:val="Normal"/>
    <w:rsid w:val="009D307C"/>
    <w:pPr>
      <w:spacing w:before="100" w:beforeAutospacing="1" w:after="100" w:afterAutospacing="1"/>
    </w:pPr>
    <w:rPr>
      <w:lang w:val="es-MX"/>
    </w:rPr>
  </w:style>
  <w:style w:type="character" w:customStyle="1" w:styleId="u">
    <w:name w:val="u"/>
    <w:basedOn w:val="Fuentedeprrafopredeter"/>
    <w:rsid w:val="009D307C"/>
  </w:style>
  <w:style w:type="paragraph" w:customStyle="1" w:styleId="j1">
    <w:name w:val="j1"/>
    <w:basedOn w:val="Normal"/>
    <w:rsid w:val="009D307C"/>
    <w:pPr>
      <w:spacing w:before="100" w:beforeAutospacing="1" w:after="100" w:afterAutospacing="1"/>
    </w:pPr>
    <w:rPr>
      <w:lang w:val="es-MX"/>
    </w:rPr>
  </w:style>
  <w:style w:type="paragraph" w:customStyle="1" w:styleId="j2">
    <w:name w:val="j2"/>
    <w:basedOn w:val="Normal"/>
    <w:rsid w:val="009D307C"/>
    <w:pPr>
      <w:spacing w:before="100" w:beforeAutospacing="1" w:after="100" w:afterAutospacing="1"/>
    </w:pPr>
    <w:rPr>
      <w:lang w:val="es-MX"/>
    </w:rPr>
  </w:style>
  <w:style w:type="table" w:styleId="Tabladelista1clara-nfasis1">
    <w:name w:val="List Table 1 Light Accent 1"/>
    <w:basedOn w:val="Tablanormal"/>
    <w:uiPriority w:val="46"/>
    <w:rsid w:val="00A01B91"/>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cinsinresolver1">
    <w:name w:val="Mención sin resolver1"/>
    <w:basedOn w:val="Fuentedeprrafopredeter"/>
    <w:uiPriority w:val="99"/>
    <w:semiHidden/>
    <w:unhideWhenUsed/>
    <w:rsid w:val="00457753"/>
    <w:rPr>
      <w:color w:val="605E5C"/>
      <w:shd w:val="clear" w:color="auto" w:fill="E1DFDD"/>
    </w:rPr>
  </w:style>
  <w:style w:type="character" w:customStyle="1" w:styleId="Mencinsinresolver2">
    <w:name w:val="Mención sin resolver2"/>
    <w:basedOn w:val="Fuentedeprrafopredeter"/>
    <w:uiPriority w:val="99"/>
    <w:semiHidden/>
    <w:unhideWhenUsed/>
    <w:rsid w:val="00CE48D4"/>
    <w:rPr>
      <w:color w:val="605E5C"/>
      <w:shd w:val="clear" w:color="auto" w:fill="E1DFDD"/>
    </w:rPr>
  </w:style>
  <w:style w:type="table" w:customStyle="1" w:styleId="Tabladelista1clara-nfasis11">
    <w:name w:val="Tabla de lista 1 clara - Énfasis 11"/>
    <w:basedOn w:val="Tablanormal"/>
    <w:uiPriority w:val="46"/>
    <w:rsid w:val="008F79FD"/>
    <w:rPr>
      <w:rFonts w:eastAsia="MS Mincho"/>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Ttulo3Car">
    <w:name w:val="Título 3 Car"/>
    <w:basedOn w:val="Fuentedeprrafopredeter"/>
    <w:link w:val="Ttulo3"/>
    <w:uiPriority w:val="9"/>
    <w:semiHidden/>
    <w:rsid w:val="003B73CD"/>
    <w:rPr>
      <w:rFonts w:asciiTheme="majorHAnsi" w:eastAsiaTheme="majorEastAsia" w:hAnsiTheme="majorHAnsi" w:cstheme="majorBidi"/>
      <w:b/>
      <w:bCs/>
      <w:sz w:val="26"/>
      <w:szCs w:val="26"/>
      <w:lang w:val="en-US" w:eastAsia="en-US"/>
    </w:rPr>
  </w:style>
  <w:style w:type="character" w:customStyle="1" w:styleId="Ttulo4Car">
    <w:name w:val="Título 4 Car"/>
    <w:basedOn w:val="Fuentedeprrafopredeter"/>
    <w:link w:val="Ttulo4"/>
    <w:uiPriority w:val="9"/>
    <w:semiHidden/>
    <w:rsid w:val="003B73CD"/>
    <w:rPr>
      <w:b/>
      <w:bCs/>
      <w:sz w:val="28"/>
      <w:szCs w:val="28"/>
      <w:lang w:val="en-US" w:eastAsia="en-US"/>
    </w:rPr>
  </w:style>
  <w:style w:type="character" w:customStyle="1" w:styleId="Ttulo5Car">
    <w:name w:val="Título 5 Car"/>
    <w:basedOn w:val="Fuentedeprrafopredeter"/>
    <w:link w:val="Ttulo5"/>
    <w:uiPriority w:val="9"/>
    <w:semiHidden/>
    <w:rsid w:val="003B73CD"/>
    <w:rPr>
      <w:b/>
      <w:bCs/>
      <w:i/>
      <w:iCs/>
      <w:sz w:val="26"/>
      <w:szCs w:val="26"/>
      <w:lang w:val="en-US" w:eastAsia="en-US"/>
    </w:rPr>
  </w:style>
  <w:style w:type="character" w:customStyle="1" w:styleId="Ttulo6Car">
    <w:name w:val="Título 6 Car"/>
    <w:basedOn w:val="Fuentedeprrafopredeter"/>
    <w:link w:val="Ttulo6"/>
    <w:semiHidden/>
    <w:rsid w:val="003B73CD"/>
    <w:rPr>
      <w:rFonts w:ascii="Times New Roman" w:eastAsia="Times New Roman" w:hAnsi="Times New Roman" w:cs="Times New Roman"/>
      <w:b/>
      <w:bCs/>
      <w:sz w:val="22"/>
      <w:szCs w:val="22"/>
      <w:lang w:val="en-US" w:eastAsia="en-US"/>
    </w:rPr>
  </w:style>
  <w:style w:type="character" w:customStyle="1" w:styleId="Ttulo7Car">
    <w:name w:val="Título 7 Car"/>
    <w:basedOn w:val="Fuentedeprrafopredeter"/>
    <w:link w:val="Ttulo7"/>
    <w:uiPriority w:val="9"/>
    <w:semiHidden/>
    <w:rsid w:val="003B73CD"/>
    <w:rPr>
      <w:lang w:val="en-US" w:eastAsia="en-US"/>
    </w:rPr>
  </w:style>
  <w:style w:type="character" w:customStyle="1" w:styleId="Ttulo8Car">
    <w:name w:val="Título 8 Car"/>
    <w:basedOn w:val="Fuentedeprrafopredeter"/>
    <w:link w:val="Ttulo8"/>
    <w:uiPriority w:val="9"/>
    <w:semiHidden/>
    <w:rsid w:val="003B73CD"/>
    <w:rPr>
      <w:i/>
      <w:iCs/>
      <w:lang w:val="en-US" w:eastAsia="en-US"/>
    </w:rPr>
  </w:style>
  <w:style w:type="character" w:customStyle="1" w:styleId="Ttulo9Car">
    <w:name w:val="Título 9 Car"/>
    <w:basedOn w:val="Fuentedeprrafopredeter"/>
    <w:link w:val="Ttulo9"/>
    <w:uiPriority w:val="9"/>
    <w:semiHidden/>
    <w:rsid w:val="003B73CD"/>
    <w:rPr>
      <w:rFonts w:asciiTheme="majorHAnsi" w:eastAsiaTheme="majorEastAsia" w:hAnsiTheme="majorHAnsi" w:cstheme="majorBidi"/>
      <w:sz w:val="22"/>
      <w:szCs w:val="22"/>
      <w:lang w:val="en-US" w:eastAsia="en-US"/>
    </w:rPr>
  </w:style>
  <w:style w:type="paragraph" w:styleId="Revisin">
    <w:name w:val="Revision"/>
    <w:hidden/>
    <w:uiPriority w:val="99"/>
    <w:semiHidden/>
    <w:rsid w:val="00564B24"/>
  </w:style>
  <w:style w:type="table" w:customStyle="1" w:styleId="Tablanormal11">
    <w:name w:val="Tabla normal 11"/>
    <w:basedOn w:val="Tablanormal"/>
    <w:next w:val="Tablanormal1"/>
    <w:uiPriority w:val="41"/>
    <w:rsid w:val="007A5E15"/>
    <w:rPr>
      <w:rFonts w:eastAsia="Calibri"/>
      <w:sz w:val="22"/>
      <w:szCs w:val="22"/>
      <w:lang w:val="es-MX"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7A5E1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extonotapieCar1">
    <w:name w:val="Texto nota pie Car1"/>
    <w:uiPriority w:val="99"/>
    <w:rsid w:val="006233E2"/>
    <w:rPr>
      <w:rFonts w:ascii="Times New Roman" w:eastAsia="Times New Roman" w:hAnsi="Times New Roman" w:cs="Times New Roman"/>
      <w:sz w:val="20"/>
      <w:szCs w:val="20"/>
      <w:lang w:val="es-ES" w:eastAsia="es-ES"/>
    </w:rPr>
  </w:style>
  <w:style w:type="paragraph" w:styleId="Subttulo">
    <w:name w:val="Subtitle"/>
    <w:basedOn w:val="Normal"/>
    <w:next w:val="Normal"/>
    <w:link w:val="SubttuloCar"/>
    <w:pPr>
      <w:spacing w:after="160"/>
    </w:pPr>
    <w:rPr>
      <w:rFonts w:ascii="Cambria" w:eastAsia="Cambria" w:hAnsi="Cambria" w:cs="Cambria"/>
      <w:color w:val="5A5A5A"/>
      <w:sz w:val="22"/>
      <w:szCs w:val="22"/>
    </w:rPr>
  </w:style>
  <w:style w:type="character" w:customStyle="1" w:styleId="SubttuloCar">
    <w:name w:val="Subtítulo Car"/>
    <w:basedOn w:val="Fuentedeprrafopredeter"/>
    <w:link w:val="Subttulo"/>
    <w:uiPriority w:val="11"/>
    <w:rsid w:val="00D91005"/>
    <w:rPr>
      <w:color w:val="5A5A5A" w:themeColor="text1" w:themeTint="A5"/>
      <w:spacing w:val="15"/>
      <w:sz w:val="22"/>
      <w:szCs w:val="22"/>
      <w:lang w:val="es-ES"/>
    </w:rPr>
  </w:style>
  <w:style w:type="character" w:customStyle="1" w:styleId="Mencinsinresolver3">
    <w:name w:val="Mención sin resolver3"/>
    <w:basedOn w:val="Fuentedeprrafopredeter"/>
    <w:uiPriority w:val="99"/>
    <w:rsid w:val="00CF391A"/>
    <w:rPr>
      <w:color w:val="605E5C"/>
      <w:shd w:val="clear" w:color="auto" w:fill="E1DFDD"/>
    </w:rPr>
  </w:style>
  <w:style w:type="character" w:customStyle="1" w:styleId="Mencinsinresolver4">
    <w:name w:val="Mención sin resolver4"/>
    <w:basedOn w:val="Fuentedeprrafopredeter"/>
    <w:uiPriority w:val="99"/>
    <w:semiHidden/>
    <w:unhideWhenUsed/>
    <w:rsid w:val="00740C99"/>
    <w:rPr>
      <w:color w:val="605E5C"/>
      <w:shd w:val="clear" w:color="auto" w:fill="E1DFDD"/>
    </w:rPr>
  </w:style>
  <w:style w:type="table" w:customStyle="1" w:styleId="a">
    <w:basedOn w:val="TableNormal"/>
    <w:rPr>
      <w:sz w:val="22"/>
      <w:szCs w:val="22"/>
    </w:r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31.png"/><Relationship Id="rId18" Type="http://schemas.openxmlformats.org/officeDocument/2006/relationships/image" Target="media/image7.png"/><Relationship Id="rId26" Type="http://schemas.openxmlformats.org/officeDocument/2006/relationships/image" Target="media/image38.png"/><Relationship Id="rId39" Type="http://schemas.openxmlformats.org/officeDocument/2006/relationships/image" Target="media/image30.png"/><Relationship Id="rId21" Type="http://schemas.openxmlformats.org/officeDocument/2006/relationships/image" Target="media/image10.png"/><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image" Target="media/image25.png"/><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37.png"/><Relationship Id="rId11" Type="http://schemas.openxmlformats.org/officeDocument/2006/relationships/image" Target="media/image36.png"/><Relationship Id="rId24" Type="http://schemas.openxmlformats.org/officeDocument/2006/relationships/image" Target="media/image11.png"/><Relationship Id="rId32" Type="http://schemas.openxmlformats.org/officeDocument/2006/relationships/image" Target="media/image21.png"/><Relationship Id="rId37" Type="http://schemas.openxmlformats.org/officeDocument/2006/relationships/hyperlink" Target="https://www.ipomex.org.mx/ipo3/lgt/indice/ISSEMYM.web"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3.png"/><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8.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19.png"/><Relationship Id="rId22" Type="http://schemas.openxmlformats.org/officeDocument/2006/relationships/image" Target="media/image29.png"/><Relationship Id="rId27" Type="http://schemas.openxmlformats.org/officeDocument/2006/relationships/image" Target="media/image27.png"/><Relationship Id="rId30" Type="http://schemas.openxmlformats.org/officeDocument/2006/relationships/image" Target="media/image13.png"/><Relationship Id="rId35" Type="http://schemas.openxmlformats.org/officeDocument/2006/relationships/image" Target="media/image20.png"/><Relationship Id="rId43" Type="http://schemas.openxmlformats.org/officeDocument/2006/relationships/hyperlink" Target="https://www.ipomex.org.mx/recursos/ipo/files_ipo3/2018/43051/7/d7620a9ca0b0ad849fc119e18fb0f094.pdf" TargetMode="External"/><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50.png"/><Relationship Id="rId33" Type="http://schemas.openxmlformats.org/officeDocument/2006/relationships/image" Target="media/image40.png"/><Relationship Id="rId38" Type="http://schemas.openxmlformats.org/officeDocument/2006/relationships/image" Target="media/image17.png"/><Relationship Id="rId46" Type="http://schemas.openxmlformats.org/officeDocument/2006/relationships/image" Target="media/image24.png"/><Relationship Id="rId20" Type="http://schemas.openxmlformats.org/officeDocument/2006/relationships/image" Target="media/image9.png"/><Relationship Id="rId41"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32.pn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gswiCnZ2dIkPStnut2bcPmIcWUw==">AMUW2mW4zkXymx1g3/rNo5Qc7FvXYWxmA9UCtyARjOlET7nqW7HlgKEUPaCDN0zoqJrj8apa1fo567/p6i9Sb5tgjAVdVLZumRGcT9tehhiQ+IbrTc5uNtoDS7QEqbRIi0BQvjcTmh0zGQqXuMAVrGsDBJR4gLIZbbwQ74TeenBDk3gOlx76lJGDfm9GMUK1OtOmAHSa//ls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76</Pages>
  <Words>14352</Words>
  <Characters>78938</Characters>
  <Application>Microsoft Office Word</Application>
  <DocSecurity>0</DocSecurity>
  <Lines>657</Lines>
  <Paragraphs>186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iMac</dc:creator>
  <cp:lastModifiedBy>Cuenta Microsoft</cp:lastModifiedBy>
  <cp:revision>5</cp:revision>
  <cp:lastPrinted>2022-05-09T15:09:00Z</cp:lastPrinted>
  <dcterms:created xsi:type="dcterms:W3CDTF">2022-05-06T18:47:00Z</dcterms:created>
  <dcterms:modified xsi:type="dcterms:W3CDTF">2022-06-06T16:31:00Z</dcterms:modified>
</cp:coreProperties>
</file>