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526F9"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diez de agosto de dos mil veintidós. </w:t>
      </w:r>
    </w:p>
    <w:p w14:paraId="7EB4EE07" w14:textId="77777777" w:rsidR="005B4B9F" w:rsidRDefault="005B4B9F">
      <w:pPr>
        <w:spacing w:line="360" w:lineRule="auto"/>
        <w:jc w:val="both"/>
        <w:rPr>
          <w:rFonts w:ascii="Palatino Linotype" w:eastAsia="Palatino Linotype" w:hAnsi="Palatino Linotype" w:cs="Palatino Linotype"/>
        </w:rPr>
      </w:pPr>
    </w:p>
    <w:p w14:paraId="7E1C7EFF" w14:textId="1469568E"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07677/INFOEM/IP/RR/2022, </w:t>
      </w:r>
      <w:r>
        <w:rPr>
          <w:rFonts w:ascii="Palatino Linotype" w:eastAsia="Palatino Linotype" w:hAnsi="Palatino Linotype" w:cs="Palatino Linotype"/>
        </w:rPr>
        <w:t>promovido por “</w:t>
      </w:r>
      <w:bookmarkStart w:id="0" w:name="_GoBack"/>
      <w:r w:rsidR="005C0015">
        <w:rPr>
          <w:rFonts w:ascii="Palatino Linotype" w:eastAsia="Palatino Linotype" w:hAnsi="Palatino Linotype" w:cs="Palatino Linotype"/>
          <w:b/>
        </w:rPr>
        <w:t>XXXXXX XXXXXXXX XXXXXX</w:t>
      </w:r>
      <w:bookmarkEnd w:id="0"/>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Metepec,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2640F19A" w14:textId="77777777" w:rsidR="005B4B9F" w:rsidRDefault="005B4B9F">
      <w:pPr>
        <w:spacing w:line="360" w:lineRule="auto"/>
        <w:jc w:val="both"/>
        <w:rPr>
          <w:rFonts w:ascii="Palatino Linotype" w:eastAsia="Palatino Linotype" w:hAnsi="Palatino Linotype" w:cs="Palatino Linotype"/>
          <w:b/>
        </w:rPr>
      </w:pPr>
    </w:p>
    <w:p w14:paraId="24816941" w14:textId="77777777" w:rsidR="005B4B9F" w:rsidRDefault="00602B82">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13AFA0F5" w14:textId="77777777" w:rsidR="005B4B9F" w:rsidRDefault="005B4B9F">
      <w:pPr>
        <w:rPr>
          <w:rFonts w:ascii="Palatino Linotype" w:eastAsia="Palatino Linotype" w:hAnsi="Palatino Linotype" w:cs="Palatino Linotype"/>
          <w:b/>
        </w:rPr>
      </w:pPr>
    </w:p>
    <w:p w14:paraId="53BE8F46" w14:textId="77777777" w:rsidR="005B4B9F" w:rsidRDefault="00602B8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508B5A14" w14:textId="77777777" w:rsidR="005B4B9F" w:rsidRDefault="00602B82">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Pr>
          <w:rFonts w:ascii="Palatino Linotype" w:eastAsia="Palatino Linotype" w:hAnsi="Palatino Linotype" w:cs="Palatino Linotype"/>
        </w:rPr>
        <w:t xml:space="preserve"> En fecha dieciocho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03195/METEPEC/IP/2022, </w:t>
      </w:r>
      <w:r>
        <w:rPr>
          <w:rFonts w:ascii="Palatino Linotype" w:eastAsia="Palatino Linotype" w:hAnsi="Palatino Linotype" w:cs="Palatino Linotype"/>
        </w:rPr>
        <w:t>requirió, lo siguiente:</w:t>
      </w:r>
    </w:p>
    <w:p w14:paraId="0D0B8F74" w14:textId="77777777" w:rsidR="005B4B9F" w:rsidRDefault="00602B82">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“Solicito información de los indicadores de desarrollo” (sic)</w:t>
      </w:r>
    </w:p>
    <w:p w14:paraId="0F8B14FC" w14:textId="77777777" w:rsidR="005B4B9F" w:rsidRDefault="005B4B9F">
      <w:pPr>
        <w:tabs>
          <w:tab w:val="left" w:pos="851"/>
        </w:tabs>
        <w:ind w:right="901"/>
        <w:jc w:val="both"/>
        <w:rPr>
          <w:rFonts w:ascii="Palatino Linotype" w:eastAsia="Palatino Linotype" w:hAnsi="Palatino Linotype" w:cs="Palatino Linotype"/>
          <w:sz w:val="22"/>
          <w:szCs w:val="22"/>
        </w:rPr>
      </w:pPr>
    </w:p>
    <w:p w14:paraId="65B0B1BB" w14:textId="77777777" w:rsidR="005B4B9F" w:rsidRDefault="00602B82">
      <w:pPr>
        <w:tabs>
          <w:tab w:val="left" w:pos="851"/>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Adjuntando a su solicitud el documento denominado </w:t>
      </w:r>
      <w:r>
        <w:rPr>
          <w:rFonts w:ascii="Palatino Linotype" w:eastAsia="Palatino Linotype" w:hAnsi="Palatino Linotype" w:cs="Palatino Linotype"/>
          <w:i/>
        </w:rPr>
        <w:t xml:space="preserve">Solicitud de transparencia.docx </w:t>
      </w:r>
      <w:r>
        <w:rPr>
          <w:rFonts w:ascii="Palatino Linotype" w:eastAsia="Palatino Linotype" w:hAnsi="Palatino Linotype" w:cs="Palatino Linotype"/>
        </w:rPr>
        <w:t xml:space="preserve">del cual se advierte el contenido siguiente: </w:t>
      </w:r>
    </w:p>
    <w:p w14:paraId="469F36E3"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“¿Se cuenta con un sistema propio de recaudación? Especificar generalidades del mismo</w:t>
      </w:r>
    </w:p>
    <w:p w14:paraId="65098824"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cuenta con registros actualizados de predial y cuando y cómo se actualizaron? </w:t>
      </w:r>
    </w:p>
    <w:p w14:paraId="39B8B993"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¿Existe un sistema de regulación de establecimientos comerciales?</w:t>
      </w:r>
    </w:p>
    <w:p w14:paraId="7EB416D6"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el comportamiento de la recaudación por impuesto predial del año inmediato anterior en comparación al año previo? ¿Cuál es el porcentaje de personas obligadas al pago de predial que se encuentran al corriente?</w:t>
      </w:r>
    </w:p>
    <w:p w14:paraId="5DDD1929"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el comportamiento de los ingresos por concepto de derechos, productos y aprovechamientos, de los dos ejercicios anteriores? Ultimo año</w:t>
      </w:r>
    </w:p>
    <w:p w14:paraId="061B18D5"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la proporción de los ingresos propios contra los ingresos totales?</w:t>
      </w:r>
    </w:p>
    <w:p w14:paraId="58945C2C"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el comportamiento del ingreso y gasto de un año a otro, sin financiamiento?</w:t>
      </w:r>
    </w:p>
    <w:p w14:paraId="4EA0F80C"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¿Cuál fue el comportamiento del ingreso y gasto en relación a la población total del municipio? </w:t>
      </w:r>
    </w:p>
    <w:p w14:paraId="1058CC10"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la proporción entre ingresos propios y gasto corriente?</w:t>
      </w:r>
    </w:p>
    <w:p w14:paraId="39994446"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la proporción entre gasto corriente y gasto total?</w:t>
      </w:r>
    </w:p>
    <w:p w14:paraId="47DD0FB0"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Existe la aplicación eficiente del proceso de administración del patrimonio municipal: recepción, adquisición, enajenación, inventario? </w:t>
      </w:r>
    </w:p>
    <w:p w14:paraId="06AFC01D"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¿Qué porcentaje de su presupuesto total es destinado al pago de deuda?</w:t>
      </w:r>
    </w:p>
    <w:p w14:paraId="1F69BE9A"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el nivel de deuda, plazos y apalancamiento financiero?</w:t>
      </w:r>
    </w:p>
    <w:p w14:paraId="36C1D7E9"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¿Cuál es el sistema de planificación financiera con que cuenta el municipio? </w:t>
      </w:r>
    </w:p>
    <w:p w14:paraId="4584E7CD"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¿Cuenta con un balance general?” (Sic)</w:t>
      </w:r>
    </w:p>
    <w:p w14:paraId="16BD7B5E" w14:textId="77777777" w:rsidR="005B4B9F" w:rsidRDefault="005B4B9F">
      <w:pPr>
        <w:tabs>
          <w:tab w:val="left" w:pos="851"/>
        </w:tabs>
        <w:ind w:right="901"/>
        <w:jc w:val="both"/>
        <w:rPr>
          <w:rFonts w:ascii="Palatino Linotype" w:eastAsia="Palatino Linotype" w:hAnsi="Palatino Linotype" w:cs="Palatino Linotype"/>
        </w:rPr>
      </w:pPr>
    </w:p>
    <w:p w14:paraId="7E327B18" w14:textId="77777777" w:rsidR="005B4B9F" w:rsidRDefault="00602B82">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71A93F87" w14:textId="77777777" w:rsidR="005B4B9F" w:rsidRDefault="005B4B9F">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04F708F8" w14:textId="77777777" w:rsidR="005B4B9F" w:rsidRDefault="00602B8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141FCD5D"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los expedientes electrónicos del SAIMEX advierte en fecha dieciocho de abril del dos mil veintidós el  turno de requerimiento hecho al servidor público habilitado que estimó competente, en términos de lo establecido por el artículo 162 de la Ley de Transparencia y Acceso a la Información Pública del Estado de México y Municipios.</w:t>
      </w:r>
    </w:p>
    <w:p w14:paraId="23163643" w14:textId="77777777" w:rsidR="005B4B9F" w:rsidRDefault="00602B8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262C7B23" w14:textId="77777777" w:rsidR="004F394D" w:rsidRDefault="004F394D">
      <w:pPr>
        <w:spacing w:line="360" w:lineRule="auto"/>
        <w:jc w:val="both"/>
        <w:rPr>
          <w:rFonts w:ascii="Palatino Linotype" w:eastAsia="Palatino Linotype" w:hAnsi="Palatino Linotype" w:cs="Palatino Linotype"/>
          <w:b/>
          <w:sz w:val="28"/>
          <w:szCs w:val="28"/>
        </w:rPr>
      </w:pPr>
    </w:p>
    <w:p w14:paraId="137CBC8B" w14:textId="77777777" w:rsidR="005B4B9F" w:rsidRDefault="00602B8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3359D745"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veintiocho de abril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14:paraId="18A44371" w14:textId="77777777" w:rsidR="005B4B9F" w:rsidRDefault="00602B82">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“C. SOLICITANTE P R E S E N T E. En respuesta a la solicitud número 03195/METEPEC/IP/2022,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Transparencia.”(Sic)</w:t>
      </w:r>
    </w:p>
    <w:p w14:paraId="70BC0390" w14:textId="77777777" w:rsidR="005B4B9F" w:rsidRDefault="005B4B9F">
      <w:pPr>
        <w:spacing w:line="360" w:lineRule="auto"/>
        <w:jc w:val="both"/>
        <w:rPr>
          <w:rFonts w:ascii="Palatino Linotype" w:eastAsia="Palatino Linotype" w:hAnsi="Palatino Linotype" w:cs="Palatino Linotype"/>
        </w:rPr>
      </w:pPr>
    </w:p>
    <w:p w14:paraId="77E1B062"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a su respuesta el documento de nombre “</w:t>
      </w:r>
      <w:r>
        <w:rPr>
          <w:rFonts w:ascii="Palatino Linotype" w:eastAsia="Palatino Linotype" w:hAnsi="Palatino Linotype" w:cs="Palatino Linotype"/>
          <w:i/>
        </w:rPr>
        <w:t xml:space="preserve">03195.PDF” </w:t>
      </w:r>
      <w:r>
        <w:rPr>
          <w:rFonts w:ascii="Palatino Linotype" w:eastAsia="Palatino Linotype" w:hAnsi="Palatino Linotype" w:cs="Palatino Linotype"/>
        </w:rPr>
        <w:t xml:space="preserve">el cual contiene la respuesta emitida por el Titular de la Unidad de Transparencia en donde refiere lo siguiente que la información solicitada se encuentra disponible en el enlace: </w:t>
      </w:r>
      <w:hyperlink r:id="rId7">
        <w:r>
          <w:rPr>
            <w:rFonts w:ascii="Palatino Linotype" w:eastAsia="Palatino Linotype" w:hAnsi="Palatino Linotype" w:cs="Palatino Linotype"/>
            <w:color w:val="1155CC"/>
            <w:u w:val="single"/>
          </w:rPr>
          <w:t>https://www.ipomex.org.mx/ipo3/lgt/indice/METEPEC/art_92_iv.web</w:t>
        </w:r>
      </w:hyperlink>
    </w:p>
    <w:p w14:paraId="28389038" w14:textId="77777777" w:rsidR="005B4B9F" w:rsidRDefault="005B4B9F">
      <w:pPr>
        <w:spacing w:line="360" w:lineRule="auto"/>
        <w:jc w:val="both"/>
        <w:rPr>
          <w:rFonts w:ascii="Palatino Linotype" w:eastAsia="Palatino Linotype" w:hAnsi="Palatino Linotype" w:cs="Palatino Linotype"/>
        </w:rPr>
      </w:pPr>
    </w:p>
    <w:p w14:paraId="1D018E7C" w14:textId="77777777" w:rsidR="005B4B9F" w:rsidRDefault="00602B82">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5FC3F23A" w14:textId="77777777" w:rsidR="005B4B9F" w:rsidRDefault="00602B8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once de mayo de dos mil </w:t>
      </w:r>
      <w:r>
        <w:rPr>
          <w:rFonts w:ascii="Palatino Linotype" w:eastAsia="Palatino Linotype" w:hAnsi="Palatino Linotype" w:cs="Palatino Linotype"/>
        </w:rPr>
        <w:lastRenderedPageBreak/>
        <w:t xml:space="preserve">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06627/INFOEM/IP/RR/2022,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7B308A56" w14:textId="77777777" w:rsidR="005B4B9F" w:rsidRDefault="005B4B9F">
      <w:pPr>
        <w:widowControl w:val="0"/>
        <w:spacing w:line="360" w:lineRule="auto"/>
        <w:jc w:val="both"/>
        <w:rPr>
          <w:rFonts w:ascii="Palatino Linotype" w:eastAsia="Palatino Linotype" w:hAnsi="Palatino Linotype" w:cs="Palatino Linotype"/>
        </w:rPr>
      </w:pPr>
    </w:p>
    <w:p w14:paraId="1037FB55" w14:textId="77777777" w:rsidR="005B4B9F" w:rsidRDefault="00602B82">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4EB1A98B" w14:textId="77777777" w:rsidR="005B4B9F" w:rsidRDefault="00602B82">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realizó una solicitud de acceso a la información pública el día 18-04-2022 en la cual se realizaron una serie de preguntas al Ayuntamiento de Metepec, el sujeto obligado. Siendo estas preguntas de carácter administrativo y de orden público. Posterior a ello se presentó por parte del Ayuntamiento de Metepec el L.F.B. GERARDO ARTURO OZUNA MARTINEZ, se responde a la solicitud el día 28 de Abril del 2022 con ciertas deficiencias que impiden ejercer mi derecho al acceso a la información garantizados en los artículos 6 y 8 constitucionales así como los artículos 4 y 6 de la Ley General de Transparencia y Acceso a la Información Pública. Por lo que el sujeto obligado ha incurrido en uno de los motivos para presentar un Recurso de revisión consagrado en el artículo 179 fracción V.”(sic)</w:t>
      </w:r>
    </w:p>
    <w:p w14:paraId="10C22625" w14:textId="77777777" w:rsidR="005B4B9F" w:rsidRDefault="005B4B9F">
      <w:pPr>
        <w:ind w:right="899"/>
        <w:jc w:val="both"/>
        <w:rPr>
          <w:rFonts w:ascii="Palatino Linotype" w:eastAsia="Palatino Linotype" w:hAnsi="Palatino Linotype" w:cs="Palatino Linotype"/>
        </w:rPr>
      </w:pPr>
    </w:p>
    <w:p w14:paraId="033E1B75" w14:textId="77777777" w:rsidR="005B4B9F" w:rsidRDefault="00602B82">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14:paraId="00B00BF5" w14:textId="77777777" w:rsidR="005B4B9F" w:rsidRDefault="00602B82">
      <w:pPr>
        <w:tabs>
          <w:tab w:val="left" w:pos="709"/>
        </w:tabs>
        <w:spacing w:before="66"/>
        <w:ind w:left="850" w:right="899"/>
        <w:jc w:val="both"/>
        <w:rPr>
          <w:rFonts w:ascii="Palatino Linotype" w:eastAsia="Palatino Linotype" w:hAnsi="Palatino Linotype" w:cs="Palatino Linotype"/>
          <w:b/>
          <w:u w:val="single"/>
        </w:rPr>
      </w:pPr>
      <w:r>
        <w:rPr>
          <w:rFonts w:ascii="Palatino Linotype" w:eastAsia="Palatino Linotype" w:hAnsi="Palatino Linotype" w:cs="Palatino Linotype"/>
          <w:i/>
          <w:sz w:val="22"/>
          <w:szCs w:val="22"/>
        </w:rPr>
        <w:t>“1. La resolución incumple con el Artículo 160 de La Ley de Transparencia y Acceso a la Información Pública del Estado de México y Municipios. 2. La resolución incumple con el Artículo 177 de La Ley de Transparencia y Acceso a la Información Pública del Estado de México y Municipios, al no especificar el derecho y plazo que tienen para promover recurso de revisión. 3. De igual manera la resolución incumple con el Articulo 92 de La Ley de Transparencia y Acceso a la Información Pública del Estado de México y Municipios, ya que el sujeto obligado no pone a disposición de una manera clara y sencilla la información solicitada que se especifica en este mismo artículo. 4. Así mismo, el sujeto incurre en una de las causas de incumplimiento de las obligaciones establecidas en la Ley de Transparencia y Acceso a la Información Pública del Estado de México y Municipios, especificada en el Artículo 222, Fracción III y X. 5. Y finalmente el sujeto obligado incumple con su función expresada en el artículo 53 Fracción V de la Ley de Transparencia y Acceso a la Información Pública del Estado de México y Municipios.”(sic)</w:t>
      </w:r>
    </w:p>
    <w:p w14:paraId="7CC76F2C" w14:textId="77777777" w:rsidR="005B4B9F" w:rsidRDefault="005B4B9F">
      <w:pPr>
        <w:ind w:right="899"/>
        <w:jc w:val="both"/>
        <w:rPr>
          <w:rFonts w:ascii="Palatino Linotype" w:eastAsia="Palatino Linotype" w:hAnsi="Palatino Linotype" w:cs="Palatino Linotype"/>
        </w:rPr>
      </w:pPr>
    </w:p>
    <w:p w14:paraId="0A00F287" w14:textId="77777777" w:rsidR="005B4B9F" w:rsidRDefault="005B4B9F">
      <w:pPr>
        <w:spacing w:line="360" w:lineRule="auto"/>
        <w:jc w:val="both"/>
        <w:rPr>
          <w:rFonts w:ascii="Palatino Linotype" w:eastAsia="Palatino Linotype" w:hAnsi="Palatino Linotype" w:cs="Palatino Linotype"/>
          <w:b/>
          <w:sz w:val="28"/>
          <w:szCs w:val="28"/>
        </w:rPr>
      </w:pPr>
    </w:p>
    <w:p w14:paraId="6164DBF7"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su Recurso de Revisión, el particular adjunto el documento denominado  </w:t>
      </w:r>
      <w:r>
        <w:rPr>
          <w:rFonts w:ascii="Palatino Linotype" w:eastAsia="Palatino Linotype" w:hAnsi="Palatino Linotype" w:cs="Palatino Linotype"/>
          <w:i/>
        </w:rPr>
        <w:t xml:space="preserve">Recurso de Revision 03195.docx, </w:t>
      </w:r>
      <w:r>
        <w:rPr>
          <w:rFonts w:ascii="Palatino Linotype" w:eastAsia="Palatino Linotype" w:hAnsi="Palatino Linotype" w:cs="Palatino Linotype"/>
        </w:rPr>
        <w:t>mediante el cual ratifica sus motivos de inconformidad.</w:t>
      </w:r>
    </w:p>
    <w:p w14:paraId="75577209" w14:textId="77777777" w:rsidR="005B4B9F" w:rsidRDefault="005B4B9F">
      <w:pPr>
        <w:spacing w:line="360" w:lineRule="auto"/>
        <w:jc w:val="both"/>
        <w:rPr>
          <w:rFonts w:ascii="Palatino Linotype" w:eastAsia="Palatino Linotype" w:hAnsi="Palatino Linotype" w:cs="Palatino Linotype"/>
        </w:rPr>
      </w:pPr>
    </w:p>
    <w:p w14:paraId="36BEC545" w14:textId="77777777" w:rsidR="005B4B9F" w:rsidRDefault="00602B8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4FA2C799"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once de mayo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14:paraId="32D02920" w14:textId="77777777" w:rsidR="005B4B9F" w:rsidRDefault="005B4B9F">
      <w:pPr>
        <w:spacing w:line="360" w:lineRule="auto"/>
        <w:jc w:val="both"/>
        <w:rPr>
          <w:rFonts w:ascii="Palatino Linotype" w:eastAsia="Palatino Linotype" w:hAnsi="Palatino Linotype" w:cs="Palatino Linotype"/>
        </w:rPr>
      </w:pPr>
    </w:p>
    <w:p w14:paraId="76C683B8" w14:textId="77777777" w:rsidR="005B4B9F" w:rsidRDefault="00602B82">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38B8148B" w14:textId="77777777" w:rsidR="005B4B9F" w:rsidRDefault="00602B82">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trece de mayo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08F8E527" w14:textId="77777777" w:rsidR="005B4B9F" w:rsidRDefault="005B4B9F">
      <w:pPr>
        <w:tabs>
          <w:tab w:val="center" w:pos="4252"/>
          <w:tab w:val="right" w:pos="8504"/>
        </w:tabs>
        <w:spacing w:line="360" w:lineRule="auto"/>
        <w:jc w:val="both"/>
        <w:rPr>
          <w:rFonts w:ascii="Palatino Linotype" w:eastAsia="Palatino Linotype" w:hAnsi="Palatino Linotype" w:cs="Palatino Linotype"/>
        </w:rPr>
      </w:pPr>
    </w:p>
    <w:p w14:paraId="4F7BB5AD" w14:textId="77777777" w:rsidR="005B4B9F" w:rsidRDefault="00602B8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57F583A4" w14:textId="77777777" w:rsidR="005B4B9F" w:rsidRDefault="00602B82">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tampoco presentó su Informe Justificado correspondiente.  </w:t>
      </w:r>
    </w:p>
    <w:p w14:paraId="00C80399" w14:textId="77777777" w:rsidR="005B4B9F" w:rsidRDefault="005B4B9F">
      <w:pPr>
        <w:widowControl w:val="0"/>
        <w:tabs>
          <w:tab w:val="left" w:pos="0"/>
        </w:tabs>
        <w:spacing w:line="360" w:lineRule="auto"/>
        <w:jc w:val="both"/>
        <w:rPr>
          <w:rFonts w:ascii="Palatino Linotype" w:eastAsia="Palatino Linotype" w:hAnsi="Palatino Linotype" w:cs="Palatino Linotype"/>
        </w:rPr>
      </w:pPr>
    </w:p>
    <w:p w14:paraId="143EAFF8" w14:textId="77777777" w:rsidR="005B4B9F" w:rsidRDefault="00602B82">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43F17717" w14:textId="77777777" w:rsidR="005B4B9F" w:rsidRDefault="00602B82">
      <w:pPr>
        <w:spacing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En fecha cinco de julio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217282F7" w14:textId="77777777" w:rsidR="005B4B9F" w:rsidRDefault="005B4B9F">
      <w:pPr>
        <w:shd w:val="clear" w:color="auto" w:fill="FFFFFF"/>
        <w:spacing w:line="360" w:lineRule="auto"/>
        <w:jc w:val="both"/>
        <w:rPr>
          <w:rFonts w:ascii="Palatino Linotype" w:eastAsia="Palatino Linotype" w:hAnsi="Palatino Linotype" w:cs="Palatino Linotype"/>
        </w:rPr>
      </w:pPr>
    </w:p>
    <w:p w14:paraId="4116F22E" w14:textId="77777777" w:rsidR="005B4B9F" w:rsidRDefault="00602B82">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855AE3F" w14:textId="77777777" w:rsidR="004F394D" w:rsidRDefault="00602B82">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Pr>
          <w:rFonts w:ascii="Palatino Linotype" w:eastAsia="Palatino Linotype" w:hAnsi="Palatino Linotype" w:cs="Palatino Linotype"/>
        </w:rPr>
        <w:br/>
      </w:r>
      <w:r>
        <w:rPr>
          <w:rFonts w:ascii="Palatino Linotype" w:eastAsia="Palatino Linotype" w:hAnsi="Palatino Linotype" w:cs="Palatino Linotype"/>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Pr>
          <w:rFonts w:ascii="Palatino Linotype" w:eastAsia="Palatino Linotype" w:hAnsi="Palatino Linotype" w:cs="Palatino Linotype"/>
        </w:rPr>
        <w:br/>
      </w:r>
      <w:r>
        <w:rPr>
          <w:rFonts w:ascii="Palatino Linotype" w:eastAsia="Palatino Linotype" w:hAnsi="Palatino Linotype" w:cs="Palatino Linotype"/>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eastAsia="Palatino Linotype" w:hAnsi="Palatino Linotype" w:cs="Palatino Linotype"/>
        </w:rPr>
        <w:br/>
      </w:r>
      <w:r>
        <w:rPr>
          <w:rFonts w:ascii="Palatino Linotype" w:eastAsia="Palatino Linotype" w:hAnsi="Palatino Linotype" w:cs="Palatino Linotype"/>
        </w:rPr>
        <w:br/>
        <w:t>Por ello, excepcionalmente, si un asunto es resuelto con posterioridad a los plazos señalados por la norma debe analizarse la razonabilidad del tiempo necesario para su resolución, atentos a los siguientes criterios: </w:t>
      </w:r>
      <w:r>
        <w:rPr>
          <w:rFonts w:ascii="Palatino Linotype" w:eastAsia="Palatino Linotype" w:hAnsi="Palatino Linotype" w:cs="Palatino Linotype"/>
        </w:rPr>
        <w:br/>
      </w:r>
      <w:r>
        <w:rPr>
          <w:rFonts w:ascii="Palatino Linotype" w:eastAsia="Palatino Linotype" w:hAnsi="Palatino Linotype" w:cs="Palatino Linotype"/>
        </w:rPr>
        <w:br/>
      </w:r>
      <w:r>
        <w:rPr>
          <w:rFonts w:ascii="Palatino Linotype" w:eastAsia="Palatino Linotype" w:hAnsi="Palatino Linotype" w:cs="Palatino Linotype"/>
        </w:rPr>
        <w:lastRenderedPageBreak/>
        <w:t>a)      Complejidad del asunto: La complejidad de la prueba, la pluralidad de sujetos procesales, el tiempo transcurrido, las características y contexto del recurso.</w:t>
      </w:r>
      <w:r>
        <w:rPr>
          <w:rFonts w:ascii="Palatino Linotype" w:eastAsia="Palatino Linotype" w:hAnsi="Palatino Linotype" w:cs="Palatino Linotype"/>
        </w:rPr>
        <w:br/>
        <w:t>b)     Actividad Procesal del interesado: Acciones u omisiones del interesado.</w:t>
      </w:r>
      <w:r>
        <w:rPr>
          <w:rFonts w:ascii="Palatino Linotype" w:eastAsia="Palatino Linotype" w:hAnsi="Palatino Linotype" w:cs="Palatino Linotype"/>
        </w:rPr>
        <w:br/>
        <w:t>c)      Conducta de la Autoridad: Las Acciones u omisiones realizadas en el procedimiento. Así como si la autoridad actuó con la debida diligencia.</w:t>
      </w:r>
      <w:r>
        <w:rPr>
          <w:rFonts w:ascii="Palatino Linotype" w:eastAsia="Palatino Linotype" w:hAnsi="Palatino Linotype" w:cs="Palatino Linotype"/>
        </w:rPr>
        <w:br/>
        <w:t>d) La afectación generada en la situación jurídica de la persona involucrada en el proceso: Violación a sus derechos humanos.</w:t>
      </w:r>
    </w:p>
    <w:p w14:paraId="7A0A7110" w14:textId="77777777" w:rsidR="004F394D" w:rsidRDefault="004F394D">
      <w:pPr>
        <w:shd w:val="clear" w:color="auto" w:fill="FFFFFF"/>
        <w:spacing w:line="360" w:lineRule="auto"/>
        <w:jc w:val="both"/>
        <w:rPr>
          <w:rFonts w:ascii="Palatino Linotype" w:eastAsia="Palatino Linotype" w:hAnsi="Palatino Linotype" w:cs="Palatino Linotype"/>
        </w:rPr>
      </w:pPr>
    </w:p>
    <w:p w14:paraId="7DA06C45" w14:textId="77777777" w:rsidR="004F394D" w:rsidRDefault="00602B82">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Pr>
          <w:rFonts w:ascii="Palatino Linotype" w:eastAsia="Palatino Linotype" w:hAnsi="Palatino Linotype" w:cs="Palatino Linotype"/>
        </w:rPr>
        <w:br/>
      </w:r>
      <w:r>
        <w:rPr>
          <w:rFonts w:ascii="Palatino Linotype" w:eastAsia="Palatino Linotype" w:hAnsi="Palatino Linotype" w:cs="Palatino Linotype"/>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Pr>
          <w:rFonts w:ascii="Palatino Linotype" w:eastAsia="Palatino Linotype" w:hAnsi="Palatino Linotype" w:cs="Palatino Linotype"/>
        </w:rPr>
        <w:br/>
      </w:r>
    </w:p>
    <w:p w14:paraId="0E667DD8" w14:textId="77777777" w:rsidR="004F394D" w:rsidRDefault="00602B82">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ascii="Palatino Linotype" w:eastAsia="Palatino Linotype" w:hAnsi="Palatino Linotype" w:cs="Palatino Linotype"/>
        </w:rPr>
        <w:br/>
      </w:r>
      <w:r>
        <w:rPr>
          <w:rFonts w:ascii="Palatino Linotype" w:eastAsia="Palatino Linotype" w:hAnsi="Palatino Linotype" w:cs="Palatino Linotype"/>
        </w:rPr>
        <w:br/>
        <w:t>Al respecto, también son de considerar los criterios sostenidos por el Cuarto Tribunal Colegiado en Materia Administrativa del Primer Circuito, cuyos rubros y datos de identificación son los siguientes:</w:t>
      </w:r>
    </w:p>
    <w:p w14:paraId="0CF674CE" w14:textId="77777777" w:rsidR="004F394D" w:rsidRDefault="00602B82">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“PLAZO RAZONABLE PARA RESOLVER. DIMENSIÓN Y EFECTOS DE ESTE CONCEPTO CUANDO SE ADUCE EXCESIVA CARGA DE TRABAJO.” consultable en el Seminario Judicial de la Federación y su gaceta, con el registro digital 2002351.</w:t>
      </w:r>
      <w:r>
        <w:rPr>
          <w:rFonts w:ascii="Palatino Linotype" w:eastAsia="Palatino Linotype" w:hAnsi="Palatino Linotype" w:cs="Palatino Linotype"/>
        </w:rPr>
        <w:br/>
      </w:r>
      <w:r>
        <w:rPr>
          <w:rFonts w:ascii="Palatino Linotype" w:eastAsia="Palatino Linotype" w:hAnsi="Palatino Linotype" w:cs="Palatino Linotype"/>
        </w:rPr>
        <w:br/>
        <w:t xml:space="preserve">“PLAZO RAZONABLE PARA RESOLVER. CONCEPTO Y ELEMENTOS QUE LO INTEGRAN A LA LUZ DEL DERECHO INTERNACIONAL DE LOS DERECHOS </w:t>
      </w:r>
      <w:r>
        <w:rPr>
          <w:rFonts w:ascii="Palatino Linotype" w:eastAsia="Palatino Linotype" w:hAnsi="Palatino Linotype" w:cs="Palatino Linotype"/>
        </w:rPr>
        <w:lastRenderedPageBreak/>
        <w:t>HUMANOS.”, visible en el Seminario Judicial de la Federación y su gaceta, con el registro digital 2002350.</w:t>
      </w:r>
    </w:p>
    <w:p w14:paraId="65EBB230" w14:textId="77777777" w:rsidR="004F394D" w:rsidRDefault="004F394D">
      <w:pPr>
        <w:shd w:val="clear" w:color="auto" w:fill="FFFFFF"/>
        <w:spacing w:line="360" w:lineRule="auto"/>
        <w:jc w:val="both"/>
        <w:rPr>
          <w:rFonts w:ascii="Palatino Linotype" w:eastAsia="Palatino Linotype" w:hAnsi="Palatino Linotype" w:cs="Palatino Linotype"/>
        </w:rPr>
      </w:pPr>
    </w:p>
    <w:p w14:paraId="1E1FD3DA" w14:textId="77777777" w:rsidR="005B4B9F" w:rsidRDefault="00602B82">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60F01B3" w14:textId="77777777" w:rsidR="005B4B9F" w:rsidRDefault="005B4B9F">
      <w:pPr>
        <w:spacing w:line="360" w:lineRule="auto"/>
        <w:jc w:val="both"/>
        <w:rPr>
          <w:rFonts w:ascii="Palatino Linotype" w:eastAsia="Palatino Linotype" w:hAnsi="Palatino Linotype" w:cs="Palatino Linotype"/>
        </w:rPr>
      </w:pPr>
    </w:p>
    <w:p w14:paraId="48C11003" w14:textId="77777777" w:rsidR="005B4B9F" w:rsidRDefault="00602B8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14:paraId="319010B7"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w:t>
      </w:r>
      <w:r w:rsidR="004F394D">
        <w:rPr>
          <w:rFonts w:ascii="Palatino Linotype" w:eastAsia="Palatino Linotype" w:hAnsi="Palatino Linotype" w:cs="Palatino Linotype"/>
        </w:rPr>
        <w:t>cuatro</w:t>
      </w:r>
      <w:r>
        <w:rPr>
          <w:rFonts w:ascii="Palatino Linotype" w:eastAsia="Palatino Linotype" w:hAnsi="Palatino Linotype" w:cs="Palatino Linotype"/>
        </w:rPr>
        <w:t xml:space="preserve"> de agosto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7EDE1D36" w14:textId="77777777" w:rsidR="005B4B9F" w:rsidRDefault="005B4B9F">
      <w:pPr>
        <w:rPr>
          <w:rFonts w:ascii="Palatino Linotype" w:eastAsia="Palatino Linotype" w:hAnsi="Palatino Linotype" w:cs="Palatino Linotype"/>
          <w:b/>
          <w:sz w:val="28"/>
          <w:szCs w:val="28"/>
        </w:rPr>
      </w:pPr>
    </w:p>
    <w:p w14:paraId="2A138D91" w14:textId="77777777" w:rsidR="005B4B9F" w:rsidRDefault="005B4B9F">
      <w:pPr>
        <w:jc w:val="center"/>
        <w:rPr>
          <w:rFonts w:ascii="Palatino Linotype" w:eastAsia="Palatino Linotype" w:hAnsi="Palatino Linotype" w:cs="Palatino Linotype"/>
          <w:b/>
          <w:sz w:val="28"/>
          <w:szCs w:val="28"/>
        </w:rPr>
      </w:pPr>
    </w:p>
    <w:p w14:paraId="4B2AAB59" w14:textId="77777777" w:rsidR="005B4B9F" w:rsidRDefault="00602B82">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3EFC4D99" w14:textId="77777777" w:rsidR="005B4B9F" w:rsidRDefault="005B4B9F">
      <w:pPr>
        <w:jc w:val="center"/>
        <w:rPr>
          <w:rFonts w:ascii="Palatino Linotype" w:eastAsia="Palatino Linotype" w:hAnsi="Palatino Linotype" w:cs="Palatino Linotype"/>
          <w:b/>
          <w:sz w:val="28"/>
          <w:szCs w:val="28"/>
        </w:rPr>
      </w:pPr>
    </w:p>
    <w:p w14:paraId="7039BF5F" w14:textId="77777777" w:rsidR="005B4B9F" w:rsidRDefault="00602B82">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726F82B7" w14:textId="77777777" w:rsidR="005B4B9F" w:rsidRDefault="00602B82">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AF69334" w14:textId="77777777" w:rsidR="005B4B9F" w:rsidRDefault="005B4B9F">
      <w:pPr>
        <w:spacing w:line="360" w:lineRule="auto"/>
        <w:jc w:val="both"/>
        <w:rPr>
          <w:rFonts w:ascii="Palatino Linotype" w:eastAsia="Palatino Linotype" w:hAnsi="Palatino Linotype" w:cs="Palatino Linotype"/>
          <w:b/>
          <w:sz w:val="28"/>
          <w:szCs w:val="28"/>
        </w:rPr>
      </w:pPr>
    </w:p>
    <w:p w14:paraId="2079FAF3" w14:textId="77777777" w:rsidR="005B4B9F" w:rsidRDefault="00602B8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029CF394" w14:textId="77777777" w:rsidR="005B4B9F" w:rsidRDefault="00602B82">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5A392A30" w14:textId="77777777" w:rsidR="005B4B9F" w:rsidRDefault="005B4B9F">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E1460D5" w14:textId="77777777" w:rsidR="005B4B9F" w:rsidRDefault="00602B82">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4ED3C3B7" w14:textId="77777777" w:rsidR="005B4B9F" w:rsidRDefault="00602B82">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D081262" w14:textId="77777777" w:rsidR="005B4B9F" w:rsidRDefault="005B4B9F">
      <w:pPr>
        <w:ind w:left="720" w:right="709"/>
        <w:jc w:val="both"/>
        <w:rPr>
          <w:rFonts w:ascii="Palatino Linotype" w:eastAsia="Palatino Linotype" w:hAnsi="Palatino Linotype" w:cs="Palatino Linotype"/>
          <w:i/>
          <w:sz w:val="22"/>
          <w:szCs w:val="22"/>
        </w:rPr>
      </w:pPr>
    </w:p>
    <w:p w14:paraId="29B5F758" w14:textId="77777777" w:rsidR="005B4B9F" w:rsidRDefault="00602B8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44DEB838" w14:textId="77777777" w:rsidR="005B4B9F" w:rsidRDefault="005B4B9F">
      <w:pPr>
        <w:ind w:left="851" w:right="899"/>
        <w:jc w:val="both"/>
        <w:rPr>
          <w:rFonts w:ascii="Palatino Linotype" w:eastAsia="Palatino Linotype" w:hAnsi="Palatino Linotype" w:cs="Palatino Linotype"/>
          <w:i/>
          <w:sz w:val="22"/>
          <w:szCs w:val="22"/>
        </w:rPr>
      </w:pPr>
    </w:p>
    <w:p w14:paraId="2F4E2099" w14:textId="77777777" w:rsidR="005B4B9F" w:rsidRDefault="00602B8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4568C5" w14:textId="77777777" w:rsidR="005B4B9F" w:rsidRDefault="005B4B9F">
      <w:pPr>
        <w:ind w:left="851" w:right="899"/>
        <w:jc w:val="both"/>
        <w:rPr>
          <w:rFonts w:ascii="Palatino Linotype" w:eastAsia="Palatino Linotype" w:hAnsi="Palatino Linotype" w:cs="Palatino Linotype"/>
          <w:i/>
          <w:sz w:val="22"/>
          <w:szCs w:val="22"/>
        </w:rPr>
      </w:pPr>
    </w:p>
    <w:p w14:paraId="78D12993" w14:textId="77777777" w:rsidR="005B4B9F" w:rsidRDefault="00602B8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B34EEB5" w14:textId="77777777" w:rsidR="005B4B9F" w:rsidRDefault="005B4B9F">
      <w:pPr>
        <w:ind w:left="720" w:right="709"/>
        <w:jc w:val="both"/>
        <w:rPr>
          <w:rFonts w:ascii="Palatino Linotype" w:eastAsia="Palatino Linotype" w:hAnsi="Palatino Linotype" w:cs="Palatino Linotype"/>
          <w:i/>
          <w:sz w:val="22"/>
          <w:szCs w:val="22"/>
        </w:rPr>
      </w:pPr>
    </w:p>
    <w:p w14:paraId="08B64470" w14:textId="77777777" w:rsidR="005B4B9F" w:rsidRDefault="00602B82">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veintiocho de abril de dos mil 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veintinueve de abril al veinte de mayo de dos mil veintidós, </w:t>
      </w:r>
      <w:r>
        <w:rPr>
          <w:rFonts w:ascii="Palatino Linotype" w:eastAsia="Palatino Linotype" w:hAnsi="Palatino Linotype" w:cs="Palatino Linotype"/>
        </w:rPr>
        <w:t xml:space="preserve">sin contemplar en el cómputo el día  treinta de abril así como uno, siete, ocho, catorce y quince de mayo, por corresponder a sábados y domingos, considerados como días inhábiles, en términos del artículo 3, fracción X de la Ley de Transparencia y Acceso a la Información Pública del Estado de México y Municipios. Exceptuando además de dicho plazo el día cinco de mayo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w:t>
      </w:r>
      <w:r>
        <w:rPr>
          <w:rFonts w:ascii="Palatino Linotype" w:eastAsia="Palatino Linotype" w:hAnsi="Palatino Linotype" w:cs="Palatino Linotype"/>
        </w:rPr>
        <w:lastRenderedPageBreak/>
        <w:t>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536C3662" w14:textId="77777777" w:rsidR="005B4B9F" w:rsidRDefault="005B4B9F">
      <w:pPr>
        <w:spacing w:line="360" w:lineRule="auto"/>
        <w:jc w:val="both"/>
        <w:rPr>
          <w:rFonts w:ascii="Palatino Linotype" w:eastAsia="Palatino Linotype" w:hAnsi="Palatino Linotype" w:cs="Palatino Linotype"/>
        </w:rPr>
      </w:pPr>
      <w:bookmarkStart w:id="5" w:name="_heading=h.orkc3o7h9xbv" w:colFirst="0" w:colLast="0"/>
      <w:bookmarkEnd w:id="5"/>
    </w:p>
    <w:p w14:paraId="796F2231" w14:textId="77777777" w:rsidR="005B4B9F" w:rsidRDefault="00602B82">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día once de mayo, luego entonces  su interposición se considera oportuna.  </w:t>
      </w:r>
    </w:p>
    <w:p w14:paraId="377FB4C7" w14:textId="77777777" w:rsidR="005B4B9F" w:rsidRDefault="005B4B9F">
      <w:pPr>
        <w:spacing w:line="360" w:lineRule="auto"/>
        <w:ind w:right="49"/>
        <w:jc w:val="both"/>
        <w:rPr>
          <w:rFonts w:ascii="Palatino Linotype" w:eastAsia="Palatino Linotype" w:hAnsi="Palatino Linotype" w:cs="Palatino Linotype"/>
        </w:rPr>
      </w:pPr>
    </w:p>
    <w:p w14:paraId="3946FD40" w14:textId="77777777" w:rsidR="005B4B9F" w:rsidRDefault="00602B82">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736E5A9C" w14:textId="77777777" w:rsidR="005B4B9F" w:rsidRDefault="00602B8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el presente Recuso de Revisisón es procedente al cumplir con los requsisitos establecidos por el articulo 180 de la Ley de Transparencia y Acceso a la Información Pública del Estado de México y Municipios, que es del tenor siguiente: </w:t>
      </w:r>
    </w:p>
    <w:p w14:paraId="6B97151F" w14:textId="77777777" w:rsidR="005B4B9F" w:rsidRDefault="005B4B9F">
      <w:pPr>
        <w:ind w:right="49"/>
        <w:jc w:val="both"/>
        <w:rPr>
          <w:rFonts w:ascii="Palatino Linotype" w:eastAsia="Palatino Linotype" w:hAnsi="Palatino Linotype" w:cs="Palatino Linotype"/>
        </w:rPr>
      </w:pPr>
    </w:p>
    <w:p w14:paraId="1E12293F" w14:textId="77777777" w:rsidR="005B4B9F" w:rsidRDefault="00602B82">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180. El recurso de revisión contendrá:</w:t>
      </w:r>
    </w:p>
    <w:p w14:paraId="39C5076A" w14:textId="77777777" w:rsidR="005B4B9F" w:rsidRDefault="00602B8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El sujeto obligado ante la cual se presentó la solicitud;</w:t>
      </w:r>
    </w:p>
    <w:p w14:paraId="56BA49D2" w14:textId="77777777" w:rsidR="005B4B9F" w:rsidRDefault="00602B8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El nombre del solicitante que recurre o de su representante y, en su caso, del tercero interesado, asícomo la dirección o medio que señale para recibir notificaciones;</w:t>
      </w:r>
    </w:p>
    <w:p w14:paraId="43AECEBC" w14:textId="77777777" w:rsidR="005B4B9F" w:rsidRDefault="00602B8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El número de folio de respuesta de la solicitud de acceso;</w:t>
      </w:r>
    </w:p>
    <w:p w14:paraId="243DED26" w14:textId="77777777" w:rsidR="005B4B9F" w:rsidRDefault="00602B8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La fecha en que fue notificada la respuesta al solicitante o tuvo conocimiento del acto reclamado, o de presentación de la solicitud, en caso de falta de respuesta;</w:t>
      </w:r>
    </w:p>
    <w:p w14:paraId="76BF7F07" w14:textId="77777777" w:rsidR="005B4B9F" w:rsidRDefault="00602B8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El acto que se recurre;</w:t>
      </w:r>
    </w:p>
    <w:p w14:paraId="2B792089" w14:textId="77777777" w:rsidR="005B4B9F" w:rsidRDefault="00602B8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Las razones o motivos de inconformidad;</w:t>
      </w:r>
    </w:p>
    <w:p w14:paraId="60E1FE4F" w14:textId="77777777" w:rsidR="005B4B9F" w:rsidRDefault="00602B8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La copia de la respuesta que se impugna y, en su caso, de la notificación correspondiente, en elcaso de respuesta de la solicitud; y</w:t>
      </w:r>
    </w:p>
    <w:p w14:paraId="58E61508" w14:textId="77777777" w:rsidR="005B4B9F" w:rsidRDefault="00602B8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Firma del recurrente, en su caso, cuando se presente por escrito, requisito sin el cual se dará trámite al recurso. Adicionalmente, se podrán anexar las pruebas y demás elementos que considere procedentes someter a juicio del Instituto.</w:t>
      </w:r>
    </w:p>
    <w:p w14:paraId="0DC1C92C" w14:textId="77777777" w:rsidR="005B4B9F" w:rsidRDefault="00602B8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En ningún caso será necesario que el particular ratifique el recurso de revisión interpuesto. </w:t>
      </w:r>
    </w:p>
    <w:p w14:paraId="5E4F5AB9" w14:textId="77777777" w:rsidR="005B4B9F" w:rsidRDefault="00602B82">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caso de que el recurso se interponga de manera electrónica no será indispensable que contengan los requisitos establecidos en las fracciones II, IV, VII y VIII.</w:t>
      </w:r>
      <w:r>
        <w:rPr>
          <w:rFonts w:ascii="Palatino Linotype" w:eastAsia="Palatino Linotype" w:hAnsi="Palatino Linotype" w:cs="Palatino Linotype"/>
          <w:b/>
          <w:i/>
          <w:sz w:val="22"/>
          <w:szCs w:val="22"/>
        </w:rPr>
        <w:t>”</w:t>
      </w:r>
    </w:p>
    <w:p w14:paraId="25585ED3" w14:textId="77777777" w:rsidR="005B4B9F" w:rsidRDefault="00602B8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A3A828B" w14:textId="77777777" w:rsidR="005B4B9F" w:rsidRDefault="00602B8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14:paraId="41AEE9AF" w14:textId="77777777" w:rsidR="005B4B9F" w:rsidRDefault="00602B82">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precisar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6E47BA95"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cuenta con registros actualizados de predial y cuando y cómo se actualizaron? </w:t>
      </w:r>
    </w:p>
    <w:p w14:paraId="50CDE86E"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¿Existe un sistema de regulación de establecimientos comerciales?</w:t>
      </w:r>
    </w:p>
    <w:p w14:paraId="065A9902"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el comportamiento de la recaudación por impuesto predial del año inmediato anterior en comparación al año previo? ¿Cuál es el porcentaje de personas obligadas al pago de predial que se encuentran al corriente?</w:t>
      </w:r>
    </w:p>
    <w:p w14:paraId="5CAC9B6C"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el comportamiento de los ingresos por concepto de derechos, productos y aprovechamientos, de los dos ejercicios anteriores? Ultimo año</w:t>
      </w:r>
    </w:p>
    <w:p w14:paraId="64D352D4"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la proporción de los ingresos propios contra los ingresos totales?</w:t>
      </w:r>
    </w:p>
    <w:p w14:paraId="1A1D6BA1"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el comportamiento del ingreso y gasto de un año a otro, sin financiamiento?</w:t>
      </w:r>
    </w:p>
    <w:p w14:paraId="75B6C671"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¿Cuál fue el comportamiento del ingreso y gasto en relación a la población total del municipio? </w:t>
      </w:r>
    </w:p>
    <w:p w14:paraId="7FE7DDC6"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la proporción entre ingresos propios y gasto corriente?</w:t>
      </w:r>
    </w:p>
    <w:p w14:paraId="7D33F787"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la proporción entre gasto corriente y gasto total?</w:t>
      </w:r>
    </w:p>
    <w:p w14:paraId="4DABE6F6"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Existe la aplicación eficiente del proceso de administración del patrimonio municipal: recepción, adquisición, enajenación, inventario? </w:t>
      </w:r>
    </w:p>
    <w:p w14:paraId="56C83B04"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¿Qué porcentaje de su presupuesto total es destinado al pago de deuda?</w:t>
      </w:r>
    </w:p>
    <w:p w14:paraId="5A8CE583" w14:textId="77777777" w:rsidR="005B4B9F" w:rsidRDefault="00602B82">
      <w:pPr>
        <w:tabs>
          <w:tab w:val="left" w:pos="851"/>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¿Cuál es el nivel de deuda, plazos y apalancamiento financiero?</w:t>
      </w:r>
    </w:p>
    <w:p w14:paraId="6A4DC35B" w14:textId="77777777" w:rsidR="005B4B9F" w:rsidRDefault="00602B82">
      <w:pPr>
        <w:tabs>
          <w:tab w:val="left" w:pos="851"/>
        </w:tabs>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¿Cuál es el sistema de planificación financiera con que cuenta el municipio? ” (Sic)</w:t>
      </w:r>
    </w:p>
    <w:p w14:paraId="444C620F" w14:textId="77777777" w:rsidR="005B4B9F" w:rsidRDefault="00602B82">
      <w:pPr>
        <w:spacing w:before="200"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Sobre los cuestionamientos anteriores, se puede observar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requiere un pronunciamiento específico que implicaría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lleve a cabo un documento a modo es decir un documento ad hoc, por lo que es importante señalar que los Sujetos Obligados, únicamente deben entregar la información que obre en sus archivos sin procesarla, resumirla, efectuar cálculos o </w:t>
      </w:r>
      <w:r>
        <w:rPr>
          <w:rFonts w:ascii="Palatino Linotype" w:eastAsia="Palatino Linotype" w:hAnsi="Palatino Linotype" w:cs="Palatino Linotype"/>
        </w:rPr>
        <w:lastRenderedPageBreak/>
        <w:t xml:space="preserve">practicar investigaciones, así como lo establece el artículo 12 de la Ley de Transparencia y Acceso a la Información Pública del Estado de México y Municipios, el cual se transcribe a continuación: </w:t>
      </w:r>
    </w:p>
    <w:p w14:paraId="415AB7C9" w14:textId="77777777" w:rsidR="005B4B9F" w:rsidRDefault="00602B82">
      <w:pPr>
        <w:spacing w:before="20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04967CB" w14:textId="77777777" w:rsidR="005B4B9F" w:rsidRDefault="00602B8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B1FC56B" w14:textId="77777777" w:rsidR="005B4B9F" w:rsidRDefault="00602B82">
      <w:pPr>
        <w:shd w:val="clear" w:color="auto" w:fill="FFFFFF"/>
        <w:jc w:val="both"/>
      </w:pPr>
      <w:r>
        <w:rPr>
          <w:rFonts w:ascii="Palatino Linotype" w:eastAsia="Palatino Linotype" w:hAnsi="Palatino Linotype" w:cs="Palatino Linotype"/>
          <w:sz w:val="22"/>
          <w:szCs w:val="22"/>
        </w:rPr>
        <w:t> </w:t>
      </w:r>
    </w:p>
    <w:p w14:paraId="7CE55835" w14:textId="77777777" w:rsidR="005B4B9F" w:rsidRDefault="00602B82">
      <w:pPr>
        <w:shd w:val="clear" w:color="auto" w:fill="FFFFFF"/>
        <w:jc w:val="both"/>
        <w:rPr>
          <w:rFonts w:ascii="Palatino Linotype" w:eastAsia="Palatino Linotype" w:hAnsi="Palatino Linotype" w:cs="Palatino Linotype"/>
        </w:rPr>
      </w:pPr>
      <w:r>
        <w:rPr>
          <w:rFonts w:ascii="Palatino Linotype" w:eastAsia="Palatino Linotype" w:hAnsi="Palatino Linotype" w:cs="Palatino Linotype"/>
          <w:sz w:val="22"/>
          <w:szCs w:val="22"/>
        </w:rPr>
        <w:t> </w:t>
      </w:r>
    </w:p>
    <w:p w14:paraId="0575EE41" w14:textId="77777777" w:rsidR="005B4B9F" w:rsidRDefault="00602B82">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Ahora bien,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841F6FA" w14:textId="77777777" w:rsidR="005B4B9F" w:rsidRDefault="00602B82">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5AC939C" w14:textId="77777777" w:rsidR="005B4B9F" w:rsidRDefault="00602B8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8A7A9C1" w14:textId="77777777" w:rsidR="005B4B9F" w:rsidRDefault="00602B8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1328220A" w14:textId="77777777" w:rsidR="005B4B9F" w:rsidRDefault="005B4B9F">
      <w:pPr>
        <w:spacing w:line="360" w:lineRule="auto"/>
        <w:ind w:right="-93"/>
        <w:jc w:val="both"/>
        <w:rPr>
          <w:rFonts w:ascii="Palatino Linotype" w:eastAsia="Palatino Linotype" w:hAnsi="Palatino Linotype" w:cs="Palatino Linotype"/>
        </w:rPr>
      </w:pPr>
    </w:p>
    <w:p w14:paraId="05AE93B5"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5653177" w14:textId="77777777" w:rsidR="005B4B9F" w:rsidRDefault="005B4B9F">
      <w:pPr>
        <w:spacing w:line="360" w:lineRule="auto"/>
        <w:jc w:val="both"/>
        <w:rPr>
          <w:rFonts w:ascii="Palatino Linotype" w:eastAsia="Palatino Linotype" w:hAnsi="Palatino Linotype" w:cs="Palatino Linotype"/>
        </w:rPr>
      </w:pPr>
    </w:p>
    <w:p w14:paraId="66276A3C" w14:textId="77777777" w:rsidR="005B4B9F" w:rsidRDefault="00602B82">
      <w:pPr>
        <w:shd w:val="clear" w:color="auto" w:fill="FFFFFF"/>
        <w:spacing w:line="360" w:lineRule="auto"/>
        <w:jc w:val="both"/>
        <w:rPr>
          <w:color w:val="0D0D0D"/>
        </w:rPr>
      </w:pPr>
      <w:r>
        <w:rPr>
          <w:rFonts w:ascii="Palatino Linotype" w:eastAsia="Palatino Linotype" w:hAnsi="Palatino Linotype" w:cs="Palatino Linotype"/>
          <w:color w:val="0D0D0D"/>
        </w:rPr>
        <w:t xml:space="preserve">De tales circunstancias, se colige que los sujetos obligados únicamente están constreñidos a proporcionar </w:t>
      </w:r>
      <w:r>
        <w:rPr>
          <w:rFonts w:ascii="Palatino Linotype" w:eastAsia="Palatino Linotype" w:hAnsi="Palatino Linotype" w:cs="Palatino Linotype"/>
          <w:b/>
          <w:color w:val="0D0D0D"/>
        </w:rPr>
        <w:t>la documentación que obre en sus archivos</w:t>
      </w:r>
      <w:r>
        <w:rPr>
          <w:rFonts w:ascii="Palatino Linotype" w:eastAsia="Palatino Linotype" w:hAnsi="Palatino Linotype" w:cs="Palatino Linotype"/>
          <w:color w:val="0D0D0D"/>
        </w:rPr>
        <w:t>; por lo que, no están obligados a generar o elaborar documentos </w:t>
      </w:r>
      <w:r>
        <w:rPr>
          <w:rFonts w:ascii="Palatino Linotype" w:eastAsia="Palatino Linotype" w:hAnsi="Palatino Linotype" w:cs="Palatino Linotype"/>
          <w:i/>
          <w:color w:val="0D0D0D"/>
        </w:rPr>
        <w:t>ad hoc, </w:t>
      </w:r>
      <w:r>
        <w:rPr>
          <w:rFonts w:ascii="Palatino Linotype" w:eastAsia="Palatino Linotype" w:hAnsi="Palatino Linotype" w:cs="Palatino Linotype"/>
          <w:color w:val="0D0D0D"/>
        </w:rPr>
        <w:t>como es el caso de proporcionar respuesta a un cuestionamiento.</w:t>
      </w:r>
    </w:p>
    <w:p w14:paraId="11236EFE" w14:textId="77777777" w:rsidR="005B4B9F" w:rsidRDefault="005B4B9F">
      <w:pPr>
        <w:spacing w:line="360" w:lineRule="auto"/>
        <w:jc w:val="both"/>
        <w:rPr>
          <w:rFonts w:ascii="Palatino Linotype" w:eastAsia="Palatino Linotype" w:hAnsi="Palatino Linotype" w:cs="Palatino Linotype"/>
        </w:rPr>
      </w:pPr>
    </w:p>
    <w:p w14:paraId="1765CF08" w14:textId="77777777" w:rsidR="005B4B9F" w:rsidRDefault="00602B82">
      <w:pPr>
        <w:shd w:val="clear" w:color="auto" w:fill="FFFFFF"/>
        <w:spacing w:line="360" w:lineRule="auto"/>
        <w:jc w:val="both"/>
        <w:rPr>
          <w:sz w:val="28"/>
          <w:szCs w:val="28"/>
        </w:rPr>
      </w:pPr>
      <w:r>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37C427B2" w14:textId="77777777" w:rsidR="005B4B9F" w:rsidRDefault="00602B82">
      <w:pPr>
        <w:shd w:val="clear" w:color="auto" w:fill="FFFFFF"/>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 </w:t>
      </w:r>
      <w:r>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w:t>
      </w:r>
      <w:r>
        <w:rPr>
          <w:rFonts w:ascii="Palatino Linotype" w:eastAsia="Palatino Linotype" w:hAnsi="Palatino Linotype" w:cs="Palatino Linotype"/>
          <w:i/>
          <w:sz w:val="22"/>
          <w:szCs w:val="22"/>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7B339D92" w14:textId="77777777" w:rsidR="005B4B9F" w:rsidRDefault="005B4B9F">
      <w:pPr>
        <w:shd w:val="clear" w:color="auto" w:fill="FFFFFF"/>
        <w:ind w:left="567" w:right="567"/>
        <w:jc w:val="both"/>
        <w:rPr>
          <w:sz w:val="28"/>
          <w:szCs w:val="28"/>
        </w:rPr>
      </w:pPr>
    </w:p>
    <w:p w14:paraId="0630D5F1"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advierte que las respuestas a los cuestionamientos realizados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primera instancia, son una consulta y no así una solicitud de acceso a información pública que pueda ser atendida mediante una expresión documental; pues corresponde a varias preguntas que implicarían elaborar un documento </w:t>
      </w:r>
      <w:r>
        <w:rPr>
          <w:rFonts w:ascii="Palatino Linotype" w:eastAsia="Palatino Linotype" w:hAnsi="Palatino Linotype" w:cs="Palatino Linotype"/>
          <w:i/>
        </w:rPr>
        <w:t>ad hoc.</w:t>
      </w:r>
      <w:r>
        <w:rPr>
          <w:rFonts w:ascii="Palatino Linotype" w:eastAsia="Palatino Linotype" w:hAnsi="Palatino Linotype" w:cs="Palatino Linotype"/>
          <w:b/>
        </w:rPr>
        <w:t> </w:t>
      </w:r>
    </w:p>
    <w:p w14:paraId="1A8C213F" w14:textId="77777777" w:rsidR="005B4B9F" w:rsidRDefault="005B4B9F">
      <w:pPr>
        <w:spacing w:line="360" w:lineRule="auto"/>
        <w:rPr>
          <w:rFonts w:ascii="Palatino Linotype" w:eastAsia="Palatino Linotype" w:hAnsi="Palatino Linotype" w:cs="Palatino Linotype"/>
        </w:rPr>
      </w:pPr>
    </w:p>
    <w:p w14:paraId="0CE42530"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14:paraId="277357DD" w14:textId="77777777" w:rsidR="005B4B9F" w:rsidRDefault="005B4B9F"/>
    <w:p w14:paraId="0EFE8052" w14:textId="77777777" w:rsidR="005B4B9F" w:rsidRDefault="00602B82">
      <w:pPr>
        <w:ind w:left="567" w:right="567"/>
        <w:jc w:val="both"/>
        <w:rPr>
          <w:sz w:val="28"/>
          <w:szCs w:val="28"/>
        </w:rPr>
      </w:pPr>
      <w:r>
        <w:rPr>
          <w:rFonts w:ascii="Palatino Linotype" w:eastAsia="Palatino Linotype" w:hAnsi="Palatino Linotype" w:cs="Palatino Linotype"/>
          <w:b/>
          <w:i/>
          <w:sz w:val="22"/>
          <w:szCs w:val="22"/>
        </w:rPr>
        <w:t xml:space="preserve">“DERECHO DE PETICIÓN. SUS ELEMENTOS. </w:t>
      </w:r>
      <w:r>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w:t>
      </w:r>
      <w:r>
        <w:rPr>
          <w:rFonts w:ascii="Palatino Linotype" w:eastAsia="Palatino Linotype" w:hAnsi="Palatino Linotype" w:cs="Palatino Linotype"/>
          <w:i/>
          <w:sz w:val="22"/>
          <w:szCs w:val="22"/>
        </w:rPr>
        <w:lastRenderedPageBreak/>
        <w:t>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548D84C2" w14:textId="77777777" w:rsidR="005B4B9F" w:rsidRDefault="005B4B9F"/>
    <w:p w14:paraId="542ADE71"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0BA47856" w14:textId="77777777" w:rsidR="005B4B9F" w:rsidRDefault="005B4B9F">
      <w:pPr>
        <w:spacing w:line="360" w:lineRule="auto"/>
        <w:jc w:val="both"/>
        <w:rPr>
          <w:rFonts w:ascii="Palatino Linotype" w:eastAsia="Palatino Linotype" w:hAnsi="Palatino Linotype" w:cs="Palatino Linotype"/>
        </w:rPr>
      </w:pPr>
    </w:p>
    <w:p w14:paraId="3FA92235"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en virtud de que la solicitud de acceso a la información se trata de una consulta, que implicaría que el Sujeto Obligado realizará un pronunciamiento específico a diversas preguntas y elaborara un documento que dé contestación a estas, parte del Recurso de Revisión actualiza la causal de desechamiento establecida en el artículo 191, fracción VI, de la Ley de Transparencia y Acceso a la Información Pública del Estado de México y Municipios, únicamente por lo que, hace a dichos pedimentos; y en consecuencia se actualiza el supuesto previsto en el artículo 192, fracción IV, en relación con el diverso 186, fracción I, de ese ordenamiento legal que contempla el sobreseimiento, lo que impide a este Instituto a pronunciarse sobre dichos requerimientos, al ser improcedentes. </w:t>
      </w:r>
    </w:p>
    <w:p w14:paraId="5692101D" w14:textId="77777777" w:rsidR="005B4B9F" w:rsidRDefault="005B4B9F">
      <w:pPr>
        <w:spacing w:line="360" w:lineRule="auto"/>
        <w:jc w:val="both"/>
        <w:rPr>
          <w:rFonts w:ascii="Palatino Linotype" w:eastAsia="Palatino Linotype" w:hAnsi="Palatino Linotype" w:cs="Palatino Linotype"/>
        </w:rPr>
      </w:pPr>
    </w:p>
    <w:p w14:paraId="3C80FF9A"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hecha la precisión anterior, existen, ciertos elementos de la solicitud primigenia que pueden  satisfacerse con un soporte documental, por lo cual es necesario señalar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BDA9355" w14:textId="77777777" w:rsidR="005B4B9F" w:rsidRDefault="005B4B9F">
      <w:pPr>
        <w:ind w:left="851" w:right="899"/>
        <w:jc w:val="both"/>
        <w:rPr>
          <w:rFonts w:ascii="Palatino Linotype" w:eastAsia="Palatino Linotype" w:hAnsi="Palatino Linotype" w:cs="Palatino Linotype"/>
          <w:i/>
          <w:sz w:val="22"/>
          <w:szCs w:val="22"/>
        </w:rPr>
      </w:pPr>
    </w:p>
    <w:p w14:paraId="4B52FC4B" w14:textId="77777777" w:rsidR="005B4B9F" w:rsidRDefault="00602B8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49A5AFF9" w14:textId="77777777" w:rsidR="005B4B9F" w:rsidRDefault="00602B8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45CBE6B" w14:textId="77777777" w:rsidR="005B4B9F" w:rsidRDefault="00602B8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501FC58" w14:textId="77777777" w:rsidR="005B4B9F" w:rsidRDefault="005B4B9F">
      <w:pPr>
        <w:ind w:left="851" w:right="899"/>
        <w:jc w:val="both"/>
        <w:rPr>
          <w:rFonts w:ascii="Palatino Linotype" w:eastAsia="Palatino Linotype" w:hAnsi="Palatino Linotype" w:cs="Palatino Linotype"/>
          <w:sz w:val="22"/>
          <w:szCs w:val="22"/>
        </w:rPr>
      </w:pPr>
    </w:p>
    <w:p w14:paraId="583A7DFB"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FFE0FF" w14:textId="77777777" w:rsidR="005B4B9F" w:rsidRDefault="005B4B9F">
      <w:pPr>
        <w:ind w:left="851" w:right="899"/>
        <w:jc w:val="both"/>
        <w:rPr>
          <w:rFonts w:ascii="Palatino Linotype" w:eastAsia="Palatino Linotype" w:hAnsi="Palatino Linotype" w:cs="Palatino Linotype"/>
        </w:rPr>
      </w:pPr>
    </w:p>
    <w:p w14:paraId="3167762C" w14:textId="77777777" w:rsidR="005B4B9F" w:rsidRDefault="00602B8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692D4029" w14:textId="77777777" w:rsidR="005B4B9F" w:rsidRDefault="00602B8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035E5B" w14:textId="77777777" w:rsidR="005B4B9F" w:rsidRDefault="00602B8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4478D66" w14:textId="77777777" w:rsidR="005B4B9F" w:rsidRDefault="00602B8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8082858" w14:textId="77777777" w:rsidR="005B4B9F" w:rsidRDefault="00602B8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C008AD6" w14:textId="77777777" w:rsidR="005B4B9F" w:rsidRDefault="00602B8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3BDB2FE6" w14:textId="77777777" w:rsidR="005B4B9F" w:rsidRDefault="005B4B9F">
      <w:pPr>
        <w:spacing w:line="360" w:lineRule="auto"/>
        <w:ind w:right="-93"/>
        <w:jc w:val="both"/>
        <w:rPr>
          <w:rFonts w:ascii="Palatino Linotype" w:eastAsia="Palatino Linotype" w:hAnsi="Palatino Linotype" w:cs="Palatino Linotype"/>
        </w:rPr>
      </w:pPr>
    </w:p>
    <w:p w14:paraId="62C963A5" w14:textId="77777777" w:rsidR="005B4B9F" w:rsidRDefault="00602B8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Razón por la cual la materia del presente recurso se circunscribe únicamente a información que conste en un soporte documental producto de las funciones y atribuciones de las autoridades en su calidad de Sujetos Obligados. </w:t>
      </w:r>
    </w:p>
    <w:p w14:paraId="630089A8" w14:textId="77777777" w:rsidR="005B4B9F" w:rsidRDefault="005B4B9F">
      <w:pPr>
        <w:spacing w:line="360" w:lineRule="auto"/>
        <w:jc w:val="both"/>
        <w:rPr>
          <w:rFonts w:ascii="Palatino Linotype" w:eastAsia="Palatino Linotype" w:hAnsi="Palatino Linotype" w:cs="Palatino Linotype"/>
        </w:rPr>
      </w:pPr>
    </w:p>
    <w:p w14:paraId="26ADCE45"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respecto a </w:t>
      </w:r>
      <w:r>
        <w:rPr>
          <w:rFonts w:ascii="Palatino Linotype" w:eastAsia="Palatino Linotype" w:hAnsi="Palatino Linotype" w:cs="Palatino Linotype"/>
          <w:i/>
        </w:rPr>
        <w:t xml:space="preserve">¿Se cuenta con un sistema propio de recaudación? Especificar generalidades del mismo.  </w:t>
      </w:r>
      <w:r>
        <w:rPr>
          <w:rFonts w:ascii="Palatino Linotype" w:eastAsia="Palatino Linotype" w:hAnsi="Palatino Linotype" w:cs="Palatino Linotype"/>
        </w:rPr>
        <w:t xml:space="preserve">El Código Financiero del Estado de México y Municipios señala  en su artículo 7 que el Estado y los Municipios percibirán en cada ejercicio fiscal, </w:t>
      </w:r>
      <w:r>
        <w:rPr>
          <w:rFonts w:ascii="Palatino Linotype" w:eastAsia="Palatino Linotype" w:hAnsi="Palatino Linotype" w:cs="Palatino Linotype"/>
        </w:rPr>
        <w:lastRenderedPageBreak/>
        <w:t>aportaciones de mejoras, productos, aprovechamientos e ingresos  derivados de la coordinación hacendaria, como se aprecia a continuación:</w:t>
      </w:r>
    </w:p>
    <w:p w14:paraId="74CEF78B" w14:textId="77777777" w:rsidR="005B4B9F" w:rsidRDefault="00602B8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7.-</w:t>
      </w:r>
      <w:r>
        <w:rPr>
          <w:rFonts w:ascii="Palatino Linotype" w:eastAsia="Palatino Linotype" w:hAnsi="Palatino Linotype" w:cs="Palatino Linotype"/>
          <w:i/>
          <w:sz w:val="22"/>
          <w:szCs w:val="22"/>
        </w:rPr>
        <w:t xml:space="preserv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Tratándose del Estado, también percibirá las aportaciones y cuotas de seguridad social. La Ley de Ingresos del Estado se elaborará con base en el Marco de Referencia para las Finanzas Públicas Estatales y/o en los criterios generales de política económica emitidos por el Gobierno Federal y, en su caso, con la última información económica publicada por el Banco de México y la Secretaría de Hacienda y Crédito Público, y deberá ser congruente con el Plan de Desarrollo del Estado y los programas que de él deriven; tratándose de estimaciones de participaciones y transferencias federales etiquetadas, no deberán exceder a las previstas en la Ley de Ingresos de la Federación y en el Presupuesto de Egresos de la Federación del ejercicio fiscal correspondiente.” </w:t>
      </w:r>
    </w:p>
    <w:p w14:paraId="42FB7E77" w14:textId="77777777" w:rsidR="005B4B9F" w:rsidRDefault="00602B8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52F7585" w14:textId="77777777" w:rsidR="005B4B9F" w:rsidRDefault="005B4B9F">
      <w:pPr>
        <w:spacing w:line="360" w:lineRule="auto"/>
        <w:ind w:right="899"/>
        <w:jc w:val="both"/>
        <w:rPr>
          <w:rFonts w:ascii="Palatino Linotype" w:eastAsia="Palatino Linotype" w:hAnsi="Palatino Linotype" w:cs="Palatino Linotype"/>
        </w:rPr>
      </w:pPr>
    </w:p>
    <w:p w14:paraId="48BC446F" w14:textId="77777777" w:rsidR="005B4B9F" w:rsidRDefault="00602B8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pues el mismo ordenamiento indica que ninguna contribución podrá recaudarse si no está prevista por la ley y en su artículo 9 clasifica las contribuciones en impuestos, derechos, contribuciones o aportaciones de mejoras y cuotas de seguridad social, preceptos que a la literalidad disponen lo siguiente: </w:t>
      </w:r>
    </w:p>
    <w:p w14:paraId="799A3D59" w14:textId="77777777" w:rsidR="005B4B9F" w:rsidRDefault="005B4B9F">
      <w:pPr>
        <w:spacing w:line="360" w:lineRule="auto"/>
        <w:jc w:val="both"/>
        <w:rPr>
          <w:rFonts w:ascii="Palatino Linotype" w:eastAsia="Palatino Linotype" w:hAnsi="Palatino Linotype" w:cs="Palatino Linotype"/>
          <w:i/>
          <w:sz w:val="22"/>
          <w:szCs w:val="22"/>
        </w:rPr>
      </w:pPr>
    </w:p>
    <w:p w14:paraId="2D30762B" w14:textId="77777777" w:rsidR="005B4B9F" w:rsidRDefault="00602B8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w:t>
      </w:r>
      <w:r>
        <w:rPr>
          <w:rFonts w:ascii="Palatino Linotype" w:eastAsia="Palatino Linotype" w:hAnsi="Palatino Linotype" w:cs="Palatino Linotype"/>
          <w:i/>
          <w:sz w:val="22"/>
          <w:szCs w:val="22"/>
        </w:rPr>
        <w:t xml:space="preserve">- Ninguna contribución podrá recaudarse si no está prevista en la Ley de Ingresos correspondiente. Sólo podrá destinarse un ingreso a un fin específico, cuando así lo disponga expresamente este Código, la Ley de Ingresos o el Presupuesto de Egresos. </w:t>
      </w:r>
    </w:p>
    <w:p w14:paraId="37322CC2" w14:textId="77777777" w:rsidR="005B4B9F" w:rsidRDefault="005B4B9F">
      <w:pPr>
        <w:ind w:left="850" w:right="899"/>
        <w:jc w:val="both"/>
        <w:rPr>
          <w:rFonts w:ascii="Palatino Linotype" w:eastAsia="Palatino Linotype" w:hAnsi="Palatino Linotype" w:cs="Palatino Linotype"/>
          <w:i/>
          <w:sz w:val="22"/>
          <w:szCs w:val="22"/>
        </w:rPr>
      </w:pPr>
    </w:p>
    <w:p w14:paraId="1AEBDFDA" w14:textId="77777777" w:rsidR="005B4B9F" w:rsidRDefault="00602B8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w:t>
      </w:r>
      <w:r>
        <w:rPr>
          <w:rFonts w:ascii="Palatino Linotype" w:eastAsia="Palatino Linotype" w:hAnsi="Palatino Linotype" w:cs="Palatino Linotype"/>
          <w:i/>
          <w:sz w:val="22"/>
          <w:szCs w:val="22"/>
        </w:rPr>
        <w:t xml:space="preserve"> Las contribuciones se clasifican en impuestos, derechos, contribuciones o aportaciones de mejoras, y aportaciones y cuotas de seguridad social, las que se definen de la manera siguiente: I. Impuestos. Son los establecidos en este Código que deben pagar las personas físicas y jurídicas colectivas, que se encuentren en la </w:t>
      </w:r>
      <w:r>
        <w:rPr>
          <w:rFonts w:ascii="Palatino Linotype" w:eastAsia="Palatino Linotype" w:hAnsi="Palatino Linotype" w:cs="Palatino Linotype"/>
          <w:i/>
          <w:sz w:val="22"/>
          <w:szCs w:val="22"/>
        </w:rPr>
        <w:lastRenderedPageBreak/>
        <w:t>situación jurídica o de hecho prevista por el mismo, y que sean distintas a las señaladas en las fracciones II, III y IV de este artículo. II. Derechos.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III. Contribuciones o Aportaciones de Mejoras. Son las establecidas en este Código, a cargo de las personas físicas y jurídicas colectivas, que con independencia de la utilidad general, obtengan un beneficio diferencial particular derivado de la realización de obras públicas o de acciones de beneficio social; las que efectúen las personas a favor del Estado para la realización de obras de impacto vial regional, que directa o indirectamente las beneficien, así como las derivadas de Servicios Ambientales o de Movilidad Sustentable. IV. Aportaciones y cuotas de Seguridad Social. Son las contribuciones que los Entes Públicos y sus servidores públicos, están obligados a cubrir en los términos de la ley en materia de seguridad social en el Estado”</w:t>
      </w:r>
    </w:p>
    <w:p w14:paraId="65F76BB6" w14:textId="77777777" w:rsidR="005B4B9F" w:rsidRDefault="00602B8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FEC03D3" w14:textId="77777777" w:rsidR="005B4B9F" w:rsidRDefault="005B4B9F">
      <w:pPr>
        <w:ind w:left="850" w:right="899"/>
        <w:jc w:val="both"/>
        <w:rPr>
          <w:rFonts w:ascii="Palatino Linotype" w:eastAsia="Palatino Linotype" w:hAnsi="Palatino Linotype" w:cs="Palatino Linotype"/>
          <w:i/>
          <w:sz w:val="22"/>
          <w:szCs w:val="22"/>
        </w:rPr>
      </w:pPr>
    </w:p>
    <w:p w14:paraId="7C5BA644" w14:textId="77777777" w:rsidR="005B4B9F" w:rsidRDefault="00602B8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para poder recaudar estas contribuciones, los Municipios tendrán un sistema de recaudación independiente y podrán celebrar convenios con las demás entidades públicas y Organismos Autónomos, como lo indica el artículo 17 del multicitado Código que  a la letra dice: </w:t>
      </w:r>
    </w:p>
    <w:p w14:paraId="63067F21" w14:textId="77777777" w:rsidR="005B4B9F" w:rsidRDefault="005B4B9F">
      <w:pPr>
        <w:spacing w:line="360" w:lineRule="auto"/>
        <w:jc w:val="both"/>
        <w:rPr>
          <w:rFonts w:ascii="Palatino Linotype" w:eastAsia="Palatino Linotype" w:hAnsi="Palatino Linotype" w:cs="Palatino Linotype"/>
        </w:rPr>
      </w:pPr>
    </w:p>
    <w:p w14:paraId="0B47FBB8" w14:textId="77777777" w:rsidR="005B4B9F" w:rsidRDefault="00602B8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Estado, los Municipios, las Entidades Públicas y los Organismos Autónomos podrán celebrar convenios para la concurrencia en materia de recaudación y administración de contribuciones, aprovechamientos e ingresos propios, con la finalidad de fortalecer la administración y recaudación de los ingresos y en este caso</w:t>
      </w:r>
      <w:r>
        <w:rPr>
          <w:rFonts w:ascii="Palatino Linotype" w:eastAsia="Palatino Linotype" w:hAnsi="Palatino Linotype" w:cs="Palatino Linotype"/>
          <w:i/>
          <w:sz w:val="22"/>
          <w:szCs w:val="22"/>
        </w:rPr>
        <w:t xml:space="preserve">, se considerarán autoridades fiscales, quienes asuman la función en los términos de los convenios que suscriban. El Gobernador, por conducto del titular de la Secretaría, podrá celebrar </w:t>
      </w:r>
      <w:r>
        <w:rPr>
          <w:rFonts w:ascii="Palatino Linotype" w:eastAsia="Palatino Linotype" w:hAnsi="Palatino Linotype" w:cs="Palatino Linotype"/>
          <w:i/>
          <w:sz w:val="22"/>
          <w:szCs w:val="22"/>
        </w:rPr>
        <w:lastRenderedPageBreak/>
        <w:t xml:space="preserve">convenios de colaboración administrativa con otros Estados y el Distrito Federal, en las materias de verificación, de terminación y recaudación de las contribuciones, así como para la notificación de créditos fiscales y aplicación del procedimiento administrativo de ejecución. </w:t>
      </w:r>
    </w:p>
    <w:p w14:paraId="63907671" w14:textId="77777777" w:rsidR="005B4B9F" w:rsidRDefault="005B4B9F">
      <w:pPr>
        <w:ind w:left="850" w:right="899"/>
        <w:jc w:val="both"/>
        <w:rPr>
          <w:rFonts w:ascii="Palatino Linotype" w:eastAsia="Palatino Linotype" w:hAnsi="Palatino Linotype" w:cs="Palatino Linotype"/>
          <w:i/>
          <w:sz w:val="22"/>
          <w:szCs w:val="22"/>
        </w:rPr>
      </w:pPr>
    </w:p>
    <w:p w14:paraId="381CBA86" w14:textId="77777777" w:rsidR="005B4B9F" w:rsidRDefault="00602B8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Secretaría podrá celebrar con autoridades federales, estatales, municipales o con personas físicas o jurídicas colectivas de nacionalidad mexicana, convenios, acuerdos, así como cualquier instrumento jurídico o administrativo que considere necesarios para la recaudación, fiscalización y administración de ingresos federales, estatales o municipales. </w:t>
      </w:r>
    </w:p>
    <w:p w14:paraId="412C689E" w14:textId="77777777" w:rsidR="005B4B9F" w:rsidRDefault="005B4B9F">
      <w:pPr>
        <w:ind w:left="850" w:right="899"/>
        <w:jc w:val="both"/>
        <w:rPr>
          <w:rFonts w:ascii="Palatino Linotype" w:eastAsia="Palatino Linotype" w:hAnsi="Palatino Linotype" w:cs="Palatino Linotype"/>
          <w:i/>
          <w:sz w:val="22"/>
          <w:szCs w:val="22"/>
        </w:rPr>
      </w:pPr>
    </w:p>
    <w:p w14:paraId="5FB6493E" w14:textId="77777777" w:rsidR="005B4B9F" w:rsidRDefault="00602B8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Conforme a lo establecido en las fracciones III y IV del artículo 115 de la Constitución Política de los Estados Unidos Mexicanos,</w:t>
      </w:r>
      <w:r>
        <w:rPr>
          <w:rFonts w:ascii="Palatino Linotype" w:eastAsia="Palatino Linotype" w:hAnsi="Palatino Linotype" w:cs="Palatino Linotype"/>
          <w:b/>
          <w:i/>
          <w:sz w:val="22"/>
          <w:szCs w:val="22"/>
        </w:rPr>
        <w:t xml:space="preserve"> los municipios conservarán en todo momento la facultad de administrar y recaudar libremente su hacienda</w:t>
      </w:r>
      <w:r>
        <w:rPr>
          <w:rFonts w:ascii="Palatino Linotype" w:eastAsia="Palatino Linotype" w:hAnsi="Palatino Linotype" w:cs="Palatino Linotype"/>
          <w:i/>
          <w:sz w:val="22"/>
          <w:szCs w:val="22"/>
        </w:rPr>
        <w:t>.”</w:t>
      </w:r>
    </w:p>
    <w:p w14:paraId="6F24B32D" w14:textId="77777777" w:rsidR="005B4B9F" w:rsidRDefault="00602B8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DFAB583" w14:textId="77777777" w:rsidR="005B4B9F" w:rsidRDefault="005B4B9F">
      <w:pPr>
        <w:spacing w:line="360" w:lineRule="auto"/>
        <w:jc w:val="both"/>
        <w:rPr>
          <w:rFonts w:ascii="Palatino Linotype" w:eastAsia="Palatino Linotype" w:hAnsi="Palatino Linotype" w:cs="Palatino Linotype"/>
        </w:rPr>
      </w:pPr>
    </w:p>
    <w:p w14:paraId="46125FA5"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los Municipios al tener la facultad de recaudar impuestos, deberán contar  tener un sistema de recaudación, que podrán administrar de forma autónoma, por lo cual se considera competente para poder generar, poseer o administrar la información solicitada. </w:t>
      </w:r>
    </w:p>
    <w:p w14:paraId="49EC1CED" w14:textId="77777777" w:rsidR="005B4B9F" w:rsidRDefault="005B4B9F">
      <w:pPr>
        <w:spacing w:line="360" w:lineRule="auto"/>
        <w:jc w:val="both"/>
        <w:rPr>
          <w:rFonts w:ascii="Palatino Linotype" w:eastAsia="Palatino Linotype" w:hAnsi="Palatino Linotype" w:cs="Palatino Linotype"/>
        </w:rPr>
      </w:pPr>
    </w:p>
    <w:p w14:paraId="021E7DBA"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manera, en relación a la parte de la solicitud donde el particular requiere: </w:t>
      </w:r>
      <w:r>
        <w:rPr>
          <w:rFonts w:ascii="Palatino Linotype" w:eastAsia="Palatino Linotype" w:hAnsi="Palatino Linotype" w:cs="Palatino Linotype"/>
          <w:i/>
        </w:rPr>
        <w:t xml:space="preserve">¿Cuenta con un balance general? </w:t>
      </w:r>
      <w:r>
        <w:rPr>
          <w:rFonts w:ascii="Palatino Linotype" w:eastAsia="Palatino Linotype" w:hAnsi="Palatino Linotype" w:cs="Palatino Linotype"/>
        </w:rPr>
        <w:t xml:space="preserve">Es de mencionar que el artículo 116 fracción II, párrafo sexto de la Constitución Política de los Estados Unidos Mexicanos señala que Las Legislaturas de los Estados contarán con entidades estatales de fiscalización con autonomía técnica y de gestión. El cual según lo establecido por los artículos 94 fracción I y 95 de la Ley Orgánica del Poder Legislativo del Estado Libre y Soberano de México </w:t>
      </w:r>
      <w:r>
        <w:rPr>
          <w:rFonts w:ascii="Palatino Linotype" w:eastAsia="Palatino Linotype" w:hAnsi="Palatino Linotype" w:cs="Palatino Linotype"/>
        </w:rPr>
        <w:lastRenderedPageBreak/>
        <w:t xml:space="preserve">controla, fiscaliza, revisa el ingreso y el gasto público de diversas entidades públicas, incluyendo a los municipios y sus organismos auxiliares.  </w:t>
      </w:r>
    </w:p>
    <w:p w14:paraId="66CA02F0" w14:textId="77777777" w:rsidR="005B4B9F" w:rsidRDefault="005B4B9F">
      <w:pPr>
        <w:spacing w:line="360" w:lineRule="auto"/>
        <w:jc w:val="both"/>
        <w:rPr>
          <w:rFonts w:ascii="Palatino Linotype" w:eastAsia="Palatino Linotype" w:hAnsi="Palatino Linotype" w:cs="Palatino Linotype"/>
        </w:rPr>
      </w:pPr>
    </w:p>
    <w:p w14:paraId="6EDF9E22"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como parte de sus obligaciones, los municipios deberán hacer entrega de un informe trimestral, el cual deberá contener entre otros el Estado de Situación Financiera, mismo que se generará de forma mensual. Como se aprecia de la siguiente captura de pantalla: </w:t>
      </w:r>
    </w:p>
    <w:p w14:paraId="13C2733E"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21225550" wp14:editId="3D2FAD56">
            <wp:extent cx="5791835" cy="2743200"/>
            <wp:effectExtent l="0" t="0" r="0" b="0"/>
            <wp:docPr id="3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791835" cy="2743200"/>
                    </a:xfrm>
                    <a:prstGeom prst="rect">
                      <a:avLst/>
                    </a:prstGeom>
                    <a:ln/>
                  </pic:spPr>
                </pic:pic>
              </a:graphicData>
            </a:graphic>
          </wp:inline>
        </w:drawing>
      </w:r>
    </w:p>
    <w:p w14:paraId="25CBD2CA" w14:textId="77777777" w:rsidR="005B4B9F" w:rsidRDefault="005B4B9F">
      <w:pPr>
        <w:spacing w:line="360" w:lineRule="auto"/>
        <w:jc w:val="both"/>
        <w:rPr>
          <w:rFonts w:ascii="Palatino Linotype" w:eastAsia="Palatino Linotype" w:hAnsi="Palatino Linotype" w:cs="Palatino Linotype"/>
        </w:rPr>
      </w:pPr>
    </w:p>
    <w:p w14:paraId="17624AE1"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resulta procedente establecer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también cuenta con facultades para generar un soporte documental que puede colmar la petición del particular. </w:t>
      </w:r>
    </w:p>
    <w:p w14:paraId="30DF55C2" w14:textId="77777777" w:rsidR="005B4B9F" w:rsidRDefault="005B4B9F">
      <w:pPr>
        <w:spacing w:line="360" w:lineRule="auto"/>
        <w:jc w:val="both"/>
        <w:rPr>
          <w:rFonts w:ascii="Palatino Linotype" w:eastAsia="Palatino Linotype" w:hAnsi="Palatino Linotype" w:cs="Palatino Linotype"/>
        </w:rPr>
      </w:pPr>
    </w:p>
    <w:p w14:paraId="02E9B9EA"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Precisado lo anterior, se advierte que en su respuesta el ente recurrido señaló que la información solicitada puede ser consulta en la liga electrónica: </w:t>
      </w:r>
      <w:hyperlink r:id="rId9">
        <w:r>
          <w:rPr>
            <w:rFonts w:ascii="Palatino Linotype" w:eastAsia="Palatino Linotype" w:hAnsi="Palatino Linotype" w:cs="Palatino Linotype"/>
            <w:color w:val="1155CC"/>
            <w:u w:val="single"/>
          </w:rPr>
          <w:t>https://www.ipomex.org.mx/ipo3/lgt/indice/METEPEC/art_92_iv/4.web</w:t>
        </w:r>
      </w:hyperlink>
      <w:r>
        <w:rPr>
          <w:rFonts w:ascii="Palatino Linotype" w:eastAsia="Palatino Linotype" w:hAnsi="Palatino Linotype" w:cs="Palatino Linotype"/>
        </w:rPr>
        <w:t xml:space="preserve">, misma que al ser el motivo de inconformidad del partiuclar fue consultada por esta Ponenecia encontrado lo sigueinte: </w:t>
      </w:r>
    </w:p>
    <w:p w14:paraId="5B8DEF97"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69199CD3" wp14:editId="16A229AA">
            <wp:extent cx="5791835" cy="2984500"/>
            <wp:effectExtent l="0" t="0" r="0" b="0"/>
            <wp:docPr id="3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91835" cy="2984500"/>
                    </a:xfrm>
                    <a:prstGeom prst="rect">
                      <a:avLst/>
                    </a:prstGeom>
                    <a:ln/>
                  </pic:spPr>
                </pic:pic>
              </a:graphicData>
            </a:graphic>
          </wp:inline>
        </w:drawing>
      </w:r>
    </w:p>
    <w:p w14:paraId="6F2D6CCA" w14:textId="77777777" w:rsidR="005B4B9F" w:rsidRDefault="005B4B9F">
      <w:pPr>
        <w:spacing w:line="360" w:lineRule="auto"/>
        <w:jc w:val="both"/>
        <w:rPr>
          <w:rFonts w:ascii="Palatino Linotype" w:eastAsia="Palatino Linotype" w:hAnsi="Palatino Linotype" w:cs="Palatino Linotype"/>
        </w:rPr>
      </w:pPr>
    </w:p>
    <w:p w14:paraId="3CB378AB"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imagen anterior, es posible advertir que el enlace proporcionado en respuesta dirige al portal de IPOMEX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al apartado de Metas y objetivos de las áreas en donde se pueden visualizar diversos registros correspondientes a los ejercicios fiscales 2018, 2019, 2020, 2021 y 2022. </w:t>
      </w:r>
    </w:p>
    <w:p w14:paraId="4C29188E" w14:textId="77777777" w:rsidR="005B4B9F" w:rsidRDefault="005B4B9F">
      <w:pPr>
        <w:spacing w:line="360" w:lineRule="auto"/>
        <w:jc w:val="both"/>
        <w:rPr>
          <w:rFonts w:ascii="Palatino Linotype" w:eastAsia="Palatino Linotype" w:hAnsi="Palatino Linotype" w:cs="Palatino Linotype"/>
        </w:rPr>
      </w:pPr>
    </w:p>
    <w:p w14:paraId="5F9FD0A8"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Sobre lo cual el particular expresa su inconformidad indicando que incumple con lo establecido por el artículo 161 de la Ley Ley de Transparencia y Acceso a la Información Pública del Estado de México y Municipios, el cual versa sobre lo siguiente:  </w:t>
      </w:r>
    </w:p>
    <w:p w14:paraId="1114AB67" w14:textId="77777777" w:rsidR="005B4B9F" w:rsidRDefault="00602B82">
      <w:pPr>
        <w:widowControl w:val="0"/>
        <w:tabs>
          <w:tab w:val="left" w:pos="1701"/>
          <w:tab w:val="left" w:pos="1843"/>
        </w:tabs>
        <w:ind w:left="850"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161. </w:t>
      </w:r>
      <w:r>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14:paraId="6100573F" w14:textId="77777777" w:rsidR="005B4B9F" w:rsidRDefault="00602B82">
      <w:pPr>
        <w:widowControl w:val="0"/>
        <w:tabs>
          <w:tab w:val="left" w:pos="1701"/>
          <w:tab w:val="left" w:pos="1843"/>
        </w:tabs>
        <w:ind w:left="850"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14:paraId="651FFB01" w14:textId="77777777" w:rsidR="005B4B9F" w:rsidRDefault="005B4B9F">
      <w:pPr>
        <w:spacing w:line="360" w:lineRule="auto"/>
        <w:jc w:val="both"/>
        <w:rPr>
          <w:rFonts w:ascii="Palatino Linotype" w:eastAsia="Palatino Linotype" w:hAnsi="Palatino Linotype" w:cs="Palatino Linotype"/>
        </w:rPr>
      </w:pPr>
    </w:p>
    <w:p w14:paraId="16ED3D84" w14:textId="77777777" w:rsidR="005B4B9F" w:rsidRDefault="00602B8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artículo antes citado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265DB6DD" w14:textId="77777777" w:rsidR="005B4B9F" w:rsidRDefault="005B4B9F">
      <w:pPr>
        <w:widowControl w:val="0"/>
        <w:tabs>
          <w:tab w:val="left" w:pos="1701"/>
          <w:tab w:val="left" w:pos="1843"/>
        </w:tabs>
        <w:spacing w:line="360" w:lineRule="auto"/>
        <w:jc w:val="both"/>
        <w:rPr>
          <w:rFonts w:ascii="Palatino Linotype" w:eastAsia="Palatino Linotype" w:hAnsi="Palatino Linotype" w:cs="Palatino Linotype"/>
        </w:rPr>
      </w:pPr>
    </w:p>
    <w:p w14:paraId="743D01D1" w14:textId="77777777" w:rsidR="005B4B9F" w:rsidRDefault="00602B8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del enlace electrónico se puede acceder a un apartado relativo a las metas y objetivos de las áreas, el cual a su vez remite a los ejercicios fiscales que cuentan con diversos registros como se observa a continuación: </w:t>
      </w:r>
    </w:p>
    <w:p w14:paraId="637B9E58" w14:textId="77777777" w:rsidR="005B4B9F" w:rsidRDefault="00602B82">
      <w:pPr>
        <w:widowControl w:val="0"/>
        <w:tabs>
          <w:tab w:val="left" w:pos="1701"/>
          <w:tab w:val="left" w:pos="1843"/>
        </w:tabs>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14:anchorId="66251E85" wp14:editId="3910C443">
            <wp:extent cx="4758224" cy="2860281"/>
            <wp:effectExtent l="0" t="0" r="0" b="0"/>
            <wp:docPr id="3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13533"/>
                    <a:stretch>
                      <a:fillRect/>
                    </a:stretch>
                  </pic:blipFill>
                  <pic:spPr>
                    <a:xfrm>
                      <a:off x="0" y="0"/>
                      <a:ext cx="4758224" cy="2860281"/>
                    </a:xfrm>
                    <a:prstGeom prst="rect">
                      <a:avLst/>
                    </a:prstGeom>
                    <a:ln/>
                  </pic:spPr>
                </pic:pic>
              </a:graphicData>
            </a:graphic>
          </wp:inline>
        </w:drawing>
      </w:r>
    </w:p>
    <w:p w14:paraId="187673B5" w14:textId="77777777" w:rsidR="005B4B9F" w:rsidRDefault="00602B8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forma que para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cumpla a cabalidad lo solicitado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bastará con que indique le indique, </w:t>
      </w:r>
      <w:r>
        <w:rPr>
          <w:rFonts w:ascii="Palatino Linotype" w:eastAsia="Palatino Linotype" w:hAnsi="Palatino Linotype" w:cs="Palatino Linotype"/>
          <w:b/>
        </w:rPr>
        <w:t>las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instrucciones precisas y concretas, </w:t>
      </w:r>
      <w:r>
        <w:rPr>
          <w:rFonts w:ascii="Palatino Linotype" w:eastAsia="Palatino Linotype" w:hAnsi="Palatino Linotype" w:cs="Palatino Linotype"/>
        </w:rPr>
        <w:t xml:space="preserve">que lo lleven para acceder a la información solicitada, sin que éste tenga que buscar en toda la información disponible, lo que en el caso que no ocupa no tuvo lugar, ya que el ente recurrido remitió  un enlace que lleva a diversos registros sin señalar cuál de estos contiene la información solicitada por el particular. </w:t>
      </w:r>
    </w:p>
    <w:p w14:paraId="1341A326" w14:textId="77777777" w:rsidR="005B4B9F" w:rsidRDefault="005B4B9F">
      <w:pPr>
        <w:widowControl w:val="0"/>
        <w:tabs>
          <w:tab w:val="left" w:pos="1701"/>
          <w:tab w:val="left" w:pos="1843"/>
        </w:tabs>
        <w:spacing w:line="360" w:lineRule="auto"/>
        <w:jc w:val="both"/>
        <w:rPr>
          <w:rFonts w:ascii="Palatino Linotype" w:eastAsia="Palatino Linotype" w:hAnsi="Palatino Linotype" w:cs="Palatino Linotype"/>
        </w:rPr>
      </w:pPr>
    </w:p>
    <w:p w14:paraId="581CABB7" w14:textId="77777777" w:rsidR="005B4B9F" w:rsidRDefault="00602B8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este Instituto determina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 y ordenarle haga entrega del soporte documental vigente al dieciocho de abril de dos mil veintidós donde conste el Sistema de Recaudación y sus generalidades así como el Estado de Situación Financiera. </w:t>
      </w:r>
    </w:p>
    <w:p w14:paraId="5EF46D2F" w14:textId="77777777" w:rsidR="005B4B9F" w:rsidRDefault="005B4B9F">
      <w:pPr>
        <w:spacing w:line="360" w:lineRule="auto"/>
        <w:jc w:val="both"/>
        <w:rPr>
          <w:rFonts w:ascii="Palatino Linotype" w:eastAsia="Palatino Linotype" w:hAnsi="Palatino Linotype" w:cs="Palatino Linotype"/>
        </w:rPr>
      </w:pPr>
    </w:p>
    <w:p w14:paraId="620D9EE1"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F9512C7" w14:textId="77777777" w:rsidR="005B4B9F" w:rsidRDefault="005B4B9F">
      <w:pPr>
        <w:spacing w:line="360" w:lineRule="auto"/>
        <w:jc w:val="center"/>
        <w:rPr>
          <w:rFonts w:ascii="Palatino Linotype" w:eastAsia="Palatino Linotype" w:hAnsi="Palatino Linotype" w:cs="Palatino Linotype"/>
          <w:b/>
          <w:sz w:val="26"/>
          <w:szCs w:val="26"/>
        </w:rPr>
      </w:pPr>
    </w:p>
    <w:p w14:paraId="54FE2B7E" w14:textId="77777777" w:rsidR="005B4B9F" w:rsidRDefault="00602B82">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35D75A63" w14:textId="77777777" w:rsidR="005B4B9F" w:rsidRDefault="005B4B9F">
      <w:pPr>
        <w:spacing w:line="360" w:lineRule="auto"/>
        <w:ind w:right="49"/>
        <w:jc w:val="both"/>
        <w:rPr>
          <w:rFonts w:ascii="Palatino Linotype" w:eastAsia="Palatino Linotype" w:hAnsi="Palatino Linotype" w:cs="Palatino Linotype"/>
          <w:b/>
        </w:rPr>
      </w:pPr>
    </w:p>
    <w:p w14:paraId="21B36B19" w14:textId="77777777" w:rsidR="005B4B9F" w:rsidRDefault="00602B8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07677/INFOEM/IP/RR/2022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7B205D78" w14:textId="77777777" w:rsidR="005B4B9F" w:rsidRDefault="005B4B9F">
      <w:pPr>
        <w:spacing w:line="360" w:lineRule="auto"/>
        <w:ind w:right="49"/>
        <w:jc w:val="both"/>
        <w:rPr>
          <w:rFonts w:ascii="Palatino Linotype" w:eastAsia="Palatino Linotype" w:hAnsi="Palatino Linotype" w:cs="Palatino Linotype"/>
        </w:rPr>
      </w:pPr>
    </w:p>
    <w:p w14:paraId="23AEB80F"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al Recurrente mediante el Sistema de Acceso a la Información Mexiquense (SAIMEX), </w:t>
      </w:r>
      <w:r w:rsidR="00AB3C1C">
        <w:rPr>
          <w:rFonts w:ascii="Palatino Linotype" w:eastAsia="Palatino Linotype" w:hAnsi="Palatino Linotype" w:cs="Palatino Linotype"/>
        </w:rPr>
        <w:t xml:space="preserve">en versión pública, </w:t>
      </w:r>
      <w:r>
        <w:rPr>
          <w:rFonts w:ascii="Palatino Linotype" w:eastAsia="Palatino Linotype" w:hAnsi="Palatino Linotype" w:cs="Palatino Linotype"/>
        </w:rPr>
        <w:t xml:space="preserve">de lo siguiente: </w:t>
      </w:r>
    </w:p>
    <w:p w14:paraId="00D7EDD9" w14:textId="77777777" w:rsidR="00AB3C1C" w:rsidRDefault="00602B82">
      <w:pPr>
        <w:ind w:left="850" w:right="33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soporte documental vigente al dieciocho de abril de dos mil veintidós donde conste el Sistema de Recaudación y sus generalidades, así como el Estado de Situación Financiera.</w:t>
      </w:r>
      <w:r w:rsidR="00AB3C1C">
        <w:rPr>
          <w:rFonts w:ascii="Palatino Linotype" w:eastAsia="Palatino Linotype" w:hAnsi="Palatino Linotype" w:cs="Palatino Linotype"/>
          <w:i/>
          <w:sz w:val="22"/>
          <w:szCs w:val="22"/>
        </w:rPr>
        <w:t xml:space="preserve"> </w:t>
      </w:r>
    </w:p>
    <w:p w14:paraId="76CC3B80" w14:textId="77777777" w:rsidR="00AB3C1C" w:rsidRDefault="00AB3C1C">
      <w:pPr>
        <w:ind w:left="850" w:right="332"/>
        <w:jc w:val="both"/>
        <w:rPr>
          <w:rFonts w:ascii="Palatino Linotype" w:eastAsia="Palatino Linotype" w:hAnsi="Palatino Linotype" w:cs="Palatino Linotype"/>
          <w:i/>
          <w:sz w:val="22"/>
          <w:szCs w:val="22"/>
        </w:rPr>
      </w:pPr>
    </w:p>
    <w:p w14:paraId="14139B02" w14:textId="77777777" w:rsidR="005B4B9F" w:rsidRDefault="00AB3C1C">
      <w:pPr>
        <w:ind w:left="850" w:right="332"/>
        <w:jc w:val="both"/>
        <w:rPr>
          <w:rFonts w:ascii="Palatino Linotype" w:eastAsia="Palatino Linotype" w:hAnsi="Palatino Linotype" w:cs="Palatino Linotype"/>
          <w:i/>
          <w:sz w:val="22"/>
          <w:szCs w:val="22"/>
        </w:rPr>
      </w:pPr>
      <w:r w:rsidRPr="004F394D">
        <w:rPr>
          <w:rFonts w:ascii="Palatino Linotype" w:eastAsia="Palatino Linotype" w:hAnsi="Palatino Linotype" w:cs="Palatino Linotype"/>
          <w:i/>
          <w:sz w:val="22"/>
          <w:szCs w:val="22"/>
        </w:rPr>
        <w:t>Debiendo notificar al RECURRENTE el Acuerdo de Clasificación que emita el Comité de Transparencia, con motivo de la versión pública de ser procedente.</w:t>
      </w:r>
    </w:p>
    <w:p w14:paraId="4F2E6455" w14:textId="77777777" w:rsidR="005B4B9F" w:rsidRDefault="005B4B9F">
      <w:pPr>
        <w:spacing w:line="360" w:lineRule="auto"/>
        <w:jc w:val="both"/>
        <w:rPr>
          <w:rFonts w:ascii="Palatino Linotype" w:eastAsia="Palatino Linotype" w:hAnsi="Palatino Linotype" w:cs="Palatino Linotype"/>
          <w:b/>
        </w:rPr>
      </w:pPr>
    </w:p>
    <w:p w14:paraId="41CBEB18"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la presente resolución al Titular de la Unidad de Transparencia del Sujeto Obligado, para que conforme al artículo 186 último párrafo, </w:t>
      </w:r>
      <w:r>
        <w:rPr>
          <w:rFonts w:ascii="Palatino Linotype" w:eastAsia="Palatino Linotype" w:hAnsi="Palatino Linotype" w:cs="Palatino Linotype"/>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706C5DE" w14:textId="77777777" w:rsidR="005B4B9F" w:rsidRDefault="005B4B9F">
      <w:pPr>
        <w:spacing w:line="360" w:lineRule="auto"/>
        <w:jc w:val="both"/>
        <w:rPr>
          <w:rFonts w:ascii="Palatino Linotype" w:eastAsia="Palatino Linotype" w:hAnsi="Palatino Linotype" w:cs="Palatino Linotype"/>
          <w:sz w:val="22"/>
          <w:szCs w:val="22"/>
        </w:rPr>
      </w:pPr>
    </w:p>
    <w:p w14:paraId="69E1C0CB"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AE2236" w14:textId="77777777" w:rsidR="005B4B9F" w:rsidRDefault="005B4B9F">
      <w:pPr>
        <w:spacing w:line="360" w:lineRule="auto"/>
        <w:jc w:val="both"/>
        <w:rPr>
          <w:rFonts w:ascii="Palatino Linotype" w:eastAsia="Palatino Linotype" w:hAnsi="Palatino Linotype" w:cs="Palatino Linotype"/>
          <w:sz w:val="22"/>
          <w:szCs w:val="22"/>
        </w:rPr>
      </w:pPr>
    </w:p>
    <w:p w14:paraId="77632BC2" w14:textId="77777777" w:rsidR="005B4B9F" w:rsidRDefault="00602B82">
      <w:pPr>
        <w:spacing w:line="360" w:lineRule="auto"/>
        <w:jc w:val="both"/>
        <w:rPr>
          <w:rFonts w:ascii="Calibri" w:eastAsia="Calibri" w:hAnsi="Calibri" w:cs="Calibri"/>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292AFE2" w14:textId="77777777" w:rsidR="005B4B9F" w:rsidRDefault="005B4B9F">
      <w:pPr>
        <w:spacing w:line="360" w:lineRule="auto"/>
        <w:jc w:val="both"/>
        <w:rPr>
          <w:rFonts w:ascii="Palatino Linotype" w:eastAsia="Palatino Linotype" w:hAnsi="Palatino Linotype" w:cs="Palatino Linotype"/>
        </w:rPr>
      </w:pPr>
    </w:p>
    <w:p w14:paraId="40723510" w14:textId="77777777" w:rsidR="004F394D" w:rsidRDefault="004F394D">
      <w:pPr>
        <w:spacing w:line="360" w:lineRule="auto"/>
        <w:jc w:val="both"/>
        <w:rPr>
          <w:rFonts w:ascii="Palatino Linotype" w:eastAsia="Palatino Linotype" w:hAnsi="Palatino Linotype" w:cs="Palatino Linotype"/>
        </w:rPr>
      </w:pPr>
    </w:p>
    <w:p w14:paraId="786A76FC" w14:textId="77777777" w:rsidR="004F394D" w:rsidRDefault="004F394D">
      <w:pPr>
        <w:spacing w:line="360" w:lineRule="auto"/>
        <w:jc w:val="both"/>
        <w:rPr>
          <w:rFonts w:ascii="Palatino Linotype" w:eastAsia="Palatino Linotype" w:hAnsi="Palatino Linotype" w:cs="Palatino Linotype"/>
        </w:rPr>
      </w:pPr>
    </w:p>
    <w:p w14:paraId="27638906" w14:textId="77777777" w:rsidR="004F394D" w:rsidRDefault="004F394D">
      <w:pPr>
        <w:spacing w:line="360" w:lineRule="auto"/>
        <w:jc w:val="both"/>
        <w:rPr>
          <w:rFonts w:ascii="Palatino Linotype" w:eastAsia="Palatino Linotype" w:hAnsi="Palatino Linotype" w:cs="Palatino Linotype"/>
        </w:rPr>
      </w:pPr>
    </w:p>
    <w:p w14:paraId="308C7F2D" w14:textId="77777777" w:rsidR="004F394D" w:rsidRDefault="004F394D">
      <w:pPr>
        <w:spacing w:line="360" w:lineRule="auto"/>
        <w:jc w:val="both"/>
        <w:rPr>
          <w:rFonts w:ascii="Palatino Linotype" w:eastAsia="Palatino Linotype" w:hAnsi="Palatino Linotype" w:cs="Palatino Linotype"/>
        </w:rPr>
      </w:pPr>
    </w:p>
    <w:p w14:paraId="18F7AC94" w14:textId="77777777" w:rsidR="004F394D" w:rsidRDefault="004F394D">
      <w:pPr>
        <w:spacing w:line="360" w:lineRule="auto"/>
        <w:jc w:val="both"/>
        <w:rPr>
          <w:rFonts w:ascii="Palatino Linotype" w:eastAsia="Palatino Linotype" w:hAnsi="Palatino Linotype" w:cs="Palatino Linotype"/>
        </w:rPr>
      </w:pPr>
    </w:p>
    <w:p w14:paraId="70A46B53" w14:textId="77777777" w:rsidR="004F394D" w:rsidRDefault="004F394D">
      <w:pPr>
        <w:spacing w:line="360" w:lineRule="auto"/>
        <w:jc w:val="both"/>
        <w:rPr>
          <w:rFonts w:ascii="Palatino Linotype" w:eastAsia="Palatino Linotype" w:hAnsi="Palatino Linotype" w:cs="Palatino Linotype"/>
        </w:rPr>
      </w:pPr>
    </w:p>
    <w:p w14:paraId="6EB64CE1" w14:textId="77777777" w:rsidR="004F394D" w:rsidRDefault="004F394D">
      <w:pPr>
        <w:spacing w:line="360" w:lineRule="auto"/>
        <w:jc w:val="both"/>
        <w:rPr>
          <w:rFonts w:ascii="Palatino Linotype" w:eastAsia="Palatino Linotype" w:hAnsi="Palatino Linotype" w:cs="Palatino Linotype"/>
        </w:rPr>
      </w:pPr>
    </w:p>
    <w:p w14:paraId="62B04C25" w14:textId="77777777" w:rsidR="005B4B9F" w:rsidRDefault="00602B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DE AGOSTO DE DOS MIL VEINTIDÓS, ANTE EL SECRETARIO TÉCNICO DEL PLENO, ALEXIS TAPIA RAMÍREZ.</w:t>
      </w:r>
    </w:p>
    <w:p w14:paraId="206623C0" w14:textId="77777777" w:rsidR="005B4B9F" w:rsidRDefault="00602B82">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09763D58" w14:textId="77777777" w:rsidR="005B4B9F" w:rsidRDefault="00602B82">
      <w:pPr>
        <w:rPr>
          <w:rFonts w:ascii="Palatino Linotype" w:eastAsia="Palatino Linotype" w:hAnsi="Palatino Linotype" w:cs="Palatino Linotype"/>
        </w:rPr>
      </w:pPr>
      <w:r>
        <w:br w:type="page"/>
      </w:r>
    </w:p>
    <w:p w14:paraId="181BFC1D" w14:textId="77777777" w:rsidR="005B4B9F" w:rsidRDefault="005B4B9F">
      <w:pPr>
        <w:spacing w:line="360" w:lineRule="auto"/>
        <w:jc w:val="both"/>
        <w:rPr>
          <w:rFonts w:ascii="Palatino Linotype" w:eastAsia="Palatino Linotype" w:hAnsi="Palatino Linotype" w:cs="Palatino Linotype"/>
        </w:rPr>
      </w:pPr>
    </w:p>
    <w:p w14:paraId="04A39F48" w14:textId="77777777" w:rsidR="005B4B9F" w:rsidRDefault="005B4B9F">
      <w:pPr>
        <w:spacing w:line="360" w:lineRule="auto"/>
        <w:jc w:val="both"/>
        <w:rPr>
          <w:rFonts w:ascii="Palatino Linotype" w:eastAsia="Palatino Linotype" w:hAnsi="Palatino Linotype" w:cs="Palatino Linotype"/>
        </w:rPr>
      </w:pPr>
    </w:p>
    <w:p w14:paraId="14225038" w14:textId="77777777" w:rsidR="005B4B9F" w:rsidRDefault="005B4B9F">
      <w:pPr>
        <w:spacing w:line="360" w:lineRule="auto"/>
        <w:jc w:val="both"/>
        <w:rPr>
          <w:rFonts w:ascii="Palatino Linotype" w:eastAsia="Palatino Linotype" w:hAnsi="Palatino Linotype" w:cs="Palatino Linotype"/>
        </w:rPr>
      </w:pPr>
    </w:p>
    <w:p w14:paraId="036C3DA1" w14:textId="77777777" w:rsidR="005B4B9F" w:rsidRDefault="005B4B9F">
      <w:pPr>
        <w:spacing w:line="360" w:lineRule="auto"/>
        <w:jc w:val="both"/>
        <w:rPr>
          <w:rFonts w:ascii="Palatino Linotype" w:eastAsia="Palatino Linotype" w:hAnsi="Palatino Linotype" w:cs="Palatino Linotype"/>
        </w:rPr>
      </w:pPr>
    </w:p>
    <w:p w14:paraId="6A84EF53" w14:textId="77777777" w:rsidR="005B4B9F" w:rsidRDefault="005B4B9F">
      <w:pPr>
        <w:spacing w:line="360" w:lineRule="auto"/>
        <w:jc w:val="both"/>
        <w:rPr>
          <w:rFonts w:ascii="Palatino Linotype" w:eastAsia="Palatino Linotype" w:hAnsi="Palatino Linotype" w:cs="Palatino Linotype"/>
        </w:rPr>
      </w:pPr>
    </w:p>
    <w:p w14:paraId="08DE38F1" w14:textId="77777777" w:rsidR="005B4B9F" w:rsidRDefault="005B4B9F">
      <w:pPr>
        <w:spacing w:line="360" w:lineRule="auto"/>
        <w:jc w:val="both"/>
        <w:rPr>
          <w:rFonts w:ascii="Palatino Linotype" w:eastAsia="Palatino Linotype" w:hAnsi="Palatino Linotype" w:cs="Palatino Linotype"/>
        </w:rPr>
      </w:pPr>
    </w:p>
    <w:p w14:paraId="503B3DB5" w14:textId="77777777" w:rsidR="005B4B9F" w:rsidRDefault="005B4B9F">
      <w:pPr>
        <w:spacing w:line="360" w:lineRule="auto"/>
        <w:jc w:val="both"/>
        <w:rPr>
          <w:rFonts w:ascii="Palatino Linotype" w:eastAsia="Palatino Linotype" w:hAnsi="Palatino Linotype" w:cs="Palatino Linotype"/>
        </w:rPr>
      </w:pPr>
    </w:p>
    <w:p w14:paraId="0BBB1F86" w14:textId="77777777" w:rsidR="005B4B9F" w:rsidRDefault="005B4B9F">
      <w:pPr>
        <w:spacing w:line="360" w:lineRule="auto"/>
        <w:jc w:val="both"/>
        <w:rPr>
          <w:rFonts w:ascii="Palatino Linotype" w:eastAsia="Palatino Linotype" w:hAnsi="Palatino Linotype" w:cs="Palatino Linotype"/>
        </w:rPr>
      </w:pPr>
    </w:p>
    <w:p w14:paraId="24B51832" w14:textId="77777777" w:rsidR="005B4B9F" w:rsidRDefault="005B4B9F">
      <w:pPr>
        <w:spacing w:line="360" w:lineRule="auto"/>
        <w:jc w:val="both"/>
        <w:rPr>
          <w:rFonts w:ascii="Palatino Linotype" w:eastAsia="Palatino Linotype" w:hAnsi="Palatino Linotype" w:cs="Palatino Linotype"/>
        </w:rPr>
      </w:pPr>
      <w:bookmarkStart w:id="6" w:name="_heading=h.30j0zll" w:colFirst="0" w:colLast="0"/>
      <w:bookmarkEnd w:id="6"/>
    </w:p>
    <w:p w14:paraId="526DF8B3" w14:textId="77777777" w:rsidR="005B4B9F" w:rsidRDefault="005B4B9F">
      <w:pPr>
        <w:spacing w:line="360" w:lineRule="auto"/>
        <w:jc w:val="both"/>
        <w:rPr>
          <w:rFonts w:ascii="Palatino Linotype" w:eastAsia="Palatino Linotype" w:hAnsi="Palatino Linotype" w:cs="Palatino Linotype"/>
        </w:rPr>
      </w:pPr>
    </w:p>
    <w:p w14:paraId="5FEAD041" w14:textId="77777777" w:rsidR="005B4B9F" w:rsidRDefault="005B4B9F">
      <w:pPr>
        <w:spacing w:line="360" w:lineRule="auto"/>
        <w:jc w:val="both"/>
        <w:rPr>
          <w:rFonts w:ascii="Palatino Linotype" w:eastAsia="Palatino Linotype" w:hAnsi="Palatino Linotype" w:cs="Palatino Linotype"/>
        </w:rPr>
      </w:pPr>
    </w:p>
    <w:p w14:paraId="4E4436AA" w14:textId="77777777" w:rsidR="005B4B9F" w:rsidRDefault="005B4B9F">
      <w:pPr>
        <w:spacing w:line="360" w:lineRule="auto"/>
        <w:jc w:val="both"/>
        <w:rPr>
          <w:rFonts w:ascii="Palatino Linotype" w:eastAsia="Palatino Linotype" w:hAnsi="Palatino Linotype" w:cs="Palatino Linotype"/>
        </w:rPr>
      </w:pPr>
    </w:p>
    <w:p w14:paraId="29F1E490" w14:textId="77777777" w:rsidR="005B4B9F" w:rsidRDefault="005B4B9F">
      <w:pPr>
        <w:spacing w:line="360" w:lineRule="auto"/>
        <w:jc w:val="both"/>
        <w:rPr>
          <w:rFonts w:ascii="Palatino Linotype" w:eastAsia="Palatino Linotype" w:hAnsi="Palatino Linotype" w:cs="Palatino Linotype"/>
        </w:rPr>
      </w:pPr>
    </w:p>
    <w:p w14:paraId="3FDA22C2" w14:textId="77777777" w:rsidR="005B4B9F" w:rsidRDefault="005B4B9F">
      <w:pPr>
        <w:spacing w:line="360" w:lineRule="auto"/>
        <w:jc w:val="both"/>
        <w:rPr>
          <w:rFonts w:ascii="Palatino Linotype" w:eastAsia="Palatino Linotype" w:hAnsi="Palatino Linotype" w:cs="Palatino Linotype"/>
        </w:rPr>
      </w:pPr>
    </w:p>
    <w:p w14:paraId="2E743A07" w14:textId="77777777" w:rsidR="005B4B9F" w:rsidRDefault="005B4B9F">
      <w:pPr>
        <w:spacing w:line="360" w:lineRule="auto"/>
        <w:jc w:val="both"/>
        <w:rPr>
          <w:rFonts w:ascii="Palatino Linotype" w:eastAsia="Palatino Linotype" w:hAnsi="Palatino Linotype" w:cs="Palatino Linotype"/>
        </w:rPr>
      </w:pPr>
    </w:p>
    <w:p w14:paraId="3BE2F84F" w14:textId="77777777" w:rsidR="005B4B9F" w:rsidRDefault="005B4B9F">
      <w:pPr>
        <w:spacing w:line="360" w:lineRule="auto"/>
        <w:jc w:val="both"/>
        <w:rPr>
          <w:rFonts w:ascii="Palatino Linotype" w:eastAsia="Palatino Linotype" w:hAnsi="Palatino Linotype" w:cs="Palatino Linotype"/>
        </w:rPr>
      </w:pPr>
    </w:p>
    <w:p w14:paraId="0D5CB968" w14:textId="77777777" w:rsidR="005B4B9F" w:rsidRDefault="005B4B9F">
      <w:pPr>
        <w:spacing w:line="360" w:lineRule="auto"/>
        <w:jc w:val="both"/>
        <w:rPr>
          <w:rFonts w:ascii="Palatino Linotype" w:eastAsia="Palatino Linotype" w:hAnsi="Palatino Linotype" w:cs="Palatino Linotype"/>
        </w:rPr>
      </w:pPr>
    </w:p>
    <w:p w14:paraId="394181EE" w14:textId="77777777" w:rsidR="005B4B9F" w:rsidRDefault="005B4B9F">
      <w:pPr>
        <w:spacing w:line="360" w:lineRule="auto"/>
        <w:jc w:val="both"/>
        <w:rPr>
          <w:rFonts w:ascii="Palatino Linotype" w:eastAsia="Palatino Linotype" w:hAnsi="Palatino Linotype" w:cs="Palatino Linotype"/>
        </w:rPr>
      </w:pPr>
    </w:p>
    <w:sectPr w:rsidR="005B4B9F">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12DD5" w14:textId="77777777" w:rsidR="00867DB2" w:rsidRDefault="00867DB2">
      <w:r>
        <w:separator/>
      </w:r>
    </w:p>
  </w:endnote>
  <w:endnote w:type="continuationSeparator" w:id="0">
    <w:p w14:paraId="16BB33D0" w14:textId="77777777" w:rsidR="00867DB2" w:rsidRDefault="0086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516D" w14:textId="77777777" w:rsidR="005B4B9F" w:rsidRDefault="00602B8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F394D">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F394D">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7B75" w14:textId="77777777" w:rsidR="005B4B9F" w:rsidRDefault="00602B8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F394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F394D">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7E542" w14:textId="77777777" w:rsidR="00867DB2" w:rsidRDefault="00867DB2">
      <w:r>
        <w:separator/>
      </w:r>
    </w:p>
  </w:footnote>
  <w:footnote w:type="continuationSeparator" w:id="0">
    <w:p w14:paraId="5AD8FAD1" w14:textId="77777777" w:rsidR="00867DB2" w:rsidRDefault="00867DB2">
      <w:r>
        <w:continuationSeparator/>
      </w:r>
    </w:p>
  </w:footnote>
  <w:footnote w:id="1">
    <w:p w14:paraId="65CD07E8" w14:textId="77777777" w:rsidR="005B4B9F" w:rsidRDefault="00602B82">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E9E53" w14:textId="77777777" w:rsidR="005B4B9F" w:rsidRDefault="00867DB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EB5F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3BED" w14:textId="77777777" w:rsidR="005B4B9F" w:rsidRDefault="00867DB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62DC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tbl>
    <w:tblPr>
      <w:tblStyle w:val="afffffff2"/>
      <w:tblW w:w="9534" w:type="dxa"/>
      <w:tblInd w:w="-142" w:type="dxa"/>
      <w:tblLayout w:type="fixed"/>
      <w:tblLook w:val="0400" w:firstRow="0" w:lastRow="0" w:firstColumn="0" w:lastColumn="0" w:noHBand="0" w:noVBand="1"/>
    </w:tblPr>
    <w:tblGrid>
      <w:gridCol w:w="3261"/>
      <w:gridCol w:w="2551"/>
      <w:gridCol w:w="3722"/>
    </w:tblGrid>
    <w:tr w:rsidR="005B4B9F" w14:paraId="54E1B818" w14:textId="77777777">
      <w:tc>
        <w:tcPr>
          <w:tcW w:w="3261" w:type="dxa"/>
          <w:vMerge w:val="restart"/>
        </w:tcPr>
        <w:p w14:paraId="36D0EB35" w14:textId="77777777" w:rsidR="005B4B9F" w:rsidRDefault="00602B8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44D5746" wp14:editId="6619E29B">
                <wp:extent cx="1692162" cy="852673"/>
                <wp:effectExtent l="0" t="0" r="0" b="0"/>
                <wp:docPr id="3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7DC30B1" w14:textId="77777777" w:rsidR="005B4B9F" w:rsidRDefault="00602B8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544A103" w14:textId="77777777" w:rsidR="005B4B9F" w:rsidRDefault="004F394D">
          <w:pPr>
            <w:jc w:val="both"/>
            <w:rPr>
              <w:rFonts w:ascii="Palatino Linotype" w:eastAsia="Palatino Linotype" w:hAnsi="Palatino Linotype" w:cs="Palatino Linotype"/>
              <w:b/>
            </w:rPr>
          </w:pPr>
          <w:r>
            <w:rPr>
              <w:rFonts w:ascii="Palatino Linotype" w:eastAsia="Palatino Linotype" w:hAnsi="Palatino Linotype" w:cs="Palatino Linotype"/>
              <w:b/>
            </w:rPr>
            <w:t>0767</w:t>
          </w:r>
          <w:r w:rsidR="00602B82">
            <w:rPr>
              <w:rFonts w:ascii="Palatino Linotype" w:eastAsia="Palatino Linotype" w:hAnsi="Palatino Linotype" w:cs="Palatino Linotype"/>
              <w:b/>
            </w:rPr>
            <w:t>7/INFOEM/IP/RR/2022</w:t>
          </w:r>
        </w:p>
      </w:tc>
    </w:tr>
    <w:tr w:rsidR="005B4B9F" w14:paraId="20239221" w14:textId="77777777">
      <w:tc>
        <w:tcPr>
          <w:tcW w:w="3261" w:type="dxa"/>
          <w:vMerge/>
        </w:tcPr>
        <w:p w14:paraId="72605FE9" w14:textId="77777777" w:rsidR="005B4B9F" w:rsidRDefault="005B4B9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4C5CC3" w14:textId="77777777" w:rsidR="005B4B9F" w:rsidRDefault="00602B8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6A8F8D10" w14:textId="77777777" w:rsidR="005B4B9F" w:rsidRDefault="00602B8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5B4B9F" w14:paraId="00D30980" w14:textId="77777777">
      <w:trPr>
        <w:trHeight w:val="790"/>
      </w:trPr>
      <w:tc>
        <w:tcPr>
          <w:tcW w:w="3261" w:type="dxa"/>
          <w:vMerge/>
        </w:tcPr>
        <w:p w14:paraId="0FA9C45F" w14:textId="77777777" w:rsidR="005B4B9F" w:rsidRDefault="005B4B9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EDF35D1" w14:textId="77777777" w:rsidR="005B4B9F" w:rsidRDefault="00602B8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42093CD" w14:textId="77777777" w:rsidR="005B4B9F" w:rsidRDefault="00602B8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B2027CD" w14:textId="77777777" w:rsidR="005B4B9F" w:rsidRDefault="005B4B9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4121" w14:textId="77777777" w:rsidR="005B4B9F" w:rsidRDefault="00867DB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A174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tbl>
    <w:tblPr>
      <w:tblStyle w:val="afffffff3"/>
      <w:tblW w:w="9900" w:type="dxa"/>
      <w:tblInd w:w="-833" w:type="dxa"/>
      <w:tblLayout w:type="fixed"/>
      <w:tblLook w:val="0400" w:firstRow="0" w:lastRow="0" w:firstColumn="0" w:lastColumn="0" w:noHBand="0" w:noVBand="1"/>
    </w:tblPr>
    <w:tblGrid>
      <w:gridCol w:w="3805"/>
      <w:gridCol w:w="3000"/>
      <w:gridCol w:w="3095"/>
    </w:tblGrid>
    <w:tr w:rsidR="005B4B9F" w14:paraId="2C74EF0F" w14:textId="77777777">
      <w:tc>
        <w:tcPr>
          <w:tcW w:w="3805" w:type="dxa"/>
          <w:vMerge w:val="restart"/>
          <w:shd w:val="clear" w:color="auto" w:fill="auto"/>
        </w:tcPr>
        <w:p w14:paraId="43AC7172" w14:textId="77777777" w:rsidR="005B4B9F" w:rsidRDefault="00602B8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B0F42E7" wp14:editId="53866492">
                <wp:extent cx="1692162" cy="852673"/>
                <wp:effectExtent l="0" t="0" r="0" b="0"/>
                <wp:docPr id="3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988EFD1" w14:textId="77777777" w:rsidR="005B4B9F" w:rsidRDefault="00602B8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564F0C1" w14:textId="77777777" w:rsidR="005B4B9F" w:rsidRDefault="00602B8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07677/INFOEM/IP/RR/2022 </w:t>
          </w:r>
        </w:p>
      </w:tc>
    </w:tr>
    <w:tr w:rsidR="005B4B9F" w14:paraId="3178E0F4" w14:textId="77777777">
      <w:tc>
        <w:tcPr>
          <w:tcW w:w="3805" w:type="dxa"/>
          <w:vMerge/>
          <w:shd w:val="clear" w:color="auto" w:fill="auto"/>
        </w:tcPr>
        <w:p w14:paraId="1D03EF37" w14:textId="77777777" w:rsidR="005B4B9F" w:rsidRDefault="005B4B9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AFCBF83" w14:textId="77777777" w:rsidR="005B4B9F" w:rsidRDefault="00602B8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D4BD6B7" w14:textId="6F218E5B" w:rsidR="005B4B9F" w:rsidRDefault="005C0015">
          <w:pPr>
            <w:jc w:val="both"/>
            <w:rPr>
              <w:rFonts w:ascii="Palatino Linotype" w:eastAsia="Palatino Linotype" w:hAnsi="Palatino Linotype" w:cs="Palatino Linotype"/>
              <w:b/>
            </w:rPr>
          </w:pPr>
          <w:r>
            <w:rPr>
              <w:rFonts w:ascii="Palatino Linotype" w:eastAsia="Palatino Linotype" w:hAnsi="Palatino Linotype" w:cs="Palatino Linotype"/>
              <w:b/>
            </w:rPr>
            <w:t>XXXXXX XXXXXXXX XXXXXX</w:t>
          </w:r>
          <w:r w:rsidR="00602B82">
            <w:rPr>
              <w:rFonts w:ascii="Palatino Linotype" w:eastAsia="Palatino Linotype" w:hAnsi="Palatino Linotype" w:cs="Palatino Linotype"/>
              <w:b/>
            </w:rPr>
            <w:t xml:space="preserve"> </w:t>
          </w:r>
        </w:p>
      </w:tc>
    </w:tr>
    <w:tr w:rsidR="005B4B9F" w14:paraId="5F90BD7A" w14:textId="77777777">
      <w:trPr>
        <w:trHeight w:val="228"/>
      </w:trPr>
      <w:tc>
        <w:tcPr>
          <w:tcW w:w="3805" w:type="dxa"/>
          <w:vMerge/>
          <w:shd w:val="clear" w:color="auto" w:fill="auto"/>
        </w:tcPr>
        <w:p w14:paraId="055ACC82" w14:textId="77777777" w:rsidR="005B4B9F" w:rsidRDefault="005B4B9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7643EDE" w14:textId="77777777" w:rsidR="005B4B9F" w:rsidRDefault="00602B8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BCC817F" w14:textId="77777777" w:rsidR="005B4B9F" w:rsidRDefault="00602B8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Metepec </w:t>
          </w:r>
        </w:p>
      </w:tc>
    </w:tr>
    <w:tr w:rsidR="005B4B9F" w14:paraId="2A05FB6C" w14:textId="77777777">
      <w:tc>
        <w:tcPr>
          <w:tcW w:w="3805" w:type="dxa"/>
          <w:vMerge/>
          <w:shd w:val="clear" w:color="auto" w:fill="auto"/>
        </w:tcPr>
        <w:p w14:paraId="4EC1D114" w14:textId="77777777" w:rsidR="005B4B9F" w:rsidRDefault="005B4B9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C7ECB59" w14:textId="77777777" w:rsidR="005B4B9F" w:rsidRDefault="00602B8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74C026E" w14:textId="77777777" w:rsidR="005B4B9F" w:rsidRDefault="00602B8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28B2052" w14:textId="77777777" w:rsidR="005B4B9F" w:rsidRDefault="005B4B9F">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9F"/>
    <w:rsid w:val="004F394D"/>
    <w:rsid w:val="005B4B9F"/>
    <w:rsid w:val="005C0015"/>
    <w:rsid w:val="00602B82"/>
    <w:rsid w:val="00867DB2"/>
    <w:rsid w:val="00AB3C1C"/>
    <w:rsid w:val="00BC66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82B24"/>
  <w15:docId w15:val="{661D6994-A5CD-4163-AE84-A0014DAE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9"/>
    <w:tblPr>
      <w:tblStyleRowBandSize w:val="1"/>
      <w:tblStyleColBandSize w:val="1"/>
      <w:tblCellMar>
        <w:top w:w="100" w:type="dxa"/>
        <w:left w:w="100" w:type="dxa"/>
        <w:bottom w:w="100" w:type="dxa"/>
        <w:right w:w="100" w:type="dxa"/>
      </w:tblCellMar>
    </w:tblPr>
  </w:style>
  <w:style w:type="table" w:customStyle="1" w:styleId="a0">
    <w:basedOn w:val="TableNormalff9"/>
    <w:tblPr>
      <w:tblStyleRowBandSize w:val="1"/>
      <w:tblStyleColBandSize w:val="1"/>
      <w:tblCellMar>
        <w:left w:w="115" w:type="dxa"/>
        <w:right w:w="115" w:type="dxa"/>
      </w:tblCellMar>
    </w:tblPr>
  </w:style>
  <w:style w:type="table" w:customStyle="1" w:styleId="a1">
    <w:basedOn w:val="TableNormalff9"/>
    <w:tblPr>
      <w:tblStyleRowBandSize w:val="1"/>
      <w:tblStyleColBandSize w:val="1"/>
      <w:tblCellMar>
        <w:left w:w="115" w:type="dxa"/>
        <w:right w:w="115" w:type="dxa"/>
      </w:tblCellMar>
    </w:tblPr>
  </w:style>
  <w:style w:type="table" w:customStyle="1" w:styleId="a2">
    <w:basedOn w:val="TableNormalff9"/>
    <w:tblPr>
      <w:tblStyleRowBandSize w:val="1"/>
      <w:tblStyleColBandSize w:val="1"/>
      <w:tblCellMar>
        <w:left w:w="115" w:type="dxa"/>
        <w:right w:w="115" w:type="dxa"/>
      </w:tblCellMar>
    </w:tblPr>
  </w:style>
  <w:style w:type="table" w:customStyle="1" w:styleId="a3">
    <w:basedOn w:val="TableNormalff9"/>
    <w:tblPr>
      <w:tblStyleRowBandSize w:val="1"/>
      <w:tblStyleColBandSize w:val="1"/>
      <w:tblCellMar>
        <w:left w:w="115" w:type="dxa"/>
        <w:right w:w="115" w:type="dxa"/>
      </w:tblCellMar>
    </w:tblPr>
  </w:style>
  <w:style w:type="table" w:customStyle="1" w:styleId="a4">
    <w:basedOn w:val="TableNormalff9"/>
    <w:tblPr>
      <w:tblStyleRowBandSize w:val="1"/>
      <w:tblStyleColBandSize w:val="1"/>
      <w:tblCellMar>
        <w:left w:w="115" w:type="dxa"/>
        <w:right w:w="115" w:type="dxa"/>
      </w:tblCellMar>
    </w:tblPr>
  </w:style>
  <w:style w:type="table" w:customStyle="1" w:styleId="a5">
    <w:basedOn w:val="TableNormalff9"/>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9"/>
    <w:tblPr>
      <w:tblStyleRowBandSize w:val="1"/>
      <w:tblStyleColBandSize w:val="1"/>
      <w:tblCellMar>
        <w:left w:w="115" w:type="dxa"/>
        <w:right w:w="115" w:type="dxa"/>
      </w:tblCellMar>
    </w:tblPr>
  </w:style>
  <w:style w:type="table" w:customStyle="1" w:styleId="a7">
    <w:basedOn w:val="TableNormalff9"/>
    <w:tblPr>
      <w:tblStyleRowBandSize w:val="1"/>
      <w:tblStyleColBandSize w:val="1"/>
      <w:tblCellMar>
        <w:left w:w="115" w:type="dxa"/>
        <w:right w:w="115" w:type="dxa"/>
      </w:tblCellMar>
    </w:tblPr>
  </w:style>
  <w:style w:type="table" w:customStyle="1" w:styleId="a8">
    <w:basedOn w:val="TableNormalff9"/>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9"/>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6"/>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8"/>
    <w:tblPr>
      <w:tblStyleRowBandSize w:val="1"/>
      <w:tblStyleColBandSize w:val="1"/>
      <w:tblCellMar>
        <w:left w:w="115" w:type="dxa"/>
        <w:right w:w="115" w:type="dxa"/>
      </w:tblCellMar>
    </w:tblPr>
  </w:style>
  <w:style w:type="table" w:customStyle="1" w:styleId="afff3">
    <w:basedOn w:val="TableNormalf8"/>
    <w:tblPr>
      <w:tblStyleRowBandSize w:val="1"/>
      <w:tblStyleColBandSize w:val="1"/>
      <w:tblCellMar>
        <w:top w:w="100" w:type="dxa"/>
        <w:left w:w="100" w:type="dxa"/>
        <w:bottom w:w="100" w:type="dxa"/>
        <w:right w:w="100" w:type="dxa"/>
      </w:tblCellMar>
    </w:tblPr>
  </w:style>
  <w:style w:type="table" w:customStyle="1" w:styleId="afff4">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8"/>
    <w:tblPr>
      <w:tblStyleRowBandSize w:val="1"/>
      <w:tblStyleColBandSize w:val="1"/>
      <w:tblCellMar>
        <w:top w:w="100" w:type="dxa"/>
        <w:left w:w="100" w:type="dxa"/>
        <w:bottom w:w="100" w:type="dxa"/>
        <w:right w:w="100" w:type="dxa"/>
      </w:tblCellMar>
    </w:tblPr>
  </w:style>
  <w:style w:type="table" w:customStyle="1" w:styleId="afff7">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8"/>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omex.org.mx/ipo3/lgt/indice/METEPEC/art_92_iv.web"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pomex.org.mx/ipo3/lgt/indice/METEPEC/art_92_iv/4.we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FrkYGdZygqxTuYrSkvCv0wnxFQ==">AMUW2mXIK98p1euxns+zRnBeOjyrNSIzMnzT/F/7nIjaXhoOmckuX3caL9Z7AeT5leTM6pROiTdV3faQNnzgESZ7ELsKjwhS9LP+yIbOYW/elOsjyKRXqg66x6DlMmL0Lc683BGqhnVJM8u0Jhh+qWxwRFBzhchrE/WbnrtD1MBw14w9/zP6no69YFvSHzqR4lN+fyfMychIHQxvN0FDGrH1yxUfmGsmz0oYi1FCQplXUJtV+Wlmp6I=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7000</Words>
  <Characters>38501</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4</cp:revision>
  <cp:lastPrinted>2022-08-12T00:24:00Z</cp:lastPrinted>
  <dcterms:created xsi:type="dcterms:W3CDTF">2022-08-11T01:20:00Z</dcterms:created>
  <dcterms:modified xsi:type="dcterms:W3CDTF">2022-08-29T23:52:00Z</dcterms:modified>
</cp:coreProperties>
</file>