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marzo de dos mil veintidós. </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00339/INFOEM/IP/RR/2022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F3550C">
        <w:rPr>
          <w:rFonts w:ascii="Palatino Linotype" w:eastAsia="Palatino Linotype" w:hAnsi="Palatino Linotype" w:cs="Palatino Linotype"/>
          <w:b/>
          <w:sz w:val="22"/>
          <w:szCs w:val="22"/>
        </w:rPr>
        <w:t xml:space="preserve">XXXXXX </w:t>
      </w:r>
      <w:proofErr w:type="spellStart"/>
      <w:r w:rsidR="00F3550C">
        <w:rPr>
          <w:rFonts w:ascii="Palatino Linotype" w:eastAsia="Palatino Linotype" w:hAnsi="Palatino Linotype" w:cs="Palatino Linotype"/>
          <w:b/>
          <w:sz w:val="22"/>
          <w:szCs w:val="22"/>
        </w:rPr>
        <w:t>XXXXXX</w:t>
      </w:r>
      <w:proofErr w:type="spellEnd"/>
      <w:r w:rsidR="00F3550C">
        <w:rPr>
          <w:rFonts w:ascii="Palatino Linotype" w:eastAsia="Palatino Linotype" w:hAnsi="Palatino Linotype" w:cs="Palatino Linotype"/>
          <w:b/>
          <w:sz w:val="22"/>
          <w:szCs w:val="22"/>
        </w:rPr>
        <w:t xml:space="preserve"> </w:t>
      </w:r>
      <w:proofErr w:type="spellStart"/>
      <w:proofErr w:type="gramStart"/>
      <w:r w:rsidR="00F3550C">
        <w:rPr>
          <w:rFonts w:ascii="Palatino Linotype" w:eastAsia="Palatino Linotype" w:hAnsi="Palatino Linotype" w:cs="Palatino Linotype"/>
          <w:b/>
          <w:sz w:val="22"/>
          <w:szCs w:val="22"/>
        </w:rPr>
        <w:t>XXXXXX</w:t>
      </w:r>
      <w:proofErr w:type="spellEnd"/>
      <w:r w:rsidR="00F3550C">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rPr>
        <w:t>,</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Poder Legislativo, </w:t>
      </w:r>
      <w:r>
        <w:rPr>
          <w:rFonts w:ascii="Palatino Linotype" w:eastAsia="Palatino Linotype" w:hAnsi="Palatino Linotype" w:cs="Palatino Linotype"/>
        </w:rPr>
        <w:t>en lo sucesi</w:t>
      </w:r>
      <w:r>
        <w:rPr>
          <w:rFonts w:ascii="Palatino Linotype" w:eastAsia="Palatino Linotype" w:hAnsi="Palatino Linotype" w:cs="Palatino Linotype"/>
        </w:rPr>
        <w:t xml:space="preserve">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1037F6" w:rsidRDefault="00292EC8">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w:t>
      </w:r>
      <w:r>
        <w:rPr>
          <w:rFonts w:ascii="Palatino Linotype" w:eastAsia="Palatino Linotype" w:hAnsi="Palatino Linotype" w:cs="Palatino Linotype"/>
        </w:rPr>
        <w:t xml:space="preserv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00055/PLEGISLA/IP/2022, </w:t>
      </w:r>
      <w:r>
        <w:rPr>
          <w:rFonts w:ascii="Palatino Linotype" w:eastAsia="Palatino Linotype" w:hAnsi="Palatino Linotype" w:cs="Palatino Linotype"/>
        </w:rPr>
        <w:t xml:space="preserve">mediante la cual requirió la información siguiente: </w:t>
      </w:r>
    </w:p>
    <w:p w:rsidR="001037F6" w:rsidRDefault="00292EC8">
      <w:pPr>
        <w:spacing w:line="276" w:lineRule="auto"/>
        <w:ind w:left="851" w:right="616"/>
        <w:jc w:val="both"/>
        <w:rPr>
          <w:rFonts w:ascii="Palatino Linotype" w:eastAsia="Palatino Linotype" w:hAnsi="Palatino Linotype" w:cs="Palatino Linotype"/>
          <w:i/>
        </w:rPr>
      </w:pPr>
      <w:bookmarkStart w:id="0" w:name="_heading=h.gjdgxs" w:colFirst="0" w:colLast="0"/>
      <w:bookmarkEnd w:id="0"/>
      <w:r>
        <w:rPr>
          <w:rFonts w:ascii="Palatino Linotype" w:eastAsia="Palatino Linotype" w:hAnsi="Palatino Linotype" w:cs="Palatino Linotype"/>
          <w:i/>
        </w:rPr>
        <w:t>“Por este medio solicito el expediente del procedimiento adm</w:t>
      </w:r>
      <w:r>
        <w:rPr>
          <w:rFonts w:ascii="Palatino Linotype" w:eastAsia="Palatino Linotype" w:hAnsi="Palatino Linotype" w:cs="Palatino Linotype"/>
          <w:i/>
        </w:rPr>
        <w:t>inistrativo resarcitorio en contra de la ex presidenta del DIF Municipal de San José del Rincón Gabriela Reyes Gutiérrez.”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1037F6" w:rsidRDefault="001037F6">
      <w:pPr>
        <w:ind w:right="900"/>
        <w:jc w:val="both"/>
        <w:rPr>
          <w:rFonts w:ascii="Palatino Linotype" w:eastAsia="Palatino Linotype" w:hAnsi="Palatino Linotype" w:cs="Palatino Linotype"/>
        </w:rPr>
      </w:pP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Incompetencia. </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w:t>
      </w:r>
      <w:r>
        <w:rPr>
          <w:rFonts w:ascii="Palatino Linotype" w:eastAsia="Palatino Linotype" w:hAnsi="Palatino Linotype" w:cs="Palatino Linotype"/>
          <w:b/>
        </w:rPr>
        <w:t>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1037F6" w:rsidRDefault="00292EC8">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“SE ADJUNTA DOCUMENTO</w:t>
      </w:r>
    </w:p>
    <w:p w:rsidR="001037F6" w:rsidRDefault="00292EC8">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1037F6" w:rsidRDefault="00292EC8">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Jesús Felipe Borja Coronel.”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Manifestación a la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w:t>
      </w:r>
      <w:r>
        <w:rPr>
          <w:rFonts w:ascii="Palatino Linotype" w:eastAsia="Palatino Linotype" w:hAnsi="Palatino Linotype" w:cs="Palatino Linotype"/>
        </w:rPr>
        <w:t>chivo electrónico identificado como “</w:t>
      </w:r>
      <w:r>
        <w:rPr>
          <w:rFonts w:ascii="Palatino Linotype" w:eastAsia="Palatino Linotype" w:hAnsi="Palatino Linotype" w:cs="Palatino Linotype"/>
          <w:b/>
          <w:i/>
        </w:rPr>
        <w:t>55 OSO (2).</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consistente en el oficio UIPL/0210/2022 del veinticinco de enero de dos mil veintidós, suscrito y signado por el Titular de la Unidad de Información, dirigido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medio del cual da respuest</w:t>
      </w:r>
      <w:r>
        <w:rPr>
          <w:rFonts w:ascii="Palatino Linotype" w:eastAsia="Palatino Linotype" w:hAnsi="Palatino Linotype" w:cs="Palatino Linotype"/>
        </w:rPr>
        <w:t>a a la información solicitada, mediante lo siguiente:</w:t>
      </w:r>
    </w:p>
    <w:p w:rsidR="001037F6" w:rsidRDefault="00292EC8">
      <w:pPr>
        <w:spacing w:before="240" w:after="240" w:line="360" w:lineRule="auto"/>
        <w:ind w:right="49"/>
        <w:jc w:val="center"/>
        <w:rPr>
          <w:rFonts w:ascii="Palatino Linotype" w:eastAsia="Palatino Linotype" w:hAnsi="Palatino Linotype" w:cs="Palatino Linotype"/>
        </w:rPr>
      </w:pPr>
      <w:r>
        <w:rPr>
          <w:noProof/>
          <w:lang w:val="es-MX" w:eastAsia="es-MX"/>
        </w:rPr>
        <w:drawing>
          <wp:inline distT="0" distB="0" distL="0" distR="0">
            <wp:extent cx="5476697" cy="3829858"/>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1462" b="5533"/>
                    <a:stretch>
                      <a:fillRect/>
                    </a:stretch>
                  </pic:blipFill>
                  <pic:spPr>
                    <a:xfrm>
                      <a:off x="0" y="0"/>
                      <a:ext cx="5476697" cy="3829858"/>
                    </a:xfrm>
                    <a:prstGeom prst="rect">
                      <a:avLst/>
                    </a:prstGeom>
                    <a:ln/>
                  </pic:spPr>
                </pic:pic>
              </a:graphicData>
            </a:graphic>
          </wp:inline>
        </w:drawing>
      </w:r>
    </w:p>
    <w:p w:rsidR="001037F6" w:rsidRDefault="001037F6">
      <w:pPr>
        <w:spacing w:before="240" w:after="240" w:line="360" w:lineRule="auto"/>
        <w:ind w:right="49"/>
        <w:jc w:val="both"/>
        <w:rPr>
          <w:rFonts w:ascii="Palatino Linotype" w:eastAsia="Palatino Linotype" w:hAnsi="Palatino Linotype" w:cs="Palatino Linotype"/>
          <w:b/>
        </w:rPr>
      </w:pPr>
    </w:p>
    <w:p w:rsidR="001037F6" w:rsidRDefault="00292EC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drawing>
          <wp:inline distT="0" distB="0" distL="0" distR="0">
            <wp:extent cx="5612130" cy="388620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3886200"/>
                    </a:xfrm>
                    <a:prstGeom prst="rect">
                      <a:avLst/>
                    </a:prstGeom>
                    <a:ln/>
                  </pic:spPr>
                </pic:pic>
              </a:graphicData>
            </a:graphic>
          </wp:inline>
        </w:drawing>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veintisiete de enero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1037F6" w:rsidRDefault="00292EC8">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1037F6" w:rsidRDefault="001037F6">
      <w:pPr>
        <w:spacing w:line="360" w:lineRule="auto"/>
        <w:ind w:left="851" w:right="900"/>
        <w:jc w:val="both"/>
        <w:rPr>
          <w:rFonts w:ascii="Palatino Linotype" w:eastAsia="Palatino Linotype" w:hAnsi="Palatino Linotype" w:cs="Palatino Linotype"/>
          <w:i/>
          <w:sz w:val="2"/>
          <w:szCs w:val="2"/>
        </w:rPr>
      </w:pPr>
    </w:p>
    <w:p w:rsidR="001037F6" w:rsidRDefault="00292EC8">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Proporción Información” (sic)</w:t>
      </w:r>
    </w:p>
    <w:p w:rsidR="001037F6" w:rsidRDefault="001037F6">
      <w:pPr>
        <w:spacing w:line="360" w:lineRule="auto"/>
        <w:jc w:val="both"/>
        <w:rPr>
          <w:rFonts w:ascii="Palatino Linotype" w:eastAsia="Palatino Linotype" w:hAnsi="Palatino Linotype" w:cs="Palatino Linotype"/>
          <w:sz w:val="2"/>
          <w:szCs w:val="2"/>
        </w:rPr>
      </w:pPr>
    </w:p>
    <w:p w:rsidR="001037F6" w:rsidRDefault="001037F6">
      <w:pPr>
        <w:spacing w:line="360" w:lineRule="auto"/>
        <w:jc w:val="both"/>
        <w:rPr>
          <w:rFonts w:ascii="Palatino Linotype" w:eastAsia="Palatino Linotype" w:hAnsi="Palatino Linotype" w:cs="Palatino Linotype"/>
          <w:sz w:val="2"/>
          <w:szCs w:val="2"/>
        </w:rPr>
      </w:pPr>
    </w:p>
    <w:p w:rsidR="001037F6" w:rsidRDefault="001037F6">
      <w:pPr>
        <w:spacing w:line="360" w:lineRule="auto"/>
        <w:jc w:val="both"/>
        <w:rPr>
          <w:rFonts w:ascii="Palatino Linotype" w:eastAsia="Palatino Linotype" w:hAnsi="Palatino Linotype" w:cs="Palatino Linotype"/>
          <w:sz w:val="2"/>
          <w:szCs w:val="2"/>
        </w:rPr>
      </w:pP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1037F6" w:rsidRDefault="001037F6">
      <w:pPr>
        <w:spacing w:line="360" w:lineRule="auto"/>
        <w:jc w:val="both"/>
        <w:rPr>
          <w:rFonts w:ascii="Palatino Linotype" w:eastAsia="Palatino Linotype" w:hAnsi="Palatino Linotype" w:cs="Palatino Linotype"/>
          <w:sz w:val="2"/>
          <w:szCs w:val="2"/>
        </w:rPr>
      </w:pPr>
    </w:p>
    <w:p w:rsidR="001037F6" w:rsidRDefault="00292EC8">
      <w:pPr>
        <w:spacing w:line="276"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“El Órgano Superior de Fiscalización es el encargado de iniciar los procedimientos administrativos resarcitorios por lo que solicito que E haga la búsqueda pertine</w:t>
      </w:r>
      <w:r>
        <w:rPr>
          <w:rFonts w:ascii="Palatino Linotype" w:eastAsia="Palatino Linotype" w:hAnsi="Palatino Linotype" w:cs="Palatino Linotype"/>
          <w:i/>
          <w:sz w:val="22"/>
          <w:szCs w:val="22"/>
        </w:rPr>
        <w:t>nte de dicho ex Servidor Público” (sic)</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w:t>
      </w:r>
      <w:r>
        <w:rPr>
          <w:rFonts w:ascii="Palatino Linotype" w:eastAsia="Palatino Linotype" w:hAnsi="Palatino Linotype" w:cs="Palatino Linotype"/>
        </w:rPr>
        <w:t xml:space="preserve">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1037F6" w:rsidRDefault="00292EC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w:t>
      </w:r>
      <w:r>
        <w:rPr>
          <w:rFonts w:ascii="Palatino Linotype" w:eastAsia="Palatino Linotype" w:hAnsi="Palatino Linotype" w:cs="Palatino Linotype"/>
          <w:b/>
        </w:rPr>
        <w:t>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primero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w:t>
      </w:r>
      <w:r>
        <w:rPr>
          <w:rFonts w:ascii="Palatino Linotype" w:eastAsia="Palatino Linotype" w:hAnsi="Palatino Linotype" w:cs="Palatino Linotype"/>
        </w:rPr>
        <w:t>ue a su derecho resultara conveniente, ofrecieran pruebas, formularan alegatos y el Sujeto Obligado presentara su informe justificado.</w:t>
      </w:r>
    </w:p>
    <w:p w:rsidR="001037F6" w:rsidRDefault="00292EC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ocho</w:t>
      </w:r>
      <w:r>
        <w:rPr>
          <w:rFonts w:ascii="Palatino Linotype" w:eastAsia="Palatino Linotype" w:hAnsi="Palatino Linotype" w:cs="Palatino Linotype"/>
        </w:rPr>
        <w:t xml:space="preserve"> </w:t>
      </w:r>
      <w:r>
        <w:rPr>
          <w:rFonts w:ascii="Palatino Linotype" w:eastAsia="Palatino Linotype" w:hAnsi="Palatino Linotype" w:cs="Palatino Linotype"/>
          <w:b/>
        </w:rPr>
        <w:t>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informe justificado y adjuntó los a</w:t>
      </w:r>
      <w:r>
        <w:rPr>
          <w:rFonts w:ascii="Palatino Linotype" w:eastAsia="Palatino Linotype" w:hAnsi="Palatino Linotype" w:cs="Palatino Linotype"/>
        </w:rPr>
        <w:t xml:space="preserve">rchivos electrónicos siguientes: </w:t>
      </w:r>
    </w:p>
    <w:p w:rsidR="001037F6" w:rsidRDefault="00292EC8">
      <w:pPr>
        <w:widowControl w:val="0"/>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“INFORME JUSTIFICADO OSFEM.pdf”:  </w:t>
      </w:r>
      <w:r>
        <w:rPr>
          <w:rFonts w:ascii="Palatino Linotype" w:eastAsia="Palatino Linotype" w:hAnsi="Palatino Linotype" w:cs="Palatino Linotype"/>
          <w:color w:val="000000"/>
        </w:rPr>
        <w:t>Oficio número OSFEM/DJC/SPH/012/2022 del veintisiete de enero de dos mil veintidós, suscrito por el Servidor Público Habilitado de la Dirección de lo Jurídico y Consultivo, por medio del c</w:t>
      </w:r>
      <w:r>
        <w:rPr>
          <w:rFonts w:ascii="Palatino Linotype" w:eastAsia="Palatino Linotype" w:hAnsi="Palatino Linotype" w:cs="Palatino Linotype"/>
          <w:color w:val="000000"/>
        </w:rPr>
        <w:t>ual rinde una nueva respuesta al solicitante en los términos siguientes:</w:t>
      </w:r>
    </w:p>
    <w:p w:rsidR="001037F6" w:rsidRDefault="00292EC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942819" cy="5268091"/>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2819" cy="5268091"/>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1536700</wp:posOffset>
                </wp:positionV>
                <wp:extent cx="5620385" cy="2869362"/>
                <wp:effectExtent l="0" t="0" r="0" b="0"/>
                <wp:wrapNone/>
                <wp:docPr id="28" name="Rectángulo 28"/>
                <wp:cNvGraphicFramePr/>
                <a:graphic xmlns:a="http://schemas.openxmlformats.org/drawingml/2006/main">
                  <a:graphicData uri="http://schemas.microsoft.com/office/word/2010/wordprocessingShape">
                    <wps:wsp>
                      <wps:cNvSpPr/>
                      <wps:spPr>
                        <a:xfrm>
                          <a:off x="2545333" y="2354844"/>
                          <a:ext cx="5601335" cy="2850312"/>
                        </a:xfrm>
                        <a:prstGeom prst="rect">
                          <a:avLst/>
                        </a:prstGeom>
                        <a:noFill/>
                        <a:ln w="19050" cap="flat" cmpd="sng">
                          <a:solidFill>
                            <a:srgbClr val="FF0000"/>
                          </a:solidFill>
                          <a:prstDash val="solid"/>
                          <a:round/>
                          <a:headEnd type="none" w="sm" len="sm"/>
                          <a:tailEnd type="none" w="sm" len="sm"/>
                        </a:ln>
                      </wps:spPr>
                      <wps:txbx>
                        <w:txbxContent>
                          <w:p w:rsidR="001037F6" w:rsidRDefault="001037F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1536700</wp:posOffset>
                </wp:positionV>
                <wp:extent cx="5620385" cy="2869362"/>
                <wp:effectExtent b="0" l="0" r="0" t="0"/>
                <wp:wrapNone/>
                <wp:docPr id="28"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5620385" cy="2869362"/>
                        </a:xfrm>
                        <a:prstGeom prst="rect"/>
                        <a:ln/>
                      </pic:spPr>
                    </pic:pic>
                  </a:graphicData>
                </a:graphic>
              </wp:anchor>
            </w:drawing>
          </mc:Fallback>
        </mc:AlternateContent>
      </w:r>
    </w:p>
    <w:p w:rsidR="001037F6" w:rsidRDefault="00292EC8">
      <w:pPr>
        <w:widowControl w:val="0"/>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“RR. 00339 INFORME JUSTIFICADO.pdf”:  </w:t>
      </w:r>
      <w:r>
        <w:rPr>
          <w:rFonts w:ascii="Palatino Linotype" w:eastAsia="Palatino Linotype" w:hAnsi="Palatino Linotype" w:cs="Palatino Linotype"/>
          <w:color w:val="000000"/>
        </w:rPr>
        <w:t xml:space="preserve">Oficio sin número del ocho de febrero de dos mil veintidós, suscrito por el Titular de la Unidad de Información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medio del cual rinde el informe justificado en los términos siguientes:</w:t>
      </w:r>
    </w:p>
    <w:p w:rsidR="001037F6" w:rsidRDefault="00292EC8">
      <w:pPr>
        <w:widowControl w:val="0"/>
        <w:pBdr>
          <w:top w:val="nil"/>
          <w:left w:val="nil"/>
          <w:bottom w:val="nil"/>
          <w:right w:val="nil"/>
          <w:between w:val="nil"/>
        </w:pBdr>
        <w:spacing w:line="360" w:lineRule="auto"/>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231031" cy="6787095"/>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31031" cy="6787095"/>
                    </a:xfrm>
                    <a:prstGeom prst="rect">
                      <a:avLst/>
                    </a:prstGeom>
                    <a:ln/>
                  </pic:spPr>
                </pic:pic>
              </a:graphicData>
            </a:graphic>
          </wp:inline>
        </w:drawing>
      </w: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1037F6" w:rsidRDefault="00292EC8">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316677" cy="656602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16677" cy="6566026"/>
                    </a:xfrm>
                    <a:prstGeom prst="rect">
                      <a:avLst/>
                    </a:prstGeom>
                    <a:ln/>
                  </pic:spPr>
                </pic:pic>
              </a:graphicData>
            </a:graphic>
          </wp:inline>
        </w:drawing>
      </w: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1037F6" w:rsidRDefault="00292EC8">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518439" cy="6755144"/>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18439" cy="6755144"/>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444500</wp:posOffset>
                </wp:positionH>
                <wp:positionV relativeFrom="paragraph">
                  <wp:posOffset>12700</wp:posOffset>
                </wp:positionV>
                <wp:extent cx="5277215" cy="2621307"/>
                <wp:effectExtent l="0" t="0" r="0" b="0"/>
                <wp:wrapNone/>
                <wp:docPr id="29" name="Rectángulo 29"/>
                <wp:cNvGraphicFramePr/>
                <a:graphic xmlns:a="http://schemas.openxmlformats.org/drawingml/2006/main">
                  <a:graphicData uri="http://schemas.microsoft.com/office/word/2010/wordprocessingShape">
                    <wps:wsp>
                      <wps:cNvSpPr/>
                      <wps:spPr>
                        <a:xfrm>
                          <a:off x="2716918" y="2478872"/>
                          <a:ext cx="5258165" cy="2602257"/>
                        </a:xfrm>
                        <a:prstGeom prst="rect">
                          <a:avLst/>
                        </a:prstGeom>
                        <a:noFill/>
                        <a:ln w="19050" cap="flat" cmpd="sng">
                          <a:solidFill>
                            <a:srgbClr val="FF0000"/>
                          </a:solidFill>
                          <a:prstDash val="solid"/>
                          <a:round/>
                          <a:headEnd type="none" w="sm" len="sm"/>
                          <a:tailEnd type="none" w="sm" len="sm"/>
                        </a:ln>
                      </wps:spPr>
                      <wps:txbx>
                        <w:txbxContent>
                          <w:p w:rsidR="001037F6" w:rsidRDefault="001037F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5277215" cy="2621307"/>
                <wp:effectExtent b="0" l="0" r="0" t="0"/>
                <wp:wrapNone/>
                <wp:docPr id="2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277215" cy="2621307"/>
                        </a:xfrm>
                        <a:prstGeom prst="rect"/>
                        <a:ln/>
                      </pic:spPr>
                    </pic:pic>
                  </a:graphicData>
                </a:graphic>
              </wp:anchor>
            </w:drawing>
          </mc:Fallback>
        </mc:AlternateContent>
      </w:r>
    </w:p>
    <w:p w:rsidR="001037F6" w:rsidRDefault="00292EC8">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Documentos que mediante acuerdo de fecha diecisiete de febrero de dos mil veintidós se puso a la vista del </w:t>
      </w:r>
      <w:r>
        <w:rPr>
          <w:rFonts w:ascii="Palatino Linotype" w:eastAsia="Palatino Linotype" w:hAnsi="Palatino Linotype" w:cs="Palatino Linotype"/>
          <w:b/>
          <w:color w:val="000000"/>
        </w:rPr>
        <w:t>RECURRENTE.</w:t>
      </w: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1037F6" w:rsidRDefault="00292EC8">
      <w:pPr>
        <w:widowControl w:val="0"/>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realizó manifestaciones, ni formuló alegatos y tampoco ofreció medios de prueba. </w:t>
      </w:r>
    </w:p>
    <w:p w:rsidR="001037F6" w:rsidRDefault="00292EC8">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w:t>
      </w:r>
      <w:r>
        <w:rPr>
          <w:rFonts w:ascii="Palatino Linotype" w:eastAsia="Palatino Linotype" w:hAnsi="Palatino Linotype" w:cs="Palatino Linotype"/>
          <w:b/>
        </w:rPr>
        <w:t>eintitrés de febrero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w:t>
      </w:r>
      <w:r>
        <w:rPr>
          <w:rFonts w:ascii="Palatino Linotype" w:eastAsia="Palatino Linotype" w:hAnsi="Palatino Linotype" w:cs="Palatino Linotype"/>
          <w:b/>
        </w:rPr>
        <w:t xml:space="preserve">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veintitrés de febrero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w:t>
      </w:r>
      <w:r>
        <w:rPr>
          <w:rFonts w:ascii="Palatino Linotype" w:eastAsia="Palatino Linotype" w:hAnsi="Palatino Linotype" w:cs="Palatino Linotype"/>
        </w:rPr>
        <w:t xml:space="preserve">mediante el acuerdo respectivo, ampliar por quince días hábiles adicionales el plazo para emitir la presente resolución. </w:t>
      </w:r>
    </w:p>
    <w:p w:rsidR="001037F6" w:rsidRDefault="00292EC8">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rPr>
        <w:t xml:space="preserve">puesto en los artículos 6, apartado A de la Constitución Política de los Estados Unidos Mexicanos; 5 párrafos trigésimo, trigésimo primero y trigésimo segundo fracciones IV y V de la Constitución Política del Estado Libre y Soberano de México; 2, fracción </w:t>
      </w:r>
      <w:r>
        <w:rPr>
          <w:rFonts w:ascii="Palatino Linotype" w:eastAsia="Palatino Linotype" w:hAnsi="Palatino Linotype" w:cs="Palatino Linotype"/>
        </w:rPr>
        <w:t xml:space="preserve">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 xml:space="preserve">Reglamento Interior del Instituto de Transparencia, Acceso </w:t>
      </w:r>
      <w:r>
        <w:rPr>
          <w:rFonts w:ascii="Palatino Linotype" w:eastAsia="Palatino Linotype" w:hAnsi="Palatino Linotype" w:cs="Palatino Linotype"/>
        </w:rPr>
        <w:t>a la Información Pública y Protección de Datos Personales del Estado de México y Municipios.</w:t>
      </w:r>
    </w:p>
    <w:p w:rsidR="001037F6" w:rsidRDefault="00292EC8">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w:t>
      </w:r>
      <w:r>
        <w:rPr>
          <w:rFonts w:ascii="Palatino Linotype" w:eastAsia="Palatino Linotype" w:hAnsi="Palatino Linotype" w:cs="Palatino Linotype"/>
        </w:rPr>
        <w:t>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w:t>
      </w:r>
      <w:r>
        <w:rPr>
          <w:rFonts w:ascii="Palatino Linotype" w:eastAsia="Palatino Linotype" w:hAnsi="Palatino Linotype" w:cs="Palatino Linotype"/>
        </w:rPr>
        <w:t xml:space="preserve">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veinticinco de enero de dos mil veintid</w:t>
      </w:r>
      <w:r>
        <w:rPr>
          <w:rFonts w:ascii="Palatino Linotype" w:eastAsia="Palatino Linotype" w:hAnsi="Palatino Linotype" w:cs="Palatino Linotype"/>
          <w:b/>
        </w:rPr>
        <w:t xml:space="preserve">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 esto es, el segundo día hábil posterior en que tuvo conocimiento de la respuesta impugnada.</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w:t>
      </w:r>
      <w:r>
        <w:rPr>
          <w:rFonts w:ascii="Palatino Linotype" w:eastAsia="Palatino Linotype" w:hAnsi="Palatino Linotype" w:cs="Palatino Linotype"/>
        </w:rPr>
        <w:t>vez realizado el análisis de los formatos de interposición del recurso, se concluye la acreditación plena de los elementos formales precisados por el artículo 180 de la Ley de Transparencia y Acceso a la Información Pública del Estado de México y Municipio</w:t>
      </w:r>
      <w:r>
        <w:rPr>
          <w:rFonts w:ascii="Palatino Linotype" w:eastAsia="Palatino Linotype" w:hAnsi="Palatino Linotype" w:cs="Palatino Linotype"/>
        </w:rPr>
        <w:t>s, en atención a que fue presentado mediante el formato visible en el SAIMEX.</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w:t>
      </w:r>
      <w:r>
        <w:rPr>
          <w:rFonts w:ascii="Palatino Linotype" w:eastAsia="Palatino Linotype" w:hAnsi="Palatino Linotype" w:cs="Palatino Linotype"/>
        </w:rPr>
        <w:t>racción I del ordenamiento legal citado, que a la letra dice: </w:t>
      </w:r>
    </w:p>
    <w:p w:rsidR="001037F6" w:rsidRDefault="00292EC8">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w:t>
      </w:r>
      <w:r>
        <w:rPr>
          <w:rFonts w:ascii="Palatino Linotype" w:eastAsia="Palatino Linotype" w:hAnsi="Palatino Linotype" w:cs="Palatino Linotype"/>
          <w:i/>
          <w:sz w:val="22"/>
          <w:szCs w:val="22"/>
        </w:rPr>
        <w:t>s siguientes causas:</w:t>
      </w:r>
    </w:p>
    <w:p w:rsidR="001037F6" w:rsidRDefault="00292EC8">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037F6" w:rsidRDefault="00292EC8" w:rsidP="00F3550C">
      <w:pPr>
        <w:tabs>
          <w:tab w:val="left" w:pos="7088"/>
        </w:tabs>
        <w:spacing w:before="120" w:after="120"/>
        <w:ind w:left="993" w:right="616"/>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b/>
          <w:i/>
          <w:sz w:val="22"/>
          <w:szCs w:val="22"/>
        </w:rPr>
        <w:br/>
        <w:t>…</w:t>
      </w:r>
      <w:r>
        <w:rPr>
          <w:rFonts w:ascii="Palatino Linotype" w:eastAsia="Palatino Linotype" w:hAnsi="Palatino Linotype" w:cs="Palatino Linotype"/>
          <w:i/>
          <w:sz w:val="22"/>
          <w:szCs w:val="22"/>
        </w:rPr>
        <w:t>”</w:t>
      </w:r>
    </w:p>
    <w:p w:rsidR="001037F6" w:rsidRDefault="00292EC8">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Análisis de Causales de Sobreseimiento</w:t>
      </w:r>
      <w:r>
        <w:rPr>
          <w:rFonts w:ascii="Palatino Linotype" w:eastAsia="Palatino Linotype" w:hAnsi="Palatino Linotype" w:cs="Palatino Linotype"/>
          <w:b/>
          <w:color w:val="000000"/>
        </w:rPr>
        <w:t xml:space="preserve"> del Recurso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 primera instancia, debe apuntarse que del análisis al recurso de revisión que ahora se resuelve, se tiene qu</w:t>
      </w:r>
      <w:r>
        <w:rPr>
          <w:rFonts w:ascii="Palatino Linotype" w:eastAsia="Palatino Linotype" w:hAnsi="Palatino Linotype" w:cs="Palatino Linotype"/>
        </w:rPr>
        <w:t>e se actualiza la causal de sobreseimiento del recurso de revisión establecido en la fracción III del artículo 192 en relación con el diverso 186 fracción I, ambos de la Ley de Transparencia y Acceso a la Información Pública del Estado de México y Municipi</w:t>
      </w:r>
      <w:r>
        <w:rPr>
          <w:rFonts w:ascii="Palatino Linotype" w:eastAsia="Palatino Linotype" w:hAnsi="Palatino Linotype" w:cs="Palatino Linotype"/>
        </w:rPr>
        <w:t xml:space="preserve">os, derivado del contenido del informe justificado remitido por EL </w:t>
      </w:r>
      <w:r>
        <w:rPr>
          <w:rFonts w:ascii="Palatino Linotype" w:eastAsia="Palatino Linotype" w:hAnsi="Palatino Linotype" w:cs="Palatino Linotype"/>
          <w:b/>
        </w:rPr>
        <w:t>SUJETO OBLIGADO.</w:t>
      </w:r>
    </w:p>
    <w:p w:rsidR="001037F6" w:rsidRDefault="00292EC8">
      <w:pPr>
        <w:spacing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w:t>
      </w:r>
      <w:r>
        <w:rPr>
          <w:rFonts w:ascii="Palatino Linotype" w:eastAsia="Palatino Linotype" w:hAnsi="Palatino Linotype" w:cs="Palatino Linotype"/>
        </w:rPr>
        <w:t>ientes:</w:t>
      </w:r>
    </w:p>
    <w:p w:rsidR="001037F6" w:rsidRDefault="00292EC8">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 xml:space="preserve"> la solicitud de información pública que motivó el recurso de revisión que ahora se resuelve, se advierte que el particular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siguiente:</w:t>
      </w:r>
      <w:r>
        <w:rPr>
          <w:rFonts w:ascii="Palatino Linotype" w:eastAsia="Palatino Linotype" w:hAnsi="Palatino Linotype" w:cs="Palatino Linotype"/>
        </w:rPr>
        <w:t xml:space="preserve"> </w:t>
      </w:r>
    </w:p>
    <w:p w:rsidR="001037F6" w:rsidRDefault="00292EC8">
      <w:pPr>
        <w:spacing w:before="280" w:after="28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i/>
        </w:rPr>
        <w:t>“… el expediente del procedimiento administrativo resarcitorio en contra de la ex presidenta del DIF Municipal de San José del Rincón Gabriela Reyes Gutiérrez.”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el archivo electrónico identificado como “</w:t>
      </w:r>
      <w:r>
        <w:rPr>
          <w:rFonts w:ascii="Palatino Linotype" w:eastAsia="Palatino Linotype" w:hAnsi="Palatino Linotype" w:cs="Palatino Linotype"/>
          <w:b/>
          <w:i/>
        </w:rPr>
        <w:t>55 OSO</w:t>
      </w:r>
      <w:r>
        <w:rPr>
          <w:rFonts w:ascii="Palatino Linotype" w:eastAsia="Palatino Linotype" w:hAnsi="Palatino Linotype" w:cs="Palatino Linotype"/>
          <w:b/>
          <w:i/>
        </w:rPr>
        <w:t xml:space="preserve"> (2).</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consistente en el oficio UIPL/0210/2022 del veinticinco de </w:t>
      </w:r>
      <w:r>
        <w:rPr>
          <w:rFonts w:ascii="Palatino Linotype" w:eastAsia="Palatino Linotype" w:hAnsi="Palatino Linotype" w:cs="Palatino Linotype"/>
        </w:rPr>
        <w:lastRenderedPageBreak/>
        <w:t xml:space="preserve">enero de dos mil veintidós, suscrito y signado por el Titular de la Unidad de Información, dirigido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por medio del cual orienta a otro Sujeto Obligado, mediante lo siguiente:</w:t>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096828" cy="6098387"/>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096828" cy="6098387"/>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210503</wp:posOffset>
                </wp:positionH>
                <wp:positionV relativeFrom="paragraph">
                  <wp:posOffset>2133600</wp:posOffset>
                </wp:positionV>
                <wp:extent cx="4904423" cy="695325"/>
                <wp:effectExtent l="0" t="0" r="0" b="0"/>
                <wp:wrapNone/>
                <wp:docPr id="27" name="Rectángulo 27"/>
                <wp:cNvGraphicFramePr/>
                <a:graphic xmlns:a="http://schemas.openxmlformats.org/drawingml/2006/main">
                  <a:graphicData uri="http://schemas.microsoft.com/office/word/2010/wordprocessingShape">
                    <wps:wsp>
                      <wps:cNvSpPr/>
                      <wps:spPr>
                        <a:xfrm>
                          <a:off x="2659768" y="3378680"/>
                          <a:ext cx="5372465" cy="802640"/>
                        </a:xfrm>
                        <a:prstGeom prst="rect">
                          <a:avLst/>
                        </a:prstGeom>
                        <a:noFill/>
                        <a:ln w="19050" cap="flat" cmpd="sng">
                          <a:solidFill>
                            <a:srgbClr val="FF0000"/>
                          </a:solidFill>
                          <a:prstDash val="solid"/>
                          <a:round/>
                          <a:headEnd type="none" w="sm" len="sm"/>
                          <a:tailEnd type="none" w="sm" len="sm"/>
                        </a:ln>
                      </wps:spPr>
                      <wps:txbx>
                        <w:txbxContent>
                          <w:p w:rsidR="001037F6" w:rsidRDefault="001037F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210503</wp:posOffset>
                </wp:positionH>
                <wp:positionV relativeFrom="paragraph">
                  <wp:posOffset>2133600</wp:posOffset>
                </wp:positionV>
                <wp:extent cx="4904423" cy="695325"/>
                <wp:effectExtent b="0" l="0" r="0" t="0"/>
                <wp:wrapNone/>
                <wp:docPr id="27"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904423" cy="695325"/>
                        </a:xfrm>
                        <a:prstGeom prst="rect"/>
                        <a:ln/>
                      </pic:spPr>
                    </pic:pic>
                  </a:graphicData>
                </a:graphic>
              </wp:anchor>
            </w:drawing>
          </mc:Fallback>
        </mc:AlternateContent>
      </w:r>
    </w:p>
    <w:p w:rsidR="001037F6" w:rsidRDefault="001037F6">
      <w:pPr>
        <w:spacing w:before="240" w:after="240" w:line="360" w:lineRule="auto"/>
        <w:ind w:right="49"/>
        <w:jc w:val="both"/>
        <w:rPr>
          <w:rFonts w:ascii="Palatino Linotype" w:eastAsia="Palatino Linotype" w:hAnsi="Palatino Linotype" w:cs="Palatino Linotype"/>
        </w:rPr>
      </w:pP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En dicho documento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destaca que los datos requeridos </w:t>
      </w:r>
      <w:r>
        <w:rPr>
          <w:rFonts w:ascii="Palatino Linotype" w:eastAsia="Palatino Linotype" w:hAnsi="Palatino Linotype" w:cs="Palatino Linotype"/>
          <w:u w:val="single"/>
        </w:rPr>
        <w:t xml:space="preserve">no corresponden a la información generada y contenida por este </w:t>
      </w:r>
      <w:r>
        <w:rPr>
          <w:rFonts w:ascii="Palatino Linotype" w:eastAsia="Palatino Linotype" w:hAnsi="Palatino Linotype" w:cs="Palatino Linotype"/>
          <w:b/>
          <w:u w:val="single"/>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en virtud de no encontrarse dentro de las facultades y obligaciones de la legislatura</w:t>
      </w:r>
      <w:r>
        <w:rPr>
          <w:rFonts w:ascii="Palatino Linotype" w:eastAsia="Palatino Linotype" w:hAnsi="Palatino Linotype" w:cs="Palatino Linotype"/>
        </w:rPr>
        <w:t xml:space="preserve">, plasmadas en el artículo 61 de la Constitución Política del Estado Libre Soberano de México, así como en los artículos 30 al 38 de la Ley Orgánica del Poder Legislativo del Estado Libre y Soberano de México, </w:t>
      </w:r>
      <w:r>
        <w:rPr>
          <w:rFonts w:ascii="Palatino Linotype" w:eastAsia="Palatino Linotype" w:hAnsi="Palatino Linotype" w:cs="Palatino Linotype"/>
          <w:u w:val="single"/>
        </w:rPr>
        <w:t>por lo que al no existir facultad, competencia</w:t>
      </w:r>
      <w:r>
        <w:rPr>
          <w:rFonts w:ascii="Palatino Linotype" w:eastAsia="Palatino Linotype" w:hAnsi="Palatino Linotype" w:cs="Palatino Linotype"/>
          <w:u w:val="single"/>
        </w:rPr>
        <w:t xml:space="preserve"> o atribución dentro de los ordenamientos jurídicos, no se cuenta con la información relativa a su petición</w:t>
      </w:r>
      <w:r>
        <w:rPr>
          <w:rFonts w:ascii="Palatino Linotype" w:eastAsia="Palatino Linotype" w:hAnsi="Palatino Linotype" w:cs="Palatino Linotype"/>
        </w:rPr>
        <w:t>.</w:t>
      </w:r>
    </w:p>
    <w:p w:rsidR="001037F6" w:rsidRDefault="00292EC8">
      <w:pPr>
        <w:spacing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Derivado de la respuesta,</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en el que manifestó como razones o motivos de inconformidad:</w:t>
      </w:r>
    </w:p>
    <w:p w:rsidR="001037F6" w:rsidRDefault="001037F6">
      <w:pPr>
        <w:spacing w:line="360" w:lineRule="auto"/>
        <w:ind w:right="18"/>
        <w:jc w:val="both"/>
        <w:rPr>
          <w:rFonts w:ascii="Palatino Linotype" w:eastAsia="Palatino Linotype" w:hAnsi="Palatino Linotype" w:cs="Palatino Linotype"/>
        </w:rPr>
      </w:pPr>
    </w:p>
    <w:p w:rsidR="001037F6" w:rsidRDefault="00292EC8">
      <w:pPr>
        <w:spacing w:line="360" w:lineRule="auto"/>
        <w:ind w:right="18"/>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“El Órgano Superior de Fiscalización es el encargado de iniciar los procedimientos administrativos resarcitorios por lo que solicito que E haga la búsqueda pertinente de dicho ex Servidor Público” (sic)</w:t>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sentido, es conveniente referir, que la respu</w:t>
      </w:r>
      <w:r>
        <w:rPr>
          <w:rFonts w:ascii="Palatino Linotype" w:eastAsia="Palatino Linotype" w:hAnsi="Palatino Linotype" w:cs="Palatino Linotype"/>
        </w:rPr>
        <w:t>esta proporcionada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fue realizada por el Titular de la Unidad de Información del Sujeto Obligado, y no así por alguna unidad administrativa encargada de dar seguimiento a los procedimientos administrativos resarcitorios, sin embargo, a través </w:t>
      </w:r>
      <w:r>
        <w:rPr>
          <w:rFonts w:ascii="Palatino Linotype" w:eastAsia="Palatino Linotype" w:hAnsi="Palatino Linotype" w:cs="Palatino Linotype"/>
        </w:rPr>
        <w:t xml:space="preserve">del informe justificado,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remite documento que modifica la respuesta, como se muestra a continuación:</w:t>
      </w:r>
    </w:p>
    <w:p w:rsidR="001037F6" w:rsidRDefault="001037F6">
      <w:pPr>
        <w:widowControl w:val="0"/>
        <w:spacing w:before="240" w:after="240" w:line="360" w:lineRule="auto"/>
        <w:jc w:val="both"/>
        <w:rPr>
          <w:rFonts w:ascii="Palatino Linotype" w:eastAsia="Palatino Linotype" w:hAnsi="Palatino Linotype" w:cs="Palatino Linotype"/>
        </w:rPr>
      </w:pPr>
    </w:p>
    <w:p w:rsidR="001037F6" w:rsidRDefault="001037F6">
      <w:pPr>
        <w:widowControl w:val="0"/>
        <w:pBdr>
          <w:top w:val="nil"/>
          <w:left w:val="nil"/>
          <w:bottom w:val="nil"/>
          <w:right w:val="nil"/>
          <w:between w:val="nil"/>
        </w:pBdr>
        <w:spacing w:before="240" w:line="360" w:lineRule="auto"/>
        <w:ind w:left="720"/>
        <w:jc w:val="center"/>
        <w:rPr>
          <w:rFonts w:ascii="Palatino Linotype" w:eastAsia="Palatino Linotype" w:hAnsi="Palatino Linotype" w:cs="Palatino Linotype"/>
          <w:color w:val="000000"/>
        </w:rPr>
      </w:pPr>
    </w:p>
    <w:p w:rsidR="001037F6" w:rsidRDefault="001037F6" w:rsidP="00F3550C">
      <w:pPr>
        <w:widowControl w:val="0"/>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1037F6" w:rsidRDefault="00103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1037F6" w:rsidRDefault="00F3550C" w:rsidP="00F3550C">
      <w:pPr>
        <w:widowControl w:val="0"/>
        <w:pBdr>
          <w:top w:val="nil"/>
          <w:left w:val="nil"/>
          <w:bottom w:val="nil"/>
          <w:right w:val="nil"/>
          <w:between w:val="nil"/>
        </w:pBdr>
        <w:spacing w:after="240" w:line="360" w:lineRule="auto"/>
        <w:jc w:val="center"/>
        <w:rPr>
          <w:rFonts w:ascii="Palatino Linotype" w:eastAsia="Palatino Linotype" w:hAnsi="Palatino Linotype" w:cs="Palatino Linotype"/>
          <w:color w:val="000000"/>
        </w:rPr>
      </w:pP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margin">
                  <wp:posOffset>224791</wp:posOffset>
                </wp:positionH>
                <wp:positionV relativeFrom="paragraph">
                  <wp:posOffset>2273934</wp:posOffset>
                </wp:positionV>
                <wp:extent cx="5181600" cy="2418823"/>
                <wp:effectExtent l="0" t="0" r="19050" b="19685"/>
                <wp:wrapNone/>
                <wp:docPr id="30" name="Rectángulo 30"/>
                <wp:cNvGraphicFramePr/>
                <a:graphic xmlns:a="http://schemas.openxmlformats.org/drawingml/2006/main">
                  <a:graphicData uri="http://schemas.microsoft.com/office/word/2010/wordprocessingShape">
                    <wps:wsp>
                      <wps:cNvSpPr/>
                      <wps:spPr>
                        <a:xfrm rot="10800000" flipH="1">
                          <a:off x="0" y="0"/>
                          <a:ext cx="5181600" cy="2418823"/>
                        </a:xfrm>
                        <a:prstGeom prst="rect">
                          <a:avLst/>
                        </a:prstGeom>
                        <a:noFill/>
                        <a:ln w="19050" cap="flat" cmpd="sng">
                          <a:solidFill>
                            <a:srgbClr val="FF0000"/>
                          </a:solidFill>
                          <a:prstDash val="solid"/>
                          <a:round/>
                          <a:headEnd type="none" w="sm" len="sm"/>
                          <a:tailEnd type="none" w="sm" len="sm"/>
                        </a:ln>
                      </wps:spPr>
                      <wps:txbx>
                        <w:txbxContent>
                          <w:p w:rsidR="001037F6" w:rsidRDefault="001037F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id="Rectángulo 30" o:spid="_x0000_s1029" style="position:absolute;left:0;text-align:left;margin-left:17.7pt;margin-top:179.05pt;width:408pt;height:190.45pt;rotation:180;flip:x;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" filled="f" strokecolor="red" strokeweight="1.5pt">
                <v:stroke startarrowwidth="narrow" startarrowlength="short" endarrowwidth="narrow" endarrowlength="short" joinstyle="round"/>
                <v:textbox inset="2.53958mm,2.53958mm,2.53958mm,2.53958mm">
                  <w:txbxContent>
                    <w:p w:rsidR="001037F6" w:rsidRDefault="001037F6">
                      <w:pPr>
                        <w:textDirection w:val="btLr"/>
                      </w:pPr>
                    </w:p>
                  </w:txbxContent>
                </v:textbox>
                <w10:wrap anchorx="margin"/>
              </v:rect>
            </w:pict>
          </mc:Fallback>
        </mc:AlternateContent>
      </w:r>
      <w:r w:rsidR="00292EC8">
        <w:rPr>
          <w:rFonts w:ascii="Palatino Linotype" w:eastAsia="Palatino Linotype" w:hAnsi="Palatino Linotype" w:cs="Palatino Linotype"/>
          <w:noProof/>
          <w:color w:val="000000"/>
          <w:lang w:val="es-MX" w:eastAsia="es-MX"/>
        </w:rPr>
        <w:drawing>
          <wp:inline distT="0" distB="0" distL="0" distR="0">
            <wp:extent cx="5571443" cy="5608637"/>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571443" cy="5608637"/>
                    </a:xfrm>
                    <a:prstGeom prst="rect">
                      <a:avLst/>
                    </a:prstGeom>
                    <a:ln/>
                  </pic:spPr>
                </pic:pic>
              </a:graphicData>
            </a:graphic>
          </wp:inline>
        </w:drawing>
      </w:r>
    </w:p>
    <w:p w:rsidR="001037F6" w:rsidRDefault="00292EC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a través del oficio antes señalado, el Servidor Público Habilitado de la Dirección de lo Jurídico y Consultivo, en el informe justificado, envía respuesta a la </w:t>
      </w:r>
      <w:r>
        <w:rPr>
          <w:rFonts w:ascii="Palatino Linotype" w:eastAsia="Palatino Linotype" w:hAnsi="Palatino Linotype" w:cs="Palatino Linotype"/>
        </w:rPr>
        <w:lastRenderedPageBreak/>
        <w:t>solicitud de información, en la que destaca que derivado de que la petición planteada</w:t>
      </w:r>
      <w:r>
        <w:rPr>
          <w:rFonts w:ascii="Palatino Linotype" w:eastAsia="Palatino Linotype" w:hAnsi="Palatino Linotype" w:cs="Palatino Linotype"/>
        </w:rPr>
        <w:t xml:space="preserve"> no desprende periodo alguno de referencia para realizar la búsqueda respectiva y considerando el Criterio 03/19, emitido por el Instituto Nacional de Transparencia Acceso a la Información y Protección de Datos Personales, </w:t>
      </w:r>
      <w:r>
        <w:rPr>
          <w:rFonts w:ascii="Palatino Linotype" w:eastAsia="Palatino Linotype" w:hAnsi="Palatino Linotype" w:cs="Palatino Linotype"/>
          <w:b/>
          <w:u w:val="single"/>
        </w:rPr>
        <w:t>informan que no existe procedimie</w:t>
      </w:r>
      <w:r>
        <w:rPr>
          <w:rFonts w:ascii="Palatino Linotype" w:eastAsia="Palatino Linotype" w:hAnsi="Palatino Linotype" w:cs="Palatino Linotype"/>
          <w:b/>
          <w:u w:val="single"/>
        </w:rPr>
        <w:t>nto administrativo resarcitorio en contra de la presidenta del DIF municipal de San José del Rincón Gabriela Reyes Gutiérrez por el periodo de un año anterior a esta fecha</w:t>
      </w:r>
      <w:r>
        <w:rPr>
          <w:rFonts w:ascii="Palatino Linotype" w:eastAsia="Palatino Linotype" w:hAnsi="Palatino Linotype" w:cs="Palatino Linotype"/>
        </w:rPr>
        <w:t>, con independencia a que actualmente la Ley General de Responsabilidades Administrat</w:t>
      </w:r>
      <w:r>
        <w:rPr>
          <w:rFonts w:ascii="Palatino Linotype" w:eastAsia="Palatino Linotype" w:hAnsi="Palatino Linotype" w:cs="Palatino Linotype"/>
        </w:rPr>
        <w:t>ivas y la Ley de Responsabilidades Administrativas del Estado de México y Municipios, no contemplan la figura jurídica del procedimiento administrativo resarcitorio.</w:t>
      </w: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puede determinar que durante la respuesta, </w:t>
      </w:r>
      <w:r>
        <w:rPr>
          <w:rFonts w:ascii="Palatino Linotype" w:eastAsia="Palatino Linotype" w:hAnsi="Palatino Linotype" w:cs="Palatino Linotype"/>
          <w:b/>
        </w:rPr>
        <w:t>EL 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no sigui</w:t>
      </w:r>
      <w:r>
        <w:rPr>
          <w:rFonts w:ascii="Palatino Linotype" w:eastAsia="Palatino Linotype" w:hAnsi="Palatino Linotype" w:cs="Palatino Linotype"/>
        </w:rPr>
        <w:t xml:space="preserve">ó a cabalidad el procedimiento de acceso a la información previsto en el artículo 162 de la Ley de Transparencia y Acceso a la Información Pública del Estado de México y Municipios, esto dado que </w:t>
      </w:r>
      <w:r>
        <w:rPr>
          <w:rFonts w:ascii="Palatino Linotype" w:eastAsia="Palatino Linotype" w:hAnsi="Palatino Linotype" w:cs="Palatino Linotype"/>
          <w:b/>
        </w:rPr>
        <w:t>omitió turnar a todas las Áreas competentes</w:t>
      </w:r>
      <w:r>
        <w:rPr>
          <w:rFonts w:ascii="Palatino Linotype" w:eastAsia="Palatino Linotype" w:hAnsi="Palatino Linotype" w:cs="Palatino Linotype"/>
        </w:rPr>
        <w:t xml:space="preserve"> que pudiesen con</w:t>
      </w:r>
      <w:r>
        <w:rPr>
          <w:rFonts w:ascii="Palatino Linotype" w:eastAsia="Palatino Linotype" w:hAnsi="Palatino Linotype" w:cs="Palatino Linotype"/>
        </w:rPr>
        <w:t xml:space="preserve">tar con la información o deban tenerla de acuerdo a sus facultades, competencias y funciones, con el objeto de que realizaran una </w:t>
      </w:r>
      <w:r>
        <w:rPr>
          <w:rFonts w:ascii="Palatino Linotype" w:eastAsia="Palatino Linotype" w:hAnsi="Palatino Linotype" w:cs="Palatino Linotype"/>
          <w:b/>
        </w:rPr>
        <w:t>búsqueda exhaustiva y razonable</w:t>
      </w:r>
      <w:r>
        <w:rPr>
          <w:rFonts w:ascii="Palatino Linotype" w:eastAsia="Palatino Linotype" w:hAnsi="Palatino Linotype" w:cs="Palatino Linotype"/>
        </w:rPr>
        <w:t xml:space="preserve"> de la información solicitada; y para ello en necesario tomar en consideración las siguientes d</w:t>
      </w:r>
      <w:r>
        <w:rPr>
          <w:rFonts w:ascii="Palatino Linotype" w:eastAsia="Palatino Linotype" w:hAnsi="Palatino Linotype" w:cs="Palatino Linotype"/>
        </w:rPr>
        <w:t>isposiciones de la Ley de la materia:</w:t>
      </w:r>
    </w:p>
    <w:p w:rsidR="001037F6" w:rsidRDefault="001037F6">
      <w:pPr>
        <w:spacing w:line="360" w:lineRule="auto"/>
        <w:jc w:val="both"/>
      </w:pPr>
    </w:p>
    <w:p w:rsidR="001037F6" w:rsidRDefault="00292EC8">
      <w:pPr>
        <w:ind w:left="851" w:right="901"/>
        <w:jc w:val="both"/>
        <w:rPr>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rsidR="001037F6" w:rsidRDefault="001037F6">
      <w:pPr>
        <w:rPr>
          <w:sz w:val="22"/>
          <w:szCs w:val="22"/>
        </w:rPr>
      </w:pPr>
    </w:p>
    <w:p w:rsidR="001037F6" w:rsidRDefault="00292EC8">
      <w:pPr>
        <w:ind w:left="851" w:right="901"/>
        <w:jc w:val="both"/>
        <w:rPr>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w:t>
      </w:r>
      <w:r>
        <w:rPr>
          <w:rFonts w:ascii="Palatino Linotype" w:eastAsia="Palatino Linotype" w:hAnsi="Palatino Linotype" w:cs="Palatino Linotype"/>
          <w:i/>
          <w:sz w:val="22"/>
          <w:szCs w:val="22"/>
        </w:rPr>
        <w:lastRenderedPageBreak/>
        <w:t>solicitud de información y tendrá la responsab</w:t>
      </w:r>
      <w:r>
        <w:rPr>
          <w:rFonts w:ascii="Palatino Linotype" w:eastAsia="Palatino Linotype" w:hAnsi="Palatino Linotype" w:cs="Palatino Linotype"/>
          <w:i/>
          <w:sz w:val="22"/>
          <w:szCs w:val="22"/>
        </w:rPr>
        <w:t>ilidad de verificar en cada caso que la misma no sea confidencial o reservada. Dicha Unidad contará con las facultades internas necesarias para gestionar la atención a las solicitudes de información en los términos de la Ley General y la presente Ley.</w:t>
      </w:r>
    </w:p>
    <w:p w:rsidR="001037F6" w:rsidRDefault="001037F6">
      <w:pPr>
        <w:rPr>
          <w:sz w:val="22"/>
          <w:szCs w:val="22"/>
        </w:rPr>
      </w:pPr>
    </w:p>
    <w:p w:rsidR="001037F6" w:rsidRDefault="00292EC8">
      <w:pPr>
        <w:ind w:left="851" w:right="901"/>
        <w:jc w:val="both"/>
        <w:rPr>
          <w:sz w:val="22"/>
          <w:szCs w:val="22"/>
        </w:rPr>
      </w:pPr>
      <w:r>
        <w:rPr>
          <w:rFonts w:ascii="Palatino Linotype" w:eastAsia="Palatino Linotype" w:hAnsi="Palatino Linotype" w:cs="Palatino Linotype"/>
          <w:b/>
          <w:i/>
          <w:sz w:val="22"/>
          <w:szCs w:val="22"/>
        </w:rPr>
        <w:t>Art</w:t>
      </w:r>
      <w:r>
        <w:rPr>
          <w:rFonts w:ascii="Palatino Linotype" w:eastAsia="Palatino Linotype" w:hAnsi="Palatino Linotype" w:cs="Palatino Linotype"/>
          <w:b/>
          <w:i/>
          <w:sz w:val="22"/>
          <w:szCs w:val="22"/>
        </w:rPr>
        <w:t>ículo 53</w:t>
      </w:r>
      <w:r>
        <w:rPr>
          <w:rFonts w:ascii="Palatino Linotype" w:eastAsia="Palatino Linotype" w:hAnsi="Palatino Linotype" w:cs="Palatino Linotype"/>
          <w:i/>
          <w:sz w:val="22"/>
          <w:szCs w:val="22"/>
        </w:rPr>
        <w:t>. Las Unidades de Transparencia tendrán las siguientes funciones:</w:t>
      </w:r>
    </w:p>
    <w:p w:rsidR="001037F6" w:rsidRDefault="00292EC8">
      <w:pPr>
        <w:ind w:left="851" w:right="901"/>
        <w:jc w:val="both"/>
        <w:rPr>
          <w:sz w:val="22"/>
          <w:szCs w:val="22"/>
        </w:rPr>
      </w:pPr>
      <w:r>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Ley General, esta Ley, la que determine el </w:t>
      </w:r>
      <w:r>
        <w:rPr>
          <w:rFonts w:ascii="Palatino Linotype" w:eastAsia="Palatino Linotype" w:hAnsi="Palatino Linotype" w:cs="Palatino Linotype"/>
          <w:i/>
          <w:sz w:val="22"/>
          <w:szCs w:val="22"/>
        </w:rPr>
        <w:t>Instituto y las demás disposiciones de la materia, así como propiciar que las áreas la actualicen periódicamente conforme a la normatividad aplicable;</w:t>
      </w:r>
    </w:p>
    <w:p w:rsidR="001037F6" w:rsidRDefault="00292EC8">
      <w:pPr>
        <w:ind w:left="851" w:right="901"/>
        <w:jc w:val="both"/>
        <w:rPr>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rsidR="001037F6" w:rsidRDefault="00292EC8">
      <w:pPr>
        <w:ind w:left="851" w:right="901"/>
        <w:jc w:val="both"/>
        <w:rPr>
          <w:sz w:val="22"/>
          <w:szCs w:val="22"/>
        </w:rPr>
      </w:pPr>
      <w:r>
        <w:rPr>
          <w:rFonts w:ascii="Palatino Linotype" w:eastAsia="Palatino Linotype" w:hAnsi="Palatino Linotype" w:cs="Palatino Linotype"/>
          <w:i/>
          <w:sz w:val="22"/>
          <w:szCs w:val="22"/>
        </w:rPr>
        <w:t>III. Auxiliar a los p</w:t>
      </w:r>
      <w:r>
        <w:rPr>
          <w:rFonts w:ascii="Palatino Linotype" w:eastAsia="Palatino Linotype" w:hAnsi="Palatino Linotype" w:cs="Palatino Linotype"/>
          <w:i/>
          <w:sz w:val="22"/>
          <w:szCs w:val="22"/>
        </w:rPr>
        <w:t>articulares en la elaboración de solicitudes de acceso a la información y, en su caso, orientarlos sobre los sujetos obligados competentes conforme a la normatividad aplicable;</w:t>
      </w:r>
    </w:p>
    <w:p w:rsidR="001037F6" w:rsidRDefault="00292EC8">
      <w:pPr>
        <w:ind w:left="851" w:right="901"/>
        <w:jc w:val="both"/>
        <w:rPr>
          <w:sz w:val="22"/>
          <w:szCs w:val="22"/>
        </w:rPr>
      </w:pPr>
      <w:r>
        <w:rPr>
          <w:rFonts w:ascii="Palatino Linotype" w:eastAsia="Palatino Linotype" w:hAnsi="Palatino Linotype" w:cs="Palatino Linotype"/>
          <w:i/>
          <w:sz w:val="22"/>
          <w:szCs w:val="22"/>
        </w:rPr>
        <w:t>IV. Realizar, con efectividad, los trámites internos necesarios para la atenció</w:t>
      </w:r>
      <w:r>
        <w:rPr>
          <w:rFonts w:ascii="Palatino Linotype" w:eastAsia="Palatino Linotype" w:hAnsi="Palatino Linotype" w:cs="Palatino Linotype"/>
          <w:i/>
          <w:sz w:val="22"/>
          <w:szCs w:val="22"/>
        </w:rPr>
        <w:t>n de las solicitudes de acceso a la información;</w:t>
      </w:r>
    </w:p>
    <w:p w:rsidR="001037F6" w:rsidRDefault="00292EC8">
      <w:pPr>
        <w:ind w:left="851" w:right="901"/>
        <w:jc w:val="both"/>
        <w:rPr>
          <w:sz w:val="22"/>
          <w:szCs w:val="22"/>
        </w:rPr>
      </w:pPr>
      <w:r>
        <w:rPr>
          <w:rFonts w:ascii="Palatino Linotype" w:eastAsia="Palatino Linotype" w:hAnsi="Palatino Linotype" w:cs="Palatino Linotype"/>
          <w:i/>
          <w:sz w:val="22"/>
          <w:szCs w:val="22"/>
        </w:rPr>
        <w:t>V. Entregar, en su caso, a los particulares la información solicitada;</w:t>
      </w:r>
    </w:p>
    <w:p w:rsidR="001037F6" w:rsidRDefault="00292EC8">
      <w:pPr>
        <w:ind w:left="851" w:right="901"/>
        <w:jc w:val="both"/>
        <w:rPr>
          <w:sz w:val="22"/>
          <w:szCs w:val="22"/>
        </w:rPr>
      </w:pPr>
      <w:r>
        <w:rPr>
          <w:rFonts w:ascii="Palatino Linotype" w:eastAsia="Palatino Linotype" w:hAnsi="Palatino Linotype" w:cs="Palatino Linotype"/>
          <w:i/>
          <w:sz w:val="22"/>
          <w:szCs w:val="22"/>
        </w:rPr>
        <w:t>VI. Efectuar las notificaciones a los solicitantes;</w:t>
      </w:r>
    </w:p>
    <w:p w:rsidR="001037F6" w:rsidRDefault="00292EC8">
      <w:pPr>
        <w:ind w:left="851" w:right="901"/>
        <w:jc w:val="both"/>
        <w:rPr>
          <w:sz w:val="22"/>
          <w:szCs w:val="22"/>
        </w:rPr>
      </w:pPr>
      <w:r>
        <w:rPr>
          <w:rFonts w:ascii="Palatino Linotype" w:eastAsia="Palatino Linotype" w:hAnsi="Palatino Linotype" w:cs="Palatino Linotype"/>
          <w:i/>
          <w:sz w:val="22"/>
          <w:szCs w:val="22"/>
        </w:rPr>
        <w:t>VII. Proponer al Comité de Transparencia, los procedimientos internos que aseguren l</w:t>
      </w:r>
      <w:r>
        <w:rPr>
          <w:rFonts w:ascii="Palatino Linotype" w:eastAsia="Palatino Linotype" w:hAnsi="Palatino Linotype" w:cs="Palatino Linotype"/>
          <w:i/>
          <w:sz w:val="22"/>
          <w:szCs w:val="22"/>
        </w:rPr>
        <w:t>a mayor eficiencia en la gestión de las solicitudes de acceso a la información, conforme a la normatividad aplicable;</w:t>
      </w:r>
    </w:p>
    <w:p w:rsidR="001037F6" w:rsidRDefault="00292EC8">
      <w:pPr>
        <w:ind w:left="851" w:right="901"/>
        <w:jc w:val="both"/>
        <w:rPr>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w:t>
      </w:r>
      <w:r>
        <w:rPr>
          <w:rFonts w:ascii="Palatino Linotype" w:eastAsia="Palatino Linotype" w:hAnsi="Palatino Linotype" w:cs="Palatino Linotype"/>
          <w:i/>
          <w:sz w:val="22"/>
          <w:szCs w:val="22"/>
        </w:rPr>
        <w:t>des de acceso a la información;</w:t>
      </w:r>
    </w:p>
    <w:p w:rsidR="001037F6" w:rsidRDefault="00292EC8">
      <w:pPr>
        <w:ind w:left="851" w:right="901"/>
        <w:jc w:val="both"/>
        <w:rPr>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w:t>
      </w:r>
      <w:r>
        <w:rPr>
          <w:rFonts w:ascii="Palatino Linotype" w:eastAsia="Palatino Linotype" w:hAnsi="Palatino Linotype" w:cs="Palatino Linotype"/>
          <w:i/>
          <w:sz w:val="22"/>
          <w:szCs w:val="22"/>
        </w:rPr>
        <w:t>umplimiento de las mismas;</w:t>
      </w:r>
    </w:p>
    <w:p w:rsidR="001037F6" w:rsidRDefault="00292EC8">
      <w:pPr>
        <w:ind w:left="851" w:right="901"/>
        <w:jc w:val="both"/>
        <w:rPr>
          <w:sz w:val="22"/>
          <w:szCs w:val="22"/>
        </w:rPr>
      </w:pPr>
      <w:r>
        <w:rPr>
          <w:rFonts w:ascii="Palatino Linotype" w:eastAsia="Palatino Linotype" w:hAnsi="Palatino Linotype" w:cs="Palatino Linotype"/>
          <w:i/>
          <w:sz w:val="22"/>
          <w:szCs w:val="22"/>
        </w:rPr>
        <w:t>X. Presentar ante el Comité, el proyecto de clasificación de información;</w:t>
      </w:r>
    </w:p>
    <w:p w:rsidR="001037F6" w:rsidRDefault="00292EC8">
      <w:pPr>
        <w:ind w:left="851" w:right="901"/>
        <w:jc w:val="both"/>
        <w:rPr>
          <w:sz w:val="22"/>
          <w:szCs w:val="22"/>
        </w:rPr>
      </w:pPr>
      <w:r>
        <w:rPr>
          <w:rFonts w:ascii="Palatino Linotype" w:eastAsia="Palatino Linotype" w:hAnsi="Palatino Linotype" w:cs="Palatino Linotype"/>
          <w:i/>
          <w:sz w:val="22"/>
          <w:szCs w:val="22"/>
        </w:rPr>
        <w:t>XI. Promover e implementar políticas de transparencia proactiva procurando su accesibilidad;</w:t>
      </w:r>
    </w:p>
    <w:p w:rsidR="001037F6" w:rsidRDefault="00292EC8">
      <w:pPr>
        <w:ind w:left="851" w:right="901"/>
        <w:jc w:val="both"/>
        <w:rPr>
          <w:sz w:val="22"/>
          <w:szCs w:val="22"/>
        </w:rPr>
      </w:pPr>
      <w:r>
        <w:rPr>
          <w:rFonts w:ascii="Palatino Linotype" w:eastAsia="Palatino Linotype" w:hAnsi="Palatino Linotype" w:cs="Palatino Linotype"/>
          <w:i/>
          <w:sz w:val="22"/>
          <w:szCs w:val="22"/>
        </w:rPr>
        <w:t>XII. Fomentar la transparencia y accesibilidad al interior del</w:t>
      </w:r>
      <w:r>
        <w:rPr>
          <w:rFonts w:ascii="Palatino Linotype" w:eastAsia="Palatino Linotype" w:hAnsi="Palatino Linotype" w:cs="Palatino Linotype"/>
          <w:i/>
          <w:sz w:val="22"/>
          <w:szCs w:val="22"/>
        </w:rPr>
        <w:t xml:space="preserve"> sujeto obligado;</w:t>
      </w:r>
    </w:p>
    <w:p w:rsidR="001037F6" w:rsidRDefault="00292EC8">
      <w:pPr>
        <w:ind w:left="851" w:right="901"/>
        <w:jc w:val="both"/>
        <w:rPr>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rsidR="001037F6" w:rsidRDefault="00292EC8">
      <w:pPr>
        <w:ind w:left="851" w:right="901"/>
        <w:jc w:val="both"/>
        <w:rPr>
          <w:sz w:val="22"/>
          <w:szCs w:val="22"/>
        </w:rPr>
      </w:pPr>
      <w:r>
        <w:rPr>
          <w:rFonts w:ascii="Palatino Linotype" w:eastAsia="Palatino Linotype" w:hAnsi="Palatino Linotype" w:cs="Palatino Linotype"/>
          <w:i/>
          <w:sz w:val="22"/>
          <w:szCs w:val="22"/>
        </w:rPr>
        <w:t>XIV. Las demás que resulten necesarias para facilitar el acceso a la información</w:t>
      </w:r>
      <w:r>
        <w:rPr>
          <w:rFonts w:ascii="Palatino Linotype" w:eastAsia="Palatino Linotype" w:hAnsi="Palatino Linotype" w:cs="Palatino Linotype"/>
          <w:i/>
          <w:sz w:val="22"/>
          <w:szCs w:val="22"/>
        </w:rPr>
        <w:t xml:space="preserve"> y aquellas que se desprenden de la presente Ley y demás disposiciones jurídicas aplicables.</w:t>
      </w:r>
    </w:p>
    <w:p w:rsidR="001037F6" w:rsidRDefault="00292EC8">
      <w:pPr>
        <w:ind w:left="851" w:right="901"/>
        <w:jc w:val="both"/>
        <w:rPr>
          <w:sz w:val="22"/>
          <w:szCs w:val="22"/>
        </w:rPr>
      </w:pPr>
      <w:r>
        <w:rPr>
          <w:rFonts w:ascii="Palatino Linotype" w:eastAsia="Palatino Linotype" w:hAnsi="Palatino Linotype" w:cs="Palatino Linotype"/>
          <w:i/>
          <w:sz w:val="22"/>
          <w:szCs w:val="22"/>
        </w:rPr>
        <w:lastRenderedPageBreak/>
        <w:t>Los sujetos obligados promoverán acuerdos con instituciones públicas especializadas que pudieran auxiliarse a entregar las respuestas a solicitudes de información,</w:t>
      </w:r>
      <w:r>
        <w:rPr>
          <w:rFonts w:ascii="Palatino Linotype" w:eastAsia="Palatino Linotype" w:hAnsi="Palatino Linotype" w:cs="Palatino Linotype"/>
          <w:i/>
          <w:sz w:val="22"/>
          <w:szCs w:val="22"/>
        </w:rPr>
        <w:t xml:space="preserve"> en la lengua indígena, braille o cualquier formato accesible correspondiente, en forma más eficiente.</w:t>
      </w:r>
    </w:p>
    <w:p w:rsidR="001037F6" w:rsidRDefault="00292EC8">
      <w:pPr>
        <w:ind w:left="851" w:right="901"/>
        <w:jc w:val="both"/>
        <w:rPr>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w:t>
      </w:r>
      <w:r>
        <w:rPr>
          <w:rFonts w:ascii="Palatino Linotype" w:eastAsia="Palatino Linotype" w:hAnsi="Palatino Linotype" w:cs="Palatino Linotype"/>
          <w:i/>
          <w:sz w:val="22"/>
          <w:szCs w:val="22"/>
        </w:rPr>
        <w:t>s para asegurar que el entorno físico de las instalaciones cuente con los ajustes razonables, con el objeto de proporcionar adecuada accesibilidad que otorgue las facilidades necesarias, así como establecer procedimientos para brindar asesoría y atención a</w:t>
      </w:r>
      <w:r>
        <w:rPr>
          <w:rFonts w:ascii="Palatino Linotype" w:eastAsia="Palatino Linotype" w:hAnsi="Palatino Linotype" w:cs="Palatino Linotype"/>
          <w:i/>
          <w:sz w:val="22"/>
          <w:szCs w:val="22"/>
        </w:rPr>
        <w:t xml:space="preserve"> las personas con discapacidad, a fin de que puedan consultar los sistemas que integran la Plataforma Nacional de Transparencia, presentar solicitudes de acceso a la información y facilitar su gestión e interponer los recursos que las leyes establezcan.</w:t>
      </w:r>
    </w:p>
    <w:p w:rsidR="001037F6" w:rsidRDefault="001037F6">
      <w:pPr>
        <w:rPr>
          <w:sz w:val="22"/>
          <w:szCs w:val="22"/>
        </w:rPr>
      </w:pPr>
    </w:p>
    <w:p w:rsidR="001037F6" w:rsidRDefault="00292EC8">
      <w:pPr>
        <w:ind w:left="851" w:right="901"/>
        <w:jc w:val="both"/>
        <w:rPr>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b/>
          <w:i/>
          <w:sz w:val="22"/>
          <w:szCs w:val="22"/>
        </w:rPr>
        <w:t>rtículo 59</w:t>
      </w:r>
      <w:r>
        <w:rPr>
          <w:rFonts w:ascii="Palatino Linotype" w:eastAsia="Palatino Linotype" w:hAnsi="Palatino Linotype" w:cs="Palatino Linotype"/>
          <w:i/>
          <w:sz w:val="22"/>
          <w:szCs w:val="22"/>
        </w:rPr>
        <w:t>. Los servidores públicos habilitados tendrán las funciones siguientes:</w:t>
      </w:r>
    </w:p>
    <w:p w:rsidR="001037F6" w:rsidRDefault="00292EC8">
      <w:pPr>
        <w:ind w:left="851" w:right="901"/>
        <w:jc w:val="both"/>
        <w:rPr>
          <w:sz w:val="22"/>
          <w:szCs w:val="22"/>
        </w:rPr>
      </w:pPr>
      <w:r>
        <w:rPr>
          <w:rFonts w:ascii="Palatino Linotype" w:eastAsia="Palatino Linotype" w:hAnsi="Palatino Linotype" w:cs="Palatino Linotype"/>
          <w:i/>
          <w:sz w:val="22"/>
          <w:szCs w:val="22"/>
        </w:rPr>
        <w:t>I. Localizar la información que le solicite la Unidad de Transparencia;</w:t>
      </w:r>
    </w:p>
    <w:p w:rsidR="001037F6" w:rsidRDefault="00292EC8">
      <w:pPr>
        <w:ind w:left="851" w:right="901"/>
        <w:jc w:val="both"/>
        <w:rPr>
          <w:sz w:val="22"/>
          <w:szCs w:val="22"/>
        </w:rPr>
      </w:pPr>
      <w:r>
        <w:rPr>
          <w:rFonts w:ascii="Palatino Linotype" w:eastAsia="Palatino Linotype" w:hAnsi="Palatino Linotype" w:cs="Palatino Linotype"/>
          <w:i/>
          <w:sz w:val="22"/>
          <w:szCs w:val="22"/>
        </w:rPr>
        <w:t>II. Proporcionar la información que obre en los archivos y que le sea solicitada por la Unidad de Tran</w:t>
      </w:r>
      <w:r>
        <w:rPr>
          <w:rFonts w:ascii="Palatino Linotype" w:eastAsia="Palatino Linotype" w:hAnsi="Palatino Linotype" w:cs="Palatino Linotype"/>
          <w:i/>
          <w:sz w:val="22"/>
          <w:szCs w:val="22"/>
        </w:rPr>
        <w:t>sparencia;</w:t>
      </w:r>
    </w:p>
    <w:p w:rsidR="001037F6" w:rsidRDefault="00292EC8">
      <w:pPr>
        <w:ind w:left="851" w:right="901"/>
        <w:jc w:val="both"/>
        <w:rPr>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rsidR="001037F6" w:rsidRDefault="00292EC8">
      <w:pPr>
        <w:ind w:left="851" w:right="901"/>
        <w:jc w:val="both"/>
        <w:rPr>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1037F6" w:rsidRDefault="00292EC8">
      <w:pPr>
        <w:ind w:left="851" w:right="901"/>
        <w:jc w:val="both"/>
        <w:rPr>
          <w:sz w:val="22"/>
          <w:szCs w:val="22"/>
        </w:rPr>
      </w:pPr>
      <w:r>
        <w:rPr>
          <w:rFonts w:ascii="Palatino Linotype" w:eastAsia="Palatino Linotype" w:hAnsi="Palatino Linotype" w:cs="Palatino Linotype"/>
          <w:i/>
          <w:sz w:val="22"/>
          <w:szCs w:val="22"/>
        </w:rPr>
        <w:t>V. Integrar y p</w:t>
      </w:r>
      <w:r>
        <w:rPr>
          <w:rFonts w:ascii="Palatino Linotype" w:eastAsia="Palatino Linotype" w:hAnsi="Palatino Linotype" w:cs="Palatino Linotype"/>
          <w:i/>
          <w:sz w:val="22"/>
          <w:szCs w:val="22"/>
        </w:rPr>
        <w:t>resentar al responsable de la Unidad de Transparencia la propuesta de clasificación de información, la cual tendrá los fundamentos y argumentos en que se basa dicha propuesta;</w:t>
      </w:r>
    </w:p>
    <w:p w:rsidR="001037F6" w:rsidRDefault="00292EC8">
      <w:pPr>
        <w:ind w:left="851" w:right="901"/>
        <w:jc w:val="both"/>
        <w:rPr>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1037F6" w:rsidRDefault="00292EC8">
      <w:pPr>
        <w:ind w:left="851" w:right="901"/>
        <w:jc w:val="both"/>
        <w:rPr>
          <w:sz w:val="22"/>
          <w:szCs w:val="22"/>
        </w:rPr>
      </w:pPr>
      <w:r>
        <w:rPr>
          <w:rFonts w:ascii="Palatino Linotype" w:eastAsia="Palatino Linotype" w:hAnsi="Palatino Linotype" w:cs="Palatino Linotype"/>
          <w:i/>
          <w:sz w:val="22"/>
          <w:szCs w:val="22"/>
        </w:rPr>
        <w:t>VII. Dar cuenta a la Unidad de Transparencia del vencimiento de los plazos de reserva.</w:t>
      </w:r>
    </w:p>
    <w:p w:rsidR="001037F6" w:rsidRDefault="001037F6">
      <w:pPr>
        <w:rPr>
          <w:sz w:val="22"/>
          <w:szCs w:val="22"/>
        </w:rPr>
      </w:pPr>
    </w:p>
    <w:p w:rsidR="001037F6" w:rsidRDefault="00292EC8">
      <w:pPr>
        <w:ind w:left="851" w:right="901"/>
        <w:jc w:val="both"/>
        <w:rPr>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Las unidades de transp</w:t>
      </w:r>
      <w:r>
        <w:rPr>
          <w:rFonts w:ascii="Palatino Linotype" w:eastAsia="Palatino Linotype" w:hAnsi="Palatino Linotype" w:cs="Palatino Linotype"/>
          <w:i/>
          <w:sz w:val="22"/>
          <w:szCs w:val="22"/>
        </w:rPr>
        <w:t>arencia deberán garantizar que las solicitudes se turnen a todas las Áreas competentes que cuenten con la información o deban tenerla de acuerdo a sus facultades, competencias y funciones, con el objeto de que realicen una búsqueda exhaustiva y razonable d</w:t>
      </w:r>
      <w:r>
        <w:rPr>
          <w:rFonts w:ascii="Palatino Linotype" w:eastAsia="Palatino Linotype" w:hAnsi="Palatino Linotype" w:cs="Palatino Linotype"/>
          <w:i/>
          <w:sz w:val="22"/>
          <w:szCs w:val="22"/>
        </w:rPr>
        <w:t>e la información solicitada.”</w:t>
      </w:r>
    </w:p>
    <w:p w:rsidR="001037F6" w:rsidRDefault="00292EC8">
      <w:pPr>
        <w:ind w:left="851" w:right="901"/>
        <w:jc w:val="both"/>
        <w:rPr>
          <w:sz w:val="22"/>
          <w:szCs w:val="22"/>
        </w:rPr>
      </w:pPr>
      <w:r>
        <w:rPr>
          <w:rFonts w:ascii="Palatino Linotype" w:eastAsia="Palatino Linotype" w:hAnsi="Palatino Linotype" w:cs="Palatino Linotype"/>
          <w:i/>
          <w:sz w:val="22"/>
          <w:szCs w:val="22"/>
        </w:rPr>
        <w:t>(Énfasis añadido)</w:t>
      </w:r>
    </w:p>
    <w:p w:rsidR="001037F6" w:rsidRDefault="001037F6">
      <w:pPr>
        <w:spacing w:line="360" w:lineRule="auto"/>
        <w:jc w:val="both"/>
        <w:rPr>
          <w:rFonts w:ascii="Palatino Linotype" w:eastAsia="Palatino Linotype" w:hAnsi="Palatino Linotype" w:cs="Palatino Linotype"/>
        </w:rPr>
      </w:pP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la normatividad en cita, se desprende que las Unidades de Transparencia, se erigen como el área responsable en cada Sujeto Obligado que tiene a su cargo la atención de las solicitudes de información que s</w:t>
      </w:r>
      <w:r>
        <w:rPr>
          <w:rFonts w:ascii="Palatino Linotype" w:eastAsia="Palatino Linotype" w:hAnsi="Palatino Linotype" w:cs="Palatino Linotype"/>
        </w:rPr>
        <w:t xml:space="preserve">e realicen al amparo de la Ley. El responsable de dicha área funge como enlace entre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y los solicitantes, y tiene bajo su responsabilidad el tramitar internamente la solicitud de información.</w:t>
      </w:r>
    </w:p>
    <w:p w:rsidR="001037F6" w:rsidRDefault="001037F6">
      <w:pPr>
        <w:spacing w:line="360" w:lineRule="auto"/>
        <w:jc w:val="both"/>
      </w:pPr>
    </w:p>
    <w:p w:rsidR="001037F6" w:rsidRDefault="00292EC8">
      <w:pPr>
        <w:spacing w:line="360" w:lineRule="auto"/>
        <w:jc w:val="both"/>
      </w:pPr>
      <w:r>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sino que pudiera obrar en las distintas áreas que conforman la estructura de</w:t>
      </w:r>
      <w:r>
        <w:rPr>
          <w:rFonts w:ascii="Palatino Linotype" w:eastAsia="Palatino Linotype" w:hAnsi="Palatino Linotype" w:cs="Palatino Linotype"/>
        </w:rPr>
        <w:t xml:space="preserv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rsidR="001037F6" w:rsidRDefault="001037F6">
      <w:pPr>
        <w:spacing w:line="360" w:lineRule="auto"/>
      </w:pPr>
    </w:p>
    <w:p w:rsidR="001037F6" w:rsidRDefault="00292EC8">
      <w:pPr>
        <w:spacing w:line="360" w:lineRule="auto"/>
        <w:jc w:val="both"/>
      </w:pPr>
      <w:r>
        <w:rPr>
          <w:rFonts w:ascii="Palatino Linotype" w:eastAsia="Palatino Linotype" w:hAnsi="Palatino Linotype" w:cs="Palatino Linotype"/>
        </w:rPr>
        <w:t xml:space="preserve">Es así que, le corresponde al </w:t>
      </w:r>
      <w:r>
        <w:rPr>
          <w:rFonts w:ascii="Palatino Linotype" w:eastAsia="Palatino Linotype" w:hAnsi="Palatino Linotype" w:cs="Palatino Linotype"/>
          <w:b/>
        </w:rPr>
        <w:t>Titular de la Unidad de Transparencia el garantizar que las solicitudes se turnen a las áreas competentes que puedan contar con la información</w:t>
      </w:r>
      <w:r>
        <w:rPr>
          <w:rFonts w:ascii="Palatino Linotype" w:eastAsia="Palatino Linotype" w:hAnsi="Palatino Linotype" w:cs="Palatino Linotype"/>
        </w:rPr>
        <w:t>, con el objeto de que se realice una búsqueda exhaustiva y razonable de la misma. </w:t>
      </w:r>
    </w:p>
    <w:p w:rsidR="001037F6" w:rsidRDefault="001037F6">
      <w:pPr>
        <w:spacing w:line="360" w:lineRule="auto"/>
        <w:jc w:val="both"/>
        <w:rPr>
          <w:rFonts w:ascii="Palatino Linotype" w:eastAsia="Palatino Linotype" w:hAnsi="Palatino Linotype" w:cs="Palatino Linotype"/>
        </w:rPr>
      </w:pPr>
    </w:p>
    <w:p w:rsidR="001037F6" w:rsidRDefault="00292EC8">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No obstante lo anterior, durante la sustanciación del Medio de Impugnación, la Dirección de lo Jurídico y Consultivo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informe justificado envía respuesta y  precisa que:  “… </w:t>
      </w:r>
      <w:r>
        <w:rPr>
          <w:rFonts w:ascii="Palatino Linotype" w:eastAsia="Palatino Linotype" w:hAnsi="Palatino Linotype" w:cs="Palatino Linotype"/>
          <w:i/>
        </w:rPr>
        <w:t>derivado de que la petición planteada no desprende per</w:t>
      </w:r>
      <w:r>
        <w:rPr>
          <w:rFonts w:ascii="Palatino Linotype" w:eastAsia="Palatino Linotype" w:hAnsi="Palatino Linotype" w:cs="Palatino Linotype"/>
          <w:i/>
        </w:rPr>
        <w:t xml:space="preserve">iodo alguno de referencia para realizar la búsqueda respectiva y considerando el Criterio 03/19, emitido por el Instituto Nacional de Transparencia Acceso a la Información </w:t>
      </w:r>
      <w:r>
        <w:rPr>
          <w:rFonts w:ascii="Palatino Linotype" w:eastAsia="Palatino Linotype" w:hAnsi="Palatino Linotype" w:cs="Palatino Linotype"/>
          <w:i/>
        </w:rPr>
        <w:lastRenderedPageBreak/>
        <w:t>y Protección de Datos Personales, i</w:t>
      </w:r>
      <w:r>
        <w:rPr>
          <w:rFonts w:ascii="Palatino Linotype" w:eastAsia="Palatino Linotype" w:hAnsi="Palatino Linotype" w:cs="Palatino Linotype"/>
          <w:b/>
          <w:i/>
          <w:u w:val="single"/>
        </w:rPr>
        <w:t>nforma</w:t>
      </w:r>
      <w:r>
        <w:rPr>
          <w:rFonts w:ascii="Palatino Linotype" w:eastAsia="Palatino Linotype" w:hAnsi="Palatino Linotype" w:cs="Palatino Linotype"/>
          <w:b/>
          <w:u w:val="single"/>
        </w:rPr>
        <w:t xml:space="preserve"> </w:t>
      </w:r>
      <w:r>
        <w:rPr>
          <w:rFonts w:ascii="Palatino Linotype" w:eastAsia="Palatino Linotype" w:hAnsi="Palatino Linotype" w:cs="Palatino Linotype"/>
          <w:b/>
          <w:i/>
          <w:u w:val="single"/>
        </w:rPr>
        <w:t>que no existe procedimiento administrativo</w:t>
      </w:r>
      <w:r>
        <w:rPr>
          <w:rFonts w:ascii="Palatino Linotype" w:eastAsia="Palatino Linotype" w:hAnsi="Palatino Linotype" w:cs="Palatino Linotype"/>
          <w:b/>
          <w:i/>
          <w:u w:val="single"/>
        </w:rPr>
        <w:t xml:space="preserve"> resarcitorio en contra de la presidenta del DIF municipal de San José del Rincón Gabriela Reyes Gutiérrez por el periodo de un año anterior a esta fecha</w:t>
      </w:r>
      <w:r>
        <w:rPr>
          <w:rFonts w:ascii="Palatino Linotype" w:eastAsia="Palatino Linotype" w:hAnsi="Palatino Linotype" w:cs="Palatino Linotype"/>
          <w:i/>
        </w:rPr>
        <w:t>…”</w:t>
      </w:r>
    </w:p>
    <w:p w:rsidR="001037F6" w:rsidRDefault="001037F6">
      <w:pPr>
        <w:spacing w:line="360" w:lineRule="auto"/>
        <w:jc w:val="both"/>
        <w:rPr>
          <w:rFonts w:ascii="Palatino Linotype" w:eastAsia="Palatino Linotype" w:hAnsi="Palatino Linotype" w:cs="Palatino Linotype"/>
        </w:rPr>
      </w:pPr>
    </w:p>
    <w:p w:rsidR="001037F6" w:rsidRDefault="00292EC8">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lo que, del análisis a los archivos descritos anteriormente, en especial del alcance al informe</w:t>
      </w:r>
      <w:r>
        <w:rPr>
          <w:rFonts w:ascii="Palatino Linotype" w:eastAsia="Palatino Linotype" w:hAnsi="Palatino Linotype" w:cs="Palatino Linotype"/>
        </w:rPr>
        <w:t xml:space="preserve"> justificado,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modifica su respuesta, informando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i/>
          <w:u w:val="single"/>
        </w:rPr>
        <w:t>que no existe procedimiento administrativo resarcitorio en contra de la presidenta del DIF municipal de San José del Rincón Gabriela Reyes Gutiérrez por el per</w:t>
      </w:r>
      <w:r>
        <w:rPr>
          <w:rFonts w:ascii="Palatino Linotype" w:eastAsia="Palatino Linotype" w:hAnsi="Palatino Linotype" w:cs="Palatino Linotype"/>
          <w:b/>
          <w:i/>
          <w:u w:val="single"/>
        </w:rPr>
        <w:t>iodo de un año anterior a esta fecha</w:t>
      </w:r>
      <w:r>
        <w:rPr>
          <w:rFonts w:ascii="Palatino Linotype" w:eastAsia="Palatino Linotype" w:hAnsi="Palatino Linotype" w:cs="Palatino Linotype"/>
          <w:i/>
        </w:rPr>
        <w:t>.</w:t>
      </w:r>
      <w:r>
        <w:rPr>
          <w:rFonts w:ascii="Palatino Linotype" w:eastAsia="Palatino Linotype" w:hAnsi="Palatino Linotype" w:cs="Palatino Linotype"/>
        </w:rPr>
        <w:t xml:space="preserve"> Por lo que se estima necesario señalar que en efecto la información proporcionada mediante el informe justificado, corresponde con lo solicitado.</w:t>
      </w:r>
    </w:p>
    <w:p w:rsidR="001037F6" w:rsidRDefault="00292EC8">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se puede advertir que en el informe justificado, el </w:t>
      </w:r>
      <w:r>
        <w:rPr>
          <w:rFonts w:ascii="Palatino Linotype" w:eastAsia="Palatino Linotype" w:hAnsi="Palatino Linotype" w:cs="Palatino Linotype"/>
          <w:b/>
          <w:color w:val="000000"/>
        </w:rPr>
        <w:t xml:space="preserve">SUJETO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manifiesta conocer de los procedimientos administrativos resarcitorios, así también, que dicha figura no forma parte de las nuevas disposiciones en materia de responsabilidad administrativa, por lo que es importante referir las atribuciones que el </w:t>
      </w:r>
      <w:r>
        <w:rPr>
          <w:rFonts w:ascii="Palatino Linotype" w:eastAsia="Palatino Linotype" w:hAnsi="Palatino Linotype" w:cs="Palatino Linotype"/>
          <w:b/>
          <w:color w:val="000000"/>
        </w:rPr>
        <w:t>SUJETO</w:t>
      </w:r>
      <w:r>
        <w:rPr>
          <w:rFonts w:ascii="Palatino Linotype" w:eastAsia="Palatino Linotype" w:hAnsi="Palatino Linotype" w:cs="Palatino Linotype"/>
          <w:b/>
          <w:color w:val="000000"/>
        </w:rPr>
        <w:t xml:space="preserve"> OBLIGADO</w:t>
      </w:r>
      <w:r>
        <w:rPr>
          <w:rFonts w:ascii="Palatino Linotype" w:eastAsia="Palatino Linotype" w:hAnsi="Palatino Linotype" w:cs="Palatino Linotype"/>
          <w:color w:val="000000"/>
        </w:rPr>
        <w:t xml:space="preserve">, posee para dar a conocer la información, mediante el siguiente marco jurídico: </w:t>
      </w:r>
    </w:p>
    <w:p w:rsidR="001037F6" w:rsidRDefault="001037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037F6" w:rsidRDefault="001037F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037F6" w:rsidRDefault="00292EC8">
      <w:pPr>
        <w:pBdr>
          <w:top w:val="nil"/>
          <w:left w:val="nil"/>
          <w:bottom w:val="nil"/>
          <w:right w:val="nil"/>
          <w:between w:val="nil"/>
        </w:pBdr>
        <w:ind w:left="992"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Orgánica del Poder Legislativo del Estado Libre y</w:t>
      </w:r>
    </w:p>
    <w:p w:rsidR="001037F6" w:rsidRDefault="00292EC8">
      <w:pPr>
        <w:pBdr>
          <w:top w:val="nil"/>
          <w:left w:val="nil"/>
          <w:bottom w:val="nil"/>
          <w:right w:val="nil"/>
          <w:between w:val="nil"/>
        </w:pBdr>
        <w:ind w:left="992"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Soberano de México</w:t>
      </w:r>
    </w:p>
    <w:p w:rsidR="001037F6" w:rsidRDefault="001037F6">
      <w:pPr>
        <w:pBdr>
          <w:top w:val="nil"/>
          <w:left w:val="nil"/>
          <w:bottom w:val="nil"/>
          <w:right w:val="nil"/>
          <w:between w:val="nil"/>
        </w:pBdr>
        <w:ind w:left="992" w:right="902"/>
        <w:jc w:val="center"/>
        <w:rPr>
          <w:rFonts w:ascii="Palatino Linotype" w:eastAsia="Palatino Linotype" w:hAnsi="Palatino Linotype" w:cs="Palatino Linotype"/>
          <w:b/>
          <w:i/>
          <w:color w:val="000000"/>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94.- Para el ejercicio de sus funciones, la Legislatura contará con las dependencias siguientes:</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 </w:t>
      </w:r>
      <w:r>
        <w:rPr>
          <w:rFonts w:ascii="Palatino Linotype" w:eastAsia="Palatino Linotype" w:hAnsi="Palatino Linotype" w:cs="Palatino Linotype"/>
          <w:b/>
          <w:i/>
          <w:sz w:val="22"/>
          <w:szCs w:val="22"/>
        </w:rPr>
        <w:t>Órgano Superior de Fiscalización;</w:t>
      </w:r>
      <w:r>
        <w:rPr>
          <w:rFonts w:ascii="Palatino Linotype" w:eastAsia="Palatino Linotype" w:hAnsi="Palatino Linotype" w:cs="Palatino Linotype"/>
          <w:i/>
          <w:sz w:val="22"/>
          <w:szCs w:val="22"/>
        </w:rPr>
        <w:t xml:space="preserve">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Secretaría de Asuntos Parlamentarios;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Contraloría;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Secretaría de Administración y Finanzas;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w:t>
      </w:r>
      <w:r>
        <w:rPr>
          <w:rFonts w:ascii="Palatino Linotype" w:eastAsia="Palatino Linotype" w:hAnsi="Palatino Linotype" w:cs="Palatino Linotype"/>
          <w:i/>
          <w:sz w:val="22"/>
          <w:szCs w:val="22"/>
        </w:rPr>
        <w:t xml:space="preserve">. Dirección General de Comunicación Social;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Instituto de Estudios Legislativos.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Unidad de Información. </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Asimismo, podrá disponer la creación de otras que sean necesarias.</w:t>
      </w:r>
    </w:p>
    <w:p w:rsidR="001037F6" w:rsidRDefault="00292EC8">
      <w:pPr>
        <w:spacing w:before="280" w:after="280"/>
        <w:ind w:left="993" w:right="900"/>
        <w:jc w:val="center"/>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Ley de </w:t>
      </w:r>
      <w:proofErr w:type="spellStart"/>
      <w:r>
        <w:rPr>
          <w:rFonts w:ascii="Palatino Linotype" w:eastAsia="Palatino Linotype" w:hAnsi="Palatino Linotype" w:cs="Palatino Linotype"/>
          <w:b/>
          <w:i/>
          <w:sz w:val="22"/>
          <w:szCs w:val="22"/>
        </w:rPr>
        <w:t>Fiscalizacion</w:t>
      </w:r>
      <w:proofErr w:type="spellEnd"/>
      <w:r>
        <w:rPr>
          <w:rFonts w:ascii="Palatino Linotype" w:eastAsia="Palatino Linotype" w:hAnsi="Palatino Linotype" w:cs="Palatino Linotype"/>
          <w:b/>
          <w:i/>
          <w:sz w:val="22"/>
          <w:szCs w:val="22"/>
        </w:rPr>
        <w:t xml:space="preserve"> Superior del Estado de </w:t>
      </w:r>
      <w:proofErr w:type="spellStart"/>
      <w:r>
        <w:rPr>
          <w:rFonts w:ascii="Palatino Linotype" w:eastAsia="Palatino Linotype" w:hAnsi="Palatino Linotype" w:cs="Palatino Linotype"/>
          <w:b/>
          <w:i/>
          <w:sz w:val="22"/>
          <w:szCs w:val="22"/>
        </w:rPr>
        <w:t>México</w:t>
      </w:r>
      <w:proofErr w:type="spellEnd"/>
    </w:p>
    <w:p w:rsidR="001037F6" w:rsidRDefault="00292EC8">
      <w:pPr>
        <w:spacing w:before="280" w:after="280"/>
        <w:ind w:left="993" w:right="900"/>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i/>
          <w:sz w:val="22"/>
          <w:szCs w:val="22"/>
        </w:rPr>
        <w:t>Artículo</w:t>
      </w:r>
      <w:proofErr w:type="spellEnd"/>
      <w:r>
        <w:rPr>
          <w:rFonts w:ascii="Palatino Linotype" w:eastAsia="Palatino Linotype" w:hAnsi="Palatino Linotype" w:cs="Palatino Linotype"/>
          <w:b/>
          <w:i/>
          <w:sz w:val="22"/>
          <w:szCs w:val="22"/>
        </w:rPr>
        <w:t xml:space="preserve"> 1. </w:t>
      </w:r>
      <w:r>
        <w:rPr>
          <w:rFonts w:ascii="Palatino Linotype" w:eastAsia="Palatino Linotype" w:hAnsi="Palatino Linotype" w:cs="Palatino Linotype"/>
          <w:i/>
          <w:sz w:val="22"/>
          <w:szCs w:val="22"/>
        </w:rPr>
        <w:t xml:space="preserve">La presente Ley es de orden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e </w:t>
      </w:r>
      <w:proofErr w:type="spellStart"/>
      <w:r>
        <w:rPr>
          <w:rFonts w:ascii="Palatino Linotype" w:eastAsia="Palatino Linotype" w:hAnsi="Palatino Linotype" w:cs="Palatino Linotype"/>
          <w:i/>
          <w:sz w:val="22"/>
          <w:szCs w:val="22"/>
        </w:rPr>
        <w:t>interés</w:t>
      </w:r>
      <w:proofErr w:type="spellEnd"/>
      <w:r>
        <w:rPr>
          <w:rFonts w:ascii="Palatino Linotype" w:eastAsia="Palatino Linotype" w:hAnsi="Palatino Linotype" w:cs="Palatino Linotype"/>
          <w:i/>
          <w:sz w:val="22"/>
          <w:szCs w:val="22"/>
        </w:rPr>
        <w:t xml:space="preserve"> general y tiene por objeto </w:t>
      </w:r>
      <w:r>
        <w:rPr>
          <w:rFonts w:ascii="Palatino Linotype" w:eastAsia="Palatino Linotype" w:hAnsi="Palatino Linotype" w:cs="Palatino Linotype"/>
          <w:b/>
          <w:i/>
          <w:sz w:val="22"/>
          <w:szCs w:val="22"/>
        </w:rPr>
        <w:t xml:space="preserve">regular la </w:t>
      </w:r>
      <w:proofErr w:type="spellStart"/>
      <w:r>
        <w:rPr>
          <w:rFonts w:ascii="Palatino Linotype" w:eastAsia="Palatino Linotype" w:hAnsi="Palatino Linotype" w:cs="Palatino Linotype"/>
          <w:b/>
          <w:i/>
          <w:sz w:val="22"/>
          <w:szCs w:val="22"/>
        </w:rPr>
        <w:t>actuación</w:t>
      </w:r>
      <w:proofErr w:type="spellEnd"/>
      <w:r>
        <w:rPr>
          <w:rFonts w:ascii="Palatino Linotype" w:eastAsia="Palatino Linotype" w:hAnsi="Palatino Linotype" w:cs="Palatino Linotype"/>
          <w:b/>
          <w:i/>
          <w:sz w:val="22"/>
          <w:szCs w:val="22"/>
        </w:rPr>
        <w:t xml:space="preserve"> del </w:t>
      </w:r>
      <w:proofErr w:type="spellStart"/>
      <w:r>
        <w:rPr>
          <w:rFonts w:ascii="Palatino Linotype" w:eastAsia="Palatino Linotype" w:hAnsi="Palatino Linotype" w:cs="Palatino Linotype"/>
          <w:b/>
          <w:i/>
          <w:sz w:val="22"/>
          <w:szCs w:val="22"/>
        </w:rPr>
        <w:t>Órgano</w:t>
      </w:r>
      <w:proofErr w:type="spellEnd"/>
      <w:r>
        <w:rPr>
          <w:rFonts w:ascii="Palatino Linotype" w:eastAsia="Palatino Linotype" w:hAnsi="Palatino Linotype" w:cs="Palatino Linotype"/>
          <w:b/>
          <w:i/>
          <w:sz w:val="22"/>
          <w:szCs w:val="22"/>
        </w:rPr>
        <w:t xml:space="preserve"> Superior de </w:t>
      </w:r>
      <w:proofErr w:type="spellStart"/>
      <w:r>
        <w:rPr>
          <w:rFonts w:ascii="Palatino Linotype" w:eastAsia="Palatino Linotype" w:hAnsi="Palatino Linotype" w:cs="Palatino Linotype"/>
          <w:b/>
          <w:i/>
          <w:sz w:val="22"/>
          <w:szCs w:val="22"/>
        </w:rPr>
        <w:t>Fiscalización</w:t>
      </w:r>
      <w:proofErr w:type="spellEnd"/>
      <w:r>
        <w:rPr>
          <w:rFonts w:ascii="Palatino Linotype" w:eastAsia="Palatino Linotype" w:hAnsi="Palatino Linotype" w:cs="Palatino Linotype"/>
          <w:b/>
          <w:i/>
          <w:sz w:val="22"/>
          <w:szCs w:val="22"/>
        </w:rPr>
        <w:t xml:space="preserve"> del Estado de </w:t>
      </w:r>
      <w:proofErr w:type="spellStart"/>
      <w:r>
        <w:rPr>
          <w:rFonts w:ascii="Palatino Linotype" w:eastAsia="Palatino Linotype" w:hAnsi="Palatino Linotype" w:cs="Palatino Linotype"/>
          <w:b/>
          <w:i/>
          <w:sz w:val="22"/>
          <w:szCs w:val="22"/>
        </w:rPr>
        <w:t>México</w:t>
      </w:r>
      <w:proofErr w:type="spellEnd"/>
      <w:r>
        <w:rPr>
          <w:rFonts w:ascii="Palatino Linotype" w:eastAsia="Palatino Linotype" w:hAnsi="Palatino Linotype" w:cs="Palatino Linotype"/>
          <w:i/>
          <w:sz w:val="22"/>
          <w:szCs w:val="22"/>
        </w:rPr>
        <w:t xml:space="preserve">, como la Entidad Estatal de </w:t>
      </w:r>
      <w:proofErr w:type="spellStart"/>
      <w:r>
        <w:rPr>
          <w:rFonts w:ascii="Palatino Linotype" w:eastAsia="Palatino Linotype" w:hAnsi="Palatino Linotype" w:cs="Palatino Linotype"/>
          <w:i/>
          <w:sz w:val="22"/>
          <w:szCs w:val="22"/>
        </w:rPr>
        <w:t>Fiscalización</w:t>
      </w:r>
      <w:proofErr w:type="spellEnd"/>
      <w:r>
        <w:rPr>
          <w:rFonts w:ascii="Palatino Linotype" w:eastAsia="Palatino Linotype" w:hAnsi="Palatino Linotype" w:cs="Palatino Linotype"/>
          <w:i/>
          <w:sz w:val="22"/>
          <w:szCs w:val="22"/>
        </w:rPr>
        <w:t xml:space="preserve"> en </w:t>
      </w:r>
      <w:proofErr w:type="spellStart"/>
      <w:r>
        <w:rPr>
          <w:rFonts w:ascii="Palatino Linotype" w:eastAsia="Palatino Linotype" w:hAnsi="Palatino Linotype" w:cs="Palatino Linotype"/>
          <w:i/>
          <w:sz w:val="22"/>
          <w:szCs w:val="22"/>
        </w:rPr>
        <w:t>términos</w:t>
      </w:r>
      <w:proofErr w:type="spellEnd"/>
      <w:r>
        <w:rPr>
          <w:rFonts w:ascii="Palatino Linotype" w:eastAsia="Palatino Linotype" w:hAnsi="Palatino Linotype" w:cs="Palatino Linotype"/>
          <w:i/>
          <w:sz w:val="22"/>
          <w:szCs w:val="22"/>
        </w:rPr>
        <w:t xml:space="preserve"> de la </w:t>
      </w:r>
      <w:proofErr w:type="spellStart"/>
      <w:r>
        <w:rPr>
          <w:rFonts w:ascii="Palatino Linotype" w:eastAsia="Palatino Linotype" w:hAnsi="Palatino Linotype" w:cs="Palatino Linotype"/>
          <w:i/>
          <w:sz w:val="22"/>
          <w:szCs w:val="22"/>
        </w:rPr>
        <w:t>Constitución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Política</w:t>
      </w:r>
      <w:proofErr w:type="spellEnd"/>
      <w:r>
        <w:rPr>
          <w:rFonts w:ascii="Palatino Linotype" w:eastAsia="Palatino Linotype" w:hAnsi="Palatino Linotype" w:cs="Palatino Linotype"/>
          <w:i/>
          <w:sz w:val="22"/>
          <w:szCs w:val="22"/>
        </w:rPr>
        <w:t xml:space="preserve"> de los Estad</w:t>
      </w:r>
      <w:r>
        <w:rPr>
          <w:rFonts w:ascii="Palatino Linotype" w:eastAsia="Palatino Linotype" w:hAnsi="Palatino Linotype" w:cs="Palatino Linotype"/>
          <w:i/>
          <w:sz w:val="22"/>
          <w:szCs w:val="22"/>
        </w:rPr>
        <w:t xml:space="preserve">os Unidos Mexicanos y la </w:t>
      </w:r>
      <w:proofErr w:type="spellStart"/>
      <w:r>
        <w:rPr>
          <w:rFonts w:ascii="Palatino Linotype" w:eastAsia="Palatino Linotype" w:hAnsi="Palatino Linotype" w:cs="Palatino Linotype"/>
          <w:i/>
          <w:sz w:val="22"/>
          <w:szCs w:val="22"/>
        </w:rPr>
        <w:t>Constitución</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Política</w:t>
      </w:r>
      <w:proofErr w:type="spellEnd"/>
      <w:r>
        <w:rPr>
          <w:rFonts w:ascii="Palatino Linotype" w:eastAsia="Palatino Linotype" w:hAnsi="Palatino Linotype" w:cs="Palatino Linotype"/>
          <w:i/>
          <w:sz w:val="22"/>
          <w:szCs w:val="22"/>
        </w:rPr>
        <w:t xml:space="preserve"> del Estado Libre y Soberano de </w:t>
      </w:r>
      <w:proofErr w:type="spellStart"/>
      <w:r>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xml:space="preserve">, competente en materia de </w:t>
      </w:r>
      <w:proofErr w:type="spellStart"/>
      <w:r>
        <w:rPr>
          <w:rFonts w:ascii="Palatino Linotype" w:eastAsia="Palatino Linotype" w:hAnsi="Palatino Linotype" w:cs="Palatino Linotype"/>
          <w:i/>
          <w:sz w:val="22"/>
          <w:szCs w:val="22"/>
        </w:rPr>
        <w:t>revisión</w:t>
      </w:r>
      <w:proofErr w:type="spellEnd"/>
      <w:r>
        <w:rPr>
          <w:rFonts w:ascii="Palatino Linotype" w:eastAsia="Palatino Linotype" w:hAnsi="Palatino Linotype" w:cs="Palatino Linotype"/>
          <w:i/>
          <w:sz w:val="22"/>
          <w:szCs w:val="22"/>
        </w:rPr>
        <w:t xml:space="preserve"> y </w:t>
      </w:r>
      <w:proofErr w:type="spellStart"/>
      <w:r>
        <w:rPr>
          <w:rFonts w:ascii="Palatino Linotype" w:eastAsia="Palatino Linotype" w:hAnsi="Palatino Linotype" w:cs="Palatino Linotype"/>
          <w:i/>
          <w:sz w:val="22"/>
          <w:szCs w:val="22"/>
        </w:rPr>
        <w:t>fiscalización</w:t>
      </w:r>
      <w:proofErr w:type="spellEnd"/>
      <w:r>
        <w:rPr>
          <w:rFonts w:ascii="Palatino Linotype" w:eastAsia="Palatino Linotype" w:hAnsi="Palatino Linotype" w:cs="Palatino Linotype"/>
          <w:i/>
          <w:sz w:val="22"/>
          <w:szCs w:val="22"/>
        </w:rPr>
        <w:t xml:space="preserve"> de los fondos, cuentas </w:t>
      </w:r>
      <w:proofErr w:type="spellStart"/>
      <w:r>
        <w:rPr>
          <w:rFonts w:ascii="Palatino Linotype" w:eastAsia="Palatino Linotype" w:hAnsi="Palatino Linotype" w:cs="Palatino Linotype"/>
          <w:i/>
          <w:sz w:val="22"/>
          <w:szCs w:val="22"/>
        </w:rPr>
        <w:t>públicas</w:t>
      </w:r>
      <w:proofErr w:type="spellEnd"/>
      <w:r>
        <w:rPr>
          <w:rFonts w:ascii="Palatino Linotype" w:eastAsia="Palatino Linotype" w:hAnsi="Palatino Linotype" w:cs="Palatino Linotype"/>
          <w:i/>
          <w:sz w:val="22"/>
          <w:szCs w:val="22"/>
        </w:rPr>
        <w:t xml:space="preserve">, deuda </w:t>
      </w:r>
      <w:proofErr w:type="spellStart"/>
      <w:r>
        <w:rPr>
          <w:rFonts w:ascii="Palatino Linotype" w:eastAsia="Palatino Linotype" w:hAnsi="Palatino Linotype" w:cs="Palatino Linotype"/>
          <w:i/>
          <w:sz w:val="22"/>
          <w:szCs w:val="22"/>
        </w:rPr>
        <w:t>pública</w:t>
      </w:r>
      <w:proofErr w:type="spellEnd"/>
      <w:r>
        <w:rPr>
          <w:rFonts w:ascii="Palatino Linotype" w:eastAsia="Palatino Linotype" w:hAnsi="Palatino Linotype" w:cs="Palatino Linotype"/>
          <w:i/>
          <w:sz w:val="22"/>
          <w:szCs w:val="22"/>
        </w:rPr>
        <w:t xml:space="preserve"> y actos relativos al ejercicio y </w:t>
      </w:r>
      <w:proofErr w:type="spellStart"/>
      <w:r>
        <w:rPr>
          <w:rFonts w:ascii="Palatino Linotype" w:eastAsia="Palatino Linotype" w:hAnsi="Palatino Linotype" w:cs="Palatino Linotype"/>
          <w:i/>
          <w:sz w:val="22"/>
          <w:szCs w:val="22"/>
        </w:rPr>
        <w:t>aplicación</w:t>
      </w:r>
      <w:proofErr w:type="spellEnd"/>
      <w:r>
        <w:rPr>
          <w:rFonts w:ascii="Palatino Linotype" w:eastAsia="Palatino Linotype" w:hAnsi="Palatino Linotype" w:cs="Palatino Linotype"/>
          <w:i/>
          <w:sz w:val="22"/>
          <w:szCs w:val="22"/>
        </w:rPr>
        <w:t xml:space="preserve"> de los recursos </w:t>
      </w:r>
      <w:proofErr w:type="spellStart"/>
      <w:r>
        <w:rPr>
          <w:rFonts w:ascii="Palatino Linotype" w:eastAsia="Palatino Linotype" w:hAnsi="Palatino Linotype" w:cs="Palatino Linotype"/>
          <w:i/>
          <w:sz w:val="22"/>
          <w:szCs w:val="22"/>
        </w:rPr>
        <w:t>públ</w:t>
      </w:r>
      <w:r>
        <w:rPr>
          <w:rFonts w:ascii="Palatino Linotype" w:eastAsia="Palatino Linotype" w:hAnsi="Palatino Linotype" w:cs="Palatino Linotype"/>
          <w:i/>
          <w:sz w:val="22"/>
          <w:szCs w:val="22"/>
        </w:rPr>
        <w:t>icos</w:t>
      </w:r>
      <w:proofErr w:type="spellEnd"/>
      <w:r>
        <w:rPr>
          <w:rFonts w:ascii="Palatino Linotype" w:eastAsia="Palatino Linotype" w:hAnsi="Palatino Linotype" w:cs="Palatino Linotype"/>
          <w:i/>
          <w:sz w:val="22"/>
          <w:szCs w:val="22"/>
        </w:rPr>
        <w:t xml:space="preserve"> de las entidades fiscalizables del Estado de </w:t>
      </w:r>
      <w:proofErr w:type="spellStart"/>
      <w:r>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xml:space="preserve">, asimismo, regular su </w:t>
      </w:r>
      <w:proofErr w:type="spellStart"/>
      <w:r>
        <w:rPr>
          <w:rFonts w:ascii="Palatino Linotype" w:eastAsia="Palatino Linotype" w:hAnsi="Palatino Linotype" w:cs="Palatino Linotype"/>
          <w:i/>
          <w:sz w:val="22"/>
          <w:szCs w:val="22"/>
        </w:rPr>
        <w:t>organización</w:t>
      </w:r>
      <w:proofErr w:type="spellEnd"/>
      <w:r>
        <w:rPr>
          <w:rFonts w:ascii="Palatino Linotype" w:eastAsia="Palatino Linotype" w:hAnsi="Palatino Linotype" w:cs="Palatino Linotype"/>
          <w:i/>
          <w:sz w:val="22"/>
          <w:szCs w:val="22"/>
        </w:rPr>
        <w:t xml:space="preserve">, funcionamiento y atribuciones. </w:t>
      </w:r>
    </w:p>
    <w:p w:rsidR="001037F6" w:rsidRDefault="00292EC8">
      <w:pPr>
        <w:spacing w:before="280" w:after="280"/>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Adicionalmente, la </w:t>
      </w:r>
      <w:proofErr w:type="spellStart"/>
      <w:r>
        <w:rPr>
          <w:rFonts w:ascii="Palatino Linotype" w:eastAsia="Palatino Linotype" w:hAnsi="Palatino Linotype" w:cs="Palatino Linotype"/>
          <w:i/>
          <w:sz w:val="22"/>
          <w:szCs w:val="22"/>
        </w:rPr>
        <w:t>evaluación</w:t>
      </w:r>
      <w:proofErr w:type="spellEnd"/>
      <w:r>
        <w:rPr>
          <w:rFonts w:ascii="Palatino Linotype" w:eastAsia="Palatino Linotype" w:hAnsi="Palatino Linotype" w:cs="Palatino Linotype"/>
          <w:i/>
          <w:sz w:val="22"/>
          <w:szCs w:val="22"/>
        </w:rPr>
        <w:t xml:space="preserve"> y vigilancia por parte de la Legislatura;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como sus atribuciones para promover las responsabil</w:t>
      </w:r>
      <w:r>
        <w:rPr>
          <w:rFonts w:ascii="Palatino Linotype" w:eastAsia="Palatino Linotype" w:hAnsi="Palatino Linotype" w:cs="Palatino Linotype"/>
          <w:i/>
          <w:sz w:val="22"/>
          <w:szCs w:val="22"/>
        </w:rPr>
        <w:t xml:space="preserve">idades que sean procedentes ante el Tribunal Estatal de Justicia Administrativa y la </w:t>
      </w:r>
      <w:proofErr w:type="spellStart"/>
      <w:r>
        <w:rPr>
          <w:rFonts w:ascii="Palatino Linotype" w:eastAsia="Palatino Linotype" w:hAnsi="Palatino Linotype" w:cs="Palatino Linotype"/>
          <w:i/>
          <w:sz w:val="22"/>
          <w:szCs w:val="22"/>
        </w:rPr>
        <w:t>Fiscalía</w:t>
      </w:r>
      <w:proofErr w:type="spellEnd"/>
      <w:r>
        <w:rPr>
          <w:rFonts w:ascii="Palatino Linotype" w:eastAsia="Palatino Linotype" w:hAnsi="Palatino Linotype" w:cs="Palatino Linotype"/>
          <w:i/>
          <w:sz w:val="22"/>
          <w:szCs w:val="22"/>
        </w:rPr>
        <w:t xml:space="preserve"> Especializada en Combate a la </w:t>
      </w:r>
      <w:proofErr w:type="spellStart"/>
      <w:r>
        <w:rPr>
          <w:rFonts w:ascii="Palatino Linotype" w:eastAsia="Palatino Linotype" w:hAnsi="Palatino Linotype" w:cs="Palatino Linotype"/>
          <w:i/>
          <w:sz w:val="22"/>
          <w:szCs w:val="22"/>
        </w:rPr>
        <w:t>Corrupción</w:t>
      </w:r>
      <w:proofErr w:type="spellEnd"/>
      <w:r>
        <w:rPr>
          <w:rFonts w:ascii="Palatino Linotype" w:eastAsia="Palatino Linotype" w:hAnsi="Palatino Linotype" w:cs="Palatino Linotype"/>
          <w:i/>
          <w:sz w:val="22"/>
          <w:szCs w:val="22"/>
        </w:rPr>
        <w:t xml:space="preserve"> y todas </w:t>
      </w:r>
      <w:proofErr w:type="spellStart"/>
      <w:r>
        <w:rPr>
          <w:rFonts w:ascii="Palatino Linotype" w:eastAsia="Palatino Linotype" w:hAnsi="Palatino Linotype" w:cs="Palatino Linotype"/>
          <w:i/>
          <w:sz w:val="22"/>
          <w:szCs w:val="22"/>
        </w:rPr>
        <w:t>aquéllas</w:t>
      </w:r>
      <w:proofErr w:type="spellEnd"/>
      <w:r>
        <w:rPr>
          <w:rFonts w:ascii="Palatino Linotype" w:eastAsia="Palatino Linotype" w:hAnsi="Palatino Linotype" w:cs="Palatino Linotype"/>
          <w:i/>
          <w:sz w:val="22"/>
          <w:szCs w:val="22"/>
        </w:rPr>
        <w:t xml:space="preserve"> que se establezcan en otras leyes aplicables.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26.-</w:t>
      </w:r>
      <w:r>
        <w:rPr>
          <w:rFonts w:ascii="Palatino Linotype" w:eastAsia="Palatino Linotype" w:hAnsi="Palatino Linotype" w:cs="Palatino Linotype"/>
          <w:i/>
          <w:sz w:val="22"/>
          <w:szCs w:val="22"/>
        </w:rPr>
        <w:t xml:space="preserve"> El Órgano Superior contará con una Unida</w:t>
      </w:r>
      <w:r>
        <w:rPr>
          <w:rFonts w:ascii="Palatino Linotype" w:eastAsia="Palatino Linotype" w:hAnsi="Palatino Linotype" w:cs="Palatino Linotype"/>
          <w:i/>
          <w:sz w:val="22"/>
          <w:szCs w:val="22"/>
        </w:rPr>
        <w:t>d de Asuntos Jurídicos cuyo titular tendrá las siguientes facultades:</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Substanciar el procedimiento de responsabilidad administrativa que proceda y remitirlo, en su caso, al Tribunal de Justicia Administrativa del Estado de México, conforme a lo previs</w:t>
      </w:r>
      <w:r>
        <w:rPr>
          <w:rFonts w:ascii="Palatino Linotype" w:eastAsia="Palatino Linotype" w:hAnsi="Palatino Linotype" w:cs="Palatino Linotype"/>
          <w:b/>
          <w:i/>
          <w:sz w:val="22"/>
          <w:szCs w:val="22"/>
        </w:rPr>
        <w:t>to en la Ley General de Responsabilidades Administrativas y la Ley de Responsabilidades Administrativas del Estado de México y Municipios.</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Artículo 55. A través del informe de presunta responsabilidad administrativa, una vez investigado y substanciado, el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Órgano Superior promoverá ante el Tribunal de Justicia Administrativa del Estado de México, en los términos de la Ley General de Responsabilidades Administrativas y de la Ley de Responsabilidades Administrativas del Estado de México y </w:t>
      </w:r>
      <w:r>
        <w:rPr>
          <w:rFonts w:ascii="Palatino Linotype" w:eastAsia="Palatino Linotype" w:hAnsi="Palatino Linotype" w:cs="Palatino Linotype"/>
          <w:b/>
          <w:i/>
          <w:sz w:val="22"/>
          <w:szCs w:val="22"/>
        </w:rPr>
        <w:lastRenderedPageBreak/>
        <w:t>Municipios, la impos</w:t>
      </w:r>
      <w:r>
        <w:rPr>
          <w:rFonts w:ascii="Palatino Linotype" w:eastAsia="Palatino Linotype" w:hAnsi="Palatino Linotype" w:cs="Palatino Linotype"/>
          <w:b/>
          <w:i/>
          <w:sz w:val="22"/>
          <w:szCs w:val="22"/>
        </w:rPr>
        <w:t>ición de sanciones a los servidores públicos por las faltas administrativas graves que conozca derivado de sus auditorías, investigaciones y/o denuncias, así como sanciones a los particulares, incluidos los de situación especial, vinculados con dichas falt</w:t>
      </w:r>
      <w:r>
        <w:rPr>
          <w:rFonts w:ascii="Palatino Linotype" w:eastAsia="Palatino Linotype" w:hAnsi="Palatino Linotype" w:cs="Palatino Linotype"/>
          <w:b/>
          <w:i/>
          <w:sz w:val="22"/>
          <w:szCs w:val="22"/>
        </w:rPr>
        <w:t xml:space="preserve">as. </w:t>
      </w:r>
    </w:p>
    <w:p w:rsidR="001037F6" w:rsidRDefault="001037F6">
      <w:pPr>
        <w:ind w:left="993" w:right="900"/>
        <w:jc w:val="both"/>
        <w:rPr>
          <w:rFonts w:ascii="Palatino Linotype" w:eastAsia="Palatino Linotype" w:hAnsi="Palatino Linotype" w:cs="Palatino Linotype"/>
          <w:b/>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el Órgano Superior detecte probables faltas administrativas y éstas no sean graves, por medio de las promociones de responsabilidad administrativa dará vista a la Secretaría de la Contraloría del Estado de México o a los órganos internos de co</w:t>
      </w:r>
      <w:r>
        <w:rPr>
          <w:rFonts w:ascii="Palatino Linotype" w:eastAsia="Palatino Linotype" w:hAnsi="Palatino Linotype" w:cs="Palatino Linotype"/>
          <w:i/>
          <w:sz w:val="22"/>
          <w:szCs w:val="22"/>
        </w:rPr>
        <w:t xml:space="preserve">ntrol, remitiendo el expediente integrado, para que éstos continúen la investigación respectiva y, en su caso, inicie el proceso de responsabilidad administrativa correspondiente, en los términos de la Ley General de Responsabilidades Administrativas y la </w:t>
      </w:r>
      <w:r>
        <w:rPr>
          <w:rFonts w:ascii="Palatino Linotype" w:eastAsia="Palatino Linotype" w:hAnsi="Palatino Linotype" w:cs="Palatino Linotype"/>
          <w:i/>
          <w:sz w:val="22"/>
          <w:szCs w:val="22"/>
        </w:rPr>
        <w:t xml:space="preserve">Ley de Responsabilidades Administrativas del Estado de México y Municipios. </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Mediante las denuncias de hechos, hará del conocimiento de la Fiscalía General de Justicia del Estado de México, la posible comisión de hechos delictivos. </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través de la denunc</w:t>
      </w:r>
      <w:r>
        <w:rPr>
          <w:rFonts w:ascii="Palatino Linotype" w:eastAsia="Palatino Linotype" w:hAnsi="Palatino Linotype" w:cs="Palatino Linotype"/>
          <w:i/>
          <w:sz w:val="22"/>
          <w:szCs w:val="22"/>
        </w:rPr>
        <w:t>ia de juicio político, hará del conocimiento de la Legislatura la presunción de actos u omisiones de los servidores públicos a que se refiere el artículo 110 de la Constitución Política de los Estados Unidos Mexicanos, y el Título Séptimo de la Constitució</w:t>
      </w:r>
      <w:r>
        <w:rPr>
          <w:rFonts w:ascii="Palatino Linotype" w:eastAsia="Palatino Linotype" w:hAnsi="Palatino Linotype" w:cs="Palatino Linotype"/>
          <w:i/>
          <w:sz w:val="22"/>
          <w:szCs w:val="22"/>
        </w:rPr>
        <w:t>n Política del Estado Libre y Soberano de México, que redunden en perjuicio de los intereses públicos fundamentales o de su buen despacho, a efecto de que se substancie el procedimiento y resuelva sobre la responsabilidad política correspondiente.</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w:t>
      </w:r>
      <w:r>
        <w:rPr>
          <w:rFonts w:ascii="Palatino Linotype" w:eastAsia="Palatino Linotype" w:hAnsi="Palatino Linotype" w:cs="Palatino Linotype"/>
          <w:i/>
          <w:sz w:val="22"/>
          <w:szCs w:val="22"/>
        </w:rPr>
        <w:t xml:space="preserve">o 56. </w:t>
      </w:r>
      <w:r>
        <w:rPr>
          <w:rFonts w:ascii="Palatino Linotype" w:eastAsia="Palatino Linotype" w:hAnsi="Palatino Linotype" w:cs="Palatino Linotype"/>
          <w:b/>
          <w:i/>
          <w:sz w:val="22"/>
          <w:szCs w:val="22"/>
        </w:rPr>
        <w:t xml:space="preserve">Las responsabilidades derivadas de la aplicación de la Ley General de Responsabilidades Administrativas, de la Ley de Responsabilidades Administrativas del Estado de México y Municipios y de esta Ley, se fincarán independientemente de las que siendo </w:t>
      </w:r>
      <w:r>
        <w:rPr>
          <w:rFonts w:ascii="Palatino Linotype" w:eastAsia="Palatino Linotype" w:hAnsi="Palatino Linotype" w:cs="Palatino Linotype"/>
          <w:b/>
          <w:i/>
          <w:sz w:val="22"/>
          <w:szCs w:val="22"/>
        </w:rPr>
        <w:t>de naturaleza diversa, procedan con base en otras leyes y de las sanciones de carácter penal que imponga la autoridad judicial</w:t>
      </w:r>
      <w:r>
        <w:rPr>
          <w:rFonts w:ascii="Palatino Linotype" w:eastAsia="Palatino Linotype" w:hAnsi="Palatino Linotype" w:cs="Palatino Linotype"/>
          <w:i/>
          <w:sz w:val="22"/>
          <w:szCs w:val="22"/>
        </w:rPr>
        <w:t>.</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2" w:right="90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Reglamento Interior del </w:t>
      </w:r>
      <w:proofErr w:type="spellStart"/>
      <w:r>
        <w:rPr>
          <w:rFonts w:ascii="Palatino Linotype" w:eastAsia="Palatino Linotype" w:hAnsi="Palatino Linotype" w:cs="Palatino Linotype"/>
          <w:b/>
          <w:i/>
          <w:sz w:val="22"/>
          <w:szCs w:val="22"/>
        </w:rPr>
        <w:t>Órgano</w:t>
      </w:r>
      <w:proofErr w:type="spellEnd"/>
      <w:r>
        <w:rPr>
          <w:rFonts w:ascii="Palatino Linotype" w:eastAsia="Palatino Linotype" w:hAnsi="Palatino Linotype" w:cs="Palatino Linotype"/>
          <w:b/>
          <w:i/>
          <w:sz w:val="22"/>
          <w:szCs w:val="22"/>
        </w:rPr>
        <w:t xml:space="preserve"> Superior de </w:t>
      </w:r>
      <w:proofErr w:type="spellStart"/>
      <w:r>
        <w:rPr>
          <w:rFonts w:ascii="Palatino Linotype" w:eastAsia="Palatino Linotype" w:hAnsi="Palatino Linotype" w:cs="Palatino Linotype"/>
          <w:b/>
          <w:i/>
          <w:sz w:val="22"/>
          <w:szCs w:val="22"/>
        </w:rPr>
        <w:t>Fiscalización</w:t>
      </w:r>
      <w:proofErr w:type="spellEnd"/>
    </w:p>
    <w:p w:rsidR="001037F6" w:rsidRDefault="00292EC8">
      <w:pPr>
        <w:ind w:left="992" w:right="902"/>
        <w:jc w:val="center"/>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b/>
          <w:i/>
          <w:sz w:val="22"/>
          <w:szCs w:val="22"/>
        </w:rPr>
        <w:t>del</w:t>
      </w:r>
      <w:proofErr w:type="gramEnd"/>
      <w:r>
        <w:rPr>
          <w:rFonts w:ascii="Palatino Linotype" w:eastAsia="Palatino Linotype" w:hAnsi="Palatino Linotype" w:cs="Palatino Linotype"/>
          <w:b/>
          <w:i/>
          <w:sz w:val="22"/>
          <w:szCs w:val="22"/>
        </w:rPr>
        <w:t xml:space="preserve"> Estado de </w:t>
      </w:r>
      <w:proofErr w:type="spellStart"/>
      <w:r>
        <w:rPr>
          <w:rFonts w:ascii="Palatino Linotype" w:eastAsia="Palatino Linotype" w:hAnsi="Palatino Linotype" w:cs="Palatino Linotype"/>
          <w:b/>
          <w:i/>
          <w:sz w:val="22"/>
          <w:szCs w:val="22"/>
        </w:rPr>
        <w:t>México</w:t>
      </w:r>
      <w:proofErr w:type="spellEnd"/>
    </w:p>
    <w:p w:rsidR="001037F6" w:rsidRDefault="00292EC8">
      <w:pPr>
        <w:spacing w:before="280" w:after="280"/>
        <w:ind w:left="993" w:right="900"/>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i/>
          <w:sz w:val="22"/>
          <w:szCs w:val="22"/>
        </w:rPr>
        <w:t>Artículo</w:t>
      </w:r>
      <w:proofErr w:type="spellEnd"/>
      <w:r>
        <w:rPr>
          <w:rFonts w:ascii="Palatino Linotype" w:eastAsia="Palatino Linotype" w:hAnsi="Palatino Linotype" w:cs="Palatino Linotype"/>
          <w:b/>
          <w:i/>
          <w:sz w:val="22"/>
          <w:szCs w:val="22"/>
        </w:rPr>
        <w:t xml:space="preserve"> 1. </w:t>
      </w:r>
      <w:r>
        <w:rPr>
          <w:rFonts w:ascii="Palatino Linotype" w:eastAsia="Palatino Linotype" w:hAnsi="Palatino Linotype" w:cs="Palatino Linotype"/>
          <w:i/>
          <w:sz w:val="22"/>
          <w:szCs w:val="22"/>
        </w:rPr>
        <w:t xml:space="preserve">Este Reglamento es de orden </w:t>
      </w:r>
      <w:proofErr w:type="spellStart"/>
      <w:r>
        <w:rPr>
          <w:rFonts w:ascii="Palatino Linotype" w:eastAsia="Palatino Linotype" w:hAnsi="Palatino Linotype" w:cs="Palatino Linotype"/>
          <w:i/>
          <w:sz w:val="22"/>
          <w:szCs w:val="22"/>
        </w:rPr>
        <w:t>públ</w:t>
      </w:r>
      <w:r>
        <w:rPr>
          <w:rFonts w:ascii="Palatino Linotype" w:eastAsia="Palatino Linotype" w:hAnsi="Palatino Linotype" w:cs="Palatino Linotype"/>
          <w:i/>
          <w:sz w:val="22"/>
          <w:szCs w:val="22"/>
        </w:rPr>
        <w:t>ico</w:t>
      </w:r>
      <w:proofErr w:type="spellEnd"/>
      <w:r>
        <w:rPr>
          <w:rFonts w:ascii="Palatino Linotype" w:eastAsia="Palatino Linotype" w:hAnsi="Palatino Linotype" w:cs="Palatino Linotype"/>
          <w:i/>
          <w:sz w:val="22"/>
          <w:szCs w:val="22"/>
        </w:rPr>
        <w:t xml:space="preserve"> y tiene por objeto regular la competencia, </w:t>
      </w:r>
      <w:proofErr w:type="spellStart"/>
      <w:r>
        <w:rPr>
          <w:rFonts w:ascii="Palatino Linotype" w:eastAsia="Palatino Linotype" w:hAnsi="Palatino Linotype" w:cs="Palatino Linotype"/>
          <w:i/>
          <w:sz w:val="22"/>
          <w:szCs w:val="22"/>
        </w:rPr>
        <w:t>organización</w:t>
      </w:r>
      <w:proofErr w:type="spellEnd"/>
      <w:r>
        <w:rPr>
          <w:rFonts w:ascii="Palatino Linotype" w:eastAsia="Palatino Linotype" w:hAnsi="Palatino Linotype" w:cs="Palatino Linotype"/>
          <w:i/>
          <w:sz w:val="22"/>
          <w:szCs w:val="22"/>
        </w:rPr>
        <w:t xml:space="preserve">, atribuciones de las unidades administrativas y procedimientos del </w:t>
      </w:r>
      <w:proofErr w:type="spellStart"/>
      <w:r>
        <w:rPr>
          <w:rFonts w:ascii="Palatino Linotype" w:eastAsia="Palatino Linotype" w:hAnsi="Palatino Linotype" w:cs="Palatino Linotype"/>
          <w:i/>
          <w:sz w:val="22"/>
          <w:szCs w:val="22"/>
        </w:rPr>
        <w:t>Órgano</w:t>
      </w:r>
      <w:proofErr w:type="spellEnd"/>
      <w:r>
        <w:rPr>
          <w:rFonts w:ascii="Palatino Linotype" w:eastAsia="Palatino Linotype" w:hAnsi="Palatino Linotype" w:cs="Palatino Linotype"/>
          <w:i/>
          <w:sz w:val="22"/>
          <w:szCs w:val="22"/>
        </w:rPr>
        <w:t xml:space="preserve"> Superior de </w:t>
      </w:r>
      <w:proofErr w:type="spellStart"/>
      <w:r>
        <w:rPr>
          <w:rFonts w:ascii="Palatino Linotype" w:eastAsia="Palatino Linotype" w:hAnsi="Palatino Linotype" w:cs="Palatino Linotype"/>
          <w:i/>
          <w:sz w:val="22"/>
          <w:szCs w:val="22"/>
        </w:rPr>
        <w:t>Fiscalización</w:t>
      </w:r>
      <w:proofErr w:type="spellEnd"/>
      <w:r>
        <w:rPr>
          <w:rFonts w:ascii="Palatino Linotype" w:eastAsia="Palatino Linotype" w:hAnsi="Palatino Linotype" w:cs="Palatino Linotype"/>
          <w:i/>
          <w:sz w:val="22"/>
          <w:szCs w:val="22"/>
        </w:rPr>
        <w:t xml:space="preserve"> del Estado de </w:t>
      </w:r>
      <w:proofErr w:type="spellStart"/>
      <w:r>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xml:space="preserve"> previstos en la Ley de </w:t>
      </w:r>
      <w:proofErr w:type="spellStart"/>
      <w:r>
        <w:rPr>
          <w:rFonts w:ascii="Palatino Linotype" w:eastAsia="Palatino Linotype" w:hAnsi="Palatino Linotype" w:cs="Palatino Linotype"/>
          <w:i/>
          <w:sz w:val="22"/>
          <w:szCs w:val="22"/>
        </w:rPr>
        <w:t>Fiscalización</w:t>
      </w:r>
      <w:proofErr w:type="spellEnd"/>
      <w:r>
        <w:rPr>
          <w:rFonts w:ascii="Palatino Linotype" w:eastAsia="Palatino Linotype" w:hAnsi="Palatino Linotype" w:cs="Palatino Linotype"/>
          <w:i/>
          <w:sz w:val="22"/>
          <w:szCs w:val="22"/>
        </w:rPr>
        <w:t xml:space="preserve"> Superior del Estado de </w:t>
      </w:r>
      <w:proofErr w:type="spellStart"/>
      <w:r>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xml:space="preserve"> y </w:t>
      </w:r>
      <w:proofErr w:type="spellStart"/>
      <w:r>
        <w:rPr>
          <w:rFonts w:ascii="Palatino Linotype" w:eastAsia="Palatino Linotype" w:hAnsi="Palatino Linotype" w:cs="Palatino Linotype"/>
          <w:i/>
          <w:sz w:val="22"/>
          <w:szCs w:val="22"/>
        </w:rPr>
        <w:t>demás</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legislación</w:t>
      </w:r>
      <w:proofErr w:type="spellEnd"/>
      <w:r>
        <w:rPr>
          <w:rFonts w:ascii="Palatino Linotype" w:eastAsia="Palatino Linotype" w:hAnsi="Palatino Linotype" w:cs="Palatino Linotype"/>
          <w:i/>
          <w:sz w:val="22"/>
          <w:szCs w:val="22"/>
        </w:rPr>
        <w:t xml:space="preserve"> aplicable.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53. Al frente de la Unidad de Asuntos Jurídicos habrá un Titular, quien ejercerá las atribuciones siguientes:</w:t>
      </w:r>
    </w:p>
    <w:p w:rsidR="001037F6" w:rsidRDefault="00292EC8">
      <w:pPr>
        <w:pBdr>
          <w:top w:val="nil"/>
          <w:left w:val="nil"/>
          <w:bottom w:val="nil"/>
          <w:right w:val="nil"/>
          <w:between w:val="nil"/>
        </w:pBdr>
        <w:spacing w:before="240" w:after="240" w:line="360" w:lineRule="auto"/>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w:t>
      </w:r>
      <w:r>
        <w:rPr>
          <w:rFonts w:ascii="Palatino Linotype" w:eastAsia="Palatino Linotype" w:hAnsi="Palatino Linotype" w:cs="Palatino Linotype"/>
          <w:b/>
          <w:i/>
          <w:sz w:val="22"/>
          <w:szCs w:val="22"/>
        </w:rPr>
        <w:t>Instaurar, substanciar y presentar al Auditor Superior los proyectos de resolución de los procedimientos administrativos resarcitorios</w:t>
      </w:r>
      <w:r>
        <w:rPr>
          <w:rFonts w:ascii="Palatino Linotype" w:eastAsia="Palatino Linotype" w:hAnsi="Palatino Linotype" w:cs="Palatino Linotype"/>
          <w:i/>
          <w:sz w:val="22"/>
          <w:szCs w:val="22"/>
        </w:rPr>
        <w:t>;</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58.</w:t>
      </w:r>
      <w:r>
        <w:rPr>
          <w:rFonts w:ascii="Palatino Linotype" w:eastAsia="Palatino Linotype" w:hAnsi="Palatino Linotype" w:cs="Palatino Linotype"/>
          <w:i/>
          <w:sz w:val="22"/>
          <w:szCs w:val="22"/>
        </w:rPr>
        <w:t xml:space="preserve"> La Dirección de Substanciación estará adscrita a la Unidad de Asuntos Jurídicos y, sin perjuicio de lo dispuesto en otros artículos de este Reglamento, su Titular tendrá las atribuciones siguientes;</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Presentar a su superior jerárquico los proyectos d</w:t>
      </w:r>
      <w:r>
        <w:rPr>
          <w:rFonts w:ascii="Palatino Linotype" w:eastAsia="Palatino Linotype" w:hAnsi="Palatino Linotype" w:cs="Palatino Linotype"/>
          <w:i/>
          <w:sz w:val="22"/>
          <w:szCs w:val="22"/>
        </w:rPr>
        <w:t>e resolución de procedimientos administrativos resarcitorios, para su aprobación;</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Validar la solicitud para el cobro de créditos fiscales derivados de los procedimientos administrativos resarcitorios, y remitirla a su superior jerárquico para su aut</w:t>
      </w:r>
      <w:r>
        <w:rPr>
          <w:rFonts w:ascii="Palatino Linotype" w:eastAsia="Palatino Linotype" w:hAnsi="Palatino Linotype" w:cs="Palatino Linotype"/>
          <w:i/>
          <w:sz w:val="22"/>
          <w:szCs w:val="22"/>
        </w:rPr>
        <w:t xml:space="preserve">orización, y </w:t>
      </w:r>
      <w:proofErr w:type="gramStart"/>
      <w:r>
        <w:rPr>
          <w:rFonts w:ascii="Palatino Linotype" w:eastAsia="Palatino Linotype" w:hAnsi="Palatino Linotype" w:cs="Palatino Linotype"/>
          <w:i/>
          <w:sz w:val="22"/>
          <w:szCs w:val="22"/>
        </w:rPr>
        <w:t>..</w:t>
      </w:r>
      <w:proofErr w:type="gramEnd"/>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Quedan adscritos a la Dirección de Substanciación los departamentos siguientes: </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Departamento de Substanciación “A”,</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Departamento de Substanciación “B” y </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Departamento de Substanciación “C”.</w:t>
      </w:r>
    </w:p>
    <w:p w:rsidR="001037F6" w:rsidRDefault="001037F6">
      <w:pPr>
        <w:ind w:left="993" w:right="900"/>
        <w:jc w:val="both"/>
        <w:rPr>
          <w:rFonts w:ascii="Palatino Linotype" w:eastAsia="Palatino Linotype" w:hAnsi="Palatino Linotype" w:cs="Palatino Linotype"/>
          <w:i/>
          <w:sz w:val="22"/>
          <w:szCs w:val="22"/>
        </w:rPr>
      </w:pP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roofErr w:type="gramStart"/>
      <w:r>
        <w:rPr>
          <w:rFonts w:ascii="Palatino Linotype" w:eastAsia="Palatino Linotype" w:hAnsi="Palatino Linotype" w:cs="Palatino Linotype"/>
          <w:i/>
          <w:sz w:val="22"/>
          <w:szCs w:val="22"/>
        </w:rPr>
        <w:t>y</w:t>
      </w:r>
      <w:proofErr w:type="gramEnd"/>
      <w:r>
        <w:rPr>
          <w:rFonts w:ascii="Palatino Linotype" w:eastAsia="Palatino Linotype" w:hAnsi="Palatino Linotype" w:cs="Palatino Linotype"/>
          <w:i/>
          <w:sz w:val="22"/>
          <w:szCs w:val="22"/>
        </w:rPr>
        <w:t xml:space="preserve">, sin perjuicio de lo </w:t>
      </w:r>
      <w:r>
        <w:rPr>
          <w:rFonts w:ascii="Palatino Linotype" w:eastAsia="Palatino Linotype" w:hAnsi="Palatino Linotype" w:cs="Palatino Linotype"/>
          <w:i/>
          <w:sz w:val="22"/>
          <w:szCs w:val="22"/>
        </w:rPr>
        <w:t>dispuesto en otros artículos de este Reglamento, sus titulares tendrán las atribuciones siguientes:</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rPr>
        <w:t>Presentar a su superior jerárquico los proyectos de resolución de procedimientos administrativos resarcitorios, para su aprobación;</w:t>
      </w:r>
    </w:p>
    <w:p w:rsidR="001037F6" w:rsidRDefault="00292EC8">
      <w:pPr>
        <w:pBdr>
          <w:top w:val="nil"/>
          <w:left w:val="nil"/>
          <w:bottom w:val="nil"/>
          <w:right w:val="nil"/>
          <w:between w:val="nil"/>
        </w:pBdr>
        <w:spacing w:before="240" w:after="240" w:line="360" w:lineRule="auto"/>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037F6" w:rsidRDefault="00292EC8">
      <w:pPr>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Elaborar</w:t>
      </w:r>
      <w:r>
        <w:rPr>
          <w:rFonts w:ascii="Palatino Linotype" w:eastAsia="Palatino Linotype" w:hAnsi="Palatino Linotype" w:cs="Palatino Linotype"/>
          <w:i/>
          <w:sz w:val="22"/>
          <w:szCs w:val="22"/>
        </w:rPr>
        <w:t xml:space="preserve"> la solicitud para el cobro de créditos fiscales derivados de los procedimientos administrativos resarcitorios, y remitirla a su superior jerárquico, </w:t>
      </w:r>
      <w:proofErr w:type="gramStart"/>
      <w:r>
        <w:rPr>
          <w:rFonts w:ascii="Palatino Linotype" w:eastAsia="Palatino Linotype" w:hAnsi="Palatino Linotype" w:cs="Palatino Linotype"/>
          <w:i/>
          <w:sz w:val="22"/>
          <w:szCs w:val="22"/>
        </w:rPr>
        <w:t>y …”</w:t>
      </w:r>
      <w:proofErr w:type="gramEnd"/>
    </w:p>
    <w:p w:rsidR="001037F6" w:rsidRDefault="001037F6">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rsidR="001037F6" w:rsidRDefault="00292EC8">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tanto, es claro que corresponde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Órgano Superior de Fiscalización, conocer y resolver sobre los procedimientos administrativos resarcitorios en que incurran los integrantes de los ayuntamientos de los municipios de la entidad, por el incumplimiento de las obligaciones que s</w:t>
      </w:r>
      <w:r>
        <w:rPr>
          <w:rFonts w:ascii="Palatino Linotype" w:eastAsia="Palatino Linotype" w:hAnsi="Palatino Linotype" w:cs="Palatino Linotype"/>
          <w:color w:val="000000"/>
        </w:rPr>
        <w:t>eñala la ley de la materia y suscribir las resoluciones de los procedimientos administrativos, por ello que dio respuesta a través de su Dirección de lo Jurídico y Consultivo, situación que ha quedado evidenciada en el Informe Justificado.</w:t>
      </w:r>
    </w:p>
    <w:p w:rsidR="001037F6" w:rsidRDefault="00292EC8">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Por lo que al ha</w:t>
      </w:r>
      <w:r>
        <w:rPr>
          <w:rFonts w:ascii="Palatino Linotype" w:eastAsia="Palatino Linotype" w:hAnsi="Palatino Linotype" w:cs="Palatino Linotype"/>
          <w:color w:val="222222"/>
        </w:rPr>
        <w:t>ber realizado, aunque con posterioridad a la respuesta, la búsqueda exhaustiva y razonable en los archivos y al haberse pronunciado el Servidor Público</w:t>
      </w:r>
      <w:r>
        <w:rPr>
          <w:rFonts w:ascii="Palatino Linotype" w:eastAsia="Palatino Linotype" w:hAnsi="Palatino Linotype" w:cs="Palatino Linotype"/>
        </w:rPr>
        <w:t>, este Órgano Garante no está facultado para manifestarse sobre la veracidad de la información proporcion</w:t>
      </w:r>
      <w:r>
        <w:rPr>
          <w:rFonts w:ascii="Palatino Linotype" w:eastAsia="Palatino Linotype" w:hAnsi="Palatino Linotype" w:cs="Palatino Linotype"/>
        </w:rPr>
        <w:t>ada, ya que no existe precepto legal alguno en la Ley de la Materia que permita, vía recurso de revisión, se pronuncie al respecto. Por analogía, sirve de apoyo a lo anterior el Criterio 31-10 emitido por el entonces Instituto Federal de Accesos a la Infor</w:t>
      </w:r>
      <w:r>
        <w:rPr>
          <w:rFonts w:ascii="Palatino Linotype" w:eastAsia="Palatino Linotype" w:hAnsi="Palatino Linotype" w:cs="Palatino Linotype"/>
        </w:rPr>
        <w:t>mación y Protección de Datos, que a la letra establece lo siguiente:</w:t>
      </w:r>
    </w:p>
    <w:p w:rsidR="001037F6" w:rsidRDefault="00292EC8">
      <w:pPr>
        <w:spacing w:before="120" w:after="12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w:t>
      </w:r>
      <w:r>
        <w:rPr>
          <w:rFonts w:ascii="Palatino Linotype" w:eastAsia="Palatino Linotype" w:hAnsi="Palatino Linotype" w:cs="Palatino Linotype"/>
          <w:b/>
          <w:i/>
          <w:sz w:val="22"/>
          <w:szCs w:val="22"/>
        </w:rPr>
        <w:t xml:space="preserve">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w:t>
      </w:r>
      <w:r>
        <w:rPr>
          <w:rFonts w:ascii="Palatino Linotype" w:eastAsia="Palatino Linotype" w:hAnsi="Palatino Linotype" w:cs="Palatino Linotype"/>
          <w:i/>
          <w:sz w:val="22"/>
          <w:szCs w:val="22"/>
        </w:rPr>
        <w:t xml:space="preserve"> la información; resolver sobre la negativa de las solicitudes de acceso a la información; y proteger los datos personales en poder de las dependencias y entidades. Sin embargo, no está facultado para pronunciarse sobre la veracidad de la información propo</w:t>
      </w:r>
      <w:r>
        <w:rPr>
          <w:rFonts w:ascii="Palatino Linotype" w:eastAsia="Palatino Linotype" w:hAnsi="Palatino Linotype" w:cs="Palatino Linotype"/>
          <w:i/>
          <w:sz w:val="22"/>
          <w:szCs w:val="22"/>
        </w:rPr>
        <w:t xml:space="preserve">rcionada por las autoridades en respuesta a las solicitudes de </w:t>
      </w:r>
      <w:r>
        <w:rPr>
          <w:rFonts w:ascii="Palatino Linotype" w:eastAsia="Palatino Linotype" w:hAnsi="Palatino Linotype" w:cs="Palatino Linotype"/>
          <w:i/>
          <w:sz w:val="22"/>
          <w:szCs w:val="22"/>
        </w:rPr>
        <w:lastRenderedPageBreak/>
        <w:t>información que les presentan los particulares, en virtud de que en los artículos 49 y 50 de la Ley Federal de Transparencia y Acceso a la Información Pública Gubernamental no se prevé una caus</w:t>
      </w:r>
      <w:r>
        <w:rPr>
          <w:rFonts w:ascii="Palatino Linotype" w:eastAsia="Palatino Linotype" w:hAnsi="Palatino Linotype" w:cs="Palatino Linotype"/>
          <w:i/>
          <w:sz w:val="22"/>
          <w:szCs w:val="22"/>
        </w:rPr>
        <w:t>al que permita al Instituto Federal de Acceso a la Información y Protección de Datos conocer, vía recurso revisión, al respecto.”</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al contar este Órgano Garante con la información que colma el derecho de acceso a la información del particular</w:t>
      </w:r>
      <w:r>
        <w:rPr>
          <w:rFonts w:ascii="Palatino Linotype" w:eastAsia="Palatino Linotype" w:hAnsi="Palatino Linotype" w:cs="Palatino Linotype"/>
        </w:rPr>
        <w:t xml:space="preserve"> y que fue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el sentido del presente fallo es el sobreseimiento, al actualizar la causal prevista en la fracción III del artículo 192 de la Ley de Transparencia y Acceso a la Información Pública del E</w:t>
      </w:r>
      <w:r>
        <w:rPr>
          <w:rFonts w:ascii="Palatino Linotype" w:eastAsia="Palatino Linotype" w:hAnsi="Palatino Linotype" w:cs="Palatino Linotype"/>
        </w:rPr>
        <w:t>stado de México y Municipios, que dispone lo siguiente:</w:t>
      </w:r>
    </w:p>
    <w:p w:rsidR="001037F6" w:rsidRDefault="00292EC8">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1037F6" w:rsidRDefault="00292EC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1037F6" w:rsidRDefault="00292EC8">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w:t>
      </w:r>
      <w:r>
        <w:rPr>
          <w:rFonts w:ascii="Palatino Linotype" w:eastAsia="Palatino Linotype" w:hAnsi="Palatino Linotype" w:cs="Palatino Linotype"/>
          <w:b/>
          <w:i/>
          <w:sz w:val="22"/>
          <w:szCs w:val="22"/>
        </w:rPr>
        <w:t>voque de tal manera que el recurso de revisión quede sin materia…”. (Sic)</w:t>
      </w:r>
    </w:p>
    <w:p w:rsidR="001037F6" w:rsidRDefault="001037F6">
      <w:pPr>
        <w:spacing w:line="360" w:lineRule="auto"/>
        <w:jc w:val="both"/>
        <w:rPr>
          <w:rFonts w:ascii="Palatino Linotype" w:eastAsia="Palatino Linotype" w:hAnsi="Palatino Linotype" w:cs="Palatino Linotype"/>
          <w:b/>
          <w:i/>
        </w:rPr>
      </w:pPr>
    </w:p>
    <w:p w:rsidR="001037F6" w:rsidRDefault="00292EC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1037F6" w:rsidRDefault="00292EC8">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1037F6" w:rsidRDefault="00292EC8">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observa de lo anterior, un acto impugnado es modificado en aquell</w:t>
      </w:r>
      <w:r>
        <w:rPr>
          <w:rFonts w:ascii="Palatino Linotype" w:eastAsia="Palatino Linotype" w:hAnsi="Palatino Linotype" w:cs="Palatino Linotype"/>
        </w:rPr>
        <w:t xml:space="preserve">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w:t>
      </w:r>
      <w:r>
        <w:rPr>
          <w:rFonts w:ascii="Palatino Linotype" w:eastAsia="Palatino Linotype" w:hAnsi="Palatino Linotype" w:cs="Palatino Linotype"/>
        </w:rPr>
        <w:lastRenderedPageBreak/>
        <w:t xml:space="preserve">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r>
        <w:rPr>
          <w:rFonts w:ascii="Palatino Linotype" w:eastAsia="Palatino Linotype" w:hAnsi="Palatino Linotype" w:cs="Palatino Linotype"/>
        </w:rPr>
        <w:t xml:space="preserve">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deja sin efectos la primera respuesta y en su lugar emite otra con las características y cualidades suficientes para dejar satisfecho el ejercicio del derecho al acceso a la información </w:t>
      </w:r>
      <w:r>
        <w:rPr>
          <w:rFonts w:ascii="Palatino Linotype" w:eastAsia="Palatino Linotype" w:hAnsi="Palatino Linotype" w:cs="Palatino Linotype"/>
        </w:rPr>
        <w:t>pública.</w:t>
      </w:r>
    </w:p>
    <w:p w:rsidR="001037F6" w:rsidRDefault="00292EC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F3550C" w:rsidRDefault="00F3550C">
      <w:pPr>
        <w:spacing w:before="240" w:line="360" w:lineRule="auto"/>
        <w:jc w:val="both"/>
        <w:rPr>
          <w:rFonts w:ascii="Palatino Linotype" w:eastAsia="Palatino Linotype" w:hAnsi="Palatino Linotype" w:cs="Palatino Linotype"/>
        </w:rPr>
      </w:pPr>
    </w:p>
    <w:p w:rsidR="001037F6" w:rsidRDefault="00292EC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que a través </w:t>
      </w:r>
      <w:r>
        <w:rPr>
          <w:rFonts w:ascii="Palatino Linotype" w:eastAsia="Palatino Linotype" w:hAnsi="Palatino Linotype" w:cs="Palatino Linotype"/>
        </w:rPr>
        <w:t xml:space="preserve">del alcance al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respuesta de la Dirección de lo Jurídico y Consultivo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informe justificado en el que precisa:  “… </w:t>
      </w:r>
      <w:r>
        <w:rPr>
          <w:rFonts w:ascii="Palatino Linotype" w:eastAsia="Palatino Linotype" w:hAnsi="Palatino Linotype" w:cs="Palatino Linotype"/>
          <w:i/>
        </w:rPr>
        <w:t xml:space="preserve">derivado de que la petición </w:t>
      </w:r>
      <w:r>
        <w:rPr>
          <w:rFonts w:ascii="Palatino Linotype" w:eastAsia="Palatino Linotype" w:hAnsi="Palatino Linotype" w:cs="Palatino Linotype"/>
          <w:i/>
        </w:rPr>
        <w:t>planteada no desprende periodo alguno de referencia para realizar la búsqueda respectiva y considerando el Criterio 03/19, emitido por el Instituto Nacional de Transparencia Acceso a la Información y Protección de Datos Personales, informa</w:t>
      </w:r>
      <w:r>
        <w:rPr>
          <w:rFonts w:ascii="Palatino Linotype" w:eastAsia="Palatino Linotype" w:hAnsi="Palatino Linotype" w:cs="Palatino Linotype"/>
          <w:b/>
        </w:rPr>
        <w:t xml:space="preserve"> </w:t>
      </w:r>
      <w:r>
        <w:rPr>
          <w:rFonts w:ascii="Palatino Linotype" w:eastAsia="Palatino Linotype" w:hAnsi="Palatino Linotype" w:cs="Palatino Linotype"/>
          <w:i/>
        </w:rPr>
        <w:t>que no existe pr</w:t>
      </w:r>
      <w:r>
        <w:rPr>
          <w:rFonts w:ascii="Palatino Linotype" w:eastAsia="Palatino Linotype" w:hAnsi="Palatino Linotype" w:cs="Palatino Linotype"/>
          <w:i/>
        </w:rPr>
        <w:t>ocedimiento administrativo resarcitorio en contra de la presidenta del DIF municipal de San José del Rincón Gabriela Reyes Gutiérrez por el periodo de un año anterior a esta fecha…”(sic)</w:t>
      </w:r>
    </w:p>
    <w:p w:rsidR="001037F6" w:rsidRDefault="00292EC8">
      <w:pPr>
        <w:spacing w:line="360" w:lineRule="auto"/>
        <w:ind w:right="18"/>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De tal manera, es evidente que con ello queda sin materia el presente</w:t>
      </w:r>
      <w:r>
        <w:rPr>
          <w:rFonts w:ascii="Palatino Linotype" w:eastAsia="Palatino Linotype" w:hAnsi="Palatino Linotype" w:cs="Palatino Linotype"/>
        </w:rPr>
        <w:t xml:space="preserve"> recurso de revisión, ya que la inconformidad sobre que, </w:t>
      </w:r>
      <w:r>
        <w:rPr>
          <w:rFonts w:ascii="Palatino Linotype" w:eastAsia="Palatino Linotype" w:hAnsi="Palatino Linotype" w:cs="Palatino Linotype"/>
          <w:i/>
        </w:rPr>
        <w:t xml:space="preserve">“El Órgano Superior de Fiscalización es el encargado de iniciar los procedimientos administrativos resarcitorios por lo que solicito que </w:t>
      </w:r>
      <w:r>
        <w:rPr>
          <w:rFonts w:ascii="Palatino Linotype" w:eastAsia="Palatino Linotype" w:hAnsi="Palatino Linotype" w:cs="Palatino Linotype"/>
          <w:i/>
        </w:rPr>
        <w:lastRenderedPageBreak/>
        <w:t>E haga la búsqueda pertinente de dicho ex Servidor Público” (s</w:t>
      </w:r>
      <w:r>
        <w:rPr>
          <w:rFonts w:ascii="Palatino Linotype" w:eastAsia="Palatino Linotype" w:hAnsi="Palatino Linotype" w:cs="Palatino Linotype"/>
          <w:i/>
        </w:rPr>
        <w:t>ic)</w:t>
      </w:r>
      <w:r>
        <w:rPr>
          <w:rFonts w:ascii="Palatino Linotype" w:eastAsia="Palatino Linotype" w:hAnsi="Palatino Linotype" w:cs="Palatino Linotype"/>
        </w:rPr>
        <w:t>, se subsanó con la información entregada en el SAIMEX a través del alcance al Recurso de Revisión.</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aunque ello haya sido de manera post</w:t>
      </w:r>
      <w:r>
        <w:rPr>
          <w:rFonts w:ascii="Palatino Linotype" w:eastAsia="Palatino Linotype" w:hAnsi="Palatino Linotype" w:cs="Palatino Linotype"/>
        </w:rPr>
        <w:t xml:space="preserve">erior a su respuesta inicial; dejando con ello sin materia el presente recurso de revisión, actualizándose entonces la causal prevista en la fracción III del artículo 192 de la Ley de la Materia vigente en la Entidad, antes transcrita. </w:t>
      </w:r>
    </w:p>
    <w:p w:rsidR="001037F6" w:rsidRDefault="00292EC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w:t>
      </w:r>
      <w:r>
        <w:rPr>
          <w:rFonts w:ascii="Palatino Linotype" w:eastAsia="Palatino Linotype" w:hAnsi="Palatino Linotype" w:cs="Palatino Linotype"/>
          <w:i/>
        </w:rPr>
        <w:t>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w:t>
      </w:r>
      <w:r>
        <w:rPr>
          <w:rFonts w:ascii="Palatino Linotype" w:eastAsia="Palatino Linotype" w:hAnsi="Palatino Linotype" w:cs="Palatino Linotype"/>
        </w:rPr>
        <w:t xml:space="preserve"> sobreseimiento son los dar por concluido el recurso administrativo sin entrar al estudio de fondo del asunto de que se trate; lo anterior con apoyo en el criterio del Poder Judicial de la Federación con rubro:</w:t>
      </w:r>
    </w:p>
    <w:p w:rsidR="001037F6" w:rsidRDefault="00292EC8">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w:t>
      </w:r>
      <w:r>
        <w:rPr>
          <w:rFonts w:ascii="Palatino Linotype" w:eastAsia="Palatino Linotype" w:hAnsi="Palatino Linotype" w:cs="Palatino Linotype"/>
          <w:b/>
          <w:i/>
          <w:sz w:val="22"/>
          <w:szCs w:val="22"/>
        </w:rPr>
        <w:t xml:space="preserve"> DE LAS CUESTIONES DE FONDO</w:t>
      </w:r>
    </w:p>
    <w:p w:rsidR="001037F6" w:rsidRDefault="00292EC8">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1037F6" w:rsidRDefault="00292EC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tesis: No causa agravio la sentencia que no se ocupa de los </w:t>
      </w:r>
      <w:r>
        <w:rPr>
          <w:rFonts w:ascii="Palatino Linotype" w:eastAsia="Palatino Linotype" w:hAnsi="Palatino Linotype" w:cs="Palatino Linotype"/>
          <w:i/>
          <w:sz w:val="22"/>
          <w:szCs w:val="22"/>
        </w:rPr>
        <w:t>razonamientos tendientes a demostrar la inconstitucionalidad de los actos reclamados de las autoridades responsables, que constituyen el problema de fondo, si se decreta el sobreseimiento del juicio.” (Sic)</w:t>
      </w:r>
    </w:p>
    <w:p w:rsidR="001037F6" w:rsidRDefault="001037F6">
      <w:pPr>
        <w:ind w:left="567" w:right="567"/>
        <w:jc w:val="both"/>
        <w:rPr>
          <w:rFonts w:ascii="Palatino Linotype" w:eastAsia="Palatino Linotype" w:hAnsi="Palatino Linotype" w:cs="Palatino Linotype"/>
          <w:i/>
          <w:sz w:val="22"/>
          <w:szCs w:val="22"/>
        </w:rPr>
      </w:pPr>
    </w:p>
    <w:p w:rsidR="001037F6" w:rsidRDefault="001037F6">
      <w:pPr>
        <w:spacing w:after="240" w:line="360" w:lineRule="auto"/>
        <w:jc w:val="both"/>
        <w:rPr>
          <w:rFonts w:ascii="Palatino Linotype" w:eastAsia="Palatino Linotype" w:hAnsi="Palatino Linotype" w:cs="Palatino Linotype"/>
        </w:rPr>
      </w:pPr>
    </w:p>
    <w:p w:rsidR="001037F6" w:rsidRDefault="001037F6">
      <w:pPr>
        <w:spacing w:after="240" w:line="360" w:lineRule="auto"/>
        <w:jc w:val="both"/>
        <w:rPr>
          <w:rFonts w:ascii="Palatino Linotype" w:eastAsia="Palatino Linotype" w:hAnsi="Palatino Linotype" w:cs="Palatino Linotype"/>
        </w:rPr>
      </w:pPr>
    </w:p>
    <w:p w:rsidR="001037F6" w:rsidRDefault="00292EC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rsidR="001037F6" w:rsidRDefault="00292EC8">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1037F6" w:rsidRDefault="00292EC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w:t>
      </w:r>
      <w:r>
        <w:rPr>
          <w:rFonts w:ascii="Palatino Linotype" w:eastAsia="Palatino Linotype" w:hAnsi="Palatino Linotype" w:cs="Palatino Linotype"/>
          <w:i/>
          <w:sz w:val="22"/>
          <w:szCs w:val="22"/>
        </w:rPr>
        <w:t>eguridad jurídica, ya que la obligación de los tribunales no es tramitar y resolver en el fondo todos los asuntos sometidos a su consideración en forma favorable a los intereses del solicitante, sino que se circunscribe a la posibilidad que tiene cualquier</w:t>
      </w:r>
      <w:r>
        <w:rPr>
          <w:rFonts w:ascii="Palatino Linotype" w:eastAsia="Palatino Linotype" w:hAnsi="Palatino Linotype" w:cs="Palatino Linotype"/>
          <w:i/>
          <w:sz w:val="22"/>
          <w:szCs w:val="22"/>
        </w:rPr>
        <w:t xml:space="preserve"> individuo de acudir ante los órganos jurisdiccionales, con su promoción (demanda), a la cual debe darse el trámite acorde a las formalidades rectoras del procedimiento respectivo, dentro de las cuales el legislador previó las causales de improcedencia y s</w:t>
      </w:r>
      <w:r>
        <w:rPr>
          <w:rFonts w:ascii="Palatino Linotype" w:eastAsia="Palatino Linotype" w:hAnsi="Palatino Linotype" w:cs="Palatino Linotype"/>
          <w:i/>
          <w:sz w:val="22"/>
          <w:szCs w:val="22"/>
        </w:rPr>
        <w:t xml:space="preserve">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i/>
          <w:sz w:val="22"/>
          <w:szCs w:val="22"/>
        </w:rPr>
        <w:t>pr</w:t>
      </w:r>
      <w:r>
        <w:rPr>
          <w:rFonts w:ascii="Palatino Linotype" w:eastAsia="Palatino Linotype" w:hAnsi="Palatino Linotype" w:cs="Palatino Linotype"/>
          <w:i/>
          <w:sz w:val="22"/>
          <w:szCs w:val="22"/>
        </w:rPr>
        <w:t>omovente</w:t>
      </w:r>
      <w:proofErr w:type="spellEnd"/>
      <w:r>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w:t>
      </w:r>
      <w:r>
        <w:rPr>
          <w:rFonts w:ascii="Palatino Linotype" w:eastAsia="Palatino Linotype" w:hAnsi="Palatino Linotype" w:cs="Palatino Linotype"/>
          <w:i/>
          <w:sz w:val="22"/>
          <w:szCs w:val="22"/>
        </w:rPr>
        <w:t xml:space="preserve"> el derecho y permitiendo que impere el orden jurídico.” (Sic)</w:t>
      </w:r>
    </w:p>
    <w:p w:rsidR="001037F6" w:rsidRDefault="001037F6">
      <w:pPr>
        <w:spacing w:after="240" w:line="360" w:lineRule="auto"/>
        <w:jc w:val="both"/>
        <w:rPr>
          <w:rFonts w:ascii="Palatino Linotype" w:eastAsia="Palatino Linotype" w:hAnsi="Palatino Linotype" w:cs="Palatino Linotype"/>
        </w:rPr>
      </w:pP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lo anterior, se dejan a salvo los derechos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de considerarlo oportuno, presente una nueva solicitud de información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la que formul</w:t>
      </w:r>
      <w:r>
        <w:rPr>
          <w:rFonts w:ascii="Palatino Linotype" w:eastAsia="Palatino Linotype" w:hAnsi="Palatino Linotype" w:cs="Palatino Linotype"/>
        </w:rPr>
        <w:t>e los requerimientos atendiendo las consideraciones señaladas en este rubro, y de conformidad con la fracción IV del artículo 155 de la Ley en la materia, que contengan mayores datos que faciliten la búsqueda y localización de la información.</w:t>
      </w:r>
    </w:p>
    <w:p w:rsidR="001037F6" w:rsidRDefault="001037F6">
      <w:pPr>
        <w:spacing w:line="360" w:lineRule="auto"/>
        <w:jc w:val="both"/>
        <w:rPr>
          <w:rFonts w:ascii="Palatino Linotype" w:eastAsia="Palatino Linotype" w:hAnsi="Palatino Linotype" w:cs="Palatino Linotype"/>
        </w:rPr>
      </w:pPr>
    </w:p>
    <w:p w:rsidR="001037F6" w:rsidRDefault="00292EC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w:t>
      </w:r>
      <w:r>
        <w:rPr>
          <w:rFonts w:ascii="Palatino Linotype" w:eastAsia="Palatino Linotype" w:hAnsi="Palatino Linotype" w:cs="Palatino Linotype"/>
        </w:rPr>
        <w:t xml:space="preserve">damento en lo prescrito en los artículos 5 párrafos trigésimo, trigésimo primero y trigésimo segundo de la Constitución Política del Estado Libre y Soberano </w:t>
      </w:r>
      <w:r>
        <w:rPr>
          <w:rFonts w:ascii="Palatino Linotype" w:eastAsia="Palatino Linotype" w:hAnsi="Palatino Linotype" w:cs="Palatino Linotype"/>
        </w:rPr>
        <w:lastRenderedPageBreak/>
        <w:t>de México; 2, fracción II; 29, 36 fracciones I y II; 176, 178, 181, 185 y 186 fracción II de la Ley</w:t>
      </w:r>
      <w:r>
        <w:rPr>
          <w:rFonts w:ascii="Palatino Linotype" w:eastAsia="Palatino Linotype" w:hAnsi="Palatino Linotype" w:cs="Palatino Linotype"/>
        </w:rPr>
        <w:t xml:space="preserve"> de Transparencia y Acceso a la Información Pública del Estado de México y Municipios, este Pleno:</w:t>
      </w:r>
    </w:p>
    <w:p w:rsidR="001037F6" w:rsidRDefault="00292EC8">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III.    </w:t>
      </w:r>
      <w:r>
        <w:rPr>
          <w:rFonts w:ascii="Palatino Linotype" w:eastAsia="Palatino Linotype" w:hAnsi="Palatino Linotype" w:cs="Palatino Linotype"/>
          <w:b/>
          <w:color w:val="000000"/>
          <w:sz w:val="22"/>
          <w:szCs w:val="22"/>
        </w:rPr>
        <w:t>R E S U E L V E</w:t>
      </w:r>
    </w:p>
    <w:p w:rsidR="001037F6" w:rsidRDefault="00292EC8">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00339/INFOEM/IP/RR/2022,</w:t>
      </w:r>
      <w:r>
        <w:rPr>
          <w:rFonts w:ascii="Palatino Linotype" w:eastAsia="Palatino Linotype" w:hAnsi="Palatino Linotype" w:cs="Palatino Linotype"/>
        </w:rPr>
        <w:t xml:space="preserve"> porque al modificar la respuesta a la solicitud de acceso</w:t>
      </w:r>
      <w:r>
        <w:rPr>
          <w:rFonts w:ascii="Palatino Linotype" w:eastAsia="Palatino Linotype" w:hAnsi="Palatino Linotype" w:cs="Palatino Linotype"/>
        </w:rPr>
        <w:t xml:space="preserve"> a la información con número</w:t>
      </w:r>
      <w:r>
        <w:rPr>
          <w:rFonts w:ascii="Palatino Linotype" w:eastAsia="Palatino Linotype" w:hAnsi="Palatino Linotype" w:cs="Palatino Linotype"/>
          <w:b/>
        </w:rPr>
        <w:t xml:space="preserve"> 00055/PLEGISLA/IP/2022, </w:t>
      </w:r>
      <w:r>
        <w:rPr>
          <w:rFonts w:ascii="Palatino Linotype" w:eastAsia="Palatino Linotype" w:hAnsi="Palatino Linotype" w:cs="Palatino Linotype"/>
        </w:rPr>
        <w:t>recurso de revisión quedó sin materia, en términos del Considerando Tercero de la presente resolución.</w:t>
      </w:r>
    </w:p>
    <w:p w:rsidR="001037F6" w:rsidRDefault="001037F6">
      <w:pPr>
        <w:spacing w:line="360" w:lineRule="auto"/>
        <w:jc w:val="both"/>
        <w:rPr>
          <w:rFonts w:ascii="Palatino Linotype" w:eastAsia="Palatino Linotype" w:hAnsi="Palatino Linotype" w:cs="Palatino Linotype"/>
          <w:b/>
          <w:sz w:val="20"/>
          <w:szCs w:val="20"/>
        </w:rPr>
      </w:pPr>
    </w:p>
    <w:p w:rsidR="001037F6" w:rsidRDefault="00292EC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 vía SAIMEX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w:t>
      </w:r>
      <w:r>
        <w:rPr>
          <w:rFonts w:ascii="Palatino Linotype" w:eastAsia="Palatino Linotype" w:hAnsi="Palatino Linotype" w:cs="Palatino Linotype"/>
        </w:rPr>
        <w:t xml:space="preserve">esente resolución, para su conocimiento. </w:t>
      </w:r>
    </w:p>
    <w:p w:rsidR="001037F6" w:rsidRDefault="001037F6">
      <w:pPr>
        <w:spacing w:line="360" w:lineRule="auto"/>
        <w:jc w:val="both"/>
        <w:rPr>
          <w:rFonts w:ascii="Palatino Linotype" w:eastAsia="Palatino Linotype" w:hAnsi="Palatino Linotype" w:cs="Palatino Linotype"/>
        </w:rPr>
      </w:pPr>
    </w:p>
    <w:p w:rsidR="001037F6" w:rsidRDefault="00292EC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a través del SAIMEX,</w:t>
      </w:r>
      <w:r>
        <w:rPr>
          <w:rFonts w:ascii="Palatino Linotype" w:eastAsia="Palatino Linotype" w:hAnsi="Palatino Linotype" w:cs="Palatino Linotype"/>
        </w:rPr>
        <w:t xml:space="preserve">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w:t>
      </w:r>
      <w:r>
        <w:rPr>
          <w:rFonts w:ascii="Palatino Linotype" w:eastAsia="Palatino Linotype" w:hAnsi="Palatino Linotype" w:cs="Palatino Linotype"/>
        </w:rPr>
        <w:t>eyes aplicables.</w:t>
      </w:r>
    </w:p>
    <w:p w:rsidR="001037F6" w:rsidRDefault="001037F6">
      <w:pPr>
        <w:spacing w:line="360" w:lineRule="auto"/>
        <w:jc w:val="both"/>
        <w:rPr>
          <w:rFonts w:ascii="Palatino Linotype" w:eastAsia="Palatino Linotype" w:hAnsi="Palatino Linotype" w:cs="Palatino Linotype"/>
        </w:rPr>
      </w:pPr>
    </w:p>
    <w:p w:rsidR="001037F6" w:rsidRDefault="00292EC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rPr>
        <w:t xml:space="preserve">MEJÍA AYALA, SHARON CRISTINA MORALES MARTÍNEZ, LUIS GUSTAVO PARRA NORIEGA Y GUADALUPE </w:t>
      </w:r>
      <w:r>
        <w:rPr>
          <w:rFonts w:ascii="Palatino Linotype" w:eastAsia="Palatino Linotype" w:hAnsi="Palatino Linotype" w:cs="Palatino Linotype"/>
        </w:rPr>
        <w:lastRenderedPageBreak/>
        <w:t>RAMÍREZ PEÑA; EN LA DÉCIMA PRIMERA SESIÓN ORDINARIA CELEBRADA EL VEINTICUATRO DE MARZO DEL DOS MIL VEINTIDÓS, ANTE EL SECRETARIO TÉCNICO DEL PLENO ALEXIS TAPIA RAMÍREZ.</w:t>
      </w:r>
    </w:p>
    <w:p w:rsidR="001037F6" w:rsidRDefault="001037F6">
      <w:pPr>
        <w:spacing w:line="360" w:lineRule="auto"/>
        <w:jc w:val="both"/>
        <w:rPr>
          <w:rFonts w:ascii="Palatino Linotype" w:eastAsia="Palatino Linotype" w:hAnsi="Palatino Linotype" w:cs="Palatino Linotype"/>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p w:rsidR="001037F6" w:rsidRDefault="001037F6">
      <w:pPr>
        <w:spacing w:before="240" w:after="240"/>
        <w:jc w:val="both"/>
        <w:rPr>
          <w:rFonts w:ascii="Palatino Linotype" w:eastAsia="Palatino Linotype" w:hAnsi="Palatino Linotype" w:cs="Palatino Linotype"/>
          <w:sz w:val="20"/>
          <w:szCs w:val="20"/>
        </w:rPr>
      </w:pPr>
    </w:p>
    <w:sectPr w:rsidR="001037F6">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EC8" w:rsidRDefault="00292EC8">
      <w:r>
        <w:separator/>
      </w:r>
    </w:p>
  </w:endnote>
  <w:endnote w:type="continuationSeparator" w:id="0">
    <w:p w:rsidR="00292EC8" w:rsidRDefault="0029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7F6" w:rsidRDefault="00292E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F3550C">
      <w:rPr>
        <w:rFonts w:ascii="Palatino Linotype" w:eastAsia="Palatino Linotype" w:hAnsi="Palatino Linotype" w:cs="Palatino Linotype"/>
        <w:b/>
        <w:color w:val="000000"/>
        <w:sz w:val="20"/>
        <w:szCs w:val="20"/>
      </w:rPr>
      <w:fldChar w:fldCharType="separate"/>
    </w:r>
    <w:r w:rsidR="00452966">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F3550C">
      <w:rPr>
        <w:rFonts w:ascii="Palatino Linotype" w:eastAsia="Palatino Linotype" w:hAnsi="Palatino Linotype" w:cs="Palatino Linotype"/>
        <w:b/>
        <w:color w:val="000000"/>
        <w:sz w:val="20"/>
        <w:szCs w:val="20"/>
      </w:rPr>
      <w:fldChar w:fldCharType="separate"/>
    </w:r>
    <w:r w:rsidR="00452966">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1037F6" w:rsidRDefault="001037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7F6" w:rsidRDefault="00292E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F3550C">
      <w:rPr>
        <w:rFonts w:ascii="Palatino Linotype" w:eastAsia="Palatino Linotype" w:hAnsi="Palatino Linotype" w:cs="Palatino Linotype"/>
        <w:b/>
        <w:color w:val="000000"/>
        <w:sz w:val="20"/>
        <w:szCs w:val="20"/>
      </w:rPr>
      <w:fldChar w:fldCharType="separate"/>
    </w:r>
    <w:r w:rsidR="00F3550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F3550C">
      <w:rPr>
        <w:rFonts w:ascii="Palatino Linotype" w:eastAsia="Palatino Linotype" w:hAnsi="Palatino Linotype" w:cs="Palatino Linotype"/>
        <w:b/>
        <w:color w:val="000000"/>
        <w:sz w:val="20"/>
        <w:szCs w:val="20"/>
      </w:rPr>
      <w:fldChar w:fldCharType="separate"/>
    </w:r>
    <w:r w:rsidR="00F3550C">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rsidR="001037F6" w:rsidRDefault="001037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EC8" w:rsidRDefault="00292EC8">
      <w:r>
        <w:separator/>
      </w:r>
    </w:p>
  </w:footnote>
  <w:footnote w:type="continuationSeparator" w:id="0">
    <w:p w:rsidR="00292EC8" w:rsidRDefault="00292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7F6" w:rsidRDefault="00292EC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1037F6">
      <w:tc>
        <w:tcPr>
          <w:tcW w:w="2489" w:type="dxa"/>
          <w:shd w:val="clear" w:color="auto" w:fill="auto"/>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037F6" w:rsidRDefault="00292EC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00339/INFOEM/IP/RR/2022</w:t>
          </w:r>
        </w:p>
      </w:tc>
    </w:tr>
    <w:tr w:rsidR="001037F6">
      <w:trPr>
        <w:trHeight w:val="228"/>
      </w:trPr>
      <w:tc>
        <w:tcPr>
          <w:tcW w:w="2489" w:type="dxa"/>
          <w:shd w:val="clear" w:color="auto" w:fill="auto"/>
          <w:vAlign w:val="center"/>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037F6" w:rsidRDefault="00292EC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1037F6">
      <w:tc>
        <w:tcPr>
          <w:tcW w:w="2489" w:type="dxa"/>
          <w:shd w:val="clear" w:color="auto" w:fill="auto"/>
          <w:vAlign w:val="center"/>
        </w:tcPr>
        <w:p w:rsidR="001037F6" w:rsidRDefault="00292EC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037F6" w:rsidRDefault="00292EC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037F6" w:rsidRDefault="00292EC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7F6" w:rsidRDefault="001037F6">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
      <w:tblW w:w="5953" w:type="dxa"/>
      <w:tblInd w:w="3261" w:type="dxa"/>
      <w:tblLayout w:type="fixed"/>
      <w:tblLook w:val="0400" w:firstRow="0" w:lastRow="0" w:firstColumn="0" w:lastColumn="0" w:noHBand="0" w:noVBand="1"/>
    </w:tblPr>
    <w:tblGrid>
      <w:gridCol w:w="2551"/>
      <w:gridCol w:w="3402"/>
    </w:tblGrid>
    <w:tr w:rsidR="001037F6">
      <w:tc>
        <w:tcPr>
          <w:tcW w:w="2551" w:type="dxa"/>
          <w:shd w:val="clear" w:color="auto" w:fill="auto"/>
          <w:vAlign w:val="center"/>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1037F6" w:rsidRDefault="00292EC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00339/INFOEM/IP/RR/2022</w:t>
          </w:r>
        </w:p>
      </w:tc>
    </w:tr>
    <w:tr w:rsidR="001037F6">
      <w:trPr>
        <w:trHeight w:val="130"/>
      </w:trPr>
      <w:tc>
        <w:tcPr>
          <w:tcW w:w="2551" w:type="dxa"/>
          <w:shd w:val="clear" w:color="auto" w:fill="auto"/>
          <w:vAlign w:val="center"/>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1037F6" w:rsidRDefault="00F3550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w:t>
          </w:r>
          <w:proofErr w:type="spellEnd"/>
        </w:p>
      </w:tc>
    </w:tr>
    <w:tr w:rsidR="001037F6">
      <w:trPr>
        <w:trHeight w:val="228"/>
      </w:trPr>
      <w:tc>
        <w:tcPr>
          <w:tcW w:w="2551" w:type="dxa"/>
          <w:shd w:val="clear" w:color="auto" w:fill="auto"/>
          <w:vAlign w:val="center"/>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1037F6" w:rsidRDefault="00292EC8">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r>
            <w:rPr>
              <w:noProof/>
              <w:lang w:val="es-MX" w:eastAsia="es-MX"/>
            </w:rPr>
            <w:drawing>
              <wp:anchor distT="0" distB="0" distL="0" distR="0" simplePos="0" relativeHeight="251659264" behindDoc="1" locked="0" layoutInCell="1" hidden="0" allowOverlap="1">
                <wp:simplePos x="0" y="0"/>
                <wp:positionH relativeFrom="column">
                  <wp:posOffset>-5128894</wp:posOffset>
                </wp:positionH>
                <wp:positionV relativeFrom="paragraph">
                  <wp:posOffset>-1631949</wp:posOffset>
                </wp:positionV>
                <wp:extent cx="7809865" cy="10165715"/>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1037F6">
      <w:tc>
        <w:tcPr>
          <w:tcW w:w="2551" w:type="dxa"/>
          <w:shd w:val="clear" w:color="auto" w:fill="auto"/>
          <w:vAlign w:val="center"/>
        </w:tcPr>
        <w:p w:rsidR="001037F6" w:rsidRDefault="00292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1037F6" w:rsidRDefault="00292EC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037F6" w:rsidRDefault="001037F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73166B"/>
    <w:multiLevelType w:val="multilevel"/>
    <w:tmpl w:val="53880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BC1A2A"/>
    <w:multiLevelType w:val="multilevel"/>
    <w:tmpl w:val="C13A585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7F6"/>
    <w:rsid w:val="001037F6"/>
    <w:rsid w:val="00292EC8"/>
    <w:rsid w:val="00452966"/>
    <w:rsid w:val="00F35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3C6BF-EA87-4E0C-89DF-CFF56130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0DA"/>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Tj4BCfb/l+Kr2TfsL+BbjJscfw==">AMUW2mUnCvkMrV1NsZMwUHZrI+yJhDqQDmTIQR5P6mC5ZwLqODHHIbgjQNSYLh4MCLBn11EY5WK4MeAtUX9AMbEUcEmxAUMa0svbd88hXv4oUSORMvmza3VvUdR+6FBaJzPaMnoGblfSgADg9i82AUOQ4BIctaO74KitSU6EuxVJNzgVCNNL7Ug=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5599</Words>
  <Characters>30799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3</cp:revision>
  <dcterms:created xsi:type="dcterms:W3CDTF">2022-03-16T01:24:00Z</dcterms:created>
  <dcterms:modified xsi:type="dcterms:W3CDTF">2022-04-04T16:08:00Z</dcterms:modified>
</cp:coreProperties>
</file>