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B46FBB" w:rsidRDefault="0029071C" w:rsidP="0029071C">
      <w:pPr>
        <w:shd w:val="clear" w:color="auto" w:fill="FFFFFF"/>
        <w:spacing w:line="360" w:lineRule="auto"/>
        <w:jc w:val="both"/>
        <w:rPr>
          <w:rFonts w:ascii="Palatino Linotype" w:hAnsi="Palatino Linotype" w:cs="Arial"/>
          <w:color w:val="000000"/>
          <w:lang w:val="es-MX" w:eastAsia="es-MX"/>
        </w:rPr>
      </w:pPr>
      <w:r w:rsidRPr="00B46FB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754AD0" w:rsidRPr="00B46FBB">
        <w:rPr>
          <w:rFonts w:ascii="Palatino Linotype" w:hAnsi="Palatino Linotype" w:cs="Arial"/>
          <w:color w:val="000000"/>
          <w:lang w:val="es-MX" w:eastAsia="es-MX"/>
        </w:rPr>
        <w:t>cinco de octubre</w:t>
      </w:r>
      <w:r w:rsidR="00A90157" w:rsidRPr="00B46FBB">
        <w:rPr>
          <w:rFonts w:ascii="Palatino Linotype" w:hAnsi="Palatino Linotype" w:cs="Arial"/>
          <w:color w:val="000000"/>
          <w:lang w:val="es-MX" w:eastAsia="es-MX"/>
        </w:rPr>
        <w:t xml:space="preserve"> dos mil veintidós</w:t>
      </w:r>
      <w:r w:rsidRPr="00B46FBB">
        <w:rPr>
          <w:rFonts w:ascii="Palatino Linotype" w:hAnsi="Palatino Linotype" w:cs="Arial"/>
          <w:color w:val="000000"/>
          <w:lang w:val="es-MX" w:eastAsia="es-MX"/>
        </w:rPr>
        <w:t>.</w:t>
      </w:r>
    </w:p>
    <w:p w:rsidR="0029071C" w:rsidRPr="00B46FBB" w:rsidRDefault="0029071C" w:rsidP="008A64CB">
      <w:pPr>
        <w:pStyle w:val="Sinespaciado"/>
        <w:rPr>
          <w:lang w:eastAsia="es-MX"/>
        </w:rPr>
      </w:pPr>
    </w:p>
    <w:p w:rsidR="00A90157" w:rsidRPr="00B46FBB" w:rsidRDefault="0029071C" w:rsidP="00A90157">
      <w:pPr>
        <w:tabs>
          <w:tab w:val="left" w:pos="1701"/>
        </w:tabs>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b/>
          <w:lang w:val="es-MX" w:eastAsia="en-US"/>
        </w:rPr>
        <w:t>VISTO</w:t>
      </w:r>
      <w:r w:rsidRPr="00B46FBB">
        <w:rPr>
          <w:rFonts w:ascii="Palatino Linotype" w:eastAsiaTheme="minorHAnsi" w:hAnsi="Palatino Linotype" w:cs="Arial"/>
          <w:lang w:val="es-MX" w:eastAsia="en-US"/>
        </w:rPr>
        <w:t xml:space="preserve"> el expediente electrónico formado con motivo del recurso de revisión número </w:t>
      </w:r>
      <w:r w:rsidR="00AB6E87" w:rsidRPr="00B46FBB">
        <w:rPr>
          <w:rFonts w:ascii="Palatino Linotype" w:eastAsiaTheme="minorHAnsi" w:hAnsi="Palatino Linotype" w:cs="Arial"/>
          <w:b/>
          <w:lang w:val="es-MX" w:eastAsia="en-US"/>
        </w:rPr>
        <w:t>12515</w:t>
      </w:r>
      <w:r w:rsidRPr="00B46FBB">
        <w:rPr>
          <w:rFonts w:ascii="Palatino Linotype" w:eastAsiaTheme="minorHAnsi" w:hAnsi="Palatino Linotype" w:cs="Arial"/>
          <w:b/>
          <w:bCs/>
          <w:lang w:val="es-MX" w:eastAsia="es-MX"/>
        </w:rPr>
        <w:t>/INFOEM/IP/RR/2021</w:t>
      </w:r>
      <w:r w:rsidRPr="00B46FBB">
        <w:rPr>
          <w:rFonts w:ascii="Palatino Linotype" w:eastAsiaTheme="minorHAnsi" w:hAnsi="Palatino Linotype" w:cs="Arial"/>
          <w:lang w:val="es-MX" w:eastAsia="en-US"/>
        </w:rPr>
        <w:t xml:space="preserve">, interpuesto por </w:t>
      </w:r>
      <w:r w:rsidR="00A90157" w:rsidRPr="00B46FBB">
        <w:rPr>
          <w:rFonts w:ascii="Palatino Linotype" w:eastAsiaTheme="minorHAnsi" w:hAnsi="Palatino Linotype" w:cs="Arial"/>
          <w:lang w:val="es-MX" w:eastAsia="en-US"/>
        </w:rPr>
        <w:t>la</w:t>
      </w:r>
      <w:r w:rsidRPr="00B46FBB">
        <w:rPr>
          <w:rFonts w:ascii="Palatino Linotype" w:eastAsiaTheme="minorHAnsi" w:hAnsi="Palatino Linotype" w:cs="Arial"/>
          <w:lang w:val="es-MX" w:eastAsia="en-US"/>
        </w:rPr>
        <w:t xml:space="preserve"> </w:t>
      </w:r>
      <w:r w:rsidR="00CA1518">
        <w:rPr>
          <w:rFonts w:ascii="Palatino Linotype" w:eastAsiaTheme="minorHAnsi" w:hAnsi="Palatino Linotype" w:cs="Arial"/>
          <w:b/>
          <w:lang w:val="es-MX" w:eastAsia="en-US"/>
        </w:rPr>
        <w:t>XXXXXXXXXXXXXXXXXXXXXX</w:t>
      </w:r>
      <w:r w:rsidR="00A47879" w:rsidRPr="00B46FBB">
        <w:rPr>
          <w:rFonts w:ascii="Palatino Linotype" w:eastAsiaTheme="minorHAnsi" w:hAnsi="Palatino Linotype" w:cs="Arial"/>
          <w:b/>
          <w:lang w:val="es-MX" w:eastAsia="en-US"/>
        </w:rPr>
        <w:t xml:space="preserve"> </w:t>
      </w:r>
      <w:r w:rsidR="00CA1518">
        <w:rPr>
          <w:rFonts w:ascii="Palatino Linotype" w:eastAsiaTheme="minorHAnsi" w:hAnsi="Palatino Linotype" w:cs="Arial"/>
          <w:b/>
          <w:lang w:val="es-MX" w:eastAsia="en-US"/>
        </w:rPr>
        <w:t>XXXXXX</w:t>
      </w:r>
      <w:r w:rsidRPr="00B46FBB">
        <w:rPr>
          <w:rFonts w:ascii="Palatino Linotype" w:eastAsiaTheme="minorHAnsi" w:hAnsi="Palatino Linotype" w:cs="Arial"/>
          <w:lang w:val="es-MX" w:eastAsia="en-US"/>
        </w:rPr>
        <w:t xml:space="preserve">, en lo sucesivo </w:t>
      </w:r>
      <w:r w:rsidR="00A90157" w:rsidRPr="00B46FBB">
        <w:rPr>
          <w:rFonts w:ascii="Palatino Linotype" w:eastAsiaTheme="minorHAnsi" w:hAnsi="Palatino Linotype" w:cs="Arial"/>
          <w:lang w:val="es-MX" w:eastAsia="en-US"/>
        </w:rPr>
        <w:t>la</w:t>
      </w:r>
      <w:r w:rsidRPr="00B46FBB">
        <w:rPr>
          <w:rFonts w:ascii="Palatino Linotype" w:eastAsiaTheme="minorHAnsi" w:hAnsi="Palatino Linotype" w:cs="Arial"/>
          <w:b/>
          <w:lang w:val="es-MX" w:eastAsia="en-US"/>
        </w:rPr>
        <w:t xml:space="preserve"> Recurrente</w:t>
      </w:r>
      <w:r w:rsidRPr="00B46FBB">
        <w:rPr>
          <w:rFonts w:ascii="Palatino Linotype" w:eastAsiaTheme="minorHAnsi" w:hAnsi="Palatino Linotype" w:cs="Arial"/>
          <w:lang w:val="es-MX" w:eastAsia="en-US"/>
        </w:rPr>
        <w:t>, en contra de la respuesta de</w:t>
      </w:r>
      <w:r w:rsidR="009E0E89" w:rsidRPr="00B46FBB">
        <w:rPr>
          <w:rFonts w:ascii="Palatino Linotype" w:eastAsiaTheme="minorHAnsi" w:hAnsi="Palatino Linotype" w:cs="Arial"/>
          <w:lang w:val="es-MX" w:eastAsia="en-US"/>
        </w:rPr>
        <w:t>l</w:t>
      </w:r>
      <w:r w:rsidRPr="00B46FBB">
        <w:rPr>
          <w:rFonts w:ascii="Palatino Linotype" w:eastAsiaTheme="minorHAnsi" w:hAnsi="Palatino Linotype" w:cs="Arial"/>
          <w:lang w:val="es-MX" w:eastAsia="en-US"/>
        </w:rPr>
        <w:t xml:space="preserve"> </w:t>
      </w:r>
      <w:r w:rsidR="00AB6E87" w:rsidRPr="00B46FBB">
        <w:rPr>
          <w:rFonts w:ascii="Palatino Linotype" w:eastAsiaTheme="minorHAnsi" w:hAnsi="Palatino Linotype" w:cs="Arial"/>
          <w:b/>
          <w:lang w:val="es-MX" w:eastAsia="en-US"/>
        </w:rPr>
        <w:t>Ayuntamiento de Tecámac</w:t>
      </w:r>
      <w:r w:rsidRPr="00B46FBB">
        <w:rPr>
          <w:rFonts w:ascii="Palatino Linotype" w:eastAsiaTheme="minorHAnsi" w:hAnsi="Palatino Linotype" w:cs="Arial"/>
          <w:lang w:val="es-MX" w:eastAsia="en-US"/>
        </w:rPr>
        <w:t>,</w:t>
      </w:r>
      <w:r w:rsidRPr="00B46FBB">
        <w:rPr>
          <w:rFonts w:ascii="Palatino Linotype" w:eastAsiaTheme="minorHAnsi" w:hAnsi="Palatino Linotype" w:cs="Arial"/>
          <w:b/>
          <w:lang w:val="es-MX" w:eastAsia="en-US"/>
        </w:rPr>
        <w:t xml:space="preserve"> </w:t>
      </w:r>
      <w:r w:rsidRPr="00B46FBB">
        <w:rPr>
          <w:rFonts w:ascii="Palatino Linotype" w:eastAsiaTheme="minorHAnsi" w:hAnsi="Palatino Linotype" w:cs="Arial"/>
          <w:lang w:val="es-MX" w:eastAsia="en-US"/>
        </w:rPr>
        <w:t>en lo subsecuente</w:t>
      </w:r>
      <w:r w:rsidRPr="00B46FBB">
        <w:rPr>
          <w:rFonts w:ascii="Palatino Linotype" w:eastAsiaTheme="minorHAnsi" w:hAnsi="Palatino Linotype" w:cs="Arial"/>
          <w:b/>
          <w:lang w:val="es-MX" w:eastAsia="en-US"/>
        </w:rPr>
        <w:t xml:space="preserve"> El Sujeto Obligado, </w:t>
      </w:r>
      <w:r w:rsidRPr="00B46FBB">
        <w:rPr>
          <w:rFonts w:ascii="Palatino Linotype" w:eastAsiaTheme="minorHAnsi" w:hAnsi="Palatino Linotype" w:cs="Arial"/>
          <w:lang w:val="es-MX" w:eastAsia="en-US"/>
        </w:rPr>
        <w:t>se procede a dictar la presente resolución.</w:t>
      </w:r>
    </w:p>
    <w:p w:rsidR="00A90157" w:rsidRPr="00B46FBB" w:rsidRDefault="00A90157" w:rsidP="00A90157">
      <w:pPr>
        <w:tabs>
          <w:tab w:val="left" w:pos="1701"/>
        </w:tabs>
        <w:spacing w:line="360" w:lineRule="auto"/>
        <w:jc w:val="both"/>
        <w:rPr>
          <w:rFonts w:ascii="Palatino Linotype" w:eastAsiaTheme="minorHAnsi" w:hAnsi="Palatino Linotype" w:cs="Arial"/>
          <w:b/>
          <w:lang w:val="es-MX" w:eastAsia="en-US"/>
        </w:rPr>
      </w:pPr>
    </w:p>
    <w:p w:rsidR="0029071C" w:rsidRPr="00B46FBB" w:rsidRDefault="0029071C" w:rsidP="009E0E89">
      <w:pPr>
        <w:spacing w:line="360" w:lineRule="auto"/>
        <w:jc w:val="center"/>
        <w:rPr>
          <w:rFonts w:ascii="Palatino Linotype" w:eastAsiaTheme="minorHAnsi" w:hAnsi="Palatino Linotype" w:cs="Arial"/>
          <w:b/>
          <w:sz w:val="28"/>
          <w:lang w:val="es-MX" w:eastAsia="en-US"/>
        </w:rPr>
      </w:pPr>
      <w:r w:rsidRPr="00B46FBB">
        <w:rPr>
          <w:rFonts w:ascii="Palatino Linotype" w:eastAsiaTheme="minorHAnsi" w:hAnsi="Palatino Linotype" w:cs="Arial"/>
          <w:b/>
          <w:sz w:val="28"/>
          <w:lang w:val="es-MX" w:eastAsia="en-US"/>
        </w:rPr>
        <w:t>A N T E C E D E N T E S</w:t>
      </w:r>
    </w:p>
    <w:p w:rsidR="009E0E89" w:rsidRPr="00B46FBB" w:rsidRDefault="009E0E89" w:rsidP="008A64CB">
      <w:pPr>
        <w:pStyle w:val="Sinespaciado"/>
        <w:rPr>
          <w:rFonts w:eastAsiaTheme="minorHAnsi"/>
          <w:lang w:eastAsia="en-US"/>
        </w:rPr>
      </w:pPr>
    </w:p>
    <w:p w:rsidR="0029071C" w:rsidRPr="00B46FBB" w:rsidRDefault="0029071C" w:rsidP="0029071C">
      <w:pPr>
        <w:spacing w:line="360" w:lineRule="auto"/>
        <w:jc w:val="both"/>
        <w:rPr>
          <w:rFonts w:ascii="Palatino Linotype" w:eastAsiaTheme="minorHAnsi" w:hAnsi="Palatino Linotype" w:cs="Arial"/>
          <w:b/>
          <w:sz w:val="28"/>
          <w:lang w:val="es-MX" w:eastAsia="en-US"/>
        </w:rPr>
      </w:pPr>
      <w:r w:rsidRPr="00B46FBB">
        <w:rPr>
          <w:rFonts w:ascii="Palatino Linotype" w:eastAsiaTheme="minorHAnsi" w:hAnsi="Palatino Linotype" w:cs="Arial"/>
          <w:b/>
          <w:sz w:val="28"/>
          <w:lang w:val="es-MX" w:eastAsia="en-US"/>
        </w:rPr>
        <w:t>PRIMERO. De la solicitud de información.</w:t>
      </w:r>
    </w:p>
    <w:p w:rsidR="0029071C" w:rsidRPr="00B46FBB" w:rsidRDefault="0029071C" w:rsidP="0029071C">
      <w:pPr>
        <w:spacing w:line="360" w:lineRule="auto"/>
        <w:jc w:val="both"/>
        <w:rPr>
          <w:rFonts w:ascii="Palatino Linotype" w:eastAsiaTheme="minorHAnsi" w:hAnsi="Palatino Linotype" w:cs="Arial"/>
          <w:szCs w:val="22"/>
          <w:lang w:val="es-MX" w:eastAsia="en-US"/>
        </w:rPr>
      </w:pPr>
      <w:r w:rsidRPr="00B46FBB">
        <w:rPr>
          <w:rFonts w:ascii="Palatino Linotype" w:eastAsiaTheme="minorHAnsi" w:hAnsi="Palatino Linotype" w:cs="Arial"/>
          <w:szCs w:val="22"/>
          <w:lang w:val="es-MX" w:eastAsia="en-US"/>
        </w:rPr>
        <w:t xml:space="preserve">En fecha </w:t>
      </w:r>
      <w:r w:rsidR="00AB6E87" w:rsidRPr="00B46FBB">
        <w:rPr>
          <w:rFonts w:ascii="Palatino Linotype" w:eastAsiaTheme="minorHAnsi" w:hAnsi="Palatino Linotype" w:cs="Arial"/>
          <w:szCs w:val="22"/>
          <w:lang w:val="es-MX" w:eastAsia="en-US"/>
        </w:rPr>
        <w:t>ocho de junio</w:t>
      </w:r>
      <w:r w:rsidR="00A90157" w:rsidRPr="00B46FBB">
        <w:rPr>
          <w:rFonts w:ascii="Palatino Linotype" w:eastAsiaTheme="minorHAnsi" w:hAnsi="Palatino Linotype" w:cs="Arial"/>
          <w:szCs w:val="22"/>
          <w:lang w:val="es-MX" w:eastAsia="en-US"/>
        </w:rPr>
        <w:t xml:space="preserve"> de dos mil veintidós</w:t>
      </w:r>
      <w:r w:rsidRPr="00B46FBB">
        <w:rPr>
          <w:rFonts w:ascii="Palatino Linotype" w:eastAsiaTheme="minorHAnsi" w:hAnsi="Palatino Linotype" w:cs="Arial"/>
          <w:szCs w:val="22"/>
          <w:lang w:val="es-MX" w:eastAsia="en-US"/>
        </w:rPr>
        <w:t xml:space="preserve">, </w:t>
      </w:r>
      <w:r w:rsidR="00AB6E87" w:rsidRPr="00B46FBB">
        <w:rPr>
          <w:rFonts w:ascii="Palatino Linotype" w:eastAsiaTheme="minorHAnsi" w:hAnsi="Palatino Linotype" w:cs="Arial"/>
          <w:szCs w:val="22"/>
          <w:lang w:val="es-MX" w:eastAsia="en-US"/>
        </w:rPr>
        <w:t>la</w:t>
      </w:r>
      <w:r w:rsidRPr="00B46FBB">
        <w:rPr>
          <w:rFonts w:ascii="Palatino Linotype" w:eastAsiaTheme="minorHAnsi" w:hAnsi="Palatino Linotype" w:cs="Arial"/>
          <w:szCs w:val="22"/>
          <w:lang w:val="es-MX" w:eastAsia="en-US"/>
        </w:rPr>
        <w:t xml:space="preserve"> </w:t>
      </w:r>
      <w:r w:rsidRPr="00B46FBB">
        <w:rPr>
          <w:rFonts w:ascii="Palatino Linotype" w:eastAsiaTheme="minorHAnsi" w:hAnsi="Palatino Linotype" w:cs="Arial"/>
          <w:b/>
          <w:szCs w:val="22"/>
          <w:lang w:val="es-MX" w:eastAsia="en-US"/>
        </w:rPr>
        <w:t>Recurrente</w:t>
      </w:r>
      <w:r w:rsidRPr="00B46FBB">
        <w:rPr>
          <w:rFonts w:ascii="Palatino Linotype" w:eastAsiaTheme="minorHAnsi" w:hAnsi="Palatino Linotype" w:cs="Arial"/>
          <w:szCs w:val="22"/>
          <w:lang w:val="es-MX" w:eastAsia="en-US"/>
        </w:rPr>
        <w:t xml:space="preserve">, presentó a través del Sistema de Acceso a la Información Mexiquense </w:t>
      </w:r>
      <w:r w:rsidRPr="00B46FBB">
        <w:rPr>
          <w:rFonts w:ascii="Palatino Linotype" w:eastAsiaTheme="minorHAnsi" w:hAnsi="Palatino Linotype" w:cs="Arial"/>
          <w:b/>
          <w:szCs w:val="22"/>
          <w:lang w:val="es-MX" w:eastAsia="en-US"/>
        </w:rPr>
        <w:t>(SAIMEX),</w:t>
      </w:r>
      <w:r w:rsidRPr="00B46FBB">
        <w:rPr>
          <w:rFonts w:ascii="Palatino Linotype" w:eastAsiaTheme="minorHAnsi" w:hAnsi="Palatino Linotype" w:cs="Arial"/>
          <w:szCs w:val="22"/>
          <w:lang w:val="es-MX" w:eastAsia="en-US"/>
        </w:rPr>
        <w:t xml:space="preserve"> ante el </w:t>
      </w:r>
      <w:r w:rsidRPr="00B46FBB">
        <w:rPr>
          <w:rFonts w:ascii="Palatino Linotype" w:eastAsiaTheme="minorHAnsi" w:hAnsi="Palatino Linotype" w:cs="Arial"/>
          <w:b/>
          <w:szCs w:val="22"/>
          <w:lang w:val="es-MX" w:eastAsia="en-US"/>
        </w:rPr>
        <w:t>Sujeto Obligado</w:t>
      </w:r>
      <w:r w:rsidRPr="00B46FBB">
        <w:rPr>
          <w:rFonts w:ascii="Palatino Linotype" w:eastAsiaTheme="minorHAnsi" w:hAnsi="Palatino Linotype" w:cs="Arial"/>
          <w:szCs w:val="22"/>
          <w:lang w:val="es-MX" w:eastAsia="en-US"/>
        </w:rPr>
        <w:t xml:space="preserve">, la solicitud de acceso a la información pública, a la que se le asignó el número de expediente </w:t>
      </w:r>
      <w:r w:rsidR="00AB6E87" w:rsidRPr="00B46FBB">
        <w:rPr>
          <w:rFonts w:ascii="Palatino Linotype" w:eastAsiaTheme="minorHAnsi" w:hAnsi="Palatino Linotype" w:cs="Arial"/>
          <w:b/>
          <w:szCs w:val="22"/>
          <w:lang w:val="es-MX" w:eastAsia="en-US"/>
        </w:rPr>
        <w:t>00168/TECAMAC/IP/2022</w:t>
      </w:r>
      <w:r w:rsidRPr="00B46FBB">
        <w:rPr>
          <w:rFonts w:ascii="Palatino Linotype" w:eastAsiaTheme="minorHAnsi" w:hAnsi="Palatino Linotype" w:cs="Arial"/>
          <w:szCs w:val="22"/>
          <w:lang w:val="es-MX" w:eastAsia="en-US"/>
        </w:rPr>
        <w:t>, mediante la cual solicitó lo siguiente:</w:t>
      </w:r>
    </w:p>
    <w:p w:rsidR="0029071C" w:rsidRPr="00B46FBB" w:rsidRDefault="0029071C" w:rsidP="0029071C">
      <w:pPr>
        <w:rPr>
          <w:lang w:val="es-MX"/>
        </w:rPr>
      </w:pPr>
    </w:p>
    <w:p w:rsidR="00A90157" w:rsidRPr="00B46FBB" w:rsidRDefault="0029071C" w:rsidP="00AB6E87">
      <w:pPr>
        <w:spacing w:after="160" w:line="276" w:lineRule="auto"/>
        <w:ind w:left="284" w:right="332"/>
        <w:jc w:val="both"/>
        <w:rPr>
          <w:rFonts w:ascii="Palatino Linotype" w:hAnsi="Palatino Linotype"/>
          <w:i/>
          <w:sz w:val="22"/>
          <w:szCs w:val="22"/>
          <w:lang w:val="es-MX" w:eastAsia="es-MX"/>
        </w:rPr>
      </w:pPr>
      <w:r w:rsidRPr="00B46FBB">
        <w:rPr>
          <w:rFonts w:ascii="Palatino Linotype" w:hAnsi="Palatino Linotype"/>
          <w:i/>
          <w:sz w:val="22"/>
          <w:szCs w:val="22"/>
          <w:lang w:val="es-MX"/>
        </w:rPr>
        <w:t>“</w:t>
      </w:r>
      <w:r w:rsidR="00AB6E87" w:rsidRPr="00B46FBB">
        <w:rPr>
          <w:rFonts w:ascii="Palatino Linotype" w:hAnsi="Palatino Linotype"/>
          <w:i/>
          <w:sz w:val="22"/>
          <w:szCs w:val="22"/>
          <w:lang w:val="es-MX" w:eastAsia="es-MX"/>
        </w:rPr>
        <w:t xml:space="preserve">1.- Total de donaciones o cantidades monetarias entregadas en beneficio del Albergue de Adultos Mayores </w:t>
      </w:r>
      <w:proofErr w:type="spellStart"/>
      <w:r w:rsidR="00AB6E87" w:rsidRPr="00B46FBB">
        <w:rPr>
          <w:rFonts w:ascii="Palatino Linotype" w:hAnsi="Palatino Linotype"/>
          <w:i/>
          <w:sz w:val="22"/>
          <w:szCs w:val="22"/>
          <w:lang w:val="es-MX" w:eastAsia="es-MX"/>
        </w:rPr>
        <w:t>Ikram</w:t>
      </w:r>
      <w:proofErr w:type="spellEnd"/>
      <w:r w:rsidR="00AB6E87" w:rsidRPr="00B46FBB">
        <w:rPr>
          <w:rFonts w:ascii="Palatino Linotype" w:hAnsi="Palatino Linotype"/>
          <w:i/>
          <w:sz w:val="22"/>
          <w:szCs w:val="22"/>
          <w:lang w:val="es-MX" w:eastAsia="es-MX"/>
        </w:rPr>
        <w:t xml:space="preserve"> </w:t>
      </w:r>
      <w:proofErr w:type="spellStart"/>
      <w:r w:rsidR="00AB6E87" w:rsidRPr="00B46FBB">
        <w:rPr>
          <w:rFonts w:ascii="Palatino Linotype" w:hAnsi="Palatino Linotype"/>
          <w:i/>
          <w:sz w:val="22"/>
          <w:szCs w:val="22"/>
          <w:lang w:val="es-MX" w:eastAsia="es-MX"/>
        </w:rPr>
        <w:t>Antaki</w:t>
      </w:r>
      <w:proofErr w:type="spellEnd"/>
      <w:r w:rsidR="00AB6E87" w:rsidRPr="00B46FBB">
        <w:rPr>
          <w:rFonts w:ascii="Palatino Linotype" w:hAnsi="Palatino Linotype"/>
          <w:i/>
          <w:sz w:val="22"/>
          <w:szCs w:val="22"/>
          <w:lang w:val="es-MX" w:eastAsia="es-MX"/>
        </w:rPr>
        <w:t xml:space="preserve">, y realizadas en el periodo del 1 de mayo de 2022 hasta la fecha de la contestación a esta solicitud de información. 2.- Total de donaciones o cantidades monetarias entregadas en beneficio del Albergue de Niñas y Niños y Adolescentes </w:t>
      </w:r>
      <w:proofErr w:type="spellStart"/>
      <w:r w:rsidR="00AB6E87" w:rsidRPr="00B46FBB">
        <w:rPr>
          <w:rFonts w:ascii="Palatino Linotype" w:hAnsi="Palatino Linotype"/>
          <w:i/>
          <w:sz w:val="22"/>
          <w:szCs w:val="22"/>
          <w:lang w:val="es-MX" w:eastAsia="es-MX"/>
        </w:rPr>
        <w:t>Ivanna</w:t>
      </w:r>
      <w:proofErr w:type="spellEnd"/>
      <w:r w:rsidR="00AB6E87" w:rsidRPr="00B46FBB">
        <w:rPr>
          <w:rFonts w:ascii="Palatino Linotype" w:hAnsi="Palatino Linotype"/>
          <w:i/>
          <w:sz w:val="22"/>
          <w:szCs w:val="22"/>
          <w:lang w:val="es-MX" w:eastAsia="es-MX"/>
        </w:rPr>
        <w:t xml:space="preserve"> N, y realizadas en el periodo del 1 de mayo de 2022 hasta la fecha de la contestación a esta solicitud de información. 3.- Copia digital de la constancia de entrega de cada donación o cantidad económica. 4.- Copia digital de las facturas y depósitos bancarios correspondientes.</w:t>
      </w:r>
      <w:r w:rsidRPr="00B46FBB">
        <w:rPr>
          <w:rFonts w:ascii="Palatino Linotype" w:hAnsi="Palatino Linotype"/>
          <w:i/>
          <w:sz w:val="22"/>
          <w:szCs w:val="22"/>
          <w:lang w:val="es-MX"/>
        </w:rPr>
        <w:t>”</w:t>
      </w:r>
      <w:r w:rsidRPr="00B46FBB">
        <w:rPr>
          <w:rFonts w:ascii="Palatino Linotype" w:hAnsi="Palatino Linotype"/>
          <w:i/>
          <w:sz w:val="22"/>
          <w:szCs w:val="22"/>
          <w:lang w:val="es-ES_tradnl"/>
        </w:rPr>
        <w:t xml:space="preserve"> (Sic).</w:t>
      </w:r>
    </w:p>
    <w:p w:rsidR="00AB6E87" w:rsidRPr="00B46FBB" w:rsidRDefault="00AB6E87" w:rsidP="00AB6E87">
      <w:pPr>
        <w:pStyle w:val="Sinespaciado"/>
        <w:rPr>
          <w:lang w:eastAsia="es-MX"/>
        </w:rPr>
      </w:pPr>
    </w:p>
    <w:p w:rsidR="00A90157" w:rsidRPr="00B46FBB"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B46FBB">
        <w:rPr>
          <w:rFonts w:ascii="Palatino Linotype" w:hAnsi="Palatino Linotype"/>
          <w:b/>
          <w:lang w:val="es-ES_tradnl"/>
        </w:rPr>
        <w:t>MODALIDAD DE ENTREGA:</w:t>
      </w:r>
      <w:r w:rsidRPr="00B46FBB">
        <w:rPr>
          <w:rFonts w:ascii="Palatino Linotype" w:hAnsi="Palatino Linotype"/>
          <w:lang w:val="es-ES_tradnl"/>
        </w:rPr>
        <w:t xml:space="preserve"> </w:t>
      </w:r>
      <w:r w:rsidRPr="00B46FBB">
        <w:rPr>
          <w:rFonts w:ascii="Palatino Linotype" w:eastAsiaTheme="minorHAnsi" w:hAnsi="Palatino Linotype" w:cstheme="minorBidi"/>
          <w:color w:val="000000"/>
          <w:lang w:val="es-MX" w:eastAsia="en-US"/>
        </w:rPr>
        <w:t xml:space="preserve">A través del </w:t>
      </w:r>
      <w:r w:rsidRPr="00B46FBB">
        <w:rPr>
          <w:rFonts w:ascii="Palatino Linotype" w:eastAsiaTheme="minorHAnsi" w:hAnsi="Palatino Linotype" w:cstheme="minorBidi"/>
          <w:b/>
          <w:color w:val="000000"/>
          <w:lang w:val="es-MX" w:eastAsia="en-US"/>
        </w:rPr>
        <w:t>SAIMEX</w:t>
      </w:r>
      <w:r w:rsidRPr="00B46FBB">
        <w:rPr>
          <w:rFonts w:ascii="Palatino Linotype" w:eastAsiaTheme="minorHAnsi" w:hAnsi="Palatino Linotype" w:cstheme="minorBidi"/>
          <w:color w:val="000000"/>
          <w:lang w:val="es-MX" w:eastAsia="en-US"/>
        </w:rPr>
        <w:t>.</w:t>
      </w:r>
    </w:p>
    <w:p w:rsidR="0029071C" w:rsidRPr="00B46FBB" w:rsidRDefault="0029071C" w:rsidP="0029071C">
      <w:pPr>
        <w:spacing w:line="360" w:lineRule="auto"/>
        <w:jc w:val="both"/>
        <w:rPr>
          <w:rFonts w:ascii="Palatino Linotype" w:eastAsiaTheme="minorHAnsi" w:hAnsi="Palatino Linotype" w:cs="Arial"/>
          <w:b/>
          <w:sz w:val="28"/>
          <w:lang w:val="es-MX" w:eastAsia="en-US"/>
        </w:rPr>
      </w:pPr>
      <w:r w:rsidRPr="00B46FBB">
        <w:rPr>
          <w:rFonts w:ascii="Palatino Linotype" w:eastAsiaTheme="minorHAnsi" w:hAnsi="Palatino Linotype" w:cs="Arial"/>
          <w:b/>
          <w:sz w:val="28"/>
          <w:lang w:val="es-MX" w:eastAsia="en-US"/>
        </w:rPr>
        <w:lastRenderedPageBreak/>
        <w:t xml:space="preserve">SEGUNDO. De la respuesta del Sujeto Obligado. </w:t>
      </w:r>
    </w:p>
    <w:p w:rsidR="0029071C" w:rsidRPr="00B46FBB" w:rsidRDefault="0029071C" w:rsidP="0029071C">
      <w:pPr>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lang w:val="es-MX" w:eastAsia="en-US"/>
        </w:rPr>
        <w:t xml:space="preserve">De las constancias que obran en el sistema SAIMEX, se advierte que en fecha </w:t>
      </w:r>
      <w:r w:rsidR="00AB6E87" w:rsidRPr="00B46FBB">
        <w:rPr>
          <w:rFonts w:ascii="Palatino Linotype" w:eastAsiaTheme="minorHAnsi" w:hAnsi="Palatino Linotype" w:cs="Arial"/>
          <w:lang w:val="es-MX" w:eastAsia="en-US"/>
        </w:rPr>
        <w:t>veintinueve de junio</w:t>
      </w:r>
      <w:r w:rsidR="00A90157" w:rsidRPr="00B46FBB">
        <w:rPr>
          <w:rFonts w:ascii="Palatino Linotype" w:eastAsiaTheme="minorHAnsi" w:hAnsi="Palatino Linotype" w:cs="Arial"/>
          <w:lang w:val="es-MX" w:eastAsia="en-US"/>
        </w:rPr>
        <w:t xml:space="preserve"> de dos mil veintidós</w:t>
      </w:r>
      <w:r w:rsidRPr="00B46FBB">
        <w:rPr>
          <w:rFonts w:ascii="Palatino Linotype" w:eastAsiaTheme="minorHAnsi" w:hAnsi="Palatino Linotype" w:cs="Arial"/>
          <w:lang w:val="es-MX" w:eastAsia="en-US"/>
        </w:rPr>
        <w:t xml:space="preserve">, </w:t>
      </w:r>
      <w:r w:rsidRPr="00B46FBB">
        <w:rPr>
          <w:rFonts w:ascii="Palatino Linotype" w:eastAsiaTheme="minorHAnsi" w:hAnsi="Palatino Linotype" w:cs="Arial"/>
          <w:b/>
          <w:lang w:val="es-MX" w:eastAsia="en-US"/>
        </w:rPr>
        <w:t>El Sujeto Obligado</w:t>
      </w:r>
      <w:r w:rsidRPr="00B46FBB">
        <w:rPr>
          <w:rFonts w:ascii="Palatino Linotype" w:eastAsiaTheme="minorHAnsi" w:hAnsi="Palatino Linotype" w:cs="Arial"/>
          <w:lang w:val="es-MX" w:eastAsia="en-US"/>
        </w:rPr>
        <w:t xml:space="preserve"> emitió la respuesta en los siguientes términos:</w:t>
      </w:r>
    </w:p>
    <w:p w:rsidR="0029071C" w:rsidRPr="00B46FBB" w:rsidRDefault="0029071C" w:rsidP="0029071C">
      <w:pPr>
        <w:rPr>
          <w:lang w:val="es-MX"/>
        </w:rPr>
      </w:pPr>
    </w:p>
    <w:p w:rsidR="00AB6E87" w:rsidRPr="00B46FBB" w:rsidRDefault="0029071C" w:rsidP="00AB6E87">
      <w:pPr>
        <w:ind w:left="567" w:right="567"/>
        <w:jc w:val="both"/>
        <w:rPr>
          <w:rFonts w:ascii="Palatino Linotype" w:hAnsi="Palatino Linotype"/>
          <w:i/>
          <w:sz w:val="22"/>
          <w:szCs w:val="22"/>
          <w:lang w:val="es-MX" w:eastAsia="es-MX"/>
        </w:rPr>
      </w:pPr>
      <w:r w:rsidRPr="00B46FBB">
        <w:rPr>
          <w:rFonts w:ascii="Palatino Linotype" w:hAnsi="Palatino Linotype"/>
          <w:i/>
          <w:sz w:val="22"/>
          <w:szCs w:val="22"/>
          <w:lang w:val="es-MX" w:eastAsia="es-MX"/>
        </w:rPr>
        <w:t>“</w:t>
      </w:r>
      <w:r w:rsidR="00AB6E87" w:rsidRPr="00B46FB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B6E87" w:rsidRPr="00B46FBB" w:rsidRDefault="00AB6E87" w:rsidP="00AB6E87">
      <w:pPr>
        <w:ind w:left="567" w:right="567"/>
        <w:jc w:val="both"/>
        <w:rPr>
          <w:rFonts w:ascii="Palatino Linotype" w:hAnsi="Palatino Linotype"/>
          <w:i/>
          <w:sz w:val="22"/>
          <w:szCs w:val="22"/>
          <w:lang w:val="es-MX" w:eastAsia="es-MX"/>
        </w:rPr>
      </w:pPr>
    </w:p>
    <w:p w:rsidR="00AB6E87" w:rsidRPr="00B46FBB" w:rsidRDefault="00AB6E87" w:rsidP="00AB6E87">
      <w:pPr>
        <w:ind w:left="567" w:right="567"/>
        <w:jc w:val="both"/>
        <w:rPr>
          <w:rFonts w:ascii="Palatino Linotype" w:hAnsi="Palatino Linotype"/>
          <w:b/>
          <w:i/>
          <w:sz w:val="22"/>
          <w:szCs w:val="22"/>
          <w:u w:val="single"/>
          <w:lang w:val="es-MX" w:eastAsia="es-MX"/>
        </w:rPr>
      </w:pPr>
      <w:r w:rsidRPr="00B46FBB">
        <w:rPr>
          <w:rFonts w:ascii="Palatino Linotype" w:hAnsi="Palatino Linotype"/>
          <w:b/>
          <w:i/>
          <w:sz w:val="22"/>
          <w:szCs w:val="22"/>
          <w:u w:val="single"/>
          <w:lang w:val="es-MX" w:eastAsia="es-MX"/>
        </w:rPr>
        <w:t>Para informarle que su solicitud no corresponde a las atribuciones de esta Tesorería.</w:t>
      </w:r>
    </w:p>
    <w:p w:rsidR="00AB6E87" w:rsidRPr="00B46FBB" w:rsidRDefault="00AB6E87" w:rsidP="00AB6E87">
      <w:pPr>
        <w:ind w:left="567" w:right="567"/>
        <w:jc w:val="both"/>
        <w:rPr>
          <w:rFonts w:ascii="Palatino Linotype" w:hAnsi="Palatino Linotype"/>
          <w:i/>
          <w:sz w:val="22"/>
          <w:szCs w:val="22"/>
          <w:lang w:val="es-MX" w:eastAsia="es-MX"/>
        </w:rPr>
      </w:pPr>
    </w:p>
    <w:p w:rsidR="00AB6E87" w:rsidRPr="00B46FBB" w:rsidRDefault="00AB6E87" w:rsidP="00AB6E87">
      <w:pPr>
        <w:ind w:left="567" w:right="567"/>
        <w:jc w:val="both"/>
        <w:rPr>
          <w:rFonts w:ascii="Palatino Linotype" w:hAnsi="Palatino Linotype"/>
          <w:i/>
          <w:sz w:val="22"/>
          <w:szCs w:val="22"/>
          <w:lang w:val="es-MX" w:eastAsia="es-MX"/>
        </w:rPr>
      </w:pPr>
      <w:r w:rsidRPr="00B46FBB">
        <w:rPr>
          <w:rFonts w:ascii="Palatino Linotype" w:hAnsi="Palatino Linotype"/>
          <w:i/>
          <w:sz w:val="22"/>
          <w:szCs w:val="22"/>
          <w:lang w:val="es-MX" w:eastAsia="es-MX"/>
        </w:rPr>
        <w:t>ATENTAMENTE</w:t>
      </w:r>
    </w:p>
    <w:p w:rsidR="0029071C" w:rsidRPr="00B46FBB" w:rsidRDefault="00AB6E87" w:rsidP="00AB6E87">
      <w:pPr>
        <w:ind w:left="567" w:right="567"/>
        <w:jc w:val="both"/>
        <w:rPr>
          <w:rFonts w:ascii="Palatino Linotype" w:hAnsi="Palatino Linotype"/>
          <w:i/>
          <w:sz w:val="22"/>
          <w:szCs w:val="22"/>
          <w:lang w:val="es-MX" w:eastAsia="es-MX"/>
        </w:rPr>
      </w:pPr>
      <w:r w:rsidRPr="00B46FBB">
        <w:rPr>
          <w:rFonts w:ascii="Palatino Linotype" w:hAnsi="Palatino Linotype"/>
          <w:i/>
          <w:sz w:val="22"/>
          <w:szCs w:val="22"/>
          <w:lang w:val="es-MX" w:eastAsia="es-MX"/>
        </w:rPr>
        <w:t>C. CARLOS ALONSO HERNÁNDEZ PELÁEZ</w:t>
      </w:r>
      <w:r w:rsidR="00E74701" w:rsidRPr="00B46FBB">
        <w:rPr>
          <w:rFonts w:ascii="Palatino Linotype" w:hAnsi="Palatino Linotype"/>
          <w:i/>
          <w:sz w:val="22"/>
          <w:szCs w:val="22"/>
          <w:lang w:val="es-MX" w:eastAsia="es-MX"/>
        </w:rPr>
        <w:t>” (Sic).</w:t>
      </w:r>
    </w:p>
    <w:p w:rsidR="00E74701" w:rsidRPr="00B46FBB" w:rsidRDefault="00E74701" w:rsidP="00E74701">
      <w:pPr>
        <w:ind w:right="567"/>
        <w:jc w:val="both"/>
        <w:rPr>
          <w:rFonts w:ascii="Palatino Linotype" w:hAnsi="Palatino Linotype"/>
          <w:i/>
          <w:szCs w:val="22"/>
          <w:lang w:val="es-MX" w:eastAsia="es-MX"/>
        </w:rPr>
      </w:pPr>
    </w:p>
    <w:p w:rsidR="0029071C" w:rsidRPr="00B46FBB" w:rsidRDefault="0029071C" w:rsidP="0029071C">
      <w:pPr>
        <w:spacing w:line="360" w:lineRule="auto"/>
        <w:jc w:val="both"/>
        <w:rPr>
          <w:rFonts w:ascii="Palatino Linotype" w:eastAsiaTheme="minorHAnsi" w:hAnsi="Palatino Linotype" w:cs="Arial"/>
          <w:b/>
          <w:sz w:val="28"/>
          <w:lang w:val="es-MX" w:eastAsia="en-US"/>
        </w:rPr>
      </w:pPr>
      <w:r w:rsidRPr="00B46FBB">
        <w:rPr>
          <w:rFonts w:ascii="Palatino Linotype" w:eastAsiaTheme="minorHAnsi" w:hAnsi="Palatino Linotype" w:cs="Arial"/>
          <w:b/>
          <w:sz w:val="28"/>
          <w:lang w:val="es-MX" w:eastAsia="en-US"/>
        </w:rPr>
        <w:t>TERCERO. Del recurso de revisión.</w:t>
      </w:r>
    </w:p>
    <w:p w:rsidR="0029071C" w:rsidRPr="00B46FBB" w:rsidRDefault="0029071C" w:rsidP="0029071C">
      <w:pPr>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lang w:val="es-MX" w:eastAsia="en-US"/>
        </w:rPr>
        <w:t xml:space="preserve">Inconforme con la respuesta por parte del </w:t>
      </w:r>
      <w:r w:rsidRPr="00B46FBB">
        <w:rPr>
          <w:rFonts w:ascii="Palatino Linotype" w:eastAsiaTheme="minorHAnsi" w:hAnsi="Palatino Linotype" w:cs="Arial"/>
          <w:b/>
          <w:lang w:val="es-MX" w:eastAsia="en-US"/>
        </w:rPr>
        <w:t>Sujeto Obligado</w:t>
      </w:r>
      <w:r w:rsidRPr="00B46FBB">
        <w:rPr>
          <w:rFonts w:ascii="Palatino Linotype" w:eastAsiaTheme="minorHAnsi" w:hAnsi="Palatino Linotype" w:cs="Arial"/>
          <w:lang w:val="es-MX" w:eastAsia="en-US"/>
        </w:rPr>
        <w:t xml:space="preserve">, </w:t>
      </w:r>
      <w:r w:rsidR="00A90157" w:rsidRPr="00B46FBB">
        <w:rPr>
          <w:rFonts w:ascii="Palatino Linotype" w:eastAsiaTheme="minorHAnsi" w:hAnsi="Palatino Linotype" w:cs="Arial"/>
          <w:lang w:val="es-MX" w:eastAsia="en-US"/>
        </w:rPr>
        <w:t>la</w:t>
      </w:r>
      <w:r w:rsidRPr="00B46FBB">
        <w:rPr>
          <w:rFonts w:ascii="Palatino Linotype" w:eastAsiaTheme="minorHAnsi" w:hAnsi="Palatino Linotype" w:cs="Arial"/>
          <w:lang w:val="es-MX" w:eastAsia="en-US"/>
        </w:rPr>
        <w:t xml:space="preserve"> ahora </w:t>
      </w:r>
      <w:r w:rsidRPr="00B46FBB">
        <w:rPr>
          <w:rFonts w:ascii="Palatino Linotype" w:eastAsiaTheme="minorHAnsi" w:hAnsi="Palatino Linotype" w:cs="Arial"/>
          <w:b/>
          <w:lang w:val="es-MX" w:eastAsia="en-US"/>
        </w:rPr>
        <w:t>Recurrente</w:t>
      </w:r>
      <w:r w:rsidRPr="00B46FBB">
        <w:rPr>
          <w:rFonts w:ascii="Palatino Linotype" w:eastAsiaTheme="minorHAnsi" w:hAnsi="Palatino Linotype" w:cs="Arial"/>
          <w:lang w:val="es-MX" w:eastAsia="en-US"/>
        </w:rPr>
        <w:t xml:space="preserve"> interpuso el presente recurso de revisión en fecha </w:t>
      </w:r>
      <w:r w:rsidR="00C941C8" w:rsidRPr="00B46FBB">
        <w:rPr>
          <w:rFonts w:ascii="Palatino Linotype" w:eastAsiaTheme="minorHAnsi" w:hAnsi="Palatino Linotype" w:cs="Arial"/>
          <w:lang w:val="es-MX" w:eastAsia="en-US"/>
        </w:rPr>
        <w:t>siete de julio</w:t>
      </w:r>
      <w:r w:rsidR="00A90157" w:rsidRPr="00B46FBB">
        <w:rPr>
          <w:rFonts w:ascii="Palatino Linotype" w:eastAsiaTheme="minorHAnsi" w:hAnsi="Palatino Linotype" w:cs="Arial"/>
          <w:lang w:val="es-MX" w:eastAsia="en-US"/>
        </w:rPr>
        <w:t xml:space="preserve"> de dos mil veintidós</w:t>
      </w:r>
      <w:r w:rsidRPr="00B46FBB">
        <w:rPr>
          <w:rFonts w:ascii="Palatino Linotype" w:eastAsiaTheme="minorHAnsi" w:hAnsi="Palatino Linotype" w:cs="Arial"/>
          <w:lang w:val="es-MX" w:eastAsia="en-US"/>
        </w:rPr>
        <w:t>, el cual fue registrado</w:t>
      </w:r>
      <w:r w:rsidRPr="00B46FBB">
        <w:rPr>
          <w:rFonts w:ascii="Palatino Linotype" w:eastAsiaTheme="minorHAnsi" w:hAnsi="Palatino Linotype" w:cs="Arial"/>
          <w:b/>
          <w:lang w:val="es-MX" w:eastAsia="en-US"/>
        </w:rPr>
        <w:t xml:space="preserve"> </w:t>
      </w:r>
      <w:r w:rsidRPr="00B46FBB">
        <w:rPr>
          <w:rFonts w:ascii="Palatino Linotype" w:eastAsiaTheme="minorHAnsi" w:hAnsi="Palatino Linotype" w:cs="Arial"/>
          <w:lang w:val="es-MX" w:eastAsia="en-US"/>
        </w:rPr>
        <w:t xml:space="preserve">en el sistema electrónico con el expediente número </w:t>
      </w:r>
      <w:r w:rsidR="00AB6E87" w:rsidRPr="00B46FBB">
        <w:rPr>
          <w:rFonts w:ascii="Palatino Linotype" w:eastAsiaTheme="minorHAnsi" w:hAnsi="Palatino Linotype" w:cs="Arial"/>
          <w:b/>
          <w:bCs/>
          <w:lang w:val="es-MX" w:eastAsia="es-MX"/>
        </w:rPr>
        <w:t>12515</w:t>
      </w:r>
      <w:r w:rsidR="00A90157" w:rsidRPr="00B46FBB">
        <w:rPr>
          <w:rFonts w:ascii="Palatino Linotype" w:eastAsiaTheme="minorHAnsi" w:hAnsi="Palatino Linotype" w:cs="Arial"/>
          <w:b/>
          <w:bCs/>
          <w:lang w:val="es-MX" w:eastAsia="es-MX"/>
        </w:rPr>
        <w:t>/INFOEM/IP/RR/2022</w:t>
      </w:r>
      <w:r w:rsidRPr="00B46FBB">
        <w:rPr>
          <w:rFonts w:ascii="Palatino Linotype" w:eastAsiaTheme="minorHAnsi" w:hAnsi="Palatino Linotype" w:cs="Arial"/>
          <w:lang w:val="es-MX" w:eastAsia="en-US"/>
        </w:rPr>
        <w:t>, en el cual aduce, las siguientes manifestaciones:</w:t>
      </w:r>
    </w:p>
    <w:p w:rsidR="0029071C" w:rsidRPr="00B46FBB" w:rsidRDefault="0029071C" w:rsidP="0029071C">
      <w:pPr>
        <w:rPr>
          <w:lang w:val="es-MX"/>
        </w:rPr>
      </w:pPr>
    </w:p>
    <w:p w:rsidR="0029071C" w:rsidRPr="00B46FBB" w:rsidRDefault="0029071C" w:rsidP="0029071C">
      <w:pPr>
        <w:rPr>
          <w:sz w:val="10"/>
          <w:lang w:val="es-MX"/>
        </w:rPr>
      </w:pPr>
    </w:p>
    <w:p w:rsidR="0029071C" w:rsidRPr="00B46FBB" w:rsidRDefault="0029071C" w:rsidP="00A90157">
      <w:pPr>
        <w:numPr>
          <w:ilvl w:val="0"/>
          <w:numId w:val="15"/>
        </w:numPr>
        <w:spacing w:line="259" w:lineRule="auto"/>
        <w:ind w:left="426"/>
        <w:jc w:val="both"/>
        <w:rPr>
          <w:rFonts w:ascii="Palatino Linotype" w:hAnsi="Palatino Linotype" w:cs="Arial"/>
          <w:b/>
        </w:rPr>
      </w:pPr>
      <w:r w:rsidRPr="00B46FBB">
        <w:rPr>
          <w:rFonts w:ascii="Palatino Linotype" w:hAnsi="Palatino Linotype" w:cs="Arial"/>
          <w:b/>
        </w:rPr>
        <w:t>Acto Impugnado:</w:t>
      </w:r>
    </w:p>
    <w:p w:rsidR="0029071C" w:rsidRPr="00B46FBB" w:rsidRDefault="0029071C" w:rsidP="00E74701">
      <w:pPr>
        <w:jc w:val="both"/>
        <w:rPr>
          <w:rFonts w:ascii="Palatino Linotype" w:hAnsi="Palatino Linotype"/>
          <w:i/>
          <w:sz w:val="22"/>
          <w:szCs w:val="22"/>
          <w:lang w:val="es-MX" w:eastAsia="es-MX"/>
        </w:rPr>
      </w:pPr>
      <w:r w:rsidRPr="00B46FBB">
        <w:rPr>
          <w:rFonts w:ascii="Palatino Linotype" w:eastAsiaTheme="minorHAnsi" w:hAnsi="Palatino Linotype" w:cstheme="minorBidi"/>
          <w:i/>
          <w:color w:val="000000"/>
          <w:sz w:val="22"/>
          <w:szCs w:val="22"/>
          <w:lang w:val="es-MX" w:eastAsia="en-US"/>
        </w:rPr>
        <w:t>“</w:t>
      </w:r>
      <w:r w:rsidR="00C941C8" w:rsidRPr="00B46FBB">
        <w:rPr>
          <w:rFonts w:ascii="Palatino Linotype" w:eastAsiaTheme="minorHAnsi" w:hAnsi="Palatino Linotype" w:cstheme="minorBidi"/>
          <w:i/>
          <w:color w:val="000000"/>
          <w:sz w:val="22"/>
          <w:szCs w:val="22"/>
          <w:lang w:val="es-MX" w:eastAsia="en-US"/>
        </w:rPr>
        <w:t>Niega responder</w:t>
      </w:r>
      <w:r w:rsidRPr="00B46FBB">
        <w:rPr>
          <w:rFonts w:ascii="Palatino Linotype" w:eastAsiaTheme="minorHAnsi" w:hAnsi="Palatino Linotype" w:cstheme="minorBidi"/>
          <w:i/>
          <w:color w:val="000000"/>
          <w:sz w:val="22"/>
          <w:szCs w:val="22"/>
          <w:lang w:val="es-MX" w:eastAsia="en-US"/>
        </w:rPr>
        <w:t>” (Sic).</w:t>
      </w:r>
    </w:p>
    <w:p w:rsidR="0029071C" w:rsidRPr="00B46FBB" w:rsidRDefault="0029071C" w:rsidP="0029071C">
      <w:pPr>
        <w:rPr>
          <w:sz w:val="12"/>
          <w:lang w:val="es-MX"/>
        </w:rPr>
      </w:pPr>
    </w:p>
    <w:p w:rsidR="0029071C" w:rsidRPr="00B46FBB" w:rsidRDefault="0029071C" w:rsidP="0029071C">
      <w:pPr>
        <w:rPr>
          <w:sz w:val="12"/>
          <w:lang w:val="es-MX"/>
        </w:rPr>
      </w:pPr>
    </w:p>
    <w:p w:rsidR="0029071C" w:rsidRPr="00B46FBB" w:rsidRDefault="0029071C" w:rsidP="0029071C">
      <w:pPr>
        <w:rPr>
          <w:sz w:val="12"/>
          <w:lang w:val="es-MX"/>
        </w:rPr>
      </w:pPr>
    </w:p>
    <w:p w:rsidR="0029071C" w:rsidRPr="00B46FBB" w:rsidRDefault="0029071C" w:rsidP="00A90157">
      <w:pPr>
        <w:numPr>
          <w:ilvl w:val="0"/>
          <w:numId w:val="15"/>
        </w:numPr>
        <w:spacing w:line="259" w:lineRule="auto"/>
        <w:ind w:left="426"/>
        <w:jc w:val="both"/>
        <w:rPr>
          <w:rFonts w:ascii="Palatino Linotype" w:hAnsi="Palatino Linotype" w:cs="Arial"/>
        </w:rPr>
      </w:pPr>
      <w:r w:rsidRPr="00B46FBB">
        <w:rPr>
          <w:rFonts w:ascii="Palatino Linotype" w:hAnsi="Palatino Linotype" w:cs="Arial"/>
          <w:b/>
        </w:rPr>
        <w:t>Razones o Motivos de Inconformidad</w:t>
      </w:r>
      <w:r w:rsidRPr="00B46FBB">
        <w:rPr>
          <w:rFonts w:ascii="Palatino Linotype" w:hAnsi="Palatino Linotype" w:cs="Arial"/>
        </w:rPr>
        <w:t xml:space="preserve">: </w:t>
      </w:r>
    </w:p>
    <w:p w:rsidR="00E74701" w:rsidRPr="00B46FBB" w:rsidRDefault="0029071C" w:rsidP="00E74701">
      <w:pPr>
        <w:jc w:val="both"/>
        <w:rPr>
          <w:rFonts w:ascii="Palatino Linotype" w:hAnsi="Palatino Linotype"/>
          <w:i/>
          <w:sz w:val="22"/>
          <w:szCs w:val="22"/>
          <w:lang w:val="es-MX" w:eastAsia="es-MX"/>
        </w:rPr>
      </w:pPr>
      <w:r w:rsidRPr="00B46FBB">
        <w:rPr>
          <w:rFonts w:ascii="Palatino Linotype" w:eastAsiaTheme="minorHAnsi" w:hAnsi="Palatino Linotype" w:cs="Arial"/>
          <w:i/>
          <w:sz w:val="22"/>
          <w:szCs w:val="22"/>
          <w:lang w:val="es-MX" w:eastAsia="en-US"/>
        </w:rPr>
        <w:t>“</w:t>
      </w:r>
      <w:r w:rsidR="00C941C8" w:rsidRPr="00B46FBB">
        <w:rPr>
          <w:rFonts w:ascii="Palatino Linotype" w:eastAsiaTheme="minorHAnsi" w:hAnsi="Palatino Linotype" w:cstheme="minorBidi"/>
          <w:i/>
          <w:color w:val="000000"/>
          <w:sz w:val="22"/>
          <w:szCs w:val="22"/>
          <w:lang w:val="es-MX" w:eastAsia="en-US"/>
        </w:rPr>
        <w:t xml:space="preserve">Sí en </w:t>
      </w:r>
      <w:proofErr w:type="spellStart"/>
      <w:r w:rsidR="00C941C8" w:rsidRPr="00B46FBB">
        <w:rPr>
          <w:rFonts w:ascii="Palatino Linotype" w:eastAsiaTheme="minorHAnsi" w:hAnsi="Palatino Linotype" w:cstheme="minorBidi"/>
          <w:i/>
          <w:color w:val="000000"/>
          <w:sz w:val="22"/>
          <w:szCs w:val="22"/>
          <w:lang w:val="es-MX" w:eastAsia="en-US"/>
        </w:rPr>
        <w:t>corresponde</w:t>
      </w:r>
      <w:proofErr w:type="spellEnd"/>
      <w:r w:rsidR="00C941C8" w:rsidRPr="00B46FBB">
        <w:rPr>
          <w:rFonts w:ascii="Palatino Linotype" w:eastAsiaTheme="minorHAnsi" w:hAnsi="Palatino Linotype" w:cstheme="minorBidi"/>
          <w:i/>
          <w:color w:val="000000"/>
          <w:sz w:val="22"/>
          <w:szCs w:val="22"/>
          <w:lang w:val="es-MX" w:eastAsia="en-US"/>
        </w:rPr>
        <w:t>. Sin embargo, en caso de que no corresponda, la oficina de Transparencia debería hacer llegar la solicitud al área correspondiente.</w:t>
      </w:r>
      <w:r w:rsidRPr="00B46FBB">
        <w:rPr>
          <w:rFonts w:ascii="Palatino Linotype" w:eastAsiaTheme="minorHAnsi" w:hAnsi="Palatino Linotype" w:cstheme="minorBidi"/>
          <w:i/>
          <w:color w:val="000000"/>
          <w:sz w:val="22"/>
          <w:szCs w:val="22"/>
          <w:lang w:val="es-MX" w:eastAsia="en-US"/>
        </w:rPr>
        <w:t>” (Sic)</w:t>
      </w:r>
    </w:p>
    <w:p w:rsidR="00E74701" w:rsidRPr="00B46FBB" w:rsidRDefault="00E74701" w:rsidP="0029071C">
      <w:pPr>
        <w:spacing w:line="360" w:lineRule="auto"/>
        <w:jc w:val="both"/>
        <w:rPr>
          <w:rFonts w:ascii="Palatino Linotype" w:eastAsiaTheme="minorHAnsi" w:hAnsi="Palatino Linotype" w:cs="Arial"/>
          <w:b/>
          <w:lang w:val="es-MX" w:eastAsia="en-US"/>
        </w:rPr>
      </w:pPr>
    </w:p>
    <w:p w:rsidR="0029071C" w:rsidRPr="00B46FBB" w:rsidRDefault="0029071C" w:rsidP="0029071C">
      <w:pPr>
        <w:spacing w:line="360" w:lineRule="auto"/>
        <w:jc w:val="both"/>
        <w:rPr>
          <w:rFonts w:ascii="Palatino Linotype" w:eastAsiaTheme="minorHAnsi" w:hAnsi="Palatino Linotype" w:cs="Arial"/>
          <w:b/>
          <w:sz w:val="28"/>
          <w:lang w:val="es-MX" w:eastAsia="en-US"/>
        </w:rPr>
      </w:pPr>
      <w:r w:rsidRPr="00B46FBB">
        <w:rPr>
          <w:rFonts w:ascii="Palatino Linotype" w:eastAsiaTheme="minorHAnsi" w:hAnsi="Palatino Linotype" w:cs="Arial"/>
          <w:b/>
          <w:sz w:val="28"/>
          <w:lang w:val="es-MX" w:eastAsia="en-US"/>
        </w:rPr>
        <w:t>CUARTO. Del turno del recurso de revisión.</w:t>
      </w:r>
    </w:p>
    <w:p w:rsidR="0029071C" w:rsidRPr="00B46FBB" w:rsidRDefault="0029071C" w:rsidP="0029071C">
      <w:pPr>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lang w:val="es-MX" w:eastAsia="en-US"/>
        </w:rPr>
        <w:t xml:space="preserve">Medio de impugnación </w:t>
      </w:r>
      <w:r w:rsidR="00E74701" w:rsidRPr="00B46FBB">
        <w:rPr>
          <w:rFonts w:ascii="Palatino Linotype" w:eastAsiaTheme="minorHAnsi" w:hAnsi="Palatino Linotype" w:cs="Arial"/>
          <w:lang w:val="es-MX" w:eastAsia="en-US"/>
        </w:rPr>
        <w:t>que le fue turnado al</w:t>
      </w:r>
      <w:r w:rsidRPr="00B46FBB">
        <w:rPr>
          <w:rFonts w:ascii="Palatino Linotype" w:eastAsiaTheme="minorHAnsi" w:hAnsi="Palatino Linotype" w:cs="Arial"/>
          <w:lang w:val="es-MX" w:eastAsia="en-US"/>
        </w:rPr>
        <w:t xml:space="preserve"> </w:t>
      </w:r>
      <w:r w:rsidR="00E74701" w:rsidRPr="00B46FBB">
        <w:rPr>
          <w:rFonts w:ascii="Palatino Linotype" w:eastAsiaTheme="minorHAnsi" w:hAnsi="Palatino Linotype" w:cs="Arial"/>
          <w:lang w:val="es-MX" w:eastAsia="en-US"/>
        </w:rPr>
        <w:t>Comisionado Presidente</w:t>
      </w:r>
      <w:r w:rsidRPr="00B46FBB">
        <w:rPr>
          <w:rFonts w:ascii="Palatino Linotype" w:eastAsiaTheme="minorHAnsi" w:hAnsi="Palatino Linotype" w:cs="Arial"/>
          <w:lang w:val="es-MX" w:eastAsia="en-US"/>
        </w:rPr>
        <w:t xml:space="preserve"> </w:t>
      </w:r>
      <w:r w:rsidR="00E74701" w:rsidRPr="00B46FBB">
        <w:rPr>
          <w:rFonts w:ascii="Palatino Linotype" w:eastAsiaTheme="minorHAnsi" w:hAnsi="Palatino Linotype" w:cs="Arial"/>
          <w:b/>
          <w:lang w:val="es-MX" w:eastAsia="en-US"/>
        </w:rPr>
        <w:t>José Martínez Vilchis</w:t>
      </w:r>
      <w:r w:rsidRPr="00B46FBB">
        <w:rPr>
          <w:rFonts w:ascii="Palatino Linotype" w:eastAsiaTheme="minorHAnsi" w:hAnsi="Palatino Linotype" w:cs="Arial"/>
          <w:lang w:val="es-MX" w:eastAsia="en-US"/>
        </w:rPr>
        <w:t xml:space="preserve">, por medio del sistema electrónico, en términos del arábigo 185, fracción I, de </w:t>
      </w:r>
      <w:r w:rsidRPr="00B46FBB">
        <w:rPr>
          <w:rFonts w:ascii="Palatino Linotype" w:eastAsiaTheme="minorHAnsi" w:hAnsi="Palatino Linotype" w:cs="Arial"/>
          <w:lang w:val="es-MX" w:eastAsia="en-US"/>
        </w:rPr>
        <w:lastRenderedPageBreak/>
        <w:t xml:space="preserve">la Ley de Transparencia y Acceso a la información Pública del Estado de México y Municipios, del cual recayó acuerdo de admisión en fecha </w:t>
      </w:r>
      <w:r w:rsidR="00C941C8" w:rsidRPr="00B46FBB">
        <w:rPr>
          <w:rFonts w:ascii="Palatino Linotype" w:eastAsiaTheme="minorHAnsi" w:hAnsi="Palatino Linotype" w:cs="Arial"/>
          <w:lang w:val="es-MX" w:eastAsia="en-US"/>
        </w:rPr>
        <w:t>trece de julio</w:t>
      </w:r>
      <w:r w:rsidRPr="00B46FBB">
        <w:rPr>
          <w:rFonts w:ascii="Palatino Linotype" w:eastAsiaTheme="minorHAnsi" w:hAnsi="Palatino Linotype" w:cs="Arial"/>
          <w:lang w:val="es-MX" w:eastAsia="en-US"/>
        </w:rPr>
        <w:t xml:space="preserve"> del año en curso, determinándose en él, un plazo de siete días para que las partes manifestaran lo que a su derecho corresponda en términos del numeral ya citado.</w:t>
      </w:r>
    </w:p>
    <w:p w:rsidR="0029071C" w:rsidRPr="00B46FBB" w:rsidRDefault="0029071C" w:rsidP="0029071C">
      <w:pPr>
        <w:spacing w:after="160" w:line="259" w:lineRule="auto"/>
        <w:rPr>
          <w:rFonts w:asciiTheme="minorHAnsi" w:eastAsiaTheme="minorHAnsi" w:hAnsiTheme="minorHAnsi" w:cstheme="minorBidi"/>
          <w:szCs w:val="22"/>
          <w:lang w:val="es-MX" w:eastAsia="en-US"/>
        </w:rPr>
      </w:pPr>
    </w:p>
    <w:p w:rsidR="0029071C" w:rsidRPr="00B46FBB" w:rsidRDefault="0029071C" w:rsidP="0029071C">
      <w:pPr>
        <w:spacing w:line="360" w:lineRule="auto"/>
        <w:jc w:val="both"/>
        <w:rPr>
          <w:rFonts w:ascii="Palatino Linotype" w:eastAsiaTheme="minorHAnsi" w:hAnsi="Palatino Linotype" w:cs="Arial"/>
          <w:b/>
          <w:sz w:val="28"/>
          <w:lang w:val="es-MX" w:eastAsia="en-US"/>
        </w:rPr>
      </w:pPr>
      <w:r w:rsidRPr="00B46FBB">
        <w:rPr>
          <w:rFonts w:ascii="Palatino Linotype" w:eastAsiaTheme="minorHAnsi" w:hAnsi="Palatino Linotype" w:cs="Arial"/>
          <w:b/>
          <w:sz w:val="28"/>
          <w:lang w:val="es-MX" w:eastAsia="en-US"/>
        </w:rPr>
        <w:t>QUINTO. De la etapa de manifestaciones y/o alegatos.</w:t>
      </w:r>
    </w:p>
    <w:p w:rsidR="0029071C" w:rsidRPr="00B46FBB" w:rsidRDefault="0029071C" w:rsidP="00E74701">
      <w:pPr>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lang w:val="es-MX" w:eastAsia="en-US"/>
        </w:rPr>
        <w:t>Así, una vez transcurrido el término legal referido se destaca que</w:t>
      </w:r>
      <w:r w:rsidR="00A90157" w:rsidRPr="00B46FBB">
        <w:rPr>
          <w:rFonts w:ascii="Palatino Linotype" w:eastAsiaTheme="minorHAnsi" w:hAnsi="Palatino Linotype" w:cs="Arial"/>
          <w:lang w:val="es-MX" w:eastAsia="en-US"/>
        </w:rPr>
        <w:t>,</w:t>
      </w:r>
      <w:r w:rsidRPr="00B46FBB">
        <w:rPr>
          <w:rFonts w:ascii="Palatino Linotype" w:eastAsiaTheme="minorHAnsi" w:hAnsi="Palatino Linotype" w:cs="Arial"/>
          <w:lang w:val="es-MX" w:eastAsia="en-US"/>
        </w:rPr>
        <w:t xml:space="preserve"> </w:t>
      </w:r>
      <w:r w:rsidRPr="00B46FBB">
        <w:rPr>
          <w:rFonts w:ascii="Palatino Linotype" w:eastAsiaTheme="minorHAnsi" w:hAnsi="Palatino Linotype" w:cs="Arial"/>
          <w:b/>
          <w:lang w:val="es-MX" w:eastAsia="en-US"/>
        </w:rPr>
        <w:t>El Sujeto Obligado</w:t>
      </w:r>
      <w:r w:rsidRPr="00B46FBB">
        <w:rPr>
          <w:rFonts w:ascii="Palatino Linotype" w:eastAsiaTheme="minorHAnsi" w:hAnsi="Palatino Linotype" w:cs="Arial"/>
          <w:lang w:val="es-MX" w:eastAsia="en-US"/>
        </w:rPr>
        <w:t xml:space="preserve"> </w:t>
      </w:r>
      <w:r w:rsidR="00C941C8" w:rsidRPr="00B46FBB">
        <w:rPr>
          <w:rFonts w:ascii="Palatino Linotype" w:eastAsiaTheme="minorHAnsi" w:hAnsi="Palatino Linotype" w:cs="Arial"/>
          <w:lang w:val="es-MX" w:eastAsia="en-US"/>
        </w:rPr>
        <w:t>fue omiso en remitir</w:t>
      </w:r>
      <w:r w:rsidRPr="00B46FBB">
        <w:rPr>
          <w:rFonts w:ascii="Palatino Linotype" w:eastAsiaTheme="minorHAnsi" w:hAnsi="Palatino Linotype" w:cs="Arial"/>
          <w:lang w:val="es-MX" w:eastAsia="en-US"/>
        </w:rPr>
        <w:t xml:space="preserve"> su Informe Justificado</w:t>
      </w:r>
      <w:r w:rsidR="000F1585" w:rsidRPr="00B46FBB">
        <w:rPr>
          <w:rFonts w:ascii="Palatino Linotype" w:eastAsiaTheme="minorHAnsi" w:hAnsi="Palatino Linotype" w:cs="Arial"/>
          <w:lang w:val="es-MX" w:eastAsia="en-US"/>
        </w:rPr>
        <w:t xml:space="preserve">; </w:t>
      </w:r>
      <w:r w:rsidRPr="00B46FBB">
        <w:rPr>
          <w:rFonts w:ascii="Palatino Linotype" w:eastAsiaTheme="minorHAnsi" w:hAnsi="Palatino Linotype" w:cs="Arial"/>
          <w:lang w:val="es-MX" w:eastAsia="en-US"/>
        </w:rPr>
        <w:t xml:space="preserve">por su parte </w:t>
      </w:r>
      <w:r w:rsidR="000F1585" w:rsidRPr="00B46FBB">
        <w:rPr>
          <w:rFonts w:ascii="Palatino Linotype" w:eastAsiaTheme="minorHAnsi" w:hAnsi="Palatino Linotype" w:cs="Arial"/>
          <w:lang w:val="es-MX" w:eastAsia="en-US"/>
        </w:rPr>
        <w:t>la</w:t>
      </w:r>
      <w:r w:rsidRPr="00B46FBB">
        <w:rPr>
          <w:rFonts w:ascii="Palatino Linotype" w:eastAsiaTheme="minorHAnsi" w:hAnsi="Palatino Linotype" w:cs="Arial"/>
          <w:lang w:val="es-MX" w:eastAsia="en-US"/>
        </w:rPr>
        <w:t xml:space="preserve"> </w:t>
      </w:r>
      <w:r w:rsidRPr="00B46FBB">
        <w:rPr>
          <w:rFonts w:ascii="Palatino Linotype" w:eastAsiaTheme="minorHAnsi" w:hAnsi="Palatino Linotype" w:cs="Arial"/>
          <w:b/>
          <w:lang w:val="es-MX" w:eastAsia="en-US"/>
        </w:rPr>
        <w:t>Recurrente</w:t>
      </w:r>
      <w:r w:rsidRPr="00B46FBB">
        <w:rPr>
          <w:rFonts w:ascii="Palatino Linotype" w:eastAsiaTheme="minorHAnsi" w:hAnsi="Palatino Linotype" w:cs="Arial"/>
          <w:lang w:val="es-MX" w:eastAsia="en-US"/>
        </w:rPr>
        <w:t xml:space="preserve">, </w:t>
      </w:r>
      <w:r w:rsidR="00C941C8" w:rsidRPr="00B46FBB">
        <w:rPr>
          <w:rFonts w:ascii="Palatino Linotype" w:eastAsiaTheme="minorHAnsi" w:hAnsi="Palatino Linotype" w:cs="Arial"/>
          <w:lang w:val="es-MX" w:eastAsia="en-US"/>
        </w:rPr>
        <w:t>tampoco</w:t>
      </w:r>
      <w:r w:rsidRPr="00B46FBB">
        <w:rPr>
          <w:rFonts w:ascii="Palatino Linotype" w:eastAsiaTheme="minorHAnsi" w:hAnsi="Palatino Linotype" w:cs="Arial"/>
          <w:lang w:val="es-MX" w:eastAsia="en-US"/>
        </w:rPr>
        <w:t xml:space="preserve"> remitió alegatos, pruebas o manifestaciones, lo anterior de conformidad con la siguiente imagen</w:t>
      </w:r>
      <w:r w:rsidR="00E74701" w:rsidRPr="00B46FBB">
        <w:rPr>
          <w:rFonts w:ascii="Palatino Linotype" w:eastAsiaTheme="minorHAnsi" w:hAnsi="Palatino Linotype" w:cs="Arial"/>
          <w:lang w:val="es-MX" w:eastAsia="en-US"/>
        </w:rPr>
        <w:t>:</w:t>
      </w:r>
    </w:p>
    <w:p w:rsidR="008A64CB" w:rsidRPr="00B46FBB" w:rsidRDefault="008A64CB" w:rsidP="008A64CB">
      <w:pPr>
        <w:pStyle w:val="Sinespaciado"/>
        <w:rPr>
          <w:rFonts w:eastAsiaTheme="minorHAnsi"/>
          <w:lang w:eastAsia="en-US"/>
        </w:rPr>
      </w:pPr>
    </w:p>
    <w:p w:rsidR="0029071C" w:rsidRPr="00B46FBB" w:rsidRDefault="00C941C8" w:rsidP="0029071C">
      <w:pPr>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noProof/>
          <w:lang w:val="es-MX" w:eastAsia="es-MX"/>
        </w:rPr>
        <w:drawing>
          <wp:inline distT="0" distB="0" distL="0" distR="0">
            <wp:extent cx="5788660" cy="1447165"/>
            <wp:effectExtent l="190500" t="190500" r="193040" b="1911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47165"/>
                    </a:xfrm>
                    <a:prstGeom prst="rect">
                      <a:avLst/>
                    </a:prstGeom>
                    <a:ln>
                      <a:noFill/>
                    </a:ln>
                    <a:effectLst>
                      <a:outerShdw blurRad="190500" algn="tl" rotWithShape="0">
                        <a:srgbClr val="000000">
                          <a:alpha val="70000"/>
                        </a:srgbClr>
                      </a:outerShdw>
                    </a:effectLst>
                  </pic:spPr>
                </pic:pic>
              </a:graphicData>
            </a:graphic>
          </wp:inline>
        </w:drawing>
      </w:r>
    </w:p>
    <w:p w:rsidR="000F1585" w:rsidRPr="00B46FBB" w:rsidRDefault="000F1585" w:rsidP="0029071C">
      <w:pPr>
        <w:tabs>
          <w:tab w:val="left" w:pos="3206"/>
        </w:tabs>
        <w:spacing w:line="360" w:lineRule="auto"/>
        <w:jc w:val="both"/>
        <w:rPr>
          <w:rFonts w:ascii="Palatino Linotype" w:eastAsiaTheme="minorHAnsi" w:hAnsi="Palatino Linotype" w:cs="Arial"/>
          <w:b/>
          <w:lang w:val="es-MX" w:eastAsia="en-US"/>
        </w:rPr>
      </w:pPr>
    </w:p>
    <w:p w:rsidR="0029071C" w:rsidRPr="00B46FBB"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B46FBB">
        <w:rPr>
          <w:rFonts w:ascii="Palatino Linotype" w:eastAsiaTheme="minorHAnsi" w:hAnsi="Palatino Linotype" w:cs="Arial"/>
          <w:b/>
          <w:sz w:val="28"/>
          <w:lang w:val="es-MX" w:eastAsia="en-US"/>
        </w:rPr>
        <w:t>SEXTO. Del cierre de instrucción.</w:t>
      </w:r>
      <w:r w:rsidRPr="00B46FBB">
        <w:rPr>
          <w:rFonts w:ascii="Palatino Linotype" w:eastAsiaTheme="minorHAnsi" w:hAnsi="Palatino Linotype" w:cs="Arial"/>
          <w:b/>
          <w:sz w:val="28"/>
          <w:lang w:val="es-MX" w:eastAsia="en-US"/>
        </w:rPr>
        <w:tab/>
      </w:r>
    </w:p>
    <w:p w:rsidR="0029071C" w:rsidRPr="00B46FBB" w:rsidRDefault="0029071C" w:rsidP="0029071C">
      <w:pPr>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lang w:val="es-MX" w:eastAsia="en-US"/>
        </w:rPr>
        <w:t xml:space="preserve">Así, una vez transcurrido el término legal, se decretó el cierre de instrucción en fecha </w:t>
      </w:r>
      <w:r w:rsidR="00C941C8" w:rsidRPr="00B46FBB">
        <w:rPr>
          <w:rFonts w:ascii="Palatino Linotype" w:eastAsiaTheme="minorHAnsi" w:hAnsi="Palatino Linotype" w:cs="Arial"/>
          <w:lang w:val="es-MX" w:eastAsia="en-US"/>
        </w:rPr>
        <w:t>ocho de agosto</w:t>
      </w:r>
      <w:r w:rsidRPr="00B46FB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0F1585" w:rsidRPr="00B46FBB" w:rsidRDefault="000F1585" w:rsidP="0029071C">
      <w:pPr>
        <w:spacing w:line="360" w:lineRule="auto"/>
        <w:jc w:val="both"/>
        <w:rPr>
          <w:rFonts w:ascii="Palatino Linotype" w:eastAsiaTheme="minorHAnsi" w:hAnsi="Palatino Linotype" w:cs="Arial"/>
          <w:lang w:val="es-MX" w:eastAsia="en-US"/>
        </w:rPr>
      </w:pPr>
    </w:p>
    <w:p w:rsidR="00C941C8" w:rsidRPr="00B46FBB" w:rsidRDefault="00C941C8" w:rsidP="0029071C">
      <w:pPr>
        <w:spacing w:line="360" w:lineRule="auto"/>
        <w:jc w:val="both"/>
        <w:rPr>
          <w:rFonts w:ascii="Palatino Linotype" w:eastAsiaTheme="minorHAnsi" w:hAnsi="Palatino Linotype" w:cs="Arial"/>
          <w:lang w:val="es-MX" w:eastAsia="en-US"/>
        </w:rPr>
      </w:pPr>
    </w:p>
    <w:p w:rsidR="000F1585" w:rsidRPr="00B46FBB" w:rsidRDefault="000F1585" w:rsidP="000F1585">
      <w:pPr>
        <w:pStyle w:val="Sinespaciado"/>
        <w:spacing w:line="360" w:lineRule="auto"/>
        <w:rPr>
          <w:rFonts w:ascii="Palatino Linotype" w:hAnsi="Palatino Linotype"/>
          <w:b/>
          <w:sz w:val="28"/>
          <w:szCs w:val="26"/>
        </w:rPr>
      </w:pPr>
      <w:r w:rsidRPr="00B46FBB">
        <w:rPr>
          <w:rFonts w:ascii="Palatino Linotype" w:hAnsi="Palatino Linotype"/>
          <w:b/>
          <w:sz w:val="28"/>
          <w:szCs w:val="26"/>
        </w:rPr>
        <w:lastRenderedPageBreak/>
        <w:t>SÉPTIMO. De la ampliación del término para resolver.</w:t>
      </w:r>
    </w:p>
    <w:p w:rsidR="000F1585" w:rsidRPr="00B46FBB" w:rsidRDefault="000F1585" w:rsidP="000F1585">
      <w:pPr>
        <w:pStyle w:val="Sinespaciado"/>
        <w:spacing w:line="360" w:lineRule="auto"/>
        <w:jc w:val="both"/>
        <w:rPr>
          <w:rFonts w:ascii="Palatino Linotype" w:hAnsi="Palatino Linotype"/>
        </w:rPr>
      </w:pPr>
      <w:r w:rsidRPr="00B46FBB">
        <w:rPr>
          <w:rFonts w:ascii="Palatino Linotype" w:hAnsi="Palatino Linotype"/>
        </w:rPr>
        <w:t xml:space="preserve">En fecha </w:t>
      </w:r>
      <w:r w:rsidR="00C941C8" w:rsidRPr="00B46FBB">
        <w:rPr>
          <w:rFonts w:ascii="Palatino Linotype" w:hAnsi="Palatino Linotype"/>
        </w:rPr>
        <w:t>siete de septiembre</w:t>
      </w:r>
      <w:r w:rsidRPr="00B46FBB">
        <w:rPr>
          <w:rFonts w:ascii="Palatino Linotype" w:hAnsi="Palatino Linotype"/>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C941C8" w:rsidRPr="00B46FBB" w:rsidRDefault="00C941C8" w:rsidP="000F1585">
      <w:pPr>
        <w:pStyle w:val="Sinespaciado"/>
        <w:spacing w:line="360" w:lineRule="auto"/>
        <w:jc w:val="both"/>
        <w:rPr>
          <w:rFonts w:ascii="Palatino Linotype" w:hAnsi="Palatino Linotype"/>
        </w:rPr>
      </w:pP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 xml:space="preserve">Este organismo garante no pasa por alto justificar, </w:t>
      </w:r>
      <w:r w:rsidRPr="00B46FBB">
        <w:rPr>
          <w:rFonts w:ascii="Palatino Linotype" w:hAnsi="Palatino Linotype"/>
          <w:bCs/>
          <w:lang w:val="es-MX"/>
        </w:rPr>
        <w:t xml:space="preserve">que el plazo para emitir resolución en el presente asunto </w:t>
      </w:r>
      <w:r w:rsidRPr="00B46FBB">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941C8" w:rsidRPr="00B46FBB" w:rsidRDefault="00C941C8" w:rsidP="00C941C8">
      <w:pPr>
        <w:spacing w:line="360" w:lineRule="auto"/>
        <w:jc w:val="both"/>
        <w:rPr>
          <w:rFonts w:ascii="Palatino Linotype" w:hAnsi="Palatino Linotype"/>
          <w:lang w:val="es-MX"/>
        </w:rPr>
      </w:pP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 xml:space="preserve">Por ello, es menester precisar que si bien se ha excedido el plazo para resolver el presente medio de impugnación, de conformidad con la ley de la materia, </w:t>
      </w:r>
      <w:r w:rsidRPr="00B46FBB">
        <w:rPr>
          <w:rFonts w:ascii="Palatino Linotype" w:hAnsi="Palatino Linotype"/>
          <w:bCs/>
          <w:lang w:val="es-MX"/>
        </w:rPr>
        <w:t>el plazo para emitir resolución</w:t>
      </w:r>
      <w:r w:rsidRPr="00B46FBB">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 xml:space="preserve"> </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lastRenderedPageBreak/>
        <w:t xml:space="preserve"> </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 xml:space="preserve"> </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 xml:space="preserve"> </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a)      Complejidad del asunto: La complejidad de la prueba, la pluralidad de sujetos procesales, el tiempo transcurrido, las características y contexto del recurso.</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b)     Actividad Procesal del interesado: Acciones u omisiones del interesado.</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c)  Conducta de la Autoridad: Las Acciones u omisiones realizadas en el procedimiento. Así como si la autoridad actuó con la debida diligencia.</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d) La afectación generada en la situación jurídica de la persona involucrada en el proceso: Violación a sus derechos humanos.</w:t>
      </w:r>
    </w:p>
    <w:p w:rsidR="00C941C8" w:rsidRPr="00B46FBB" w:rsidRDefault="00C941C8" w:rsidP="00C941C8">
      <w:pPr>
        <w:spacing w:line="360" w:lineRule="auto"/>
        <w:jc w:val="both"/>
        <w:rPr>
          <w:rFonts w:ascii="Palatino Linotype" w:hAnsi="Palatino Linotype"/>
          <w:lang w:val="es-MX"/>
        </w:rPr>
      </w:pP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 xml:space="preserve"> </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lastRenderedPageBreak/>
        <w:t>Argumento que encuentra sustento en la jurisprudencia P</w:t>
      </w:r>
      <w:proofErr w:type="gramStart"/>
      <w:r w:rsidRPr="00B46FBB">
        <w:rPr>
          <w:rFonts w:ascii="Palatino Linotype" w:hAnsi="Palatino Linotype"/>
          <w:lang w:val="es-MX"/>
        </w:rPr>
        <w:t>./</w:t>
      </w:r>
      <w:proofErr w:type="gramEnd"/>
      <w:r w:rsidRPr="00B46FBB">
        <w:rPr>
          <w:rFonts w:ascii="Palatino Linotype" w:hAnsi="Palatino Linotype"/>
          <w:lang w:val="es-MX"/>
        </w:rPr>
        <w:t xml:space="preserve">J. 32/92 emitida por el Pleno de la Suprema Corte de Justicia de la Nación de rubro </w:t>
      </w:r>
      <w:r w:rsidRPr="00B46FBB">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B46FBB">
        <w:rPr>
          <w:rFonts w:ascii="Palatino Linotype" w:hAnsi="Palatino Linotype"/>
          <w:lang w:val="es-MX"/>
        </w:rPr>
        <w:t>, visible en la Gaceta del Seminario Judicial de la Federación con el registro digital 205635.</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 xml:space="preserve"> </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941C8" w:rsidRPr="00B46FBB" w:rsidRDefault="00C941C8" w:rsidP="00C941C8">
      <w:pPr>
        <w:spacing w:line="360" w:lineRule="auto"/>
        <w:jc w:val="both"/>
        <w:rPr>
          <w:rFonts w:ascii="Palatino Linotype" w:hAnsi="Palatino Linotype"/>
          <w:lang w:val="es-MX"/>
        </w:rPr>
      </w:pP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lang w:val="es-MX"/>
        </w:rPr>
        <w:t xml:space="preserve"> </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sz w:val="28"/>
          <w:lang w:val="es-MX"/>
        </w:rPr>
        <w:t xml:space="preserve"> </w:t>
      </w:r>
      <w:r w:rsidRPr="00B46FBB">
        <w:rPr>
          <w:rFonts w:ascii="Palatino Linotype" w:hAnsi="Palatino Linotype"/>
          <w:b/>
          <w:i/>
          <w:lang w:val="es-MX"/>
        </w:rPr>
        <w:t>“PLAZO RAZONABLE PARA RESOLVER. DIMENSIÓN Y EFECTOS DE ESTE CONCEPTO CUANDO SE ADUCE EXCESIVA CARGA DE TRABAJO.”</w:t>
      </w:r>
      <w:r w:rsidRPr="00B46FBB">
        <w:rPr>
          <w:rFonts w:ascii="Palatino Linotype" w:hAnsi="Palatino Linotype"/>
          <w:lang w:val="es-MX"/>
        </w:rPr>
        <w:t xml:space="preserve"> consultable en el Seminario Judicial de la Federación y su gaceta, con el registro digital 2002351.</w:t>
      </w: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b/>
          <w:i/>
          <w:lang w:val="es-MX"/>
        </w:rPr>
        <w:lastRenderedPageBreak/>
        <w:t>“PLAZO RAZONABLE PARA RESOLVER. CONCEPTO Y ELEMENTOS QUE LO INTEGRAN A LA LUZ DEL DERECHO INTERNACIONAL DE LOS DERECHOS HUMANOS.”</w:t>
      </w:r>
      <w:r w:rsidRPr="00B46FBB">
        <w:rPr>
          <w:rFonts w:ascii="Palatino Linotype" w:hAnsi="Palatino Linotype"/>
          <w:lang w:val="es-MX"/>
        </w:rPr>
        <w:t>, visible en el Seminario Judicial de la Federación y su gaceta, con el registro digital 2002350.</w:t>
      </w:r>
    </w:p>
    <w:p w:rsidR="00C941C8" w:rsidRPr="00B46FBB" w:rsidRDefault="00C941C8" w:rsidP="00C941C8">
      <w:pPr>
        <w:spacing w:line="360" w:lineRule="auto"/>
        <w:jc w:val="both"/>
        <w:rPr>
          <w:rFonts w:ascii="Palatino Linotype" w:hAnsi="Palatino Linotype"/>
          <w:lang w:val="es-MX"/>
        </w:rPr>
      </w:pPr>
    </w:p>
    <w:p w:rsidR="00C941C8" w:rsidRPr="00B46FBB" w:rsidRDefault="00C941C8" w:rsidP="00C941C8">
      <w:pPr>
        <w:spacing w:line="360" w:lineRule="auto"/>
        <w:jc w:val="both"/>
        <w:rPr>
          <w:rFonts w:ascii="Palatino Linotype" w:hAnsi="Palatino Linotype"/>
          <w:lang w:val="es-MX"/>
        </w:rPr>
      </w:pPr>
      <w:r w:rsidRPr="00B46FBB">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rsidR="000F1585" w:rsidRPr="00B46FBB" w:rsidRDefault="000F1585" w:rsidP="0029071C">
      <w:pPr>
        <w:spacing w:line="360" w:lineRule="auto"/>
        <w:jc w:val="both"/>
        <w:rPr>
          <w:rFonts w:ascii="Palatino Linotype" w:eastAsiaTheme="minorHAnsi" w:hAnsi="Palatino Linotype" w:cs="Arial"/>
          <w:lang w:val="es-MX" w:eastAsia="en-US"/>
        </w:rPr>
      </w:pPr>
    </w:p>
    <w:p w:rsidR="00E74701" w:rsidRPr="00B46FBB" w:rsidRDefault="00E74701" w:rsidP="00E74701">
      <w:pPr>
        <w:spacing w:line="360" w:lineRule="auto"/>
        <w:jc w:val="center"/>
        <w:rPr>
          <w:rFonts w:ascii="Palatino Linotype" w:eastAsiaTheme="minorHAnsi" w:hAnsi="Palatino Linotype" w:cs="Arial"/>
          <w:b/>
          <w:sz w:val="28"/>
          <w:lang w:val="es-MX" w:eastAsia="en-US"/>
        </w:rPr>
      </w:pPr>
      <w:r w:rsidRPr="00B46FBB">
        <w:rPr>
          <w:rFonts w:ascii="Palatino Linotype" w:eastAsiaTheme="minorHAnsi" w:hAnsi="Palatino Linotype" w:cs="Arial"/>
          <w:b/>
          <w:sz w:val="28"/>
          <w:lang w:val="es-MX" w:eastAsia="en-US"/>
        </w:rPr>
        <w:t xml:space="preserve">C O N S I D E R A N D O </w:t>
      </w:r>
    </w:p>
    <w:p w:rsidR="00E74701" w:rsidRPr="00B46FBB" w:rsidRDefault="00E74701" w:rsidP="008A64CB">
      <w:pPr>
        <w:pStyle w:val="Sinespaciado"/>
        <w:rPr>
          <w:rFonts w:eastAsiaTheme="minorHAnsi"/>
          <w:lang w:eastAsia="en-US"/>
        </w:rPr>
      </w:pPr>
    </w:p>
    <w:p w:rsidR="0029071C" w:rsidRPr="00B46FBB" w:rsidRDefault="0029071C" w:rsidP="0029071C">
      <w:pPr>
        <w:spacing w:line="360" w:lineRule="auto"/>
        <w:jc w:val="both"/>
        <w:rPr>
          <w:rFonts w:ascii="Palatino Linotype" w:eastAsiaTheme="minorHAnsi" w:hAnsi="Palatino Linotype" w:cs="Arial"/>
          <w:sz w:val="28"/>
          <w:lang w:val="es-MX" w:eastAsia="en-US"/>
        </w:rPr>
      </w:pPr>
      <w:r w:rsidRPr="00B46FBB">
        <w:rPr>
          <w:rFonts w:ascii="Palatino Linotype" w:eastAsiaTheme="minorHAnsi" w:hAnsi="Palatino Linotype" w:cs="Arial"/>
          <w:b/>
          <w:sz w:val="28"/>
          <w:lang w:val="es-MX" w:eastAsia="en-US"/>
        </w:rPr>
        <w:t>PRIMERO. De la competencia</w:t>
      </w:r>
      <w:r w:rsidRPr="00B46FBB">
        <w:rPr>
          <w:rFonts w:ascii="Palatino Linotype" w:eastAsiaTheme="minorHAnsi" w:hAnsi="Palatino Linotype" w:cs="Arial"/>
          <w:sz w:val="28"/>
          <w:lang w:val="es-MX" w:eastAsia="en-US"/>
        </w:rPr>
        <w:t>.</w:t>
      </w:r>
    </w:p>
    <w:p w:rsidR="00E74701" w:rsidRPr="00B46FBB" w:rsidRDefault="0029071C" w:rsidP="00E74701">
      <w:pPr>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B46FBB">
        <w:rPr>
          <w:rFonts w:ascii="Palatino Linotype" w:eastAsiaTheme="minorHAnsi" w:hAnsi="Palatino Linotype" w:cs="Arial"/>
          <w:lang w:val="es-MX" w:eastAsia="en-US"/>
        </w:rPr>
        <w:t xml:space="preserve"> Estado de México y Municipios.</w:t>
      </w:r>
    </w:p>
    <w:p w:rsidR="008A64CB" w:rsidRPr="00B46FBB" w:rsidRDefault="008A64CB" w:rsidP="00E74701">
      <w:pPr>
        <w:spacing w:line="360" w:lineRule="auto"/>
        <w:jc w:val="both"/>
        <w:rPr>
          <w:rFonts w:ascii="Palatino Linotype" w:eastAsiaTheme="minorHAnsi" w:hAnsi="Palatino Linotype" w:cs="Arial"/>
          <w:lang w:val="es-MX" w:eastAsia="en-US"/>
        </w:rPr>
      </w:pPr>
    </w:p>
    <w:p w:rsidR="00754AD0" w:rsidRPr="00B46FBB" w:rsidRDefault="00754AD0" w:rsidP="00E74701">
      <w:pPr>
        <w:spacing w:line="360" w:lineRule="auto"/>
        <w:jc w:val="both"/>
        <w:rPr>
          <w:rFonts w:ascii="Palatino Linotype" w:eastAsiaTheme="minorHAnsi" w:hAnsi="Palatino Linotype" w:cs="Arial"/>
          <w:lang w:val="es-MX" w:eastAsia="en-US"/>
        </w:rPr>
      </w:pPr>
    </w:p>
    <w:p w:rsidR="0029071C" w:rsidRPr="00B46FB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46FBB">
        <w:rPr>
          <w:rFonts w:ascii="Palatino Linotype" w:eastAsiaTheme="minorHAnsi" w:hAnsi="Palatino Linotype" w:cs="Arial"/>
          <w:b/>
          <w:sz w:val="28"/>
          <w:lang w:val="es-MX" w:eastAsia="en-US"/>
        </w:rPr>
        <w:lastRenderedPageBreak/>
        <w:t xml:space="preserve">SEGUNDO. De los alcances del Recurso de Revisión. </w:t>
      </w:r>
    </w:p>
    <w:p w:rsidR="000F1585" w:rsidRPr="00B46FB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941C8" w:rsidRPr="00B46FBB" w:rsidRDefault="00C941C8"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B46FBB" w:rsidRDefault="008A64CB"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46FBB">
        <w:rPr>
          <w:rFonts w:ascii="Palatino Linotype" w:eastAsiaTheme="minorHAnsi" w:hAnsi="Palatino Linotype" w:cs="Arial"/>
          <w:b/>
          <w:sz w:val="28"/>
          <w:lang w:val="es-MX" w:eastAsia="en-US"/>
        </w:rPr>
        <w:t>TERCER</w:t>
      </w:r>
      <w:r w:rsidR="0029071C" w:rsidRPr="00B46FBB">
        <w:rPr>
          <w:rFonts w:ascii="Palatino Linotype" w:eastAsiaTheme="minorHAnsi" w:hAnsi="Palatino Linotype" w:cs="Arial"/>
          <w:b/>
          <w:sz w:val="28"/>
          <w:lang w:val="es-MX" w:eastAsia="en-US"/>
        </w:rPr>
        <w:t xml:space="preserve">O. Del estudio de las causas de improcedencia. </w:t>
      </w:r>
    </w:p>
    <w:p w:rsidR="008A64CB" w:rsidRPr="00B46FB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46FBB">
        <w:rPr>
          <w:rStyle w:val="Refdenotaalpie"/>
          <w:rFonts w:ascii="Palatino Linotype" w:eastAsiaTheme="minorHAnsi" w:hAnsi="Palatino Linotype" w:cs="Arial"/>
          <w:lang w:val="es-MX" w:eastAsia="en-US"/>
        </w:rPr>
        <w:footnoteReference w:id="1"/>
      </w:r>
      <w:r w:rsidRPr="00B46FBB">
        <w:rPr>
          <w:rFonts w:ascii="Palatino Linotype" w:eastAsiaTheme="minorHAnsi" w:hAnsi="Palatino Linotype" w:cs="Arial"/>
          <w:lang w:val="es-MX" w:eastAsia="en-US"/>
        </w:rPr>
        <w:t>.</w:t>
      </w:r>
    </w:p>
    <w:p w:rsidR="0029071C" w:rsidRPr="00B46FB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B46FBB" w:rsidRDefault="0029071C" w:rsidP="0029071C">
      <w:pPr>
        <w:rPr>
          <w:lang w:val="es-MX"/>
        </w:rPr>
      </w:pPr>
    </w:p>
    <w:p w:rsidR="0029071C" w:rsidRPr="00B46FBB" w:rsidRDefault="0029071C" w:rsidP="0029071C">
      <w:pPr>
        <w:autoSpaceDE w:val="0"/>
        <w:autoSpaceDN w:val="0"/>
        <w:adjustRightInd w:val="0"/>
        <w:ind w:left="708" w:right="850"/>
        <w:jc w:val="both"/>
        <w:rPr>
          <w:rFonts w:ascii="Palatino Linotype" w:hAnsi="Palatino Linotype" w:cs="Arial"/>
          <w:i/>
          <w:sz w:val="22"/>
          <w:szCs w:val="22"/>
        </w:rPr>
      </w:pPr>
      <w:r w:rsidRPr="00B46FBB">
        <w:rPr>
          <w:rFonts w:ascii="Palatino Linotype" w:hAnsi="Palatino Linotype" w:cs="Arial"/>
          <w:i/>
          <w:sz w:val="22"/>
          <w:szCs w:val="22"/>
        </w:rPr>
        <w:t>“</w:t>
      </w:r>
      <w:r w:rsidRPr="00B46FBB">
        <w:rPr>
          <w:rFonts w:ascii="Palatino Linotype" w:hAnsi="Palatino Linotype" w:cs="Arial"/>
          <w:b/>
          <w:i/>
          <w:sz w:val="22"/>
          <w:szCs w:val="22"/>
        </w:rPr>
        <w:t>Artículo 191.</w:t>
      </w:r>
      <w:r w:rsidRPr="00B46FBB">
        <w:rPr>
          <w:rFonts w:ascii="Palatino Linotype" w:hAnsi="Palatino Linotype" w:cs="Arial"/>
          <w:i/>
          <w:sz w:val="22"/>
          <w:szCs w:val="22"/>
        </w:rPr>
        <w:t xml:space="preserve"> El recurso será desechado por improcedente cuando:  </w:t>
      </w:r>
    </w:p>
    <w:p w:rsidR="0029071C" w:rsidRPr="00B46FBB" w:rsidRDefault="0029071C" w:rsidP="0029071C">
      <w:pPr>
        <w:autoSpaceDE w:val="0"/>
        <w:autoSpaceDN w:val="0"/>
        <w:adjustRightInd w:val="0"/>
        <w:ind w:left="708" w:right="850"/>
        <w:jc w:val="both"/>
        <w:rPr>
          <w:rFonts w:ascii="Palatino Linotype" w:hAnsi="Palatino Linotype" w:cs="Arial"/>
          <w:i/>
          <w:sz w:val="22"/>
          <w:szCs w:val="22"/>
        </w:rPr>
      </w:pPr>
      <w:r w:rsidRPr="00B46FBB">
        <w:rPr>
          <w:rFonts w:ascii="Palatino Linotype" w:hAnsi="Palatino Linotype" w:cs="Arial"/>
          <w:i/>
          <w:sz w:val="22"/>
          <w:szCs w:val="22"/>
        </w:rPr>
        <w:t xml:space="preserve">I. Sea extemporáneo por haber transcurrido el plazo establecido en la presente Ley, a partir de la respuesta;  </w:t>
      </w:r>
    </w:p>
    <w:p w:rsidR="0029071C" w:rsidRPr="00B46FBB" w:rsidRDefault="0029071C" w:rsidP="0029071C">
      <w:pPr>
        <w:autoSpaceDE w:val="0"/>
        <w:autoSpaceDN w:val="0"/>
        <w:adjustRightInd w:val="0"/>
        <w:ind w:left="708" w:right="850"/>
        <w:jc w:val="both"/>
        <w:rPr>
          <w:rFonts w:ascii="Palatino Linotype" w:hAnsi="Palatino Linotype" w:cs="Arial"/>
          <w:i/>
          <w:sz w:val="22"/>
          <w:szCs w:val="22"/>
        </w:rPr>
      </w:pPr>
      <w:r w:rsidRPr="00B46FBB">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B46FBB" w:rsidRDefault="0029071C" w:rsidP="0029071C">
      <w:pPr>
        <w:autoSpaceDE w:val="0"/>
        <w:autoSpaceDN w:val="0"/>
        <w:adjustRightInd w:val="0"/>
        <w:ind w:left="708" w:right="850"/>
        <w:jc w:val="both"/>
        <w:rPr>
          <w:rFonts w:ascii="Palatino Linotype" w:hAnsi="Palatino Linotype" w:cs="Arial"/>
          <w:i/>
          <w:sz w:val="22"/>
          <w:szCs w:val="22"/>
        </w:rPr>
      </w:pPr>
      <w:r w:rsidRPr="00B46FBB">
        <w:rPr>
          <w:rFonts w:ascii="Palatino Linotype" w:hAnsi="Palatino Linotype" w:cs="Arial"/>
          <w:i/>
          <w:sz w:val="22"/>
          <w:szCs w:val="22"/>
        </w:rPr>
        <w:t xml:space="preserve">III. No actualice alguno de los supuestos previstos en la presente Ley;  </w:t>
      </w:r>
    </w:p>
    <w:p w:rsidR="0029071C" w:rsidRPr="00B46FBB" w:rsidRDefault="0029071C" w:rsidP="0029071C">
      <w:pPr>
        <w:autoSpaceDE w:val="0"/>
        <w:autoSpaceDN w:val="0"/>
        <w:adjustRightInd w:val="0"/>
        <w:ind w:left="708" w:right="850"/>
        <w:jc w:val="both"/>
        <w:rPr>
          <w:rFonts w:ascii="Palatino Linotype" w:hAnsi="Palatino Linotype" w:cs="Arial"/>
          <w:i/>
          <w:sz w:val="22"/>
          <w:szCs w:val="22"/>
        </w:rPr>
      </w:pPr>
      <w:r w:rsidRPr="00B46FBB">
        <w:rPr>
          <w:rFonts w:ascii="Palatino Linotype" w:hAnsi="Palatino Linotype" w:cs="Arial"/>
          <w:i/>
          <w:sz w:val="22"/>
          <w:szCs w:val="22"/>
        </w:rPr>
        <w:t>IV. No se haya desahogado la prevención en los términos establecidos en la presente Ley;</w:t>
      </w:r>
    </w:p>
    <w:p w:rsidR="0029071C" w:rsidRPr="00B46FBB" w:rsidRDefault="0029071C" w:rsidP="0029071C">
      <w:pPr>
        <w:autoSpaceDE w:val="0"/>
        <w:autoSpaceDN w:val="0"/>
        <w:adjustRightInd w:val="0"/>
        <w:ind w:left="708" w:right="850"/>
        <w:jc w:val="both"/>
        <w:rPr>
          <w:rFonts w:ascii="Palatino Linotype" w:hAnsi="Palatino Linotype" w:cs="Arial"/>
          <w:i/>
          <w:sz w:val="22"/>
          <w:szCs w:val="22"/>
        </w:rPr>
      </w:pPr>
      <w:r w:rsidRPr="00B46FBB">
        <w:rPr>
          <w:rFonts w:ascii="Palatino Linotype" w:hAnsi="Palatino Linotype" w:cs="Arial"/>
          <w:i/>
          <w:sz w:val="22"/>
          <w:szCs w:val="22"/>
        </w:rPr>
        <w:t xml:space="preserve">V. Se impugne la veracidad de la información proporcionada;  </w:t>
      </w:r>
    </w:p>
    <w:p w:rsidR="0029071C" w:rsidRPr="00B46FBB" w:rsidRDefault="0029071C" w:rsidP="0029071C">
      <w:pPr>
        <w:autoSpaceDE w:val="0"/>
        <w:autoSpaceDN w:val="0"/>
        <w:adjustRightInd w:val="0"/>
        <w:ind w:left="708" w:right="850"/>
        <w:jc w:val="both"/>
        <w:rPr>
          <w:rFonts w:ascii="Palatino Linotype" w:hAnsi="Palatino Linotype" w:cs="Arial"/>
          <w:i/>
          <w:sz w:val="22"/>
          <w:szCs w:val="22"/>
        </w:rPr>
      </w:pPr>
      <w:r w:rsidRPr="00B46FBB">
        <w:rPr>
          <w:rFonts w:ascii="Palatino Linotype" w:hAnsi="Palatino Linotype" w:cs="Arial"/>
          <w:i/>
          <w:sz w:val="22"/>
          <w:szCs w:val="22"/>
        </w:rPr>
        <w:t xml:space="preserve">VI. Se trate de una consulta, o trámite en específico; y  </w:t>
      </w:r>
    </w:p>
    <w:p w:rsidR="0029071C" w:rsidRPr="00B46FBB" w:rsidRDefault="0029071C" w:rsidP="0029071C">
      <w:pPr>
        <w:autoSpaceDE w:val="0"/>
        <w:autoSpaceDN w:val="0"/>
        <w:adjustRightInd w:val="0"/>
        <w:ind w:left="708" w:right="850"/>
        <w:jc w:val="both"/>
        <w:rPr>
          <w:rFonts w:ascii="Palatino Linotype" w:hAnsi="Palatino Linotype" w:cs="Arial"/>
          <w:i/>
          <w:sz w:val="22"/>
          <w:szCs w:val="22"/>
        </w:rPr>
      </w:pPr>
      <w:r w:rsidRPr="00B46FBB">
        <w:rPr>
          <w:rFonts w:ascii="Palatino Linotype" w:hAnsi="Palatino Linotype" w:cs="Arial"/>
          <w:i/>
          <w:sz w:val="22"/>
          <w:szCs w:val="22"/>
        </w:rPr>
        <w:t>VII. El recurrente amplíe su solicitud en el recurso de revisión, únicamente respecto de los nuevos contenidos.”</w:t>
      </w:r>
    </w:p>
    <w:p w:rsidR="0029071C" w:rsidRPr="00B46FBB"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B46FB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B46FBB" w:rsidRDefault="00EA46CC" w:rsidP="0029071C">
      <w:pPr>
        <w:autoSpaceDE w:val="0"/>
        <w:autoSpaceDN w:val="0"/>
        <w:adjustRightInd w:val="0"/>
        <w:spacing w:line="360" w:lineRule="auto"/>
        <w:jc w:val="both"/>
        <w:rPr>
          <w:rFonts w:ascii="Palatino Linotype" w:hAnsi="Palatino Linotype" w:cs="Arial"/>
        </w:rPr>
      </w:pPr>
    </w:p>
    <w:p w:rsidR="0029071C" w:rsidRPr="00B46FBB" w:rsidRDefault="0029071C" w:rsidP="0029071C">
      <w:pPr>
        <w:autoSpaceDE w:val="0"/>
        <w:autoSpaceDN w:val="0"/>
        <w:adjustRightInd w:val="0"/>
        <w:spacing w:line="360" w:lineRule="auto"/>
        <w:jc w:val="both"/>
        <w:rPr>
          <w:rFonts w:ascii="Palatino Linotype" w:hAnsi="Palatino Linotype" w:cs="Arial"/>
        </w:rPr>
      </w:pPr>
      <w:r w:rsidRPr="00B46FBB">
        <w:rPr>
          <w:rFonts w:ascii="Palatino Linotype" w:hAnsi="Palatino Linotype" w:cs="Arial"/>
        </w:rPr>
        <w:t xml:space="preserve">Así las cosas, al no existir causas de improcedencia invocadas por las partes ni advertidas de oficio por este Resolutor, se </w:t>
      </w:r>
      <w:proofErr w:type="gramStart"/>
      <w:r w:rsidRPr="00B46FBB">
        <w:rPr>
          <w:rFonts w:ascii="Palatino Linotype" w:hAnsi="Palatino Linotype" w:cs="Arial"/>
        </w:rPr>
        <w:t>procede</w:t>
      </w:r>
      <w:proofErr w:type="gramEnd"/>
      <w:r w:rsidRPr="00B46FBB">
        <w:rPr>
          <w:rFonts w:ascii="Palatino Linotype" w:hAnsi="Palatino Linotype" w:cs="Arial"/>
        </w:rPr>
        <w:t xml:space="preserve"> al análisis del fondo de los asuntos en los siguientes términos.</w:t>
      </w:r>
    </w:p>
    <w:p w:rsidR="00754AD0" w:rsidRPr="00B46FBB" w:rsidRDefault="00754AD0" w:rsidP="0029071C">
      <w:pPr>
        <w:autoSpaceDE w:val="0"/>
        <w:autoSpaceDN w:val="0"/>
        <w:adjustRightInd w:val="0"/>
        <w:spacing w:line="360" w:lineRule="auto"/>
        <w:jc w:val="both"/>
        <w:rPr>
          <w:rFonts w:ascii="Palatino Linotype" w:hAnsi="Palatino Linotype" w:cs="Arial"/>
        </w:rPr>
      </w:pPr>
    </w:p>
    <w:p w:rsidR="0029071C" w:rsidRPr="00B46FBB" w:rsidRDefault="008A64CB" w:rsidP="0029071C">
      <w:pPr>
        <w:autoSpaceDE w:val="0"/>
        <w:autoSpaceDN w:val="0"/>
        <w:adjustRightInd w:val="0"/>
        <w:spacing w:line="360" w:lineRule="auto"/>
        <w:jc w:val="both"/>
        <w:rPr>
          <w:rFonts w:ascii="Palatino Linotype" w:hAnsi="Palatino Linotype" w:cs="Arial"/>
          <w:sz w:val="28"/>
        </w:rPr>
      </w:pPr>
      <w:r w:rsidRPr="00B46FBB">
        <w:rPr>
          <w:rFonts w:ascii="Palatino Linotype" w:hAnsi="Palatino Linotype" w:cs="Arial"/>
          <w:b/>
          <w:sz w:val="28"/>
        </w:rPr>
        <w:lastRenderedPageBreak/>
        <w:t>CUAR</w:t>
      </w:r>
      <w:r w:rsidR="0029071C" w:rsidRPr="00B46FBB">
        <w:rPr>
          <w:rFonts w:ascii="Palatino Linotype" w:hAnsi="Palatino Linotype" w:cs="Arial"/>
          <w:b/>
          <w:sz w:val="28"/>
        </w:rPr>
        <w:t>TO. Del estudio y resolución del asunto.</w:t>
      </w:r>
      <w:r w:rsidR="0029071C" w:rsidRPr="00B46FBB">
        <w:rPr>
          <w:rFonts w:ascii="Palatino Linotype" w:hAnsi="Palatino Linotype" w:cs="Arial"/>
          <w:sz w:val="28"/>
        </w:rPr>
        <w:t xml:space="preserve"> </w:t>
      </w:r>
    </w:p>
    <w:p w:rsidR="0029071C" w:rsidRPr="00B46FB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941C8" w:rsidRPr="00B46FBB" w:rsidRDefault="00C941C8" w:rsidP="0029071C">
      <w:pPr>
        <w:spacing w:line="360" w:lineRule="auto"/>
        <w:ind w:right="141"/>
        <w:jc w:val="both"/>
        <w:rPr>
          <w:rFonts w:ascii="Palatino Linotype" w:eastAsiaTheme="minorHAnsi" w:hAnsi="Palatino Linotype" w:cstheme="minorBidi"/>
          <w:lang w:val="es-MX" w:eastAsia="es-MX"/>
        </w:rPr>
      </w:pPr>
    </w:p>
    <w:p w:rsidR="0029071C" w:rsidRPr="00B46FBB" w:rsidRDefault="0029071C" w:rsidP="0029071C">
      <w:pPr>
        <w:spacing w:line="360" w:lineRule="auto"/>
        <w:ind w:right="141"/>
        <w:jc w:val="both"/>
        <w:rPr>
          <w:rFonts w:ascii="Palatino Linotype" w:eastAsiaTheme="minorHAnsi" w:hAnsi="Palatino Linotype" w:cstheme="minorBidi"/>
          <w:lang w:val="es-MX" w:eastAsia="es-MX"/>
        </w:rPr>
      </w:pPr>
      <w:r w:rsidRPr="00B46FB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46FBB">
        <w:rPr>
          <w:rFonts w:ascii="Palatino Linotype" w:eastAsiaTheme="minorHAnsi" w:hAnsi="Palatino Linotype" w:cstheme="minorBidi"/>
          <w:b/>
          <w:lang w:val="es-MX" w:eastAsia="es-MX"/>
        </w:rPr>
        <w:t xml:space="preserve"> </w:t>
      </w:r>
      <w:r w:rsidRPr="00B46FBB">
        <w:rPr>
          <w:rFonts w:ascii="Palatino Linotype" w:eastAsiaTheme="minorHAnsi" w:hAnsi="Palatino Linotype" w:cstheme="minorBidi"/>
          <w:lang w:val="es-MX" w:eastAsia="es-MX"/>
        </w:rPr>
        <w:t>parte</w:t>
      </w:r>
      <w:r w:rsidRPr="00B46FBB">
        <w:rPr>
          <w:rFonts w:ascii="Palatino Linotype" w:eastAsiaTheme="minorHAnsi" w:hAnsi="Palatino Linotype" w:cstheme="minorBidi"/>
          <w:b/>
          <w:lang w:val="es-MX" w:eastAsia="es-MX"/>
        </w:rPr>
        <w:t xml:space="preserve"> Recurrente</w:t>
      </w:r>
      <w:r w:rsidRPr="00B46FBB">
        <w:rPr>
          <w:rFonts w:ascii="Palatino Linotype" w:eastAsiaTheme="minorHAnsi" w:hAnsi="Palatino Linotype" w:cstheme="minorBidi"/>
          <w:lang w:val="es-MX" w:eastAsia="es-MX"/>
        </w:rPr>
        <w:t>, para ello analizaremos lo solicitado y la información proporcionada.</w:t>
      </w:r>
    </w:p>
    <w:p w:rsidR="0029071C" w:rsidRPr="00B46FBB" w:rsidRDefault="0029071C" w:rsidP="0029071C">
      <w:pPr>
        <w:spacing w:line="360" w:lineRule="auto"/>
        <w:ind w:right="141"/>
        <w:jc w:val="both"/>
        <w:rPr>
          <w:rFonts w:ascii="Palatino Linotype" w:eastAsiaTheme="minorHAnsi" w:hAnsi="Palatino Linotype" w:cstheme="minorBidi"/>
          <w:sz w:val="16"/>
          <w:lang w:val="es-MX" w:eastAsia="es-MX"/>
        </w:rPr>
      </w:pPr>
    </w:p>
    <w:p w:rsidR="0029071C" w:rsidRPr="00B46FBB" w:rsidRDefault="0029071C" w:rsidP="0029071C">
      <w:pPr>
        <w:spacing w:line="360" w:lineRule="auto"/>
        <w:ind w:right="141"/>
        <w:jc w:val="both"/>
        <w:rPr>
          <w:rFonts w:ascii="Palatino Linotype" w:eastAsiaTheme="minorHAnsi" w:hAnsi="Palatino Linotype" w:cstheme="minorBidi"/>
          <w:sz w:val="16"/>
          <w:lang w:val="es-MX" w:eastAsia="es-MX"/>
        </w:rPr>
      </w:pPr>
    </w:p>
    <w:p w:rsidR="000F1585" w:rsidRPr="00B46FBB" w:rsidRDefault="0029071C" w:rsidP="00C941C8">
      <w:pPr>
        <w:spacing w:line="360" w:lineRule="auto"/>
        <w:ind w:right="141"/>
        <w:jc w:val="both"/>
        <w:rPr>
          <w:rFonts w:ascii="Palatino Linotype" w:eastAsiaTheme="minorHAnsi" w:hAnsi="Palatino Linotype" w:cstheme="minorBidi"/>
          <w:b/>
          <w:szCs w:val="22"/>
          <w:lang w:val="es-MX" w:eastAsia="es-MX"/>
        </w:rPr>
      </w:pPr>
      <w:r w:rsidRPr="00B46FBB">
        <w:rPr>
          <w:rFonts w:ascii="Palatino Linotype" w:eastAsiaTheme="minorHAnsi" w:hAnsi="Palatino Linotype" w:cstheme="minorBidi"/>
          <w:b/>
          <w:szCs w:val="22"/>
          <w:lang w:val="es-MX" w:eastAsia="es-MX"/>
        </w:rPr>
        <w:t>REQUERIMIENTOS SOLICITADOS:</w:t>
      </w:r>
    </w:p>
    <w:p w:rsidR="00C941C8" w:rsidRPr="00B46FBB" w:rsidRDefault="00C941C8" w:rsidP="00F93C57">
      <w:pPr>
        <w:pStyle w:val="Prrafodelista"/>
        <w:numPr>
          <w:ilvl w:val="0"/>
          <w:numId w:val="28"/>
        </w:numPr>
        <w:spacing w:line="360" w:lineRule="auto"/>
        <w:ind w:right="141"/>
        <w:jc w:val="both"/>
        <w:rPr>
          <w:rFonts w:ascii="Palatino Linotype" w:eastAsiaTheme="minorHAnsi" w:hAnsi="Palatino Linotype" w:cstheme="minorBidi"/>
          <w:szCs w:val="22"/>
          <w:lang w:val="es-MX" w:eastAsia="es-MX"/>
        </w:rPr>
      </w:pPr>
      <w:r w:rsidRPr="00B46FBB">
        <w:rPr>
          <w:rFonts w:ascii="Palatino Linotype" w:eastAsiaTheme="minorHAnsi" w:hAnsi="Palatino Linotype" w:cstheme="minorBidi"/>
          <w:szCs w:val="22"/>
          <w:lang w:val="es-MX" w:eastAsia="es-MX"/>
        </w:rPr>
        <w:t xml:space="preserve">Total de donaciones o cantidades monetarias entregadas en beneficio del </w:t>
      </w:r>
      <w:r w:rsidRPr="00B46FBB">
        <w:rPr>
          <w:rFonts w:ascii="Palatino Linotype" w:eastAsiaTheme="minorHAnsi" w:hAnsi="Palatino Linotype" w:cstheme="minorBidi"/>
          <w:b/>
          <w:szCs w:val="22"/>
          <w:u w:val="single"/>
          <w:lang w:val="es-MX" w:eastAsia="es-MX"/>
        </w:rPr>
        <w:t xml:space="preserve">Albergue de Adultos Mayores </w:t>
      </w:r>
      <w:r w:rsidRPr="00B46FBB">
        <w:rPr>
          <w:rFonts w:ascii="Palatino Linotype" w:eastAsiaTheme="minorHAnsi" w:hAnsi="Palatino Linotype" w:cstheme="minorBidi"/>
          <w:b/>
          <w:i/>
          <w:szCs w:val="22"/>
          <w:u w:val="single"/>
          <w:lang w:val="es-MX" w:eastAsia="es-MX"/>
        </w:rPr>
        <w:t>“</w:t>
      </w:r>
      <w:proofErr w:type="spellStart"/>
      <w:r w:rsidRPr="00B46FBB">
        <w:rPr>
          <w:rFonts w:ascii="Palatino Linotype" w:eastAsiaTheme="minorHAnsi" w:hAnsi="Palatino Linotype" w:cstheme="minorBidi"/>
          <w:b/>
          <w:i/>
          <w:szCs w:val="22"/>
          <w:u w:val="single"/>
          <w:lang w:val="es-MX" w:eastAsia="es-MX"/>
        </w:rPr>
        <w:t>Ikram</w:t>
      </w:r>
      <w:proofErr w:type="spellEnd"/>
      <w:r w:rsidRPr="00B46FBB">
        <w:rPr>
          <w:rFonts w:ascii="Palatino Linotype" w:eastAsiaTheme="minorHAnsi" w:hAnsi="Palatino Linotype" w:cstheme="minorBidi"/>
          <w:b/>
          <w:i/>
          <w:szCs w:val="22"/>
          <w:u w:val="single"/>
          <w:lang w:val="es-MX" w:eastAsia="es-MX"/>
        </w:rPr>
        <w:t xml:space="preserve"> </w:t>
      </w:r>
      <w:proofErr w:type="spellStart"/>
      <w:r w:rsidRPr="00B46FBB">
        <w:rPr>
          <w:rFonts w:ascii="Palatino Linotype" w:eastAsiaTheme="minorHAnsi" w:hAnsi="Palatino Linotype" w:cstheme="minorBidi"/>
          <w:b/>
          <w:i/>
          <w:szCs w:val="22"/>
          <w:u w:val="single"/>
          <w:lang w:val="es-MX" w:eastAsia="es-MX"/>
        </w:rPr>
        <w:t>Antaki</w:t>
      </w:r>
      <w:proofErr w:type="spellEnd"/>
      <w:r w:rsidRPr="00B46FBB">
        <w:rPr>
          <w:rFonts w:ascii="Palatino Linotype" w:eastAsiaTheme="minorHAnsi" w:hAnsi="Palatino Linotype" w:cstheme="minorBidi"/>
          <w:b/>
          <w:i/>
          <w:szCs w:val="22"/>
          <w:lang w:val="es-MX" w:eastAsia="es-MX"/>
        </w:rPr>
        <w:t>”</w:t>
      </w:r>
      <w:r w:rsidR="00F93C57" w:rsidRPr="00B46FBB">
        <w:rPr>
          <w:rFonts w:ascii="Palatino Linotype" w:eastAsiaTheme="minorHAnsi" w:hAnsi="Palatino Linotype" w:cstheme="minorBidi"/>
          <w:b/>
          <w:szCs w:val="22"/>
          <w:lang w:val="es-MX" w:eastAsia="es-MX"/>
        </w:rPr>
        <w:t xml:space="preserve"> </w:t>
      </w:r>
      <w:r w:rsidR="00F93C57" w:rsidRPr="00B46FBB">
        <w:rPr>
          <w:rFonts w:ascii="Palatino Linotype" w:eastAsiaTheme="minorHAnsi" w:hAnsi="Palatino Linotype" w:cstheme="minorBidi"/>
          <w:szCs w:val="22"/>
          <w:lang w:val="es-MX" w:eastAsia="es-MX"/>
        </w:rPr>
        <w:t xml:space="preserve">y </w:t>
      </w:r>
      <w:r w:rsidRPr="00B46FBB">
        <w:rPr>
          <w:rFonts w:ascii="Palatino Linotype" w:eastAsiaTheme="minorHAnsi" w:hAnsi="Palatino Linotype" w:cstheme="minorBidi"/>
          <w:szCs w:val="22"/>
          <w:lang w:val="es-MX" w:eastAsia="es-MX"/>
        </w:rPr>
        <w:t xml:space="preserve"> </w:t>
      </w:r>
      <w:r w:rsidR="00F93C57" w:rsidRPr="00B46FBB">
        <w:rPr>
          <w:rFonts w:ascii="Palatino Linotype" w:eastAsiaTheme="minorHAnsi" w:hAnsi="Palatino Linotype" w:cstheme="minorBidi"/>
          <w:szCs w:val="22"/>
          <w:lang w:val="es-MX" w:eastAsia="es-MX"/>
        </w:rPr>
        <w:t xml:space="preserve">del </w:t>
      </w:r>
      <w:r w:rsidR="00F93C57" w:rsidRPr="00B46FBB">
        <w:rPr>
          <w:rFonts w:ascii="Palatino Linotype" w:eastAsiaTheme="minorHAnsi" w:hAnsi="Palatino Linotype" w:cstheme="minorBidi"/>
          <w:b/>
          <w:szCs w:val="22"/>
          <w:u w:val="single"/>
          <w:lang w:val="es-MX" w:eastAsia="es-MX"/>
        </w:rPr>
        <w:t xml:space="preserve">Albergue de Niñas y Niños y Adolescentes </w:t>
      </w:r>
      <w:r w:rsidR="00F93C57" w:rsidRPr="00B46FBB">
        <w:rPr>
          <w:rFonts w:ascii="Palatino Linotype" w:eastAsiaTheme="minorHAnsi" w:hAnsi="Palatino Linotype" w:cstheme="minorBidi"/>
          <w:b/>
          <w:i/>
          <w:szCs w:val="22"/>
          <w:u w:val="single"/>
          <w:lang w:val="es-MX" w:eastAsia="es-MX"/>
        </w:rPr>
        <w:t>“</w:t>
      </w:r>
      <w:proofErr w:type="spellStart"/>
      <w:r w:rsidR="00F93C57" w:rsidRPr="00B46FBB">
        <w:rPr>
          <w:rFonts w:ascii="Palatino Linotype" w:eastAsiaTheme="minorHAnsi" w:hAnsi="Palatino Linotype" w:cstheme="minorBidi"/>
          <w:b/>
          <w:i/>
          <w:szCs w:val="22"/>
          <w:u w:val="single"/>
          <w:lang w:val="es-MX" w:eastAsia="es-MX"/>
        </w:rPr>
        <w:t>Ivanna</w:t>
      </w:r>
      <w:proofErr w:type="spellEnd"/>
      <w:r w:rsidR="00F93C57" w:rsidRPr="00B46FBB">
        <w:rPr>
          <w:rFonts w:ascii="Palatino Linotype" w:eastAsiaTheme="minorHAnsi" w:hAnsi="Palatino Linotype" w:cstheme="minorBidi"/>
          <w:b/>
          <w:i/>
          <w:szCs w:val="22"/>
          <w:u w:val="single"/>
          <w:lang w:val="es-MX" w:eastAsia="es-MX"/>
        </w:rPr>
        <w:t xml:space="preserve"> N</w:t>
      </w:r>
      <w:r w:rsidR="00F93C57" w:rsidRPr="00B46FBB">
        <w:rPr>
          <w:rFonts w:ascii="Palatino Linotype" w:eastAsiaTheme="minorHAnsi" w:hAnsi="Palatino Linotype" w:cstheme="minorBidi"/>
          <w:b/>
          <w:i/>
          <w:szCs w:val="22"/>
          <w:lang w:val="es-MX" w:eastAsia="es-MX"/>
        </w:rPr>
        <w:t>”</w:t>
      </w:r>
      <w:r w:rsidR="00F93C57" w:rsidRPr="00B46FBB">
        <w:rPr>
          <w:rFonts w:ascii="Palatino Linotype" w:eastAsiaTheme="minorHAnsi" w:hAnsi="Palatino Linotype" w:cstheme="minorBidi"/>
          <w:szCs w:val="22"/>
          <w:lang w:val="es-MX" w:eastAsia="es-MX"/>
        </w:rPr>
        <w:t>;</w:t>
      </w:r>
      <w:r w:rsidRPr="00B46FBB">
        <w:rPr>
          <w:rFonts w:ascii="Palatino Linotype" w:eastAsiaTheme="minorHAnsi" w:hAnsi="Palatino Linotype" w:cstheme="minorBidi"/>
          <w:szCs w:val="22"/>
          <w:lang w:val="es-MX" w:eastAsia="es-MX"/>
        </w:rPr>
        <w:t xml:space="preserve"> realizadas en el periodo del 1 de mayo de 2022</w:t>
      </w:r>
      <w:r w:rsidR="00F93C57" w:rsidRPr="00B46FBB">
        <w:rPr>
          <w:rFonts w:ascii="Palatino Linotype" w:eastAsiaTheme="minorHAnsi" w:hAnsi="Palatino Linotype" w:cstheme="minorBidi"/>
          <w:szCs w:val="22"/>
          <w:lang w:val="es-MX" w:eastAsia="es-MX"/>
        </w:rPr>
        <w:t>,</w:t>
      </w:r>
      <w:r w:rsidRPr="00B46FBB">
        <w:rPr>
          <w:rFonts w:ascii="Palatino Linotype" w:eastAsiaTheme="minorHAnsi" w:hAnsi="Palatino Linotype" w:cstheme="minorBidi"/>
          <w:szCs w:val="22"/>
          <w:lang w:val="es-MX" w:eastAsia="es-MX"/>
        </w:rPr>
        <w:t xml:space="preserve"> hasta la fecha de la contestación a esta solicitud de información. </w:t>
      </w:r>
    </w:p>
    <w:p w:rsidR="00C941C8" w:rsidRPr="00B46FBB" w:rsidRDefault="00C941C8" w:rsidP="00C941C8">
      <w:pPr>
        <w:pStyle w:val="Prrafodelista"/>
        <w:numPr>
          <w:ilvl w:val="0"/>
          <w:numId w:val="28"/>
        </w:numPr>
        <w:spacing w:line="360" w:lineRule="auto"/>
        <w:ind w:right="141"/>
        <w:jc w:val="both"/>
        <w:rPr>
          <w:rFonts w:ascii="Palatino Linotype" w:eastAsiaTheme="minorHAnsi" w:hAnsi="Palatino Linotype" w:cstheme="minorBidi"/>
          <w:szCs w:val="22"/>
          <w:lang w:val="es-MX" w:eastAsia="es-MX"/>
        </w:rPr>
      </w:pPr>
      <w:r w:rsidRPr="00B46FBB">
        <w:rPr>
          <w:rFonts w:ascii="Palatino Linotype" w:eastAsiaTheme="minorHAnsi" w:hAnsi="Palatino Linotype" w:cstheme="minorBidi"/>
          <w:szCs w:val="22"/>
          <w:lang w:val="es-MX" w:eastAsia="es-MX"/>
        </w:rPr>
        <w:t xml:space="preserve">Copia digital de la constancia de entrega de cada donación o cantidad económica. </w:t>
      </w:r>
    </w:p>
    <w:p w:rsidR="00C941C8" w:rsidRPr="00B46FBB" w:rsidRDefault="00C941C8" w:rsidP="00C941C8">
      <w:pPr>
        <w:pStyle w:val="Prrafodelista"/>
        <w:numPr>
          <w:ilvl w:val="0"/>
          <w:numId w:val="28"/>
        </w:numPr>
        <w:spacing w:line="360" w:lineRule="auto"/>
        <w:ind w:right="141"/>
        <w:jc w:val="both"/>
        <w:rPr>
          <w:rFonts w:ascii="Palatino Linotype" w:eastAsiaTheme="minorHAnsi" w:hAnsi="Palatino Linotype" w:cstheme="minorBidi"/>
          <w:szCs w:val="22"/>
          <w:lang w:val="es-MX" w:eastAsia="es-MX"/>
        </w:rPr>
      </w:pPr>
      <w:r w:rsidRPr="00B46FBB">
        <w:rPr>
          <w:rFonts w:ascii="Palatino Linotype" w:eastAsiaTheme="minorHAnsi" w:hAnsi="Palatino Linotype" w:cstheme="minorBidi"/>
          <w:szCs w:val="22"/>
          <w:lang w:val="es-MX" w:eastAsia="es-MX"/>
        </w:rPr>
        <w:t>Copia digital de las facturas y depósitos bancarios correspondientes.</w:t>
      </w:r>
    </w:p>
    <w:p w:rsidR="00C941C8" w:rsidRPr="00B46FBB" w:rsidRDefault="00C941C8" w:rsidP="00C941C8">
      <w:pPr>
        <w:spacing w:line="360" w:lineRule="auto"/>
        <w:ind w:right="141"/>
        <w:jc w:val="both"/>
        <w:rPr>
          <w:rFonts w:ascii="Palatino Linotype" w:eastAsiaTheme="minorHAnsi" w:hAnsi="Palatino Linotype" w:cstheme="minorBidi"/>
          <w:b/>
          <w:szCs w:val="22"/>
          <w:lang w:val="es-MX" w:eastAsia="es-MX"/>
        </w:rPr>
      </w:pPr>
    </w:p>
    <w:p w:rsidR="0029071C" w:rsidRPr="00B46FBB" w:rsidRDefault="0029071C" w:rsidP="000B7C6C">
      <w:pPr>
        <w:spacing w:line="360" w:lineRule="auto"/>
        <w:ind w:left="360" w:right="49"/>
        <w:jc w:val="both"/>
        <w:rPr>
          <w:sz w:val="10"/>
        </w:rPr>
      </w:pPr>
      <w:r w:rsidRPr="00B46FBB">
        <w:rPr>
          <w:rFonts w:ascii="Palatino Linotype" w:eastAsiaTheme="minorHAnsi" w:hAnsi="Palatino Linotype" w:cstheme="minorBidi"/>
          <w:lang w:val="es-MX" w:eastAsia="es-MX"/>
        </w:rPr>
        <w:lastRenderedPageBreak/>
        <w:t xml:space="preserve">Atento a la solicitud de información </w:t>
      </w:r>
      <w:r w:rsidRPr="00B46FBB">
        <w:rPr>
          <w:rFonts w:ascii="Palatino Linotype" w:eastAsiaTheme="minorHAnsi" w:hAnsi="Palatino Linotype" w:cstheme="minorBidi"/>
          <w:b/>
          <w:lang w:val="es-MX" w:eastAsia="es-MX"/>
        </w:rPr>
        <w:t>El Sujeto Obligado</w:t>
      </w:r>
      <w:r w:rsidRPr="00B46FBB">
        <w:rPr>
          <w:rFonts w:ascii="Palatino Linotype" w:eastAsiaTheme="minorHAnsi" w:hAnsi="Palatino Linotype" w:cstheme="minorBidi"/>
          <w:lang w:val="es-MX" w:eastAsia="es-MX"/>
        </w:rPr>
        <w:t>, emitió su respuesta en donde manifestó lo siguiente:</w:t>
      </w:r>
    </w:p>
    <w:p w:rsidR="0029071C" w:rsidRPr="00B46FBB" w:rsidRDefault="0029071C" w:rsidP="0029071C">
      <w:pPr>
        <w:rPr>
          <w:lang w:val="es-MX"/>
        </w:rPr>
      </w:pPr>
    </w:p>
    <w:p w:rsidR="000B7C6C" w:rsidRPr="00B46FBB" w:rsidRDefault="000B7C6C" w:rsidP="00F93C57">
      <w:pPr>
        <w:spacing w:line="360" w:lineRule="auto"/>
        <w:ind w:left="567" w:right="616"/>
        <w:jc w:val="both"/>
        <w:rPr>
          <w:rFonts w:ascii="Palatino Linotype" w:eastAsiaTheme="minorHAnsi" w:hAnsi="Palatino Linotype" w:cs="Arial"/>
          <w:bCs/>
          <w:i/>
          <w:lang w:val="es-MX" w:eastAsia="en-US"/>
        </w:rPr>
      </w:pPr>
      <w:r w:rsidRPr="00B46FBB">
        <w:rPr>
          <w:rFonts w:ascii="Palatino Linotype" w:eastAsiaTheme="minorHAnsi" w:hAnsi="Palatino Linotype" w:cs="Arial"/>
          <w:bCs/>
          <w:i/>
          <w:lang w:val="es-MX" w:eastAsia="en-US"/>
        </w:rPr>
        <w:t>“…</w:t>
      </w:r>
      <w:r w:rsidR="00F93C57" w:rsidRPr="00B46FBB">
        <w:rPr>
          <w:rFonts w:ascii="Palatino Linotype" w:hAnsi="Palatino Linotype"/>
          <w:i/>
          <w:color w:val="000000"/>
        </w:rPr>
        <w:t xml:space="preserve">Para informarle que su solicitud </w:t>
      </w:r>
      <w:r w:rsidR="00F93C57" w:rsidRPr="00B46FBB">
        <w:rPr>
          <w:rFonts w:ascii="Palatino Linotype" w:hAnsi="Palatino Linotype"/>
          <w:b/>
          <w:i/>
          <w:color w:val="000000"/>
          <w:u w:val="single"/>
        </w:rPr>
        <w:t>no corresponde a las atribuciones de esta Tesorería</w:t>
      </w:r>
      <w:r w:rsidR="00F93C57" w:rsidRPr="00B46FBB">
        <w:rPr>
          <w:rFonts w:ascii="Palatino Linotype" w:hAnsi="Palatino Linotype"/>
          <w:i/>
          <w:color w:val="000000"/>
        </w:rPr>
        <w:t>.</w:t>
      </w:r>
      <w:r w:rsidRPr="00B46FBB">
        <w:rPr>
          <w:rFonts w:ascii="Palatino Linotype" w:eastAsiaTheme="minorHAnsi" w:hAnsi="Palatino Linotype" w:cs="Arial"/>
          <w:bCs/>
          <w:i/>
          <w:lang w:val="es-MX" w:eastAsia="en-US"/>
        </w:rPr>
        <w:t>…” (Sic).</w:t>
      </w:r>
    </w:p>
    <w:p w:rsidR="000B7C6C" w:rsidRPr="00B46FBB" w:rsidRDefault="000B7C6C" w:rsidP="00F93C57">
      <w:pPr>
        <w:pStyle w:val="Sinespaciado"/>
        <w:rPr>
          <w:rFonts w:eastAsiaTheme="minorHAnsi"/>
          <w:lang w:eastAsia="en-US"/>
        </w:rPr>
      </w:pPr>
    </w:p>
    <w:p w:rsidR="00643B58" w:rsidRPr="00B46FBB" w:rsidRDefault="00643B58" w:rsidP="00643B58">
      <w:pPr>
        <w:spacing w:line="360" w:lineRule="auto"/>
        <w:jc w:val="both"/>
        <w:rPr>
          <w:rFonts w:ascii="Palatino Linotype" w:hAnsi="Palatino Linotype"/>
        </w:rPr>
      </w:pPr>
      <w:r w:rsidRPr="00B46FBB">
        <w:rPr>
          <w:rFonts w:ascii="Palatino Linotype" w:hAnsi="Palatino Linotype" w:cs="Arial"/>
          <w:lang w:eastAsia="es-MX"/>
        </w:rPr>
        <w:t xml:space="preserve">En primer plano, de la lectura de la respuesta emitida por </w:t>
      </w:r>
      <w:r w:rsidRPr="00B46FBB">
        <w:rPr>
          <w:rFonts w:ascii="Palatino Linotype" w:hAnsi="Palatino Linotype" w:cs="Arial"/>
          <w:b/>
          <w:lang w:eastAsia="es-MX"/>
        </w:rPr>
        <w:t>El Sujeto Obligado</w:t>
      </w:r>
      <w:r w:rsidRPr="00B46FBB">
        <w:rPr>
          <w:rFonts w:ascii="Palatino Linotype" w:hAnsi="Palatino Linotype" w:cs="Arial"/>
          <w:lang w:eastAsia="es-MX"/>
        </w:rPr>
        <w:t xml:space="preserve">, se aduce que no genera la información solicitada; asimismo, </w:t>
      </w:r>
      <w:r w:rsidRPr="00B46FBB">
        <w:rPr>
          <w:rFonts w:ascii="Palatino Linotype" w:hAnsi="Palatino Linotype"/>
        </w:rPr>
        <w:t>en el detalle de seguimiento del</w:t>
      </w:r>
      <w:r w:rsidRPr="00B46FBB">
        <w:rPr>
          <w:rFonts w:ascii="Palatino Linotype" w:hAnsi="Palatino Linotype"/>
          <w:b/>
        </w:rPr>
        <w:t xml:space="preserve"> SAIMEX</w:t>
      </w:r>
      <w:r w:rsidRPr="00B46FBB">
        <w:rPr>
          <w:rFonts w:ascii="Palatino Linotype" w:hAnsi="Palatino Linotype"/>
        </w:rPr>
        <w:t xml:space="preserve">, se advierte que en fecha </w:t>
      </w:r>
      <w:r w:rsidR="00F93C57" w:rsidRPr="00B46FBB">
        <w:rPr>
          <w:rFonts w:ascii="Palatino Linotype" w:hAnsi="Palatino Linotype"/>
        </w:rPr>
        <w:t>veintinueve de junio de dos mil veintidós</w:t>
      </w:r>
      <w:r w:rsidRPr="00B46FBB">
        <w:rPr>
          <w:rFonts w:ascii="Palatino Linotype" w:hAnsi="Palatino Linotype"/>
        </w:rPr>
        <w:t>, la Unidad de Transparencia del</w:t>
      </w:r>
      <w:r w:rsidRPr="00B46FBB">
        <w:rPr>
          <w:rFonts w:ascii="Palatino Linotype" w:hAnsi="Palatino Linotype"/>
          <w:b/>
        </w:rPr>
        <w:t xml:space="preserve"> Sujeto Obligado </w:t>
      </w:r>
      <w:r w:rsidRPr="00B46FBB">
        <w:rPr>
          <w:rFonts w:ascii="Palatino Linotype" w:hAnsi="Palatino Linotype"/>
        </w:rPr>
        <w:t xml:space="preserve">turnó mediante requerimientos, el contenido de la solicitud de información al Servidor Público Habilitado de la </w:t>
      </w:r>
      <w:r w:rsidR="00F93C57" w:rsidRPr="00B46FBB">
        <w:rPr>
          <w:rFonts w:ascii="Palatino Linotype" w:hAnsi="Palatino Linotype"/>
        </w:rPr>
        <w:t>Tesorería Municipal</w:t>
      </w:r>
      <w:r w:rsidRPr="00B46FBB">
        <w:rPr>
          <w:rFonts w:ascii="Palatino Linotype" w:hAnsi="Palatino Linotype"/>
        </w:rPr>
        <w:t xml:space="preserve">, a efecto de que realizaran la búsqueda y localización de la información tal y como se desprende de la imagen siguiente: </w:t>
      </w:r>
    </w:p>
    <w:p w:rsidR="00643B58" w:rsidRPr="00B46FBB" w:rsidRDefault="00643B58" w:rsidP="000F1585">
      <w:pPr>
        <w:spacing w:line="360" w:lineRule="auto"/>
        <w:jc w:val="both"/>
        <w:rPr>
          <w:rFonts w:ascii="Palatino Linotype" w:hAnsi="Palatino Linotype" w:cs="Arial"/>
          <w:noProof/>
          <w:lang w:val="es-MX" w:eastAsia="es-MX"/>
        </w:rPr>
      </w:pPr>
    </w:p>
    <w:p w:rsidR="00F93C57" w:rsidRPr="00B46FBB" w:rsidRDefault="00F93C57" w:rsidP="000F1585">
      <w:pPr>
        <w:spacing w:line="360" w:lineRule="auto"/>
        <w:jc w:val="both"/>
        <w:rPr>
          <w:rFonts w:ascii="Palatino Linotype" w:hAnsi="Palatino Linotype" w:cs="Arial"/>
          <w:lang w:eastAsia="es-MX"/>
        </w:rPr>
      </w:pPr>
      <w:r w:rsidRPr="00B46FBB">
        <w:rPr>
          <w:rFonts w:ascii="Palatino Linotype" w:hAnsi="Palatino Linotype" w:cs="Arial"/>
          <w:noProof/>
          <w:lang w:val="es-MX" w:eastAsia="es-MX"/>
        </w:rPr>
        <w:drawing>
          <wp:inline distT="0" distB="0" distL="0" distR="0">
            <wp:extent cx="5760720" cy="1371600"/>
            <wp:effectExtent l="190500" t="190500" r="182880"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371600"/>
                    </a:xfrm>
                    <a:prstGeom prst="rect">
                      <a:avLst/>
                    </a:prstGeom>
                    <a:ln>
                      <a:noFill/>
                    </a:ln>
                    <a:effectLst>
                      <a:outerShdw blurRad="190500" algn="tl" rotWithShape="0">
                        <a:srgbClr val="000000">
                          <a:alpha val="70000"/>
                        </a:srgbClr>
                      </a:outerShdw>
                    </a:effectLst>
                  </pic:spPr>
                </pic:pic>
              </a:graphicData>
            </a:graphic>
          </wp:inline>
        </w:drawing>
      </w:r>
    </w:p>
    <w:p w:rsidR="000F1585" w:rsidRPr="00B46FBB" w:rsidRDefault="000F1585" w:rsidP="000F1585">
      <w:pPr>
        <w:pStyle w:val="Sinespaciado"/>
        <w:rPr>
          <w:lang w:eastAsia="es-MX"/>
        </w:rPr>
      </w:pPr>
    </w:p>
    <w:p w:rsidR="0029071C" w:rsidRPr="00B46FBB" w:rsidRDefault="0029071C" w:rsidP="00F93C57">
      <w:pPr>
        <w:spacing w:line="360" w:lineRule="auto"/>
        <w:ind w:right="141"/>
        <w:jc w:val="both"/>
        <w:rPr>
          <w:rFonts w:ascii="Palatino Linotype" w:eastAsiaTheme="minorHAnsi" w:hAnsi="Palatino Linotype" w:cs="Arial"/>
          <w:bCs/>
          <w:lang w:val="es-MX" w:eastAsia="en-US"/>
        </w:rPr>
      </w:pPr>
      <w:r w:rsidRPr="00B46FBB">
        <w:rPr>
          <w:rFonts w:ascii="Palatino Linotype" w:eastAsiaTheme="minorHAnsi" w:hAnsi="Palatino Linotype" w:cs="Arial"/>
          <w:bCs/>
          <w:lang w:val="es-MX" w:eastAsia="en-US"/>
        </w:rPr>
        <w:t xml:space="preserve">Es así que derivado de la respuesta emitida por </w:t>
      </w:r>
      <w:r w:rsidR="000F1585" w:rsidRPr="00B46FBB">
        <w:rPr>
          <w:rFonts w:ascii="Palatino Linotype" w:eastAsiaTheme="minorHAnsi" w:hAnsi="Palatino Linotype" w:cs="Arial"/>
          <w:bCs/>
          <w:lang w:val="es-MX" w:eastAsia="en-US"/>
        </w:rPr>
        <w:t>el</w:t>
      </w:r>
      <w:r w:rsidRPr="00B46FBB">
        <w:rPr>
          <w:rFonts w:ascii="Palatino Linotype" w:eastAsiaTheme="minorHAnsi" w:hAnsi="Palatino Linotype" w:cs="Arial"/>
          <w:b/>
          <w:bCs/>
          <w:lang w:val="es-MX" w:eastAsia="en-US"/>
        </w:rPr>
        <w:t xml:space="preserve"> Sujeto Obligado</w:t>
      </w:r>
      <w:r w:rsidRPr="00B46FBB">
        <w:rPr>
          <w:rFonts w:ascii="Palatino Linotype" w:eastAsiaTheme="minorHAnsi" w:hAnsi="Palatino Linotype" w:cs="Arial"/>
          <w:bCs/>
          <w:lang w:val="es-MX" w:eastAsia="en-US"/>
        </w:rPr>
        <w:t xml:space="preserve">, </w:t>
      </w:r>
      <w:r w:rsidR="000F1585" w:rsidRPr="00B46FBB">
        <w:rPr>
          <w:rFonts w:ascii="Palatino Linotype" w:eastAsiaTheme="minorHAnsi" w:hAnsi="Palatino Linotype" w:cs="Arial"/>
          <w:bCs/>
          <w:lang w:val="es-MX" w:eastAsia="en-US"/>
        </w:rPr>
        <w:t>la</w:t>
      </w:r>
      <w:r w:rsidRPr="00B46FBB">
        <w:rPr>
          <w:rFonts w:ascii="Palatino Linotype" w:eastAsiaTheme="minorHAnsi" w:hAnsi="Palatino Linotype" w:cs="Arial"/>
          <w:b/>
          <w:bCs/>
          <w:lang w:val="es-MX" w:eastAsia="en-US"/>
        </w:rPr>
        <w:t xml:space="preserve"> Recurrente</w:t>
      </w:r>
      <w:r w:rsidRPr="00B46FBB">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F93C57" w:rsidRPr="00B46FBB">
        <w:rPr>
          <w:rFonts w:ascii="Palatino Linotype" w:eastAsiaTheme="minorHAnsi" w:hAnsi="Palatino Linotype" w:cs="Arial"/>
          <w:bCs/>
          <w:lang w:val="es-MX" w:eastAsia="en-US"/>
        </w:rPr>
        <w:t xml:space="preserve"> </w:t>
      </w:r>
      <w:r w:rsidRPr="00B46FBB">
        <w:rPr>
          <w:rFonts w:ascii="Palatino Linotype" w:eastAsiaTheme="minorHAnsi" w:hAnsi="Palatino Linotype" w:cs="Arial"/>
          <w:bCs/>
          <w:i/>
          <w:lang w:val="es-MX" w:eastAsia="en-US"/>
        </w:rPr>
        <w:t>“</w:t>
      </w:r>
      <w:r w:rsidR="00F93C57" w:rsidRPr="00B46FBB">
        <w:rPr>
          <w:rFonts w:ascii="Palatino Linotype" w:eastAsiaTheme="minorHAnsi" w:hAnsi="Palatino Linotype" w:cs="Arial"/>
          <w:bCs/>
          <w:i/>
          <w:lang w:val="es-MX" w:eastAsia="en-US"/>
        </w:rPr>
        <w:t>Sí le corresponde. Sin embargo, en caso de que no corresponda, la oficina de Transparencia debería hacer llegar la solicitud al área correspondiente.</w:t>
      </w:r>
      <w:r w:rsidR="00BD677A" w:rsidRPr="00B46FBB">
        <w:rPr>
          <w:rFonts w:ascii="Palatino Linotype" w:eastAsiaTheme="minorHAnsi" w:hAnsi="Palatino Linotype" w:cs="Arial"/>
          <w:bCs/>
          <w:i/>
          <w:lang w:val="es-MX" w:eastAsia="en-US"/>
        </w:rPr>
        <w:t>” (Sic).</w:t>
      </w:r>
    </w:p>
    <w:p w:rsidR="001C41E1" w:rsidRPr="00B46FBB" w:rsidRDefault="001C41E1" w:rsidP="0029071C">
      <w:pPr>
        <w:spacing w:line="360" w:lineRule="auto"/>
        <w:ind w:right="141"/>
        <w:jc w:val="both"/>
        <w:rPr>
          <w:rFonts w:ascii="Palatino Linotype" w:eastAsiaTheme="minorHAnsi" w:hAnsi="Palatino Linotype" w:cs="Arial"/>
          <w:bCs/>
          <w:lang w:val="es-MX" w:eastAsia="en-US"/>
        </w:rPr>
      </w:pPr>
    </w:p>
    <w:p w:rsidR="0029071C" w:rsidRPr="00B46FBB" w:rsidRDefault="0029071C" w:rsidP="00F93C57">
      <w:pPr>
        <w:spacing w:line="360" w:lineRule="auto"/>
        <w:ind w:right="49"/>
        <w:jc w:val="both"/>
        <w:rPr>
          <w:rFonts w:ascii="Palatino Linotype" w:eastAsiaTheme="minorHAnsi" w:hAnsi="Palatino Linotype" w:cs="Arial"/>
          <w:szCs w:val="22"/>
          <w:lang w:val="es-MX" w:eastAsia="en-US"/>
        </w:rPr>
      </w:pPr>
      <w:r w:rsidRPr="00B46FBB">
        <w:rPr>
          <w:rFonts w:ascii="Palatino Linotype" w:eastAsiaTheme="minorHAnsi" w:hAnsi="Palatino Linotype" w:cs="Arial"/>
          <w:bCs/>
          <w:lang w:val="es-MX" w:eastAsia="en-US"/>
        </w:rPr>
        <w:lastRenderedPageBreak/>
        <w:t xml:space="preserve">Atento a ello, primeramente es importante señalar que </w:t>
      </w:r>
      <w:r w:rsidRPr="00B46FBB">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29071C" w:rsidRPr="00B46FBB" w:rsidRDefault="0029071C" w:rsidP="0029071C">
      <w:pPr>
        <w:rPr>
          <w:lang w:val="es-MX"/>
        </w:rPr>
      </w:pPr>
    </w:p>
    <w:p w:rsidR="0029071C" w:rsidRPr="00B46FBB"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B46FBB">
        <w:rPr>
          <w:rFonts w:ascii="Palatino Linotype" w:eastAsiaTheme="minorHAnsi" w:hAnsi="Palatino Linotype" w:cs="Arial"/>
          <w:i/>
          <w:sz w:val="22"/>
          <w:szCs w:val="22"/>
          <w:lang w:val="es-MX" w:eastAsia="en-US"/>
        </w:rPr>
        <w:t>“</w:t>
      </w:r>
      <w:r w:rsidRPr="00B46FBB">
        <w:rPr>
          <w:rFonts w:ascii="Palatino Linotype" w:eastAsiaTheme="minorHAnsi" w:hAnsi="Palatino Linotype" w:cs="Arial"/>
          <w:b/>
          <w:i/>
          <w:color w:val="000000"/>
          <w:sz w:val="22"/>
          <w:szCs w:val="22"/>
          <w:lang w:val="es-MX" w:eastAsia="en-US"/>
        </w:rPr>
        <w:t xml:space="preserve">Artículo 4. </w:t>
      </w:r>
      <w:r w:rsidRPr="00B46FBB">
        <w:rPr>
          <w:rFonts w:ascii="Palatino Linotype" w:eastAsiaTheme="minorHAnsi" w:hAnsi="Palatino Linotype" w:cs="Arial"/>
          <w:i/>
          <w:color w:val="000000"/>
          <w:sz w:val="22"/>
          <w:szCs w:val="22"/>
          <w:lang w:val="es-MX" w:eastAsia="en-US"/>
        </w:rPr>
        <w:t xml:space="preserve">… </w:t>
      </w:r>
    </w:p>
    <w:p w:rsidR="0029071C" w:rsidRPr="00B46FBB"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B46FBB">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9071C" w:rsidRPr="00B46FBB"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B46FBB">
        <w:rPr>
          <w:rFonts w:ascii="Palatino Linotype" w:eastAsiaTheme="minorHAnsi" w:hAnsi="Palatino Linotype" w:cs="Arial"/>
          <w:i/>
          <w:color w:val="000000"/>
          <w:sz w:val="22"/>
          <w:szCs w:val="22"/>
          <w:lang w:val="es-MX" w:eastAsia="en-US"/>
        </w:rPr>
        <w:t>(</w:t>
      </w:r>
      <w:r w:rsidRPr="00B46FBB">
        <w:rPr>
          <w:rFonts w:ascii="Palatino Linotype" w:eastAsiaTheme="minorHAnsi" w:hAnsi="Palatino Linotype" w:cs="Arial"/>
          <w:i/>
          <w:sz w:val="22"/>
          <w:szCs w:val="22"/>
          <w:lang w:val="es-MX" w:eastAsia="en-US"/>
        </w:rPr>
        <w:t>...)”</w:t>
      </w:r>
    </w:p>
    <w:p w:rsidR="0029071C" w:rsidRPr="00B46FBB" w:rsidRDefault="0029071C" w:rsidP="0029071C">
      <w:pPr>
        <w:spacing w:after="160" w:line="259" w:lineRule="auto"/>
        <w:ind w:left="851" w:right="902"/>
        <w:jc w:val="both"/>
        <w:rPr>
          <w:rFonts w:ascii="Palatino Linotype" w:eastAsiaTheme="minorHAnsi" w:hAnsi="Palatino Linotype" w:cs="Arial"/>
          <w:sz w:val="14"/>
          <w:szCs w:val="22"/>
          <w:lang w:val="es-MX" w:eastAsia="en-US"/>
        </w:rPr>
      </w:pPr>
    </w:p>
    <w:p w:rsidR="0029071C" w:rsidRPr="00B46FBB" w:rsidRDefault="0029071C" w:rsidP="0029071C">
      <w:pPr>
        <w:spacing w:after="160" w:line="360" w:lineRule="auto"/>
        <w:jc w:val="both"/>
        <w:rPr>
          <w:rFonts w:ascii="Palatino Linotype" w:eastAsiaTheme="minorHAnsi" w:hAnsi="Palatino Linotype" w:cs="Arial"/>
          <w:i/>
          <w:szCs w:val="22"/>
          <w:lang w:val="es-MX" w:eastAsia="en-US"/>
        </w:rPr>
      </w:pPr>
      <w:r w:rsidRPr="00B46FBB">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29071C" w:rsidRPr="00B46FBB" w:rsidRDefault="0029071C" w:rsidP="0029071C">
      <w:pPr>
        <w:spacing w:after="160" w:line="360" w:lineRule="auto"/>
        <w:ind w:right="425"/>
        <w:jc w:val="both"/>
        <w:rPr>
          <w:rFonts w:ascii="Palatino Linotype" w:eastAsiaTheme="minorHAnsi" w:hAnsi="Palatino Linotype" w:cs="Arial"/>
          <w:b/>
          <w:i/>
          <w:sz w:val="12"/>
          <w:szCs w:val="22"/>
          <w:lang w:val="es-MX" w:eastAsia="en-US"/>
        </w:rPr>
      </w:pPr>
    </w:p>
    <w:p w:rsidR="0029071C" w:rsidRPr="00B46FBB" w:rsidRDefault="0029071C" w:rsidP="00BD677A">
      <w:pPr>
        <w:spacing w:after="160" w:line="360" w:lineRule="auto"/>
        <w:jc w:val="both"/>
        <w:rPr>
          <w:rFonts w:ascii="Palatino Linotype" w:eastAsiaTheme="minorHAnsi" w:hAnsi="Palatino Linotype" w:cs="Arial"/>
          <w:szCs w:val="22"/>
          <w:lang w:val="es-MX" w:eastAsia="en-US"/>
        </w:rPr>
      </w:pPr>
      <w:r w:rsidRPr="00B46FBB">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29071C" w:rsidRPr="00B46FBB" w:rsidRDefault="0029071C" w:rsidP="0029071C">
      <w:pPr>
        <w:spacing w:line="259" w:lineRule="auto"/>
        <w:ind w:left="567" w:right="567"/>
        <w:jc w:val="both"/>
        <w:rPr>
          <w:rFonts w:ascii="Palatino Linotype" w:eastAsiaTheme="minorHAnsi" w:hAnsi="Palatino Linotype" w:cs="Arial"/>
          <w:i/>
          <w:sz w:val="22"/>
          <w:szCs w:val="22"/>
          <w:lang w:val="es-MX" w:eastAsia="en-US"/>
        </w:rPr>
      </w:pPr>
      <w:r w:rsidRPr="00B46FBB">
        <w:rPr>
          <w:rFonts w:ascii="Palatino Linotype" w:eastAsiaTheme="minorHAnsi" w:hAnsi="Palatino Linotype" w:cs="Arial"/>
          <w:i/>
          <w:sz w:val="22"/>
          <w:szCs w:val="22"/>
          <w:lang w:val="es-MX" w:eastAsia="en-US"/>
        </w:rPr>
        <w:t>“</w:t>
      </w:r>
      <w:r w:rsidRPr="00B46FBB">
        <w:rPr>
          <w:rFonts w:ascii="Palatino Linotype" w:eastAsiaTheme="minorHAnsi" w:hAnsi="Palatino Linotype" w:cs="Arial"/>
          <w:b/>
          <w:i/>
          <w:color w:val="000000"/>
          <w:sz w:val="22"/>
          <w:szCs w:val="22"/>
          <w:lang w:val="es-MX" w:eastAsia="en-US"/>
        </w:rPr>
        <w:t>Artículo 12.</w:t>
      </w:r>
      <w:r w:rsidRPr="00B46FBB">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29071C" w:rsidRPr="00B46FBB"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rsidR="0029071C" w:rsidRPr="00B46FBB"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B46FBB">
        <w:rPr>
          <w:rFonts w:ascii="Palatino Linotype" w:eastAsiaTheme="minorHAnsi" w:hAnsi="Palatino Linotype" w:cs="Arial"/>
          <w:i/>
          <w:color w:val="000000"/>
          <w:sz w:val="22"/>
          <w:szCs w:val="22"/>
          <w:lang w:val="es-MX" w:eastAsia="en-US"/>
        </w:rPr>
        <w:t xml:space="preserve">Los sujetos obligados sólo proporcionarán la información pública que se les requiera y que obre en sus archivos y en el estado en que ésta se encuentre. La obligación de proporcionar </w:t>
      </w:r>
      <w:r w:rsidRPr="00B46FBB">
        <w:rPr>
          <w:rFonts w:ascii="Palatino Linotype" w:eastAsiaTheme="minorHAnsi" w:hAnsi="Palatino Linotype" w:cs="Arial"/>
          <w:i/>
          <w:color w:val="000000"/>
          <w:sz w:val="22"/>
          <w:szCs w:val="22"/>
          <w:lang w:val="es-MX" w:eastAsia="en-US"/>
        </w:rPr>
        <w:lastRenderedPageBreak/>
        <w:t>información no comprende el procesamiento de la misma, ni el presentarla conforme al interés del solicitante; no estarán obligados a generarla, resumirla, efectuar cálculos o practicar investigaciones.</w:t>
      </w:r>
      <w:r w:rsidR="00BD677A" w:rsidRPr="00B46FBB">
        <w:rPr>
          <w:rFonts w:ascii="Palatino Linotype" w:eastAsiaTheme="minorHAnsi" w:hAnsi="Palatino Linotype" w:cs="Arial"/>
          <w:i/>
          <w:sz w:val="22"/>
          <w:szCs w:val="22"/>
          <w:lang w:val="es-MX" w:eastAsia="en-US"/>
        </w:rPr>
        <w:t>”</w:t>
      </w:r>
    </w:p>
    <w:p w:rsidR="00BD677A" w:rsidRPr="00B46FBB" w:rsidRDefault="00BD677A" w:rsidP="00BD677A">
      <w:pPr>
        <w:spacing w:line="259" w:lineRule="auto"/>
        <w:ind w:left="567" w:right="567"/>
        <w:jc w:val="both"/>
        <w:rPr>
          <w:rFonts w:ascii="Palatino Linotype" w:eastAsiaTheme="minorHAnsi" w:hAnsi="Palatino Linotype" w:cs="Arial"/>
          <w:i/>
          <w:sz w:val="22"/>
          <w:szCs w:val="22"/>
          <w:lang w:val="es-MX" w:eastAsia="en-US"/>
        </w:rPr>
      </w:pPr>
    </w:p>
    <w:p w:rsidR="0029071C" w:rsidRPr="00B46FBB" w:rsidRDefault="0029071C" w:rsidP="00BD677A">
      <w:pPr>
        <w:spacing w:line="360" w:lineRule="auto"/>
        <w:jc w:val="both"/>
        <w:rPr>
          <w:rFonts w:ascii="Palatino Linotype" w:eastAsiaTheme="minorHAnsi" w:hAnsi="Palatino Linotype" w:cs="Arial"/>
          <w:color w:val="000000"/>
          <w:szCs w:val="22"/>
          <w:lang w:val="es-MX" w:eastAsia="en-US"/>
        </w:rPr>
      </w:pPr>
      <w:r w:rsidRPr="00B46FBB">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B46FBB">
        <w:rPr>
          <w:rFonts w:ascii="Palatino Linotype" w:eastAsiaTheme="minorHAnsi" w:hAnsi="Palatino Linotype" w:cs="Arial"/>
          <w:b/>
          <w:color w:val="000000"/>
          <w:szCs w:val="22"/>
          <w:lang w:val="es-MX" w:eastAsia="en-US"/>
        </w:rPr>
        <w:t xml:space="preserve"> </w:t>
      </w:r>
      <w:r w:rsidRPr="00B46FBB">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B46FBB">
        <w:rPr>
          <w:rFonts w:ascii="Palatino Linotype" w:eastAsiaTheme="minorHAnsi" w:hAnsi="Palatino Linotype" w:cs="Arial"/>
          <w:i/>
          <w:color w:val="000000"/>
          <w:szCs w:val="22"/>
          <w:lang w:val="es-MX" w:eastAsia="en-US"/>
        </w:rPr>
        <w:t>ad hoc</w:t>
      </w:r>
      <w:r w:rsidRPr="00B46FBB">
        <w:rPr>
          <w:rFonts w:ascii="Palatino Linotype" w:eastAsiaTheme="minorHAnsi" w:hAnsi="Palatino Linotype" w:cs="Arial"/>
          <w:color w:val="000000"/>
          <w:szCs w:val="22"/>
          <w:lang w:val="es-MX" w:eastAsia="en-US"/>
        </w:rPr>
        <w:t>, para satisfacer el derecho de a</w:t>
      </w:r>
      <w:r w:rsidR="00BD677A" w:rsidRPr="00B46FBB">
        <w:rPr>
          <w:rFonts w:ascii="Palatino Linotype" w:eastAsiaTheme="minorHAnsi" w:hAnsi="Palatino Linotype" w:cs="Arial"/>
          <w:color w:val="000000"/>
          <w:szCs w:val="22"/>
          <w:lang w:val="es-MX" w:eastAsia="en-US"/>
        </w:rPr>
        <w:t>cceso a la información pública.</w:t>
      </w:r>
    </w:p>
    <w:p w:rsidR="00BD677A" w:rsidRPr="00B46FBB" w:rsidRDefault="00BD677A" w:rsidP="00BD677A">
      <w:pPr>
        <w:spacing w:line="360" w:lineRule="auto"/>
        <w:jc w:val="both"/>
        <w:rPr>
          <w:rFonts w:ascii="Palatino Linotype" w:eastAsiaTheme="minorHAnsi" w:hAnsi="Palatino Linotype" w:cs="Arial"/>
          <w:color w:val="000000"/>
          <w:szCs w:val="22"/>
          <w:lang w:val="es-MX" w:eastAsia="en-US"/>
        </w:rPr>
      </w:pPr>
    </w:p>
    <w:p w:rsidR="0029071C" w:rsidRPr="00B46FBB"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B46FBB">
        <w:rPr>
          <w:rFonts w:ascii="Palatino Linotype" w:eastAsiaTheme="minorHAnsi" w:hAnsi="Palatino Linotype" w:cs="Arial"/>
          <w:color w:val="000000"/>
          <w:szCs w:val="22"/>
          <w:lang w:val="es-MX" w:eastAsia="en-US"/>
        </w:rPr>
        <w:t xml:space="preserve">Como apoyo a lo anterior, es aplicable el Criterio 03-17, emitido por </w:t>
      </w:r>
      <w:r w:rsidRPr="00B46FBB">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B46FBB">
        <w:rPr>
          <w:rFonts w:ascii="Palatino Linotype" w:eastAsiaTheme="minorHAnsi" w:hAnsi="Palatino Linotype" w:cstheme="minorBidi"/>
          <w:bCs/>
          <w:color w:val="000000"/>
          <w:szCs w:val="22"/>
          <w:lang w:val="es-MX" w:eastAsia="en-US"/>
        </w:rPr>
        <w:t xml:space="preserve"> que dice:</w:t>
      </w:r>
      <w:r w:rsidRPr="00B46FBB">
        <w:rPr>
          <w:rFonts w:ascii="Palatino Linotype" w:eastAsiaTheme="minorHAnsi" w:hAnsi="Palatino Linotype" w:cstheme="minorBidi"/>
          <w:b/>
          <w:bCs/>
          <w:color w:val="000000"/>
          <w:szCs w:val="22"/>
          <w:lang w:val="es-MX" w:eastAsia="en-US"/>
        </w:rPr>
        <w:t xml:space="preserve"> </w:t>
      </w:r>
    </w:p>
    <w:p w:rsidR="0029071C" w:rsidRPr="00B46FBB"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rsidR="0029071C" w:rsidRPr="00B46FBB"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B46FBB">
        <w:rPr>
          <w:rFonts w:ascii="Palatino Linotype" w:eastAsiaTheme="minorHAnsi" w:hAnsi="Palatino Linotype" w:cs="Arial"/>
          <w:i/>
          <w:color w:val="000000"/>
          <w:sz w:val="22"/>
          <w:szCs w:val="22"/>
          <w:lang w:val="es-MX" w:eastAsia="en-US"/>
        </w:rPr>
        <w:t>“</w:t>
      </w:r>
      <w:r w:rsidRPr="00B46FBB">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B46FBB">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9071C" w:rsidRPr="00B46FBB"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rsidR="0029071C" w:rsidRPr="00B46FBB"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B46FBB">
        <w:rPr>
          <w:rFonts w:ascii="Palatino Linotype" w:eastAsiaTheme="minorHAnsi" w:hAnsi="Palatino Linotype" w:cs="Arial"/>
          <w:i/>
          <w:color w:val="000000"/>
          <w:sz w:val="20"/>
          <w:szCs w:val="22"/>
          <w:lang w:val="es-MX" w:eastAsia="en-US"/>
        </w:rPr>
        <w:t xml:space="preserve">Resoluciones: </w:t>
      </w:r>
    </w:p>
    <w:p w:rsidR="0029071C" w:rsidRPr="00B46FBB"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B46FBB">
        <w:rPr>
          <w:rFonts w:ascii="Palatino Linotype" w:eastAsiaTheme="minorHAnsi" w:hAnsi="Palatino Linotype" w:cs="Arial"/>
          <w:i/>
          <w:color w:val="000000"/>
          <w:sz w:val="20"/>
          <w:szCs w:val="22"/>
          <w:lang w:val="es-MX" w:eastAsia="en-US"/>
        </w:rPr>
        <w:sym w:font="Symbol" w:char="F0B7"/>
      </w:r>
      <w:r w:rsidRPr="00B46FBB">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rsidR="0029071C" w:rsidRPr="00B46FBB"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B46FBB">
        <w:rPr>
          <w:rFonts w:ascii="Palatino Linotype" w:eastAsiaTheme="minorHAnsi" w:hAnsi="Palatino Linotype" w:cs="Arial"/>
          <w:i/>
          <w:color w:val="000000"/>
          <w:sz w:val="20"/>
          <w:szCs w:val="22"/>
          <w:lang w:val="es-MX" w:eastAsia="en-US"/>
        </w:rPr>
        <w:sym w:font="Symbol" w:char="F0B7"/>
      </w:r>
      <w:r w:rsidRPr="00B46FBB">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rsidR="0029071C" w:rsidRPr="00B46FBB"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B46FBB">
        <w:rPr>
          <w:rFonts w:ascii="Palatino Linotype" w:eastAsiaTheme="minorHAnsi" w:hAnsi="Palatino Linotype" w:cs="Arial"/>
          <w:i/>
          <w:color w:val="000000"/>
          <w:sz w:val="20"/>
          <w:szCs w:val="22"/>
          <w:lang w:val="es-MX" w:eastAsia="en-US"/>
        </w:rPr>
        <w:sym w:font="Symbol" w:char="F0B7"/>
      </w:r>
      <w:r w:rsidRPr="00B46FBB">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rsidR="0029071C" w:rsidRPr="00B46FBB" w:rsidRDefault="0029071C" w:rsidP="0029071C">
      <w:pPr>
        <w:spacing w:after="160" w:line="259" w:lineRule="auto"/>
        <w:jc w:val="both"/>
        <w:rPr>
          <w:rFonts w:ascii="Palatino Linotype" w:eastAsiaTheme="minorHAnsi" w:hAnsi="Palatino Linotype" w:cs="Arial"/>
          <w:sz w:val="16"/>
          <w:szCs w:val="22"/>
          <w:lang w:val="es-MX" w:eastAsia="en-US"/>
        </w:rPr>
      </w:pPr>
    </w:p>
    <w:p w:rsidR="0029071C" w:rsidRPr="00B46FBB" w:rsidRDefault="0029071C" w:rsidP="0029071C">
      <w:pPr>
        <w:spacing w:line="360" w:lineRule="auto"/>
        <w:jc w:val="both"/>
        <w:rPr>
          <w:rFonts w:ascii="Palatino Linotype" w:eastAsiaTheme="minorHAnsi" w:hAnsi="Palatino Linotype" w:cs="Arial"/>
          <w:color w:val="000000" w:themeColor="text1"/>
          <w:szCs w:val="22"/>
          <w:lang w:val="es-MX" w:eastAsia="en-US"/>
        </w:rPr>
      </w:pPr>
      <w:r w:rsidRPr="00B46FBB">
        <w:rPr>
          <w:rFonts w:ascii="Palatino Linotype" w:eastAsiaTheme="minorHAnsi" w:hAnsi="Palatino Linotype" w:cs="Arial"/>
          <w:color w:val="000000" w:themeColor="text1"/>
          <w:szCs w:val="22"/>
          <w:lang w:val="es-MX" w:eastAsia="en-US"/>
        </w:rPr>
        <w:lastRenderedPageBreak/>
        <w:t xml:space="preserve">Asimismo, el artículo 24, de la Ley de la materia, dispone que los Sujetos Obligados sólo proporcionarán la información pública que </w:t>
      </w:r>
      <w:r w:rsidRPr="00B46FBB">
        <w:rPr>
          <w:rFonts w:ascii="Palatino Linotype" w:eastAsiaTheme="minorHAnsi" w:hAnsi="Palatino Linotype" w:cs="Arial"/>
          <w:szCs w:val="22"/>
          <w:lang w:val="es-MX" w:eastAsia="en-US"/>
        </w:rPr>
        <w:t>generen</w:t>
      </w:r>
      <w:r w:rsidRPr="00B46FBB">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9071C" w:rsidRPr="00B46FBB" w:rsidRDefault="0029071C" w:rsidP="0029071C">
      <w:pPr>
        <w:spacing w:line="360" w:lineRule="auto"/>
        <w:jc w:val="both"/>
        <w:rPr>
          <w:rFonts w:ascii="Palatino Linotype" w:eastAsiaTheme="minorHAnsi" w:hAnsi="Palatino Linotype" w:cs="Arial"/>
          <w:szCs w:val="22"/>
          <w:lang w:val="es-MX" w:eastAsia="en-US"/>
        </w:rPr>
      </w:pPr>
    </w:p>
    <w:p w:rsidR="00261BC7" w:rsidRPr="00B46FBB" w:rsidRDefault="00261BC7" w:rsidP="00261BC7">
      <w:pPr>
        <w:spacing w:line="360" w:lineRule="auto"/>
        <w:jc w:val="both"/>
        <w:rPr>
          <w:rFonts w:ascii="Palatino Linotype" w:hAnsi="Palatino Linotype" w:cs="Arial"/>
          <w:lang w:eastAsia="es-MX"/>
        </w:rPr>
      </w:pPr>
      <w:r w:rsidRPr="00B46FBB">
        <w:rPr>
          <w:rFonts w:ascii="Palatino Linotype" w:hAnsi="Palatino Linotype" w:cs="Arial"/>
          <w:lang w:eastAsia="es-MX"/>
        </w:rPr>
        <w:t xml:space="preserve">Por lo antes expuesto, se deduce que dicha solicitud de información deberá realizarse a otro </w:t>
      </w:r>
      <w:r w:rsidRPr="00B46FBB">
        <w:rPr>
          <w:rFonts w:ascii="Palatino Linotype" w:hAnsi="Palatino Linotype" w:cs="Arial"/>
          <w:b/>
          <w:lang w:eastAsia="es-MX"/>
        </w:rPr>
        <w:t>Sujeto Obligado</w:t>
      </w:r>
      <w:r w:rsidRPr="00B46FBB">
        <w:rPr>
          <w:rFonts w:ascii="Palatino Linotype" w:hAnsi="Palatino Linotype" w:cs="Arial"/>
          <w:lang w:eastAsia="es-MX"/>
        </w:rPr>
        <w:t xml:space="preserve">; por lo que </w:t>
      </w:r>
      <w:r w:rsidRPr="00B46FBB">
        <w:rPr>
          <w:rFonts w:ascii="Palatino Linotype" w:hAnsi="Palatino Linotype" w:cs="Arial"/>
        </w:rPr>
        <w:t xml:space="preserve">nos encontramos ante la presencia de un </w:t>
      </w:r>
      <w:r w:rsidRPr="00B46FBB">
        <w:rPr>
          <w:rFonts w:ascii="Palatino Linotype" w:hAnsi="Palatino Linotype" w:cs="Arial"/>
          <w:b/>
          <w:i/>
        </w:rPr>
        <w:t>hecho negativo</w:t>
      </w:r>
      <w:r w:rsidRPr="00B46FBB">
        <w:rPr>
          <w:rFonts w:ascii="Palatino Linotype" w:hAnsi="Palatino Linotype" w:cs="Arial"/>
        </w:rPr>
        <w:t xml:space="preserve">, en virtud de que la información solicitada no puede fácticamente obrar en los archivos del </w:t>
      </w:r>
      <w:r w:rsidRPr="00B46FBB">
        <w:rPr>
          <w:rFonts w:ascii="Palatino Linotype" w:hAnsi="Palatino Linotype" w:cs="Arial"/>
          <w:b/>
        </w:rPr>
        <w:t>Sujeto Obligado</w:t>
      </w:r>
      <w:r w:rsidRPr="00B46FBB">
        <w:rPr>
          <w:rFonts w:ascii="Palatino Linotype" w:hAnsi="Palatino Linotype" w:cs="Arial"/>
        </w:rPr>
        <w:t>, ya que no puede probarse por ser lógica y materialmente imposible.</w:t>
      </w:r>
    </w:p>
    <w:p w:rsidR="00FC0DAE" w:rsidRPr="00B46FBB" w:rsidRDefault="00FC0DAE" w:rsidP="00261BC7">
      <w:pPr>
        <w:spacing w:line="360" w:lineRule="auto"/>
        <w:jc w:val="both"/>
        <w:rPr>
          <w:rFonts w:ascii="Palatino Linotype" w:hAnsi="Palatino Linotype" w:cs="Arial"/>
          <w:lang w:eastAsia="es-MX"/>
        </w:rPr>
      </w:pPr>
    </w:p>
    <w:p w:rsidR="00FC0DAE" w:rsidRPr="00B46FBB" w:rsidRDefault="00261BC7" w:rsidP="00261BC7">
      <w:pPr>
        <w:spacing w:line="360" w:lineRule="auto"/>
        <w:jc w:val="both"/>
        <w:rPr>
          <w:rFonts w:ascii="Palatino Linotype" w:hAnsi="Palatino Linotype" w:cs="Arial"/>
        </w:rPr>
      </w:pPr>
      <w:r w:rsidRPr="00B46FBB">
        <w:rPr>
          <w:rFonts w:ascii="Palatino Linotype" w:hAnsi="Palatino Linotype" w:cs="Arial"/>
        </w:rPr>
        <w:t>Asimismo, no se trata de un caso por el cual la negación del hecho implique la afirmación del mismo, simplemente se está ante una notoria y evidente inexistencia de la información solicitada.</w:t>
      </w:r>
    </w:p>
    <w:p w:rsidR="00FC0DAE" w:rsidRPr="00B46FBB" w:rsidRDefault="00FC0DAE" w:rsidP="00FC0DAE">
      <w:pPr>
        <w:autoSpaceDE w:val="0"/>
        <w:autoSpaceDN w:val="0"/>
        <w:adjustRightInd w:val="0"/>
        <w:spacing w:line="360" w:lineRule="auto"/>
        <w:ind w:right="18"/>
        <w:jc w:val="both"/>
        <w:rPr>
          <w:rFonts w:ascii="Palatino Linotype" w:hAnsi="Palatino Linotype" w:cs="Arial"/>
        </w:rPr>
      </w:pPr>
    </w:p>
    <w:p w:rsidR="00FC0DAE" w:rsidRPr="00B46FBB" w:rsidRDefault="00FC0DAE" w:rsidP="00FC0DAE">
      <w:pPr>
        <w:autoSpaceDE w:val="0"/>
        <w:autoSpaceDN w:val="0"/>
        <w:adjustRightInd w:val="0"/>
        <w:spacing w:line="360" w:lineRule="auto"/>
        <w:ind w:right="18"/>
        <w:jc w:val="both"/>
        <w:rPr>
          <w:rFonts w:ascii="Palatino Linotype" w:hAnsi="Palatino Linotype" w:cs="Arial"/>
        </w:rPr>
      </w:pPr>
      <w:r w:rsidRPr="00B46FBB">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rsidR="00FC0DAE" w:rsidRPr="00B46FBB" w:rsidRDefault="00FC0DAE" w:rsidP="00FC0DAE">
      <w:pPr>
        <w:pStyle w:val="Default"/>
        <w:spacing w:line="276" w:lineRule="auto"/>
        <w:ind w:left="567" w:right="850"/>
        <w:jc w:val="both"/>
        <w:rPr>
          <w:i/>
          <w:sz w:val="22"/>
          <w:szCs w:val="20"/>
        </w:rPr>
      </w:pPr>
    </w:p>
    <w:p w:rsidR="00FC0DAE" w:rsidRPr="00B46FBB" w:rsidRDefault="00FC0DAE" w:rsidP="00FC0DAE">
      <w:pPr>
        <w:pStyle w:val="Default"/>
        <w:spacing w:line="276" w:lineRule="auto"/>
        <w:ind w:left="567" w:right="850"/>
        <w:jc w:val="both"/>
        <w:rPr>
          <w:i/>
          <w:sz w:val="22"/>
          <w:szCs w:val="20"/>
        </w:rPr>
      </w:pPr>
      <w:r w:rsidRPr="00B46FBB">
        <w:rPr>
          <w:i/>
          <w:sz w:val="22"/>
          <w:szCs w:val="20"/>
        </w:rPr>
        <w:t>“</w:t>
      </w:r>
      <w:r w:rsidRPr="00B46FBB">
        <w:rPr>
          <w:b/>
          <w:i/>
          <w:sz w:val="22"/>
          <w:szCs w:val="20"/>
        </w:rPr>
        <w:t>HECHOS NEGATIVOS, NO SON SUSCEPTIBLES DE DEMOSTRACION</w:t>
      </w:r>
      <w:r w:rsidRPr="00B46FBB">
        <w:rPr>
          <w:i/>
          <w:sz w:val="22"/>
          <w:szCs w:val="20"/>
        </w:rPr>
        <w:t>. Tratándose de un hecho negativo, el Juez no tiene por qué invocar prueba alguna de la que se desprenda, ya que es bien sabido que esta clase de hechos no son susceptibles de demostración.” (Sic)</w:t>
      </w:r>
    </w:p>
    <w:p w:rsidR="00FC0DAE" w:rsidRPr="00B46FBB" w:rsidRDefault="00FC0DAE" w:rsidP="00FC0DAE">
      <w:pPr>
        <w:spacing w:line="360" w:lineRule="auto"/>
        <w:jc w:val="both"/>
        <w:rPr>
          <w:rFonts w:ascii="Palatino Linotype" w:hAnsi="Palatino Linotype" w:cs="Arial"/>
        </w:rPr>
      </w:pPr>
    </w:p>
    <w:p w:rsidR="00261BC7" w:rsidRPr="00B46FBB" w:rsidRDefault="00FC0DAE" w:rsidP="00FC0DAE">
      <w:pPr>
        <w:spacing w:line="360" w:lineRule="auto"/>
        <w:jc w:val="both"/>
        <w:rPr>
          <w:rFonts w:ascii="Palatino Linotype" w:hAnsi="Palatino Linotype" w:cs="Arial"/>
        </w:rPr>
      </w:pPr>
      <w:r w:rsidRPr="00B46FBB">
        <w:rPr>
          <w:rFonts w:ascii="Palatino Linotype" w:hAnsi="Palatino Linotype" w:cs="Arial"/>
        </w:rPr>
        <w:lastRenderedPageBreak/>
        <w:t>Siendo además importante señalar que, dicha respuesta fue turnada al Servidor Público Habilitado correspondiente; situación, que se advierte de las documentales que obran en el expediente electrónico del SAIMEX.</w:t>
      </w:r>
    </w:p>
    <w:p w:rsidR="00563B39" w:rsidRPr="00B46FBB" w:rsidRDefault="00563B39" w:rsidP="00FC0DAE">
      <w:pPr>
        <w:spacing w:line="360" w:lineRule="auto"/>
        <w:jc w:val="both"/>
        <w:rPr>
          <w:rFonts w:ascii="Palatino Linotype" w:hAnsi="Palatino Linotype" w:cs="Arial"/>
        </w:rPr>
      </w:pPr>
    </w:p>
    <w:p w:rsidR="00563B39" w:rsidRPr="00B46FBB" w:rsidRDefault="00563B39" w:rsidP="00563B39">
      <w:pPr>
        <w:spacing w:line="360" w:lineRule="auto"/>
        <w:jc w:val="both"/>
        <w:rPr>
          <w:rFonts w:ascii="Palatino Linotype" w:hAnsi="Palatino Linotype"/>
        </w:rPr>
      </w:pPr>
      <w:r w:rsidRPr="00B46FBB">
        <w:rPr>
          <w:rFonts w:ascii="Palatino Linotype" w:hAnsi="Palatino Linotype" w:cs="Arial"/>
        </w:rPr>
        <w:t>Lo anterior se robustece con lo plasmado en el criterio</w:t>
      </w:r>
      <w:r w:rsidRPr="00B46FBB">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63B39" w:rsidRPr="00B46FBB" w:rsidRDefault="00563B39" w:rsidP="00563B39">
      <w:pPr>
        <w:pStyle w:val="Sinespaciado"/>
      </w:pPr>
    </w:p>
    <w:p w:rsidR="00563B39" w:rsidRPr="00B46FBB" w:rsidRDefault="00563B39" w:rsidP="00563B39">
      <w:pPr>
        <w:spacing w:line="360" w:lineRule="auto"/>
        <w:jc w:val="both"/>
        <w:rPr>
          <w:rFonts w:ascii="Palatino Linotype" w:hAnsi="Palatino Linotype"/>
          <w:sz w:val="2"/>
        </w:rPr>
      </w:pPr>
    </w:p>
    <w:p w:rsidR="00563B39" w:rsidRPr="00B46FBB" w:rsidRDefault="00563B39" w:rsidP="00563B39">
      <w:pPr>
        <w:pStyle w:val="Prrafodelista"/>
        <w:ind w:left="567" w:right="616"/>
        <w:jc w:val="both"/>
        <w:rPr>
          <w:rFonts w:ascii="Palatino Linotype" w:hAnsi="Palatino Linotype"/>
          <w:i/>
          <w:sz w:val="22"/>
        </w:rPr>
      </w:pPr>
      <w:r w:rsidRPr="00B46FBB">
        <w:rPr>
          <w:rFonts w:ascii="Palatino Linotype" w:hAnsi="Palatino Linotype"/>
          <w:i/>
          <w:sz w:val="22"/>
        </w:rPr>
        <w:t>“</w:t>
      </w:r>
      <w:r w:rsidRPr="00B46FB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46FBB">
        <w:rPr>
          <w:rFonts w:ascii="Palatino Linotype" w:hAnsi="Palatino Linotype"/>
          <w:b/>
          <w:i/>
          <w:sz w:val="22"/>
        </w:rPr>
        <w:t>.</w:t>
      </w:r>
      <w:r w:rsidRPr="00B46FB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309E3" w:rsidRPr="00B46FBB" w:rsidRDefault="00B309E3" w:rsidP="00B309E3">
      <w:pPr>
        <w:spacing w:line="360" w:lineRule="auto"/>
        <w:jc w:val="both"/>
        <w:rPr>
          <w:rFonts w:ascii="Palatino Linotype" w:eastAsiaTheme="minorHAnsi" w:hAnsi="Palatino Linotype" w:cs="Arial"/>
          <w:lang w:val="es-MX" w:eastAsia="es-MX"/>
        </w:rPr>
      </w:pPr>
    </w:p>
    <w:p w:rsidR="006807ED" w:rsidRPr="00B46FBB" w:rsidRDefault="006807ED" w:rsidP="00B309E3">
      <w:pPr>
        <w:spacing w:line="360" w:lineRule="auto"/>
        <w:jc w:val="both"/>
        <w:rPr>
          <w:rFonts w:ascii="Palatino Linotype" w:eastAsiaTheme="minorHAnsi" w:hAnsi="Palatino Linotype" w:cs="Arial"/>
          <w:lang w:val="es-MX" w:eastAsia="es-MX"/>
        </w:rPr>
      </w:pPr>
      <w:r w:rsidRPr="00B46FBB">
        <w:rPr>
          <w:rFonts w:ascii="Palatino Linotype" w:eastAsiaTheme="minorHAnsi" w:hAnsi="Palatino Linotype" w:cs="Arial"/>
          <w:lang w:val="es-MX" w:eastAsia="es-MX"/>
        </w:rPr>
        <w:t xml:space="preserve">Por lo que, es importante traer a contexto, los artículos </w:t>
      </w:r>
      <w:r w:rsidR="00D333EE" w:rsidRPr="00B46FBB">
        <w:rPr>
          <w:rFonts w:ascii="Palatino Linotype" w:eastAsiaTheme="minorHAnsi" w:hAnsi="Palatino Linotype" w:cs="Arial"/>
          <w:lang w:val="es-MX" w:eastAsia="es-MX"/>
        </w:rPr>
        <w:t>55, fracción II y 57</w:t>
      </w:r>
      <w:r w:rsidRPr="00B46FBB">
        <w:rPr>
          <w:rFonts w:ascii="Palatino Linotype" w:eastAsiaTheme="minorHAnsi" w:hAnsi="Palatino Linotype" w:cs="Arial"/>
          <w:lang w:val="es-MX" w:eastAsia="es-MX"/>
        </w:rPr>
        <w:t xml:space="preserve">, del </w:t>
      </w:r>
      <w:r w:rsidR="00D333EE" w:rsidRPr="00B46FBB">
        <w:rPr>
          <w:rFonts w:ascii="Palatino Linotype" w:eastAsiaTheme="minorHAnsi" w:hAnsi="Palatino Linotype" w:cs="Arial"/>
          <w:lang w:val="es-MX" w:eastAsia="es-MX"/>
        </w:rPr>
        <w:t>Bando Municipal de Tecámac 2022, en los</w:t>
      </w:r>
      <w:r w:rsidRPr="00B46FBB">
        <w:rPr>
          <w:rFonts w:ascii="Palatino Linotype" w:eastAsiaTheme="minorHAnsi" w:hAnsi="Palatino Linotype" w:cs="Arial"/>
          <w:lang w:val="es-MX" w:eastAsia="es-MX"/>
        </w:rPr>
        <w:t xml:space="preserve"> que se estipulan las atribuciones del </w:t>
      </w:r>
      <w:r w:rsidR="00D333EE" w:rsidRPr="00B46FBB">
        <w:rPr>
          <w:rFonts w:ascii="Palatino Linotype" w:eastAsiaTheme="minorHAnsi" w:hAnsi="Palatino Linotype" w:cs="Arial"/>
          <w:lang w:val="es-MX" w:eastAsia="es-MX"/>
        </w:rPr>
        <w:t xml:space="preserve">Sistema Municipal para el Desarrollo Integral de la Familia </w:t>
      </w:r>
      <w:r w:rsidR="00D333EE" w:rsidRPr="00B46FBB">
        <w:rPr>
          <w:rFonts w:ascii="Palatino Linotype" w:eastAsiaTheme="minorHAnsi" w:hAnsi="Palatino Linotype" w:cs="Arial"/>
          <w:b/>
          <w:lang w:val="es-MX" w:eastAsia="es-MX"/>
        </w:rPr>
        <w:t>(DIF Tecámac)</w:t>
      </w:r>
      <w:r w:rsidRPr="00B46FBB">
        <w:rPr>
          <w:rFonts w:ascii="Palatino Linotype" w:eastAsiaTheme="minorHAnsi" w:hAnsi="Palatino Linotype" w:cs="Arial"/>
          <w:lang w:val="es-MX" w:eastAsia="es-MX"/>
        </w:rPr>
        <w:t>, de conformidad con lo siguiente</w:t>
      </w:r>
      <w:r w:rsidR="00D333EE" w:rsidRPr="00B46FBB">
        <w:rPr>
          <w:rFonts w:ascii="Palatino Linotype" w:eastAsiaTheme="minorHAnsi" w:hAnsi="Palatino Linotype" w:cs="Arial"/>
          <w:lang w:val="es-MX" w:eastAsia="es-MX"/>
        </w:rPr>
        <w:t>:</w:t>
      </w:r>
    </w:p>
    <w:p w:rsidR="006807ED" w:rsidRPr="00B46FBB" w:rsidRDefault="006807ED" w:rsidP="00B309E3">
      <w:pPr>
        <w:spacing w:line="360" w:lineRule="auto"/>
        <w:jc w:val="both"/>
        <w:rPr>
          <w:rFonts w:ascii="Palatino Linotype" w:eastAsiaTheme="minorHAnsi" w:hAnsi="Palatino Linotype" w:cs="Arial"/>
          <w:lang w:val="es-MX" w:eastAsia="es-MX"/>
        </w:rPr>
      </w:pPr>
    </w:p>
    <w:p w:rsidR="00D333EE" w:rsidRPr="00B46FBB" w:rsidRDefault="00D333EE" w:rsidP="00D333EE">
      <w:pPr>
        <w:ind w:left="567" w:right="616"/>
        <w:jc w:val="center"/>
        <w:rPr>
          <w:rFonts w:ascii="Palatino Linotype" w:hAnsi="Palatino Linotype"/>
          <w:b/>
          <w:i/>
          <w:sz w:val="22"/>
        </w:rPr>
      </w:pPr>
      <w:r w:rsidRPr="00B46FBB">
        <w:rPr>
          <w:rFonts w:ascii="Palatino Linotype" w:hAnsi="Palatino Linotype"/>
          <w:b/>
          <w:i/>
          <w:sz w:val="22"/>
        </w:rPr>
        <w:t>CAPÍTULO IV</w:t>
      </w:r>
    </w:p>
    <w:p w:rsidR="00D333EE" w:rsidRPr="00B46FBB" w:rsidRDefault="00D333EE" w:rsidP="00D333EE">
      <w:pPr>
        <w:ind w:left="567" w:right="616"/>
        <w:jc w:val="center"/>
        <w:rPr>
          <w:rFonts w:ascii="Palatino Linotype" w:hAnsi="Palatino Linotype"/>
          <w:b/>
          <w:i/>
          <w:sz w:val="22"/>
        </w:rPr>
      </w:pPr>
      <w:r w:rsidRPr="00B46FBB">
        <w:rPr>
          <w:rFonts w:ascii="Palatino Linotype" w:hAnsi="Palatino Linotype"/>
          <w:b/>
          <w:i/>
          <w:sz w:val="22"/>
        </w:rPr>
        <w:t>DE LA ADMINISTRACIÓN PÚBLICA MUNICIPAL DESCENTRALIZADA</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 xml:space="preserve">Artículo 55. </w:t>
      </w:r>
      <w:r w:rsidRPr="00B46FBB">
        <w:rPr>
          <w:rFonts w:ascii="Palatino Linotype" w:hAnsi="Palatino Linotype"/>
          <w:i/>
          <w:sz w:val="22"/>
        </w:rPr>
        <w:t>Las siguientes dependencias pertenecen a la administración pública municipal descentralizada:</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lastRenderedPageBreak/>
        <w:t xml:space="preserve">I. </w:t>
      </w:r>
      <w:r w:rsidRPr="00B46FBB">
        <w:rPr>
          <w:rFonts w:ascii="Palatino Linotype" w:hAnsi="Palatino Linotype"/>
          <w:i/>
          <w:sz w:val="22"/>
        </w:rPr>
        <w:t>Organismo Público Descentralizado para la Prestación de los Servicios de Agua Potable, Alcantarillado y Saneamiento (ODAPAS);</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 xml:space="preserve">II. </w:t>
      </w:r>
      <w:r w:rsidRPr="00B46FBB">
        <w:rPr>
          <w:rFonts w:ascii="Palatino Linotype" w:hAnsi="Palatino Linotype"/>
          <w:b/>
          <w:i/>
          <w:sz w:val="22"/>
          <w:u w:val="single"/>
        </w:rPr>
        <w:t>Sistema Municipal para el Desarrollo Integral de la Familia (DIF Tecámac</w:t>
      </w:r>
      <w:r w:rsidRPr="00B46FBB">
        <w:rPr>
          <w:rFonts w:ascii="Palatino Linotype" w:hAnsi="Palatino Linotype"/>
          <w:i/>
          <w:sz w:val="22"/>
          <w:u w:val="single"/>
        </w:rPr>
        <w:t>)</w:t>
      </w:r>
      <w:r w:rsidRPr="00B46FBB">
        <w:rPr>
          <w:rFonts w:ascii="Palatino Linotype" w:hAnsi="Palatino Linotype"/>
          <w:i/>
          <w:sz w:val="22"/>
        </w:rPr>
        <w:t>; y</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III.</w:t>
      </w:r>
      <w:r w:rsidRPr="00B46FBB">
        <w:rPr>
          <w:rFonts w:ascii="Palatino Linotype" w:hAnsi="Palatino Linotype"/>
          <w:i/>
          <w:sz w:val="22"/>
        </w:rPr>
        <w:t xml:space="preserve"> Instituto Municipal de Cultura Física y Deporte de Tecámac, Estado de México.</w:t>
      </w:r>
    </w:p>
    <w:p w:rsidR="00D333EE" w:rsidRPr="00B46FBB" w:rsidRDefault="00D333EE" w:rsidP="00D333EE">
      <w:pPr>
        <w:ind w:left="567" w:right="616"/>
        <w:jc w:val="both"/>
        <w:rPr>
          <w:rFonts w:ascii="Palatino Linotype" w:hAnsi="Palatino Linotype"/>
          <w:i/>
          <w:sz w:val="22"/>
        </w:rPr>
      </w:pP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w:t>
      </w:r>
    </w:p>
    <w:p w:rsidR="00D333EE" w:rsidRPr="00B46FBB" w:rsidRDefault="00D333EE" w:rsidP="00D333EE">
      <w:pPr>
        <w:ind w:left="567" w:right="616"/>
        <w:jc w:val="both"/>
        <w:rPr>
          <w:rFonts w:ascii="Palatino Linotype" w:hAnsi="Palatino Linotype"/>
          <w:i/>
          <w:sz w:val="22"/>
        </w:rPr>
      </w:pPr>
    </w:p>
    <w:p w:rsidR="00056FA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Artículo 57.</w:t>
      </w:r>
      <w:r w:rsidRPr="00B46FBB">
        <w:rPr>
          <w:rFonts w:ascii="Palatino Linotype" w:hAnsi="Palatino Linotype"/>
          <w:i/>
          <w:sz w:val="22"/>
        </w:rPr>
        <w:t xml:space="preserve"> Al </w:t>
      </w:r>
      <w:r w:rsidRPr="00B46FBB">
        <w:rPr>
          <w:rFonts w:ascii="Palatino Linotype" w:hAnsi="Palatino Linotype"/>
          <w:b/>
          <w:i/>
          <w:sz w:val="22"/>
          <w:u w:val="single"/>
        </w:rPr>
        <w:t>Sistema Municipal para el Desarrollo Integral de la Familia</w:t>
      </w:r>
      <w:r w:rsidRPr="00B46FBB">
        <w:rPr>
          <w:rFonts w:ascii="Palatino Linotype" w:hAnsi="Palatino Linotype"/>
          <w:i/>
          <w:sz w:val="22"/>
        </w:rPr>
        <w:t xml:space="preserve"> le son atribuidas, además de las facultades que le confiere la Ley Estatal en la materia, las que corresponden a las funciones de </w:t>
      </w:r>
      <w:r w:rsidRPr="00B46FBB">
        <w:rPr>
          <w:rFonts w:ascii="Palatino Linotype" w:hAnsi="Palatino Linotype"/>
          <w:b/>
          <w:i/>
          <w:sz w:val="22"/>
          <w:u w:val="single"/>
        </w:rPr>
        <w:t>desarrollo social</w:t>
      </w:r>
      <w:r w:rsidRPr="00B46FBB">
        <w:rPr>
          <w:rFonts w:ascii="Palatino Linotype" w:hAnsi="Palatino Linotype"/>
          <w:i/>
          <w:sz w:val="22"/>
        </w:rPr>
        <w:t xml:space="preserve">, atención a la salud tanto física como emocional y defensa de los derechos de las mujeres. </w:t>
      </w:r>
    </w:p>
    <w:p w:rsidR="00056FAE" w:rsidRPr="00B46FBB" w:rsidRDefault="00056FAE" w:rsidP="00D333EE">
      <w:pPr>
        <w:ind w:left="567" w:right="616"/>
        <w:jc w:val="both"/>
        <w:rPr>
          <w:rFonts w:ascii="Palatino Linotype" w:hAnsi="Palatino Linotype"/>
          <w:i/>
          <w:sz w:val="22"/>
        </w:rPr>
      </w:pP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Bajo este esquema, el Sistema Municipal otorgará y procurará la atención a personas en extrema pobreza y grupos vulnerables de la población como </w:t>
      </w:r>
      <w:r w:rsidRPr="00B46FBB">
        <w:rPr>
          <w:rFonts w:ascii="Palatino Linotype" w:hAnsi="Palatino Linotype"/>
          <w:b/>
          <w:i/>
          <w:sz w:val="22"/>
          <w:u w:val="single"/>
        </w:rPr>
        <w:t>adultos mayores</w:t>
      </w:r>
      <w:r w:rsidRPr="00B46FBB">
        <w:rPr>
          <w:rFonts w:ascii="Palatino Linotype" w:hAnsi="Palatino Linotype"/>
          <w:i/>
          <w:sz w:val="22"/>
        </w:rPr>
        <w:t xml:space="preserve">, </w:t>
      </w:r>
      <w:r w:rsidRPr="00B46FBB">
        <w:rPr>
          <w:rFonts w:ascii="Palatino Linotype" w:hAnsi="Palatino Linotype"/>
          <w:b/>
          <w:i/>
          <w:sz w:val="22"/>
          <w:u w:val="single"/>
        </w:rPr>
        <w:t>menores de edad</w:t>
      </w:r>
      <w:r w:rsidRPr="00B46FBB">
        <w:rPr>
          <w:rFonts w:ascii="Palatino Linotype" w:hAnsi="Palatino Linotype"/>
          <w:i/>
          <w:sz w:val="22"/>
        </w:rPr>
        <w:t>, personas violentadas y/o con discapacidad.</w:t>
      </w:r>
    </w:p>
    <w:p w:rsidR="00D333EE" w:rsidRPr="00B46FBB" w:rsidRDefault="00D333EE" w:rsidP="00D333EE">
      <w:pPr>
        <w:ind w:left="567" w:right="616"/>
        <w:jc w:val="both"/>
        <w:rPr>
          <w:rFonts w:ascii="Palatino Linotype" w:hAnsi="Palatino Linotype"/>
          <w:i/>
          <w:sz w:val="22"/>
        </w:rPr>
      </w:pP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La Junta de Gobierno es la máxima autoridad del Sistema, y será encabezada en términos de ley por una Presidencia, una Secretaría, un Tesorero y dos vocales, por lo que hace a la Presidencia tendrá carácter honorífico.</w:t>
      </w:r>
    </w:p>
    <w:p w:rsidR="00D333EE" w:rsidRPr="00B46FBB" w:rsidRDefault="00D333EE" w:rsidP="00D333EE">
      <w:pPr>
        <w:ind w:left="567" w:right="616"/>
        <w:jc w:val="both"/>
        <w:rPr>
          <w:rFonts w:ascii="Palatino Linotype" w:hAnsi="Palatino Linotype"/>
          <w:i/>
          <w:sz w:val="22"/>
        </w:rPr>
      </w:pP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Por su parte, quien ocupe el cargo de titular de la Dirección General del Sistema será denominado “Directora o Director General del Sistema Municipal para el Desarrollo Integral de la Familia” y para el desarrollo de sus responsabilidades se auxiliará por las siguientes áreas administrativas:</w:t>
      </w:r>
    </w:p>
    <w:p w:rsidR="00D333EE" w:rsidRPr="00B46FBB" w:rsidRDefault="00D333EE" w:rsidP="00D333EE">
      <w:pPr>
        <w:ind w:left="567" w:right="616"/>
        <w:jc w:val="both"/>
        <w:rPr>
          <w:rFonts w:ascii="Palatino Linotype" w:hAnsi="Palatino Linotype"/>
          <w:i/>
          <w:sz w:val="22"/>
        </w:rPr>
      </w:pPr>
    </w:p>
    <w:p w:rsidR="00D333EE" w:rsidRPr="00B46FBB" w:rsidRDefault="00D333EE" w:rsidP="00D333EE">
      <w:pPr>
        <w:ind w:left="567" w:right="616"/>
        <w:jc w:val="both"/>
        <w:rPr>
          <w:rFonts w:ascii="Palatino Linotype" w:hAnsi="Palatino Linotype"/>
          <w:b/>
          <w:i/>
          <w:sz w:val="22"/>
        </w:rPr>
      </w:pPr>
      <w:r w:rsidRPr="00B46FBB">
        <w:rPr>
          <w:rFonts w:ascii="Palatino Linotype" w:hAnsi="Palatino Linotype"/>
          <w:b/>
          <w:i/>
          <w:sz w:val="22"/>
        </w:rPr>
        <w:t xml:space="preserve">I. Subdirección General Operativa </w:t>
      </w:r>
    </w:p>
    <w:p w:rsidR="00D333EE" w:rsidRPr="00B46FBB" w:rsidRDefault="00D333EE" w:rsidP="00D333EE">
      <w:pPr>
        <w:ind w:left="567" w:right="616"/>
        <w:jc w:val="both"/>
        <w:rPr>
          <w:rFonts w:ascii="Palatino Linotype" w:hAnsi="Palatino Linotype"/>
          <w:b/>
          <w:i/>
          <w:sz w:val="22"/>
        </w:rPr>
      </w:pP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a.</w:t>
      </w:r>
      <w:r w:rsidRPr="00B46FBB">
        <w:rPr>
          <w:rFonts w:ascii="Palatino Linotype" w:hAnsi="Palatino Linotype"/>
          <w:i/>
          <w:sz w:val="22"/>
        </w:rPr>
        <w:t xml:space="preserve"> Dirección de Bienestar Social.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1.</w:t>
      </w:r>
      <w:r w:rsidRPr="00B46FBB">
        <w:rPr>
          <w:rFonts w:ascii="Palatino Linotype" w:hAnsi="Palatino Linotype"/>
          <w:i/>
          <w:sz w:val="22"/>
        </w:rPr>
        <w:t xml:space="preserve"> </w:t>
      </w:r>
      <w:r w:rsidRPr="00B46FBB">
        <w:rPr>
          <w:rFonts w:ascii="Palatino Linotype" w:hAnsi="Palatino Linotype"/>
          <w:b/>
          <w:i/>
          <w:sz w:val="22"/>
          <w:u w:val="single"/>
        </w:rPr>
        <w:t>Departamento de Atención a Adultos Mayores</w:t>
      </w:r>
      <w:r w:rsidRPr="00B46FBB">
        <w:rPr>
          <w:rFonts w:ascii="Palatino Linotype" w:hAnsi="Palatino Linotype"/>
          <w:i/>
          <w:sz w:val="22"/>
        </w:rPr>
        <w:t xml:space="preserve">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2.</w:t>
      </w:r>
      <w:r w:rsidRPr="00B46FBB">
        <w:rPr>
          <w:rFonts w:ascii="Palatino Linotype" w:hAnsi="Palatino Linotype"/>
          <w:i/>
          <w:sz w:val="22"/>
        </w:rPr>
        <w:t xml:space="preserve"> Departamento de Trabajo Social.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3.</w:t>
      </w:r>
      <w:r w:rsidRPr="00B46FBB">
        <w:rPr>
          <w:rFonts w:ascii="Palatino Linotype" w:hAnsi="Palatino Linotype"/>
          <w:i/>
          <w:sz w:val="22"/>
        </w:rPr>
        <w:t xml:space="preserve"> Departamento de Pedagogía.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4.</w:t>
      </w:r>
      <w:r w:rsidRPr="00B46FBB">
        <w:rPr>
          <w:rFonts w:ascii="Palatino Linotype" w:hAnsi="Palatino Linotype"/>
          <w:i/>
          <w:sz w:val="22"/>
        </w:rPr>
        <w:t xml:space="preserve"> Departamento de Atención a Personas con Discapacidad y Unidad Básica de Rehabilitación e Integración Social (UBRIS).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5.</w:t>
      </w:r>
      <w:r w:rsidRPr="00B46FBB">
        <w:rPr>
          <w:rFonts w:ascii="Palatino Linotype" w:hAnsi="Palatino Linotype"/>
          <w:i/>
          <w:sz w:val="22"/>
        </w:rPr>
        <w:t xml:space="preserve"> Coordinación de Programas Nutricionales. </w:t>
      </w:r>
    </w:p>
    <w:p w:rsidR="00D333EE" w:rsidRPr="00B46FBB" w:rsidRDefault="00D333EE" w:rsidP="00D333EE">
      <w:pPr>
        <w:ind w:left="567" w:right="616" w:firstLine="141"/>
        <w:jc w:val="both"/>
        <w:rPr>
          <w:rFonts w:ascii="Palatino Linotype" w:hAnsi="Palatino Linotype"/>
          <w:i/>
          <w:sz w:val="22"/>
        </w:rPr>
      </w:pPr>
      <w:r w:rsidRPr="00B46FBB">
        <w:rPr>
          <w:rFonts w:ascii="Palatino Linotype" w:hAnsi="Palatino Linotype"/>
          <w:i/>
          <w:sz w:val="22"/>
        </w:rPr>
        <w:t xml:space="preserve">i. Departamento de Programas Nutricionales Municipales </w:t>
      </w:r>
    </w:p>
    <w:p w:rsidR="00D333EE" w:rsidRPr="00B46FBB" w:rsidRDefault="00D333EE" w:rsidP="00D333EE">
      <w:pPr>
        <w:ind w:left="567" w:right="616" w:firstLine="141"/>
        <w:jc w:val="both"/>
        <w:rPr>
          <w:rFonts w:ascii="Palatino Linotype" w:hAnsi="Palatino Linotype"/>
          <w:i/>
          <w:sz w:val="22"/>
        </w:rPr>
      </w:pPr>
      <w:r w:rsidRPr="00B46FBB">
        <w:rPr>
          <w:rFonts w:ascii="Palatino Linotype" w:hAnsi="Palatino Linotype"/>
          <w:i/>
          <w:sz w:val="22"/>
        </w:rPr>
        <w:t>ii. Departamento de Programas Nutricionales Estatales y Federales.</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6.</w:t>
      </w:r>
      <w:r w:rsidRPr="00B46FBB">
        <w:rPr>
          <w:rFonts w:ascii="Palatino Linotype" w:hAnsi="Palatino Linotype"/>
          <w:i/>
          <w:sz w:val="22"/>
        </w:rPr>
        <w:t xml:space="preserve"> Departamento de Desarrollo Juvenil. </w:t>
      </w:r>
    </w:p>
    <w:p w:rsidR="00D333EE" w:rsidRPr="00B46FBB" w:rsidRDefault="00D333EE" w:rsidP="00D333EE">
      <w:pPr>
        <w:ind w:left="567" w:right="616"/>
        <w:jc w:val="both"/>
        <w:rPr>
          <w:rFonts w:ascii="Palatino Linotype" w:hAnsi="Palatino Linotype"/>
          <w:i/>
          <w:sz w:val="22"/>
        </w:rPr>
      </w:pP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b.</w:t>
      </w:r>
      <w:r w:rsidRPr="00B46FBB">
        <w:rPr>
          <w:rFonts w:ascii="Palatino Linotype" w:hAnsi="Palatino Linotype"/>
          <w:i/>
          <w:sz w:val="22"/>
        </w:rPr>
        <w:t xml:space="preserve"> Dirección de Salud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1.</w:t>
      </w:r>
      <w:r w:rsidRPr="00B46FBB">
        <w:rPr>
          <w:rFonts w:ascii="Palatino Linotype" w:hAnsi="Palatino Linotype"/>
          <w:i/>
          <w:sz w:val="22"/>
        </w:rPr>
        <w:t xml:space="preserve"> Coordinación de Funeraria Municipal y Panteones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2.</w:t>
      </w:r>
      <w:r w:rsidRPr="00B46FBB">
        <w:rPr>
          <w:rFonts w:ascii="Palatino Linotype" w:hAnsi="Palatino Linotype"/>
          <w:i/>
          <w:sz w:val="22"/>
        </w:rPr>
        <w:t xml:space="preserve"> Departamento de Salud Preventiva </w:t>
      </w:r>
    </w:p>
    <w:p w:rsidR="00D333EE" w:rsidRPr="00B46FBB" w:rsidRDefault="00D333EE" w:rsidP="00D333EE">
      <w:pPr>
        <w:ind w:left="567" w:right="616" w:firstLine="141"/>
        <w:jc w:val="both"/>
        <w:rPr>
          <w:rFonts w:ascii="Palatino Linotype" w:hAnsi="Palatino Linotype"/>
          <w:i/>
          <w:sz w:val="22"/>
        </w:rPr>
      </w:pPr>
      <w:r w:rsidRPr="00B46FBB">
        <w:rPr>
          <w:rFonts w:ascii="Palatino Linotype" w:hAnsi="Palatino Linotype"/>
          <w:i/>
          <w:sz w:val="22"/>
        </w:rPr>
        <w:lastRenderedPageBreak/>
        <w:t xml:space="preserve">i. Unidades Materno – Infantiles </w:t>
      </w:r>
    </w:p>
    <w:p w:rsidR="00D333EE" w:rsidRPr="00B46FBB" w:rsidRDefault="00D333EE" w:rsidP="00D333EE">
      <w:pPr>
        <w:ind w:left="567" w:right="616" w:firstLine="141"/>
        <w:jc w:val="both"/>
        <w:rPr>
          <w:rFonts w:ascii="Palatino Linotype" w:hAnsi="Palatino Linotype"/>
          <w:i/>
          <w:sz w:val="22"/>
        </w:rPr>
      </w:pPr>
      <w:r w:rsidRPr="00B46FBB">
        <w:rPr>
          <w:rFonts w:ascii="Palatino Linotype" w:hAnsi="Palatino Linotype"/>
          <w:i/>
          <w:sz w:val="22"/>
        </w:rPr>
        <w:t xml:space="preserve">ii. Unidades Odontológicas </w:t>
      </w:r>
    </w:p>
    <w:p w:rsidR="00D333EE" w:rsidRPr="00B46FBB" w:rsidRDefault="00D333EE" w:rsidP="00D333EE">
      <w:pPr>
        <w:ind w:left="567" w:right="616"/>
        <w:jc w:val="both"/>
        <w:rPr>
          <w:rFonts w:ascii="Palatino Linotype" w:hAnsi="Palatino Linotype"/>
          <w:i/>
          <w:sz w:val="22"/>
        </w:rPr>
      </w:pP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c. Dirección Jurídica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1. </w:t>
      </w:r>
      <w:r w:rsidRPr="00B46FBB">
        <w:rPr>
          <w:rFonts w:ascii="Palatino Linotype" w:hAnsi="Palatino Linotype"/>
          <w:b/>
          <w:i/>
          <w:sz w:val="22"/>
          <w:u w:val="single"/>
        </w:rPr>
        <w:t>Procuraduría de Protección de niñas, niños y adolescentes</w:t>
      </w:r>
      <w:r w:rsidRPr="00B46FBB">
        <w:rPr>
          <w:rFonts w:ascii="Palatino Linotype" w:hAnsi="Palatino Linotype"/>
          <w:i/>
          <w:sz w:val="22"/>
        </w:rPr>
        <w:t xml:space="preserve">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2. Centro de Atención a Víctimas de la Violencia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3. Departamento de Oficialía de Partes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4. Departamento de Archivo General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5. Departamento de Patrimonio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6. Centros de Atención Temporal a Grupos Vulnerables </w:t>
      </w:r>
    </w:p>
    <w:p w:rsidR="00D333EE" w:rsidRPr="00B46FBB" w:rsidRDefault="00D333EE" w:rsidP="00D333EE">
      <w:pPr>
        <w:ind w:left="567" w:right="616"/>
        <w:jc w:val="both"/>
        <w:rPr>
          <w:rFonts w:ascii="Palatino Linotype" w:hAnsi="Palatino Linotype"/>
          <w:i/>
          <w:sz w:val="22"/>
        </w:rPr>
      </w:pPr>
    </w:p>
    <w:p w:rsidR="00D333EE" w:rsidRPr="00B46FBB" w:rsidRDefault="00D333EE" w:rsidP="00D333EE">
      <w:pPr>
        <w:ind w:left="567" w:right="616"/>
        <w:jc w:val="both"/>
        <w:rPr>
          <w:rFonts w:ascii="Palatino Linotype" w:hAnsi="Palatino Linotype"/>
          <w:b/>
          <w:i/>
          <w:sz w:val="22"/>
        </w:rPr>
      </w:pPr>
      <w:r w:rsidRPr="00B46FBB">
        <w:rPr>
          <w:rFonts w:ascii="Palatino Linotype" w:hAnsi="Palatino Linotype"/>
          <w:b/>
          <w:i/>
          <w:sz w:val="22"/>
        </w:rPr>
        <w:t xml:space="preserve">II. Tesorería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a. Dirección de Administración </w:t>
      </w:r>
    </w:p>
    <w:p w:rsidR="00D333E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1. Departamento de Recursos Humanos </w:t>
      </w:r>
    </w:p>
    <w:p w:rsidR="00056FA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2. Departamento de Recursos Materiales y Almacén </w:t>
      </w:r>
    </w:p>
    <w:p w:rsidR="00056FAE" w:rsidRPr="00B46FBB" w:rsidRDefault="00056FAE" w:rsidP="00D333EE">
      <w:pPr>
        <w:ind w:left="567" w:right="616"/>
        <w:jc w:val="both"/>
        <w:rPr>
          <w:rFonts w:ascii="Palatino Linotype" w:hAnsi="Palatino Linotype"/>
          <w:i/>
          <w:sz w:val="22"/>
        </w:rPr>
      </w:pPr>
    </w:p>
    <w:p w:rsidR="00056FA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b. Departamento de Cuenta Pública </w:t>
      </w:r>
    </w:p>
    <w:p w:rsidR="00056FAE" w:rsidRPr="00B46FBB" w:rsidRDefault="00056FAE" w:rsidP="00D333EE">
      <w:pPr>
        <w:ind w:left="567" w:right="616"/>
        <w:jc w:val="both"/>
        <w:rPr>
          <w:rFonts w:ascii="Palatino Linotype" w:hAnsi="Palatino Linotype"/>
          <w:i/>
          <w:sz w:val="22"/>
        </w:rPr>
      </w:pPr>
    </w:p>
    <w:p w:rsidR="00056FAE" w:rsidRPr="00B46FBB" w:rsidRDefault="00D333EE" w:rsidP="00D333EE">
      <w:pPr>
        <w:ind w:left="567" w:right="616"/>
        <w:jc w:val="both"/>
        <w:rPr>
          <w:rFonts w:ascii="Palatino Linotype" w:hAnsi="Palatino Linotype"/>
          <w:i/>
          <w:sz w:val="22"/>
        </w:rPr>
      </w:pPr>
      <w:r w:rsidRPr="00B46FBB">
        <w:rPr>
          <w:rFonts w:ascii="Palatino Linotype" w:hAnsi="Palatino Linotype"/>
          <w:b/>
          <w:i/>
          <w:sz w:val="22"/>
        </w:rPr>
        <w:t>III. Dirección de Atención y Defensa de los Derechos de la Mujer y la Diversidad Sexual</w:t>
      </w:r>
      <w:r w:rsidRPr="00B46FBB">
        <w:rPr>
          <w:rFonts w:ascii="Palatino Linotype" w:hAnsi="Palatino Linotype"/>
          <w:i/>
          <w:sz w:val="22"/>
        </w:rPr>
        <w:t xml:space="preserve"> </w:t>
      </w:r>
    </w:p>
    <w:p w:rsidR="00056FA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1. Centros de Atención a Mujeres Interdependientes, Empoderadas y Libres (MIEL) </w:t>
      </w:r>
    </w:p>
    <w:p w:rsidR="00056FAE" w:rsidRPr="00B46FBB" w:rsidRDefault="00D333EE" w:rsidP="00D333EE">
      <w:pPr>
        <w:ind w:left="567" w:right="616"/>
        <w:jc w:val="both"/>
        <w:rPr>
          <w:rFonts w:ascii="Palatino Linotype" w:hAnsi="Palatino Linotype"/>
          <w:i/>
          <w:sz w:val="22"/>
        </w:rPr>
      </w:pPr>
      <w:r w:rsidRPr="00B46FBB">
        <w:rPr>
          <w:rFonts w:ascii="Palatino Linotype" w:hAnsi="Palatino Linotype"/>
          <w:i/>
          <w:sz w:val="22"/>
        </w:rPr>
        <w:t xml:space="preserve">2. Departamento de Atención a la Diversidad Sexual. </w:t>
      </w:r>
    </w:p>
    <w:p w:rsidR="00056FAE" w:rsidRPr="00B46FBB" w:rsidRDefault="00056FAE" w:rsidP="00D333EE">
      <w:pPr>
        <w:ind w:left="567" w:right="616"/>
        <w:jc w:val="both"/>
        <w:rPr>
          <w:rFonts w:ascii="Palatino Linotype" w:hAnsi="Palatino Linotype"/>
          <w:i/>
          <w:sz w:val="22"/>
        </w:rPr>
      </w:pPr>
    </w:p>
    <w:p w:rsidR="00056FAE" w:rsidRPr="00B46FBB" w:rsidRDefault="00D333EE" w:rsidP="00D333EE">
      <w:pPr>
        <w:ind w:left="567" w:right="616"/>
        <w:jc w:val="both"/>
        <w:rPr>
          <w:rFonts w:ascii="Palatino Linotype" w:hAnsi="Palatino Linotype"/>
          <w:b/>
          <w:i/>
          <w:sz w:val="22"/>
        </w:rPr>
      </w:pPr>
      <w:r w:rsidRPr="00B46FBB">
        <w:rPr>
          <w:rFonts w:ascii="Palatino Linotype" w:hAnsi="Palatino Linotype"/>
          <w:b/>
          <w:i/>
          <w:sz w:val="22"/>
        </w:rPr>
        <w:t xml:space="preserve">IV. Unidad de Transparencia e Información, Planeación, Presupuestación y Evaluación. </w:t>
      </w:r>
    </w:p>
    <w:p w:rsidR="00056FAE" w:rsidRPr="00B46FBB" w:rsidRDefault="00056FAE" w:rsidP="00D333EE">
      <w:pPr>
        <w:ind w:left="567" w:right="616"/>
        <w:jc w:val="both"/>
        <w:rPr>
          <w:rFonts w:ascii="Palatino Linotype" w:hAnsi="Palatino Linotype"/>
          <w:i/>
          <w:sz w:val="22"/>
        </w:rPr>
      </w:pPr>
    </w:p>
    <w:p w:rsidR="00D333EE" w:rsidRPr="00B46FBB" w:rsidRDefault="00D333EE" w:rsidP="00D333EE">
      <w:pPr>
        <w:ind w:left="567" w:right="616"/>
        <w:jc w:val="both"/>
        <w:rPr>
          <w:rFonts w:ascii="Palatino Linotype" w:hAnsi="Palatino Linotype"/>
          <w:b/>
          <w:i/>
          <w:sz w:val="22"/>
        </w:rPr>
      </w:pPr>
      <w:r w:rsidRPr="00B46FBB">
        <w:rPr>
          <w:rFonts w:ascii="Palatino Linotype" w:hAnsi="Palatino Linotype"/>
          <w:b/>
          <w:i/>
          <w:sz w:val="22"/>
        </w:rPr>
        <w:t>V. Departamento de Gestión Administrativa e Informática.</w:t>
      </w:r>
      <w:r w:rsidRPr="00B46FBB">
        <w:rPr>
          <w:rFonts w:ascii="Palatino Linotype" w:hAnsi="Palatino Linotype"/>
          <w:b/>
          <w:i/>
          <w:sz w:val="22"/>
        </w:rPr>
        <w:cr/>
      </w:r>
    </w:p>
    <w:p w:rsidR="006807ED" w:rsidRPr="00B46FBB" w:rsidRDefault="006807ED" w:rsidP="00B309E3">
      <w:pPr>
        <w:spacing w:line="360" w:lineRule="auto"/>
        <w:jc w:val="both"/>
        <w:rPr>
          <w:rFonts w:ascii="Palatino Linotype" w:hAnsi="Palatino Linotype" w:cs="Arial"/>
          <w:lang w:eastAsia="es-MX"/>
        </w:rPr>
      </w:pPr>
    </w:p>
    <w:p w:rsidR="00056FAE" w:rsidRPr="00B46FBB" w:rsidRDefault="00FC0DAE" w:rsidP="00056FAE">
      <w:pPr>
        <w:spacing w:line="360" w:lineRule="auto"/>
        <w:jc w:val="both"/>
        <w:rPr>
          <w:rFonts w:ascii="Palatino Linotype" w:hAnsi="Palatino Linotype" w:cs="Arial"/>
          <w:lang w:eastAsia="es-MX"/>
        </w:rPr>
      </w:pPr>
      <w:r w:rsidRPr="00B46FBB">
        <w:rPr>
          <w:rFonts w:ascii="Palatino Linotype" w:hAnsi="Palatino Linotype" w:cs="Arial"/>
          <w:lang w:eastAsia="es-MX"/>
        </w:rPr>
        <w:t>De los preceptos antes señalados, se concluye que</w:t>
      </w:r>
      <w:r w:rsidR="00056FAE" w:rsidRPr="00B46FBB">
        <w:rPr>
          <w:rFonts w:ascii="Palatino Linotype" w:hAnsi="Palatino Linotype" w:cs="Arial"/>
          <w:lang w:eastAsia="es-MX"/>
        </w:rPr>
        <w:t xml:space="preserve"> el Sistema Municipal para el Desarrollo Integral de la Familia, le son atribuidas, las funciones de desarrollo social, adicionalmente, otorgará y procurará la atención a personas en extrema pobreza y grupos vulnerables de la población como </w:t>
      </w:r>
      <w:r w:rsidR="00056FAE" w:rsidRPr="00B46FBB">
        <w:rPr>
          <w:rFonts w:ascii="Palatino Linotype" w:hAnsi="Palatino Linotype" w:cs="Arial"/>
          <w:b/>
          <w:lang w:eastAsia="es-MX"/>
        </w:rPr>
        <w:t>adultos mayores</w:t>
      </w:r>
      <w:r w:rsidR="00056FAE" w:rsidRPr="00B46FBB">
        <w:rPr>
          <w:rFonts w:ascii="Palatino Linotype" w:hAnsi="Palatino Linotype" w:cs="Arial"/>
          <w:lang w:eastAsia="es-MX"/>
        </w:rPr>
        <w:t xml:space="preserve">, </w:t>
      </w:r>
      <w:r w:rsidR="00056FAE" w:rsidRPr="00B46FBB">
        <w:rPr>
          <w:rFonts w:ascii="Palatino Linotype" w:hAnsi="Palatino Linotype" w:cs="Arial"/>
          <w:b/>
          <w:lang w:eastAsia="es-MX"/>
        </w:rPr>
        <w:t>menores de edad</w:t>
      </w:r>
      <w:r w:rsidR="00056FAE" w:rsidRPr="00B46FBB">
        <w:rPr>
          <w:rFonts w:ascii="Palatino Linotype" w:hAnsi="Palatino Linotype" w:cs="Arial"/>
          <w:lang w:eastAsia="es-MX"/>
        </w:rPr>
        <w:t>, personas violentadas y/o con discapacidad.</w:t>
      </w:r>
    </w:p>
    <w:p w:rsidR="00056FAE" w:rsidRPr="00B46FBB" w:rsidRDefault="00056FAE" w:rsidP="00B309E3">
      <w:pPr>
        <w:spacing w:line="360" w:lineRule="auto"/>
        <w:jc w:val="both"/>
        <w:rPr>
          <w:rFonts w:ascii="Palatino Linotype" w:hAnsi="Palatino Linotype" w:cs="Arial"/>
          <w:lang w:eastAsia="es-MX"/>
        </w:rPr>
      </w:pPr>
    </w:p>
    <w:p w:rsidR="006807ED" w:rsidRPr="00B46FBB" w:rsidRDefault="009B7BFD" w:rsidP="00563B39">
      <w:pPr>
        <w:spacing w:line="360" w:lineRule="auto"/>
        <w:jc w:val="both"/>
        <w:rPr>
          <w:rFonts w:ascii="Palatino Linotype" w:hAnsi="Palatino Linotype" w:cs="Arial"/>
        </w:rPr>
      </w:pPr>
      <w:r w:rsidRPr="00B46FBB">
        <w:rPr>
          <w:rFonts w:ascii="Palatino Linotype" w:hAnsi="Palatino Linotype" w:cs="Arial"/>
        </w:rPr>
        <w:lastRenderedPageBreak/>
        <w:t>Ahora bien, respecto de la información solicitada se localizaron diversas notas periodísticas, mismas que se titulan de la siguiente manera:</w:t>
      </w:r>
    </w:p>
    <w:p w:rsidR="009B7BFD" w:rsidRPr="00B46FBB" w:rsidRDefault="009B7BFD" w:rsidP="00563B39">
      <w:pPr>
        <w:spacing w:line="360" w:lineRule="auto"/>
        <w:jc w:val="both"/>
        <w:rPr>
          <w:rFonts w:ascii="Palatino Linotype" w:hAnsi="Palatino Linotype" w:cs="Arial"/>
        </w:rPr>
      </w:pPr>
    </w:p>
    <w:p w:rsidR="009B7BFD" w:rsidRPr="00B46FBB" w:rsidRDefault="009B7BFD" w:rsidP="009B7BFD">
      <w:pPr>
        <w:pStyle w:val="Prrafodelista"/>
        <w:numPr>
          <w:ilvl w:val="0"/>
          <w:numId w:val="29"/>
        </w:numPr>
        <w:spacing w:line="360" w:lineRule="auto"/>
        <w:jc w:val="both"/>
        <w:rPr>
          <w:rFonts w:ascii="Palatino Linotype" w:hAnsi="Palatino Linotype" w:cs="Arial"/>
          <w:b/>
          <w:i/>
        </w:rPr>
      </w:pPr>
      <w:r w:rsidRPr="00B46FBB">
        <w:rPr>
          <w:rFonts w:ascii="Palatino Linotype" w:hAnsi="Palatino Linotype" w:cs="Arial"/>
          <w:i/>
        </w:rPr>
        <w:t>“</w:t>
      </w:r>
      <w:r w:rsidRPr="00B46FBB">
        <w:rPr>
          <w:rFonts w:ascii="Palatino Linotype" w:hAnsi="Palatino Linotype" w:cs="Arial"/>
          <w:b/>
          <w:i/>
        </w:rPr>
        <w:t>En el Sistema Municipal DIF Tecámac, celebramos a nuestras niñas, niños y adolescentes del Albergue “</w:t>
      </w:r>
      <w:proofErr w:type="spellStart"/>
      <w:r w:rsidRPr="00B46FBB">
        <w:rPr>
          <w:rFonts w:ascii="Palatino Linotype" w:hAnsi="Palatino Linotype" w:cs="Arial"/>
          <w:b/>
          <w:i/>
        </w:rPr>
        <w:t>Ivanna</w:t>
      </w:r>
      <w:proofErr w:type="spellEnd"/>
      <w:r w:rsidRPr="00B46FBB">
        <w:rPr>
          <w:rFonts w:ascii="Palatino Linotype" w:hAnsi="Palatino Linotype" w:cs="Arial"/>
          <w:b/>
          <w:i/>
        </w:rPr>
        <w:t xml:space="preserve"> N”, quienes disfrutaron de un gran paseo que disfrutamos todos.”: </w:t>
      </w:r>
      <w:r w:rsidRPr="00B46FBB">
        <w:rPr>
          <w:rFonts w:ascii="Palatino Linotype" w:hAnsi="Palatino Linotype" w:cs="Arial"/>
        </w:rPr>
        <w:t xml:space="preserve">Localizada en la página electrónica </w:t>
      </w:r>
      <w:hyperlink r:id="rId10" w:history="1">
        <w:r w:rsidRPr="00B46FBB">
          <w:rPr>
            <w:rStyle w:val="Hipervnculo"/>
            <w:rFonts w:ascii="Palatino Linotype" w:hAnsi="Palatino Linotype" w:cs="Arial"/>
          </w:rPr>
          <w:t>https://www.facebook.com/100069002108088/videos/1101311047266237/</w:t>
        </w:r>
      </w:hyperlink>
      <w:r w:rsidRPr="00B46FBB">
        <w:rPr>
          <w:rFonts w:ascii="Palatino Linotype" w:hAnsi="Palatino Linotype" w:cs="Arial"/>
        </w:rPr>
        <w:t>, de la cual se desprende que el cinco de mayo de dos mil veintidós, el DIF Tecámac llevó a cabo la celebración del día del niño del Albergue “</w:t>
      </w:r>
      <w:proofErr w:type="spellStart"/>
      <w:r w:rsidRPr="00B46FBB">
        <w:rPr>
          <w:rFonts w:ascii="Palatino Linotype" w:hAnsi="Palatino Linotype" w:cs="Arial"/>
        </w:rPr>
        <w:t>Ivanna</w:t>
      </w:r>
      <w:proofErr w:type="spellEnd"/>
      <w:r w:rsidRPr="00B46FBB">
        <w:rPr>
          <w:rFonts w:ascii="Palatino Linotype" w:hAnsi="Palatino Linotype" w:cs="Arial"/>
        </w:rPr>
        <w:t xml:space="preserve"> N”.</w:t>
      </w:r>
    </w:p>
    <w:p w:rsidR="009B7BFD" w:rsidRPr="00B46FBB" w:rsidRDefault="009B7BFD" w:rsidP="009B7BFD">
      <w:pPr>
        <w:pStyle w:val="Prrafodelista"/>
        <w:spacing w:line="360" w:lineRule="auto"/>
        <w:ind w:left="720"/>
        <w:jc w:val="both"/>
        <w:rPr>
          <w:rFonts w:ascii="Palatino Linotype" w:hAnsi="Palatino Linotype" w:cs="Arial"/>
          <w:b/>
          <w:i/>
        </w:rPr>
      </w:pPr>
    </w:p>
    <w:p w:rsidR="009B7BFD" w:rsidRPr="00B46FBB" w:rsidRDefault="009B7BFD" w:rsidP="009B7BFD">
      <w:pPr>
        <w:pStyle w:val="Prrafodelista"/>
        <w:numPr>
          <w:ilvl w:val="0"/>
          <w:numId w:val="29"/>
        </w:numPr>
        <w:spacing w:line="360" w:lineRule="auto"/>
        <w:jc w:val="both"/>
        <w:rPr>
          <w:rFonts w:ascii="Palatino Linotype" w:hAnsi="Palatino Linotype" w:cs="Arial"/>
          <w:b/>
          <w:i/>
        </w:rPr>
      </w:pPr>
      <w:r w:rsidRPr="00B46FBB">
        <w:rPr>
          <w:rFonts w:ascii="Palatino Linotype" w:hAnsi="Palatino Linotype" w:cs="Arial"/>
          <w:b/>
          <w:i/>
        </w:rPr>
        <w:t xml:space="preserve">“Brinda el Centro Permanente para Adultos Mayores cuidados a los abuelitos en abandono”: </w:t>
      </w:r>
      <w:r w:rsidRPr="00B46FBB">
        <w:rPr>
          <w:rFonts w:ascii="Palatino Linotype" w:hAnsi="Palatino Linotype" w:cs="Arial"/>
        </w:rPr>
        <w:t xml:space="preserve">Localizada en la página electrónica </w:t>
      </w:r>
      <w:hyperlink r:id="rId11" w:history="1">
        <w:r w:rsidRPr="00B46FBB">
          <w:rPr>
            <w:rStyle w:val="Hipervnculo"/>
            <w:rFonts w:ascii="Palatino Linotype" w:hAnsi="Palatino Linotype" w:cs="Arial"/>
          </w:rPr>
          <w:t>https://dif.tecamac.gob.mx/Eventos</w:t>
        </w:r>
      </w:hyperlink>
      <w:r w:rsidRPr="00B46FBB">
        <w:rPr>
          <w:rFonts w:ascii="Palatino Linotype" w:hAnsi="Palatino Linotype" w:cs="Arial"/>
        </w:rPr>
        <w:t xml:space="preserve">, de la cual se desprende que en Tecámac de Felipe Villanueva, 14 de enero 2022. El Centro de Atención Permanente para Adultos Mayores </w:t>
      </w:r>
      <w:r w:rsidRPr="00B46FBB">
        <w:rPr>
          <w:rFonts w:ascii="Palatino Linotype" w:hAnsi="Palatino Linotype" w:cs="Arial"/>
          <w:i/>
        </w:rPr>
        <w:t>“</w:t>
      </w:r>
      <w:proofErr w:type="spellStart"/>
      <w:r w:rsidRPr="00B46FBB">
        <w:rPr>
          <w:rFonts w:ascii="Palatino Linotype" w:hAnsi="Palatino Linotype" w:cs="Arial"/>
          <w:i/>
        </w:rPr>
        <w:t>Ikram</w:t>
      </w:r>
      <w:proofErr w:type="spellEnd"/>
      <w:r w:rsidRPr="00B46FBB">
        <w:rPr>
          <w:rFonts w:ascii="Palatino Linotype" w:hAnsi="Palatino Linotype" w:cs="Arial"/>
          <w:i/>
        </w:rPr>
        <w:t xml:space="preserve"> </w:t>
      </w:r>
      <w:proofErr w:type="spellStart"/>
      <w:r w:rsidRPr="00B46FBB">
        <w:rPr>
          <w:rFonts w:ascii="Palatino Linotype" w:hAnsi="Palatino Linotype" w:cs="Arial"/>
          <w:i/>
        </w:rPr>
        <w:t>Antaki</w:t>
      </w:r>
      <w:proofErr w:type="spellEnd"/>
      <w:r w:rsidRPr="00B46FBB">
        <w:rPr>
          <w:rFonts w:ascii="Palatino Linotype" w:hAnsi="Palatino Linotype" w:cs="Arial"/>
          <w:i/>
        </w:rPr>
        <w:t>”</w:t>
      </w:r>
      <w:r w:rsidRPr="00B46FBB">
        <w:rPr>
          <w:rFonts w:ascii="Palatino Linotype" w:hAnsi="Palatino Linotype" w:cs="Arial"/>
        </w:rPr>
        <w:t>, que está a cargo del sistema DIF de Tecámac atiende actualmente 27 abuelitos, que por diferentes motivos se encuentran en situación de abandono por parte de sus familiares.</w:t>
      </w:r>
    </w:p>
    <w:p w:rsidR="00B27C8F" w:rsidRPr="00B46FBB" w:rsidRDefault="00B27C8F" w:rsidP="00B27C8F">
      <w:pPr>
        <w:spacing w:line="360" w:lineRule="auto"/>
        <w:jc w:val="both"/>
        <w:rPr>
          <w:rFonts w:ascii="Palatino Linotype" w:hAnsi="Palatino Linotype" w:cs="Arial"/>
          <w:b/>
          <w:i/>
        </w:rPr>
      </w:pPr>
    </w:p>
    <w:p w:rsidR="00B27C8F" w:rsidRPr="00B46FBB" w:rsidRDefault="00B27C8F" w:rsidP="00B27C8F">
      <w:pPr>
        <w:spacing w:line="360" w:lineRule="auto"/>
        <w:jc w:val="both"/>
        <w:rPr>
          <w:rFonts w:ascii="Palatino Linotype" w:eastAsiaTheme="minorHAnsi" w:hAnsi="Palatino Linotype" w:cstheme="minorBidi"/>
          <w:color w:val="222222"/>
          <w:lang w:val="es-MX" w:eastAsia="es-MX"/>
        </w:rPr>
      </w:pPr>
      <w:r w:rsidRPr="00B46FBB">
        <w:rPr>
          <w:rFonts w:ascii="Palatino Linotype" w:eastAsiaTheme="minorHAnsi" w:hAnsi="Palatino Linotype" w:cstheme="minorBidi"/>
          <w:color w:val="222222"/>
          <w:lang w:val="es-MX" w:eastAsia="es-MX"/>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B46FBB">
        <w:rPr>
          <w:rFonts w:ascii="Palatino Linotype" w:eastAsiaTheme="minorHAnsi" w:hAnsi="Palatino Linotype" w:cstheme="minorBidi"/>
          <w:b/>
          <w:bCs/>
          <w:i/>
          <w:iCs/>
          <w:color w:val="222222"/>
          <w:lang w:val="es-MX" w:eastAsia="es-MX"/>
        </w:rPr>
        <w:t>“NOTAS PERIODISTICAS, EL CONOCIMIENTO QUE DE ELLAS SE OBTIENE NO CONSTITUYE ‘UN HECHO PUBLICO Y NOTORIO’”</w:t>
      </w:r>
      <w:r w:rsidRPr="00B46FBB">
        <w:rPr>
          <w:rFonts w:ascii="Palatino Linotype" w:eastAsiaTheme="minorHAnsi" w:hAnsi="Palatino Linotype" w:cstheme="minorBidi"/>
          <w:color w:val="222222"/>
          <w:lang w:val="es-MX" w:eastAsia="es-MX"/>
        </w:rPr>
        <w:t xml:space="preserve"> en la que se señala que el hecho de que el público lector </w:t>
      </w:r>
      <w:r w:rsidRPr="00B46FBB">
        <w:rPr>
          <w:rFonts w:ascii="Palatino Linotype" w:eastAsiaTheme="minorHAnsi" w:hAnsi="Palatino Linotype" w:cstheme="minorBidi"/>
          <w:color w:val="222222"/>
          <w:lang w:val="es-MX" w:eastAsia="es-MX"/>
        </w:rPr>
        <w:lastRenderedPageBreak/>
        <w:t>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rsidR="00B27C8F" w:rsidRPr="00B46FBB" w:rsidRDefault="00B27C8F" w:rsidP="00B27C8F">
      <w:pPr>
        <w:tabs>
          <w:tab w:val="left" w:pos="4962"/>
        </w:tabs>
        <w:spacing w:line="360" w:lineRule="auto"/>
        <w:ind w:right="539"/>
        <w:jc w:val="both"/>
        <w:rPr>
          <w:rFonts w:ascii="Palatino Linotype" w:eastAsiaTheme="minorHAnsi" w:hAnsi="Palatino Linotype" w:cs="Open Sans"/>
          <w:color w:val="333333"/>
          <w:szCs w:val="22"/>
          <w:lang w:val="es-MX" w:eastAsia="es-MX"/>
        </w:rPr>
      </w:pPr>
    </w:p>
    <w:p w:rsidR="009B7BFD" w:rsidRPr="00B46FBB" w:rsidRDefault="00B27C8F" w:rsidP="00563B39">
      <w:pPr>
        <w:spacing w:line="360" w:lineRule="auto"/>
        <w:jc w:val="both"/>
        <w:rPr>
          <w:rFonts w:ascii="Palatino Linotype" w:eastAsiaTheme="minorHAnsi" w:hAnsi="Palatino Linotype" w:cstheme="minorBidi"/>
          <w:b/>
          <w:bCs/>
          <w:color w:val="222222"/>
          <w:lang w:val="es-MX" w:eastAsia="es-MX"/>
        </w:rPr>
      </w:pPr>
      <w:r w:rsidRPr="00B46FBB">
        <w:rPr>
          <w:rFonts w:ascii="Palatino Linotype" w:eastAsiaTheme="minorHAnsi" w:hAnsi="Palatino Linotype" w:cstheme="minorBidi"/>
          <w:color w:val="222222"/>
          <w:lang w:val="es-MX" w:eastAsia="es-MX"/>
        </w:rPr>
        <w:t>De tal situación, lo consignado en las notas periodísticas no constituye un hecho público o notorio, sino que es una opinión de su autor, por lo que sólo se pueden tomar como </w:t>
      </w:r>
      <w:r w:rsidRPr="00B46FBB">
        <w:rPr>
          <w:rFonts w:ascii="Palatino Linotype" w:eastAsiaTheme="minorHAnsi" w:hAnsi="Palatino Linotype" w:cstheme="minorBidi"/>
          <w:b/>
          <w:bCs/>
          <w:color w:val="222222"/>
          <w:lang w:val="es-MX" w:eastAsia="es-MX"/>
        </w:rPr>
        <w:t>indicios.</w:t>
      </w:r>
    </w:p>
    <w:p w:rsidR="00B27C8F" w:rsidRPr="00B46FBB" w:rsidRDefault="00B27C8F" w:rsidP="00563B39">
      <w:pPr>
        <w:spacing w:line="360" w:lineRule="auto"/>
        <w:jc w:val="both"/>
        <w:rPr>
          <w:rFonts w:ascii="Palatino Linotype" w:eastAsiaTheme="minorHAnsi" w:hAnsi="Palatino Linotype" w:cstheme="minorBidi"/>
          <w:b/>
          <w:bCs/>
          <w:color w:val="222222"/>
          <w:lang w:val="es-MX" w:eastAsia="es-MX"/>
        </w:rPr>
      </w:pPr>
    </w:p>
    <w:p w:rsidR="00563B39" w:rsidRPr="00B46FBB" w:rsidRDefault="00B27C8F" w:rsidP="00563B39">
      <w:pPr>
        <w:spacing w:line="360" w:lineRule="auto"/>
        <w:jc w:val="both"/>
        <w:rPr>
          <w:rFonts w:ascii="Palatino Linotype" w:hAnsi="Palatino Linotype"/>
        </w:rPr>
      </w:pPr>
      <w:r w:rsidRPr="00B46FBB">
        <w:rPr>
          <w:rFonts w:ascii="Palatino Linotype" w:hAnsi="Palatino Linotype" w:cs="Arial"/>
        </w:rPr>
        <w:t>Por lo que e</w:t>
      </w:r>
      <w:r w:rsidR="00FC0DAE" w:rsidRPr="00B46FBB">
        <w:rPr>
          <w:rFonts w:ascii="Palatino Linotype" w:hAnsi="Palatino Linotype" w:cs="Arial"/>
        </w:rPr>
        <w:t xml:space="preserve">n ese sentido, </w:t>
      </w:r>
      <w:r w:rsidR="00563B39" w:rsidRPr="00B46FBB">
        <w:rPr>
          <w:rFonts w:ascii="Palatino Linotype" w:eastAsiaTheme="majorEastAsia" w:hAnsi="Palatino Linotype" w:cstheme="majorBidi"/>
          <w:b/>
        </w:rPr>
        <w:t>para efectos de la materia de transparencia y acceso a la información pública</w:t>
      </w:r>
      <w:r w:rsidR="00563B39" w:rsidRPr="00B46FBB">
        <w:rPr>
          <w:rFonts w:ascii="Palatino Linotype" w:eastAsiaTheme="majorEastAsia" w:hAnsi="Palatino Linotype" w:cstheme="majorBidi"/>
        </w:rPr>
        <w:t xml:space="preserve">, no debe dejar de observarse que, </w:t>
      </w:r>
      <w:r w:rsidR="00563B39" w:rsidRPr="00B46FBB">
        <w:rPr>
          <w:rFonts w:ascii="Palatino Linotype" w:eastAsia="Calibri" w:hAnsi="Palatino Linotype" w:cs="Arial"/>
          <w:lang w:eastAsia="es-MX"/>
        </w:rPr>
        <w:t xml:space="preserve">en fecha 14 de octubre de 2020, se publicó en el Periódico Oficial “Gaceta del Gobierno”, el </w:t>
      </w:r>
      <w:r w:rsidR="00563B39" w:rsidRPr="00B46FBB">
        <w:rPr>
          <w:rFonts w:ascii="Palatino Linotype" w:hAnsi="Palatino Linotype"/>
        </w:rPr>
        <w:t xml:space="preserve">Acuerdo mediante el cual el Pleno del Instituto de Transparencia, Acceso a la Información Pública y Protección de Datos Personales del Estado de México y Municipios, aprueba el </w:t>
      </w:r>
      <w:r w:rsidR="00563B39" w:rsidRPr="00B46FBB">
        <w:rPr>
          <w:rFonts w:ascii="Palatino Linotype" w:hAnsi="Palatino Linotype"/>
          <w:b/>
        </w:rPr>
        <w:t>Padrón de Sujetos Obligados en Materia de Transparencia y Acceso a la Información Pública del Estado de México y Municipios</w:t>
      </w:r>
      <w:r w:rsidR="00563B39" w:rsidRPr="00B46FBB">
        <w:rPr>
          <w:rFonts w:ascii="Palatino Linotype" w:hAnsi="Palatino Linotype"/>
        </w:rPr>
        <w:t>, el cual entró en vigor al día siguiente de su publicación; esto es, el 15 de octubre de 2020.</w:t>
      </w:r>
      <w:r w:rsidR="00563B39" w:rsidRPr="00B46FBB">
        <w:rPr>
          <w:rFonts w:ascii="Palatino Linotype" w:hAnsi="Palatino Linotype"/>
          <w:vertAlign w:val="superscript"/>
        </w:rPr>
        <w:footnoteReference w:id="2"/>
      </w:r>
    </w:p>
    <w:p w:rsidR="00FC0DAE" w:rsidRPr="00B46FBB" w:rsidRDefault="00FC0DAE" w:rsidP="00FC0DAE">
      <w:pPr>
        <w:spacing w:line="360" w:lineRule="auto"/>
        <w:jc w:val="both"/>
        <w:rPr>
          <w:rFonts w:ascii="Palatino Linotype" w:hAnsi="Palatino Linotype"/>
        </w:rPr>
      </w:pPr>
    </w:p>
    <w:p w:rsidR="00FC0DAE" w:rsidRPr="00B46FBB" w:rsidRDefault="00FC0DAE" w:rsidP="00FC0DAE">
      <w:pPr>
        <w:spacing w:line="360" w:lineRule="auto"/>
        <w:jc w:val="both"/>
        <w:rPr>
          <w:rFonts w:ascii="Palatino Linotype" w:hAnsi="Palatino Linotype"/>
        </w:rPr>
      </w:pPr>
      <w:r w:rsidRPr="00B46FBB">
        <w:rPr>
          <w:rFonts w:ascii="Palatino Linotype" w:hAnsi="Palatino Linotype"/>
        </w:rPr>
        <w:t>Dicho Padrón permite identificar plenamente a los Suje</w:t>
      </w:r>
      <w:r w:rsidR="00563B39" w:rsidRPr="00B46FBB">
        <w:rPr>
          <w:rFonts w:ascii="Palatino Linotype" w:hAnsi="Palatino Linotype"/>
        </w:rPr>
        <w:t xml:space="preserve">tos Obligados que deben cumplir </w:t>
      </w:r>
      <w:r w:rsidRPr="00B46FBB">
        <w:rPr>
          <w:rFonts w:ascii="Palatino Linotype" w:hAnsi="Palatino Linotype"/>
        </w:rPr>
        <w:t xml:space="preserve">con las obligaciones, procesos, procedimientos, y responsabilidades establecidas tanto en la Ley General de Transparencia como en la Ley de Transparencia </w:t>
      </w:r>
      <w:r w:rsidRPr="00B46FBB">
        <w:rPr>
          <w:rFonts w:ascii="Palatino Linotype" w:hAnsi="Palatino Linotype"/>
        </w:rPr>
        <w:lastRenderedPageBreak/>
        <w:t xml:space="preserve">y Acceso a la Información Pública de nuestra entidad y por este Organismo Garante, en los términos que las mismas determinen. </w:t>
      </w:r>
    </w:p>
    <w:p w:rsidR="00FC0DAE" w:rsidRPr="00B46FBB" w:rsidRDefault="00FC0DAE" w:rsidP="00B309E3">
      <w:pPr>
        <w:spacing w:line="360" w:lineRule="auto"/>
        <w:jc w:val="both"/>
        <w:rPr>
          <w:rFonts w:ascii="Palatino Linotype" w:hAnsi="Palatino Linotype" w:cs="Arial"/>
          <w:lang w:eastAsia="es-MX"/>
        </w:rPr>
      </w:pPr>
    </w:p>
    <w:p w:rsidR="00563B39" w:rsidRPr="00B46FBB" w:rsidRDefault="00563B39" w:rsidP="00563B39">
      <w:pPr>
        <w:spacing w:line="360" w:lineRule="auto"/>
        <w:jc w:val="both"/>
        <w:rPr>
          <w:rFonts w:ascii="Palatino Linotype" w:hAnsi="Palatino Linotype"/>
        </w:rPr>
      </w:pPr>
      <w:r w:rsidRPr="00B46FBB">
        <w:rPr>
          <w:rFonts w:ascii="Palatino Linotype" w:hAnsi="Palatino Linotype"/>
        </w:rPr>
        <w:t xml:space="preserve">Así, de dicho ordenamiento normativo, se advierte como </w:t>
      </w:r>
      <w:r w:rsidRPr="00B46FBB">
        <w:rPr>
          <w:rFonts w:ascii="Palatino Linotype" w:hAnsi="Palatino Linotype"/>
          <w:b/>
        </w:rPr>
        <w:t xml:space="preserve">Sujetos Obligados </w:t>
      </w:r>
      <w:r w:rsidR="00B27C8F" w:rsidRPr="00B46FBB">
        <w:rPr>
          <w:rFonts w:ascii="Palatino Linotype" w:hAnsi="Palatino Linotype"/>
        </w:rPr>
        <w:t>distintos al</w:t>
      </w:r>
      <w:r w:rsidR="00C46731" w:rsidRPr="00B46FBB">
        <w:rPr>
          <w:rFonts w:ascii="Palatino Linotype" w:hAnsi="Palatino Linotype"/>
        </w:rPr>
        <w:t xml:space="preserve"> </w:t>
      </w:r>
      <w:r w:rsidR="00B27C8F" w:rsidRPr="00B46FBB">
        <w:rPr>
          <w:rFonts w:ascii="Palatino Linotype" w:hAnsi="Palatino Linotype"/>
          <w:b/>
        </w:rPr>
        <w:t>Ayuntamiento de Tecámac</w:t>
      </w:r>
      <w:r w:rsidRPr="00B46FBB">
        <w:rPr>
          <w:rFonts w:ascii="Palatino Linotype" w:hAnsi="Palatino Linotype"/>
        </w:rPr>
        <w:t xml:space="preserve">, como parte de la </w:t>
      </w:r>
      <w:r w:rsidR="00C46731" w:rsidRPr="00B46FBB">
        <w:rPr>
          <w:rFonts w:ascii="Palatino Linotype" w:hAnsi="Palatino Linotype"/>
        </w:rPr>
        <w:t xml:space="preserve">Administración Pública </w:t>
      </w:r>
      <w:r w:rsidR="00B27C8F" w:rsidRPr="00B46FBB">
        <w:rPr>
          <w:rFonts w:ascii="Palatino Linotype" w:hAnsi="Palatino Linotype"/>
        </w:rPr>
        <w:t>Municipal y al</w:t>
      </w:r>
      <w:r w:rsidRPr="00B46FBB">
        <w:rPr>
          <w:rFonts w:ascii="Palatino Linotype" w:hAnsi="Palatino Linotype"/>
        </w:rPr>
        <w:t xml:space="preserve"> </w:t>
      </w:r>
      <w:r w:rsidR="00B27C8F" w:rsidRPr="00B46FBB">
        <w:rPr>
          <w:rFonts w:ascii="Palatino Linotype" w:hAnsi="Palatino Linotype"/>
          <w:b/>
        </w:rPr>
        <w:t>Sistema Municipal para el Desarrollo Integral de la Familia</w:t>
      </w:r>
      <w:r w:rsidRPr="00B46FBB">
        <w:rPr>
          <w:rFonts w:ascii="Palatino Linotype" w:eastAsia="Calibri" w:hAnsi="Palatino Linotype"/>
        </w:rPr>
        <w:t>,</w:t>
      </w:r>
      <w:r w:rsidR="00B27C8F" w:rsidRPr="00B46FBB">
        <w:rPr>
          <w:rFonts w:ascii="Palatino Linotype" w:hAnsi="Palatino Linotype"/>
        </w:rPr>
        <w:t xml:space="preserve"> como parte de los</w:t>
      </w:r>
      <w:r w:rsidRPr="00B46FBB">
        <w:rPr>
          <w:rFonts w:ascii="Palatino Linotype" w:hAnsi="Palatino Linotype"/>
        </w:rPr>
        <w:t xml:space="preserve"> </w:t>
      </w:r>
      <w:r w:rsidR="00B27C8F" w:rsidRPr="00B46FBB">
        <w:rPr>
          <w:rFonts w:ascii="Palatino Linotype" w:hAnsi="Palatino Linotype"/>
        </w:rPr>
        <w:t>Organismos Descentralizados Municipales</w:t>
      </w:r>
      <w:r w:rsidRPr="00B46FBB">
        <w:rPr>
          <w:rFonts w:ascii="Palatino Linotype" w:hAnsi="Palatino Linotype"/>
        </w:rPr>
        <w:t xml:space="preserve">, </w:t>
      </w:r>
      <w:r w:rsidRPr="00B46FBB">
        <w:rPr>
          <w:rFonts w:ascii="Palatino Linotype" w:eastAsia="Calibri" w:hAnsi="Palatino Linotype"/>
        </w:rPr>
        <w:t xml:space="preserve">sin que las modificaciones al Padrón publicadas en la Gaceta del Gobierno, en fechas 27 de noviembre de 2017, 23 de enero de 2019, 07 de agosto de 2019 y 14 de octubre de 2020, modificaran dicha situación, </w:t>
      </w:r>
      <w:r w:rsidRPr="00B46FBB">
        <w:rPr>
          <w:rFonts w:ascii="Palatino Linotype" w:hAnsi="Palatino Linotype"/>
        </w:rPr>
        <w:t>como se muestra a continuación:</w:t>
      </w:r>
    </w:p>
    <w:p w:rsidR="00563B39" w:rsidRPr="00B46FBB" w:rsidRDefault="00563B39" w:rsidP="00B309E3">
      <w:pPr>
        <w:spacing w:line="360" w:lineRule="auto"/>
        <w:jc w:val="both"/>
        <w:rPr>
          <w:rFonts w:ascii="Palatino Linotype" w:hAnsi="Palatino Linotype" w:cs="Arial"/>
          <w:lang w:eastAsia="es-MX"/>
        </w:rPr>
      </w:pPr>
    </w:p>
    <w:p w:rsidR="00563B39" w:rsidRPr="00B46FBB" w:rsidRDefault="00563B39" w:rsidP="00563B39">
      <w:pPr>
        <w:jc w:val="center"/>
        <w:rPr>
          <w:rFonts w:eastAsia="Calibri"/>
          <w:noProof/>
          <w:lang w:eastAsia="es-MX"/>
        </w:rPr>
      </w:pPr>
      <w:r w:rsidRPr="00B46FBB">
        <w:rPr>
          <w:noProof/>
          <w:lang w:val="es-MX" w:eastAsia="es-MX"/>
        </w:rPr>
        <w:drawing>
          <wp:inline distT="0" distB="0" distL="0" distR="0" wp14:anchorId="30FB0735" wp14:editId="29504888">
            <wp:extent cx="5791835" cy="281305"/>
            <wp:effectExtent l="95250" t="95250" r="75565" b="1949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8130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563B39" w:rsidRPr="00B46FBB" w:rsidRDefault="00563B39" w:rsidP="00563B39">
      <w:pPr>
        <w:jc w:val="center"/>
        <w:rPr>
          <w:rFonts w:eastAsia="Calibri"/>
          <w:noProof/>
          <w:lang w:eastAsia="es-MX"/>
        </w:rPr>
      </w:pPr>
      <w:r w:rsidRPr="00B46FBB">
        <w:rPr>
          <w:rFonts w:eastAsia="Calibri"/>
          <w:noProof/>
          <w:lang w:eastAsia="es-MX"/>
        </w:rPr>
        <w:t>[…]</w:t>
      </w:r>
    </w:p>
    <w:p w:rsidR="00563B39" w:rsidRPr="00B46FBB" w:rsidRDefault="00B27C8F" w:rsidP="00563B39">
      <w:pPr>
        <w:jc w:val="center"/>
        <w:rPr>
          <w:rFonts w:eastAsia="Calibri"/>
          <w:noProof/>
          <w:lang w:eastAsia="es-MX"/>
        </w:rPr>
      </w:pPr>
      <w:r w:rsidRPr="00B46FBB">
        <w:rPr>
          <w:rFonts w:eastAsia="Calibri"/>
          <w:noProof/>
          <w:lang w:val="es-MX" w:eastAsia="es-MX"/>
        </w:rPr>
        <w:drawing>
          <wp:inline distT="0" distB="0" distL="0" distR="0">
            <wp:extent cx="5760720" cy="274320"/>
            <wp:effectExtent l="76200" t="95250" r="87630" b="1828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74320"/>
                    </a:xfrm>
                    <a:prstGeom prst="roundRect">
                      <a:avLst>
                        <a:gd name="adj" fmla="val 4167"/>
                      </a:avLst>
                    </a:prstGeom>
                    <a:solidFill>
                      <a:srgbClr val="FFFFFF"/>
                    </a:solidFill>
                    <a:ln w="76200" cap="sq">
                      <a:solidFill>
                        <a:schemeClr val="tx1">
                          <a:lumMod val="50000"/>
                          <a:lumOff val="50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563B39" w:rsidRPr="00B46FBB" w:rsidRDefault="00563B39" w:rsidP="00563B39">
      <w:pPr>
        <w:jc w:val="center"/>
        <w:rPr>
          <w:rFonts w:eastAsia="Calibri"/>
          <w:noProof/>
          <w:lang w:eastAsia="es-MX"/>
        </w:rPr>
      </w:pPr>
      <w:r w:rsidRPr="00B46FBB">
        <w:rPr>
          <w:rFonts w:eastAsia="Calibri"/>
          <w:noProof/>
          <w:lang w:eastAsia="es-MX"/>
        </w:rPr>
        <w:t>[…]</w:t>
      </w:r>
    </w:p>
    <w:p w:rsidR="00563B39" w:rsidRPr="00B46FBB" w:rsidRDefault="00B27C8F" w:rsidP="00563B39">
      <w:pPr>
        <w:jc w:val="center"/>
        <w:rPr>
          <w:rFonts w:eastAsia="Calibri"/>
          <w:noProof/>
          <w:lang w:eastAsia="es-MX"/>
        </w:rPr>
      </w:pPr>
      <w:r w:rsidRPr="00B46FBB">
        <w:rPr>
          <w:rFonts w:eastAsia="Calibri"/>
          <w:noProof/>
          <w:lang w:val="es-MX" w:eastAsia="es-MX"/>
        </w:rPr>
        <w:drawing>
          <wp:inline distT="0" distB="0" distL="0" distR="0">
            <wp:extent cx="5788660" cy="246380"/>
            <wp:effectExtent l="76200" t="95250" r="78740" b="1727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8660" cy="246380"/>
                    </a:xfrm>
                    <a:prstGeom prst="roundRect">
                      <a:avLst>
                        <a:gd name="adj" fmla="val 4167"/>
                      </a:avLst>
                    </a:prstGeom>
                    <a:solidFill>
                      <a:srgbClr val="FFFFFF"/>
                    </a:solidFill>
                    <a:ln w="76200" cap="sq">
                      <a:solidFill>
                        <a:schemeClr val="tx1">
                          <a:lumMod val="65000"/>
                          <a:lumOff val="35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563B39" w:rsidRPr="00B46FBB" w:rsidRDefault="00563B39" w:rsidP="00563B39">
      <w:pPr>
        <w:jc w:val="center"/>
        <w:rPr>
          <w:rFonts w:eastAsia="Calibri"/>
          <w:noProof/>
          <w:lang w:eastAsia="es-MX"/>
        </w:rPr>
      </w:pPr>
      <w:r w:rsidRPr="00B46FBB">
        <w:rPr>
          <w:rFonts w:eastAsia="Calibri"/>
          <w:noProof/>
          <w:lang w:eastAsia="es-MX"/>
        </w:rPr>
        <w:t>[…]</w:t>
      </w:r>
    </w:p>
    <w:p w:rsidR="00563B39" w:rsidRPr="00B46FBB" w:rsidRDefault="00B27C8F" w:rsidP="00563B39">
      <w:pPr>
        <w:jc w:val="center"/>
        <w:rPr>
          <w:rFonts w:eastAsia="Calibri"/>
          <w:noProof/>
          <w:lang w:eastAsia="es-MX"/>
        </w:rPr>
      </w:pPr>
      <w:r w:rsidRPr="00B46FBB">
        <w:rPr>
          <w:rFonts w:eastAsia="Calibri"/>
          <w:noProof/>
          <w:lang w:val="es-MX" w:eastAsia="es-MX"/>
        </w:rPr>
        <w:drawing>
          <wp:inline distT="0" distB="0" distL="0" distR="0">
            <wp:extent cx="5788660" cy="262255"/>
            <wp:effectExtent l="76200" t="95250" r="97790" b="1758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8660" cy="262255"/>
                    </a:xfrm>
                    <a:prstGeom prst="roundRect">
                      <a:avLst>
                        <a:gd name="adj" fmla="val 4167"/>
                      </a:avLst>
                    </a:prstGeom>
                    <a:solidFill>
                      <a:srgbClr val="FFFFFF"/>
                    </a:solidFill>
                    <a:ln w="76200" cap="sq">
                      <a:solidFill>
                        <a:schemeClr val="tx1">
                          <a:lumMod val="50000"/>
                          <a:lumOff val="50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563B39" w:rsidRPr="00B46FBB" w:rsidRDefault="00563B39" w:rsidP="00563B39">
      <w:pPr>
        <w:jc w:val="center"/>
        <w:rPr>
          <w:rFonts w:eastAsia="Calibri"/>
          <w:noProof/>
          <w:lang w:eastAsia="es-MX"/>
        </w:rPr>
      </w:pPr>
      <w:r w:rsidRPr="00B46FBB">
        <w:rPr>
          <w:rFonts w:eastAsia="Calibri"/>
          <w:noProof/>
          <w:lang w:eastAsia="es-MX"/>
        </w:rPr>
        <w:t>[…]</w:t>
      </w:r>
    </w:p>
    <w:p w:rsidR="00563B39" w:rsidRPr="00B46FBB" w:rsidRDefault="00B27C8F" w:rsidP="00563B39">
      <w:pPr>
        <w:jc w:val="center"/>
        <w:rPr>
          <w:rFonts w:eastAsia="Calibri"/>
          <w:noProof/>
          <w:lang w:eastAsia="es-MX"/>
        </w:rPr>
      </w:pPr>
      <w:r w:rsidRPr="00B46FBB">
        <w:rPr>
          <w:rFonts w:eastAsia="Calibri"/>
          <w:noProof/>
          <w:lang w:val="es-MX" w:eastAsia="es-MX"/>
        </w:rPr>
        <w:drawing>
          <wp:inline distT="0" distB="0" distL="0" distR="0">
            <wp:extent cx="5788660" cy="262255"/>
            <wp:effectExtent l="76200" t="95250" r="97790" b="17589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8660" cy="262255"/>
                    </a:xfrm>
                    <a:prstGeom prst="roundRect">
                      <a:avLst>
                        <a:gd name="adj" fmla="val 4167"/>
                      </a:avLst>
                    </a:prstGeom>
                    <a:solidFill>
                      <a:srgbClr val="FFFFFF"/>
                    </a:solidFill>
                    <a:ln w="76200" cap="sq">
                      <a:solidFill>
                        <a:schemeClr val="tx1">
                          <a:lumMod val="50000"/>
                          <a:lumOff val="50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563B39" w:rsidRPr="00B46FBB" w:rsidRDefault="00563B39" w:rsidP="00563B39">
      <w:pPr>
        <w:jc w:val="center"/>
        <w:rPr>
          <w:rFonts w:eastAsia="Calibri"/>
          <w:noProof/>
          <w:lang w:eastAsia="es-MX"/>
        </w:rPr>
      </w:pPr>
      <w:r w:rsidRPr="00B46FBB">
        <w:rPr>
          <w:rFonts w:eastAsia="Calibri"/>
          <w:noProof/>
          <w:lang w:eastAsia="es-MX"/>
        </w:rPr>
        <w:t>[…]</w:t>
      </w:r>
    </w:p>
    <w:p w:rsidR="00261BC7" w:rsidRPr="00B46FBB" w:rsidRDefault="00261BC7" w:rsidP="0029071C">
      <w:pPr>
        <w:spacing w:line="360" w:lineRule="auto"/>
        <w:jc w:val="both"/>
        <w:rPr>
          <w:rFonts w:ascii="Palatino Linotype" w:hAnsi="Palatino Linotype" w:cs="Arial"/>
          <w:lang w:eastAsia="es-MX"/>
        </w:rPr>
      </w:pPr>
    </w:p>
    <w:p w:rsidR="00255F1A" w:rsidRPr="00B46FBB" w:rsidRDefault="00255F1A" w:rsidP="00255F1A">
      <w:pPr>
        <w:spacing w:line="360" w:lineRule="auto"/>
        <w:jc w:val="both"/>
        <w:rPr>
          <w:rFonts w:ascii="Palatino Linotype" w:eastAsia="Calibri" w:hAnsi="Palatino Linotype"/>
        </w:rPr>
      </w:pPr>
      <w:r w:rsidRPr="00B46FBB">
        <w:rPr>
          <w:rFonts w:ascii="Palatino Linotype" w:eastAsia="Calibri" w:hAnsi="Palatino Linotype"/>
        </w:rPr>
        <w:t xml:space="preserve">En virtud de lo anterior, se advierte que la respuesta otorgada por </w:t>
      </w:r>
      <w:r w:rsidRPr="00B46FBB">
        <w:rPr>
          <w:rFonts w:ascii="Palatino Linotype" w:hAnsi="Palatino Linotype"/>
        </w:rPr>
        <w:t xml:space="preserve">el </w:t>
      </w:r>
      <w:r w:rsidRPr="00B46FBB">
        <w:rPr>
          <w:rFonts w:ascii="Palatino Linotype" w:hAnsi="Palatino Linotype"/>
          <w:b/>
        </w:rPr>
        <w:t>Sujeto Obligado</w:t>
      </w:r>
      <w:r w:rsidRPr="00B46FBB">
        <w:rPr>
          <w:rFonts w:ascii="Palatino Linotype" w:eastAsia="Calibri" w:hAnsi="Palatino Linotype"/>
        </w:rPr>
        <w:t xml:space="preserve"> no se encuentra debidamente fundada y motivada, pues la información requerida, </w:t>
      </w:r>
      <w:r w:rsidRPr="00B46FBB">
        <w:rPr>
          <w:rFonts w:ascii="Palatino Linotype" w:eastAsia="Calibri" w:hAnsi="Palatino Linotype"/>
        </w:rPr>
        <w:lastRenderedPageBreak/>
        <w:t xml:space="preserve">forma parte de la documentación que debe generar, poseer y administrar </w:t>
      </w:r>
      <w:r w:rsidR="001A1E5B" w:rsidRPr="00B46FBB">
        <w:rPr>
          <w:rFonts w:ascii="Palatino Linotype" w:eastAsia="Calibri" w:hAnsi="Palatino Linotype"/>
        </w:rPr>
        <w:t xml:space="preserve">el </w:t>
      </w:r>
      <w:r w:rsidRPr="00B46FBB">
        <w:rPr>
          <w:rFonts w:ascii="Palatino Linotype" w:eastAsia="Calibri" w:hAnsi="Palatino Linotype"/>
        </w:rPr>
        <w:t xml:space="preserve"> </w:t>
      </w:r>
      <w:r w:rsidR="001A1E5B" w:rsidRPr="00B46FBB">
        <w:rPr>
          <w:rFonts w:ascii="Palatino Linotype" w:hAnsi="Palatino Linotype"/>
          <w:b/>
        </w:rPr>
        <w:t>Sistema Municipal para el Desarrollo Integral de la Familia (DIF Tecámac)</w:t>
      </w:r>
      <w:r w:rsidRPr="00B46FBB">
        <w:rPr>
          <w:rFonts w:ascii="Palatino Linotype" w:hAnsi="Palatino Linotype" w:cs="Arial"/>
        </w:rPr>
        <w:t xml:space="preserve">, como </w:t>
      </w:r>
      <w:r w:rsidRPr="00B46FBB">
        <w:rPr>
          <w:rFonts w:ascii="Palatino Linotype" w:hAnsi="Palatino Linotype" w:cs="Arial"/>
          <w:b/>
        </w:rPr>
        <w:t xml:space="preserve">Sujeto Obligado </w:t>
      </w:r>
      <w:r w:rsidRPr="00B46FBB">
        <w:rPr>
          <w:rFonts w:ascii="Palatino Linotype" w:hAnsi="Palatino Linotype" w:cs="Arial"/>
        </w:rPr>
        <w:t>diverso</w:t>
      </w:r>
      <w:r w:rsidRPr="00B46FBB">
        <w:rPr>
          <w:rFonts w:ascii="Palatino Linotype" w:eastAsia="Calibri" w:hAnsi="Palatino Linotype"/>
        </w:rPr>
        <w:t xml:space="preserve">. </w:t>
      </w:r>
    </w:p>
    <w:p w:rsidR="00255F1A" w:rsidRPr="00B46FBB" w:rsidRDefault="00255F1A" w:rsidP="0029071C">
      <w:pPr>
        <w:spacing w:line="360" w:lineRule="auto"/>
        <w:jc w:val="both"/>
        <w:rPr>
          <w:rFonts w:ascii="Palatino Linotype" w:hAnsi="Palatino Linotype" w:cs="Arial"/>
          <w:lang w:eastAsia="es-MX"/>
        </w:rPr>
      </w:pPr>
    </w:p>
    <w:p w:rsidR="00255F1A" w:rsidRPr="00B46FBB" w:rsidRDefault="00255F1A" w:rsidP="00255F1A">
      <w:pPr>
        <w:spacing w:line="360" w:lineRule="auto"/>
        <w:jc w:val="both"/>
        <w:rPr>
          <w:rFonts w:ascii="Palatino Linotype" w:hAnsi="Palatino Linotype" w:cs="Arial"/>
          <w:color w:val="000000" w:themeColor="text1"/>
        </w:rPr>
      </w:pPr>
      <w:r w:rsidRPr="00B46FBB">
        <w:rPr>
          <w:rFonts w:ascii="Palatino Linotype" w:eastAsia="Calibri" w:hAnsi="Palatino Linotype"/>
        </w:rPr>
        <w:t xml:space="preserve">Por lo tanto, </w:t>
      </w:r>
      <w:r w:rsidRPr="00B46FBB">
        <w:rPr>
          <w:rFonts w:ascii="Palatino Linotype" w:hAnsi="Palatino Linotype" w:cs="Arial"/>
          <w:color w:val="000000" w:themeColor="text1"/>
        </w:rPr>
        <w:t xml:space="preserve">se dejan a salvo los derechos del </w:t>
      </w:r>
      <w:r w:rsidRPr="00B46FBB">
        <w:rPr>
          <w:rFonts w:ascii="Palatino Linotype" w:hAnsi="Palatino Linotype" w:cs="Arial"/>
          <w:b/>
          <w:color w:val="000000" w:themeColor="text1"/>
        </w:rPr>
        <w:t>Recurrente</w:t>
      </w:r>
      <w:r w:rsidRPr="00B46FBB">
        <w:rPr>
          <w:rFonts w:ascii="Palatino Linotype" w:hAnsi="Palatino Linotype" w:cs="Arial"/>
          <w:color w:val="000000" w:themeColor="text1"/>
        </w:rPr>
        <w:t xml:space="preserve">, a efecto de que formulen las solicitudes que considere pertinentes, ante el </w:t>
      </w:r>
      <w:r w:rsidRPr="00B46FBB">
        <w:rPr>
          <w:rFonts w:ascii="Palatino Linotype" w:hAnsi="Palatino Linotype" w:cs="Arial"/>
          <w:b/>
          <w:color w:val="000000" w:themeColor="text1"/>
        </w:rPr>
        <w:t>Sujeto Obligado</w:t>
      </w:r>
      <w:r w:rsidRPr="00B46FBB">
        <w:rPr>
          <w:rFonts w:ascii="Palatino Linotype" w:hAnsi="Palatino Linotype" w:cs="Arial"/>
          <w:color w:val="000000" w:themeColor="text1"/>
        </w:rPr>
        <w:t xml:space="preserve"> competente.</w:t>
      </w:r>
    </w:p>
    <w:p w:rsidR="00255F1A" w:rsidRPr="00B46FBB" w:rsidRDefault="00255F1A" w:rsidP="00255F1A">
      <w:pPr>
        <w:spacing w:line="360" w:lineRule="auto"/>
        <w:jc w:val="both"/>
        <w:rPr>
          <w:rFonts w:ascii="Palatino Linotype" w:eastAsia="Calibri" w:hAnsi="Palatino Linotype" w:cs="Arial"/>
        </w:rPr>
      </w:pPr>
    </w:p>
    <w:p w:rsidR="00255F1A" w:rsidRPr="00B46FBB" w:rsidRDefault="00255F1A" w:rsidP="00255F1A">
      <w:pPr>
        <w:spacing w:line="360" w:lineRule="auto"/>
        <w:jc w:val="both"/>
        <w:rPr>
          <w:rFonts w:ascii="Palatino Linotype" w:hAnsi="Palatino Linotype" w:cs="Arial"/>
        </w:rPr>
      </w:pPr>
      <w:r w:rsidRPr="00B46FBB">
        <w:rPr>
          <w:rFonts w:ascii="Palatino Linotype" w:eastAsia="Calibri" w:hAnsi="Palatino Linotype" w:cs="Arial"/>
        </w:rPr>
        <w:t>Dicho de otra forma, el</w:t>
      </w:r>
      <w:r w:rsidRPr="00B46FBB">
        <w:rPr>
          <w:rFonts w:ascii="Palatino Linotype" w:eastAsia="Calibri" w:hAnsi="Palatino Linotype" w:cs="Arial"/>
          <w:b/>
        </w:rPr>
        <w:t xml:space="preserve"> Sujeto Obligado</w:t>
      </w:r>
      <w:r w:rsidRPr="00B46FBB">
        <w:rPr>
          <w:rFonts w:ascii="Palatino Linotype" w:eastAsia="Calibri" w:hAnsi="Palatino Linotype" w:cs="Arial"/>
        </w:rPr>
        <w:t xml:space="preserve"> no se ajustó al contenido del diverso 167, de la Ley de Transparencia y Acceso a la Información Pública del Estado de México y Municipios, el cual establece que cuando las unidades de transparencia determinen la notoria incompetencia por parte delos sujetos obligados, dentro del ámbito de aplicación, para atender la solicitud de acceso a la </w:t>
      </w:r>
      <w:r w:rsidRPr="00B46FBB">
        <w:rPr>
          <w:rFonts w:ascii="Palatino Linotype" w:hAnsi="Palatino Linotype" w:cs="Arial"/>
        </w:rPr>
        <w:t xml:space="preserve">información, </w:t>
      </w:r>
      <w:r w:rsidRPr="00B46FBB">
        <w:rPr>
          <w:rFonts w:ascii="Palatino Linotype" w:hAnsi="Palatino Linotype" w:cs="Arial"/>
          <w:b/>
          <w:u w:val="single"/>
        </w:rPr>
        <w:t>deberán comunicarlo al solicitante, dentro de los tres días hábiles posteriores a la recepción de la solicitud y, en su caso orientar al solicitante, el o los sujetos obligados competentes</w:t>
      </w:r>
      <w:r w:rsidRPr="00B46FBB">
        <w:rPr>
          <w:rFonts w:ascii="Palatino Linotype" w:hAnsi="Palatino Linotype" w:cs="Arial"/>
        </w:rPr>
        <w:t xml:space="preserve">. </w:t>
      </w:r>
    </w:p>
    <w:p w:rsidR="00255F1A" w:rsidRPr="00B46FBB" w:rsidRDefault="00255F1A" w:rsidP="00255F1A">
      <w:pPr>
        <w:spacing w:line="360" w:lineRule="auto"/>
        <w:jc w:val="both"/>
        <w:rPr>
          <w:rFonts w:ascii="Palatino Linotype" w:hAnsi="Palatino Linotype" w:cs="Arial"/>
        </w:rPr>
      </w:pPr>
    </w:p>
    <w:p w:rsidR="00255F1A" w:rsidRPr="00B46FBB" w:rsidRDefault="00255F1A" w:rsidP="00255F1A">
      <w:pPr>
        <w:spacing w:line="360" w:lineRule="auto"/>
        <w:jc w:val="both"/>
        <w:rPr>
          <w:rFonts w:ascii="Palatino Linotype" w:eastAsia="Calibri" w:hAnsi="Palatino Linotype" w:cs="Arial"/>
        </w:rPr>
      </w:pPr>
      <w:r w:rsidRPr="00B46FBB">
        <w:rPr>
          <w:rFonts w:ascii="Palatino Linotype" w:hAnsi="Palatino Linotype" w:cs="Arial"/>
        </w:rPr>
        <w:t xml:space="preserve">Situación que no fue prevista por </w:t>
      </w:r>
      <w:r w:rsidRPr="00B46FBB">
        <w:rPr>
          <w:rFonts w:ascii="Palatino Linotype" w:hAnsi="Palatino Linotype" w:cs="Arial"/>
          <w:b/>
        </w:rPr>
        <w:t>El Sujeto Obligado</w:t>
      </w:r>
      <w:r w:rsidRPr="00B46FBB">
        <w:rPr>
          <w:rFonts w:ascii="Palatino Linotype" w:hAnsi="Palatino Linotype" w:cs="Arial"/>
        </w:rPr>
        <w:t xml:space="preserve">, ya que su respuesta fue proporcionada al </w:t>
      </w:r>
      <w:r w:rsidR="001A1E5B" w:rsidRPr="00B46FBB">
        <w:rPr>
          <w:rFonts w:ascii="Palatino Linotype" w:hAnsi="Palatino Linotype" w:cs="Arial"/>
          <w:b/>
          <w:i/>
        </w:rPr>
        <w:t>décimo quinto</w:t>
      </w:r>
      <w:r w:rsidRPr="00B46FBB">
        <w:rPr>
          <w:rFonts w:ascii="Palatino Linotype" w:hAnsi="Palatino Linotype" w:cs="Arial"/>
          <w:b/>
          <w:i/>
        </w:rPr>
        <w:t xml:space="preserve"> día hábil</w:t>
      </w:r>
      <w:r w:rsidRPr="00B46FBB">
        <w:rPr>
          <w:rFonts w:ascii="Palatino Linotype" w:hAnsi="Palatino Linotype" w:cs="Arial"/>
        </w:rPr>
        <w:t xml:space="preserve"> de aquel en el que tuvo conocimiento de la información.</w:t>
      </w:r>
    </w:p>
    <w:p w:rsidR="00255F1A" w:rsidRPr="00B46FBB" w:rsidRDefault="00255F1A" w:rsidP="00255F1A">
      <w:pPr>
        <w:spacing w:line="360" w:lineRule="auto"/>
        <w:jc w:val="both"/>
        <w:rPr>
          <w:rFonts w:ascii="Palatino Linotype" w:eastAsia="Calibri" w:hAnsi="Palatino Linotype" w:cs="Arial"/>
        </w:rPr>
      </w:pPr>
    </w:p>
    <w:p w:rsidR="00255F1A" w:rsidRPr="00B46FBB" w:rsidRDefault="00255F1A" w:rsidP="00255F1A">
      <w:pPr>
        <w:spacing w:line="360" w:lineRule="auto"/>
        <w:jc w:val="both"/>
        <w:rPr>
          <w:rFonts w:ascii="Palatino Linotype" w:eastAsia="Calibri" w:hAnsi="Palatino Linotype" w:cs="Arial"/>
        </w:rPr>
      </w:pPr>
      <w:r w:rsidRPr="00B46FBB">
        <w:rPr>
          <w:rFonts w:ascii="Palatino Linotype" w:eastAsia="Calibri" w:hAnsi="Palatino Linotype" w:cs="Arial"/>
        </w:rPr>
        <w:t xml:space="preserve">En consecuencia, el </w:t>
      </w:r>
      <w:r w:rsidRPr="00B46FBB">
        <w:rPr>
          <w:rFonts w:ascii="Palatino Linotype" w:eastAsia="Calibri" w:hAnsi="Palatino Linotype" w:cs="Arial"/>
          <w:b/>
        </w:rPr>
        <w:t>Sujeto Obligado</w:t>
      </w:r>
      <w:r w:rsidRPr="00B46FBB">
        <w:rPr>
          <w:rFonts w:ascii="Palatino Linotype" w:eastAsia="Calibri" w:hAnsi="Palatino Linotype" w:cs="Arial"/>
        </w:rPr>
        <w:t xml:space="preserve"> deberá atender el contenido del artículo 49, de la citada ley, para efectos de que sea declarada por parte del Comité de Transparencia la incompetencia a la que se hace referencia en la respuesta proporcionada:</w:t>
      </w:r>
    </w:p>
    <w:p w:rsidR="00255F1A" w:rsidRPr="00B46FBB" w:rsidRDefault="00255F1A" w:rsidP="00255F1A">
      <w:pPr>
        <w:pStyle w:val="Sinespaciado"/>
        <w:rPr>
          <w:rFonts w:ascii="Palatino Linotype" w:eastAsia="Calibri" w:hAnsi="Palatino Linotype"/>
        </w:rPr>
      </w:pPr>
    </w:p>
    <w:p w:rsidR="00255F1A" w:rsidRPr="00B46FBB" w:rsidRDefault="00255F1A" w:rsidP="00255F1A">
      <w:pPr>
        <w:autoSpaceDE w:val="0"/>
        <w:autoSpaceDN w:val="0"/>
        <w:adjustRightInd w:val="0"/>
        <w:ind w:left="567" w:right="616"/>
        <w:jc w:val="both"/>
        <w:rPr>
          <w:rFonts w:ascii="Palatino Linotype" w:hAnsi="Palatino Linotype" w:cs="Arial"/>
          <w:i/>
          <w:sz w:val="22"/>
        </w:rPr>
      </w:pPr>
      <w:r w:rsidRPr="00B46FBB">
        <w:rPr>
          <w:rFonts w:ascii="Palatino Linotype" w:hAnsi="Palatino Linotype" w:cs="Arial"/>
          <w:bCs/>
          <w:i/>
          <w:sz w:val="22"/>
        </w:rPr>
        <w:t>“</w:t>
      </w:r>
      <w:r w:rsidRPr="00B46FBB">
        <w:rPr>
          <w:rFonts w:ascii="Palatino Linotype" w:hAnsi="Palatino Linotype" w:cs="Arial"/>
          <w:b/>
          <w:bCs/>
          <w:i/>
          <w:sz w:val="22"/>
        </w:rPr>
        <w:t xml:space="preserve">Artículo 49. </w:t>
      </w:r>
      <w:r w:rsidRPr="00B46FBB">
        <w:rPr>
          <w:rFonts w:ascii="Palatino Linotype" w:hAnsi="Palatino Linotype" w:cs="Arial"/>
          <w:i/>
          <w:sz w:val="22"/>
        </w:rPr>
        <w:t>Los Comités de Transparencia tendrán las siguientes atribuciones:</w:t>
      </w:r>
    </w:p>
    <w:p w:rsidR="00255F1A" w:rsidRPr="00B46FBB" w:rsidRDefault="00255F1A" w:rsidP="00255F1A">
      <w:pPr>
        <w:autoSpaceDE w:val="0"/>
        <w:autoSpaceDN w:val="0"/>
        <w:adjustRightInd w:val="0"/>
        <w:ind w:left="567" w:right="616"/>
        <w:jc w:val="both"/>
        <w:rPr>
          <w:rFonts w:ascii="Palatino Linotype" w:hAnsi="Palatino Linotype" w:cs="Arial"/>
          <w:i/>
          <w:sz w:val="22"/>
        </w:rPr>
      </w:pPr>
      <w:r w:rsidRPr="00B46FBB">
        <w:rPr>
          <w:rFonts w:ascii="Palatino Linotype" w:hAnsi="Palatino Linotype" w:cs="Arial"/>
          <w:b/>
          <w:bCs/>
          <w:i/>
          <w:sz w:val="22"/>
        </w:rPr>
        <w:t xml:space="preserve">I. </w:t>
      </w:r>
      <w:r w:rsidRPr="00B46FBB">
        <w:rPr>
          <w:rFonts w:ascii="Palatino Linotype"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rsidR="00255F1A" w:rsidRPr="00B46FBB" w:rsidRDefault="00255F1A" w:rsidP="00255F1A">
      <w:pPr>
        <w:autoSpaceDE w:val="0"/>
        <w:autoSpaceDN w:val="0"/>
        <w:adjustRightInd w:val="0"/>
        <w:ind w:left="567" w:right="616"/>
        <w:jc w:val="both"/>
        <w:rPr>
          <w:rFonts w:ascii="Palatino Linotype" w:hAnsi="Palatino Linotype" w:cs="Arial"/>
          <w:b/>
          <w:bCs/>
          <w:i/>
          <w:sz w:val="22"/>
        </w:rPr>
      </w:pPr>
    </w:p>
    <w:p w:rsidR="00255F1A" w:rsidRPr="00B46FBB" w:rsidRDefault="00255F1A" w:rsidP="00255F1A">
      <w:pPr>
        <w:autoSpaceDE w:val="0"/>
        <w:autoSpaceDN w:val="0"/>
        <w:adjustRightInd w:val="0"/>
        <w:ind w:left="567" w:right="616"/>
        <w:jc w:val="both"/>
        <w:rPr>
          <w:rFonts w:ascii="Palatino Linotype" w:hAnsi="Palatino Linotype" w:cs="Arial"/>
          <w:i/>
          <w:sz w:val="22"/>
        </w:rPr>
      </w:pPr>
      <w:r w:rsidRPr="00B46FBB">
        <w:rPr>
          <w:rFonts w:ascii="Palatino Linotype" w:hAnsi="Palatino Linotype" w:cs="Arial"/>
          <w:b/>
          <w:bCs/>
          <w:i/>
          <w:sz w:val="22"/>
        </w:rPr>
        <w:t xml:space="preserve">II. </w:t>
      </w:r>
      <w:r w:rsidRPr="00B46FBB">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B46FBB">
        <w:rPr>
          <w:rFonts w:ascii="Palatino Linotype" w:hAnsi="Palatino Linotype" w:cs="Arial"/>
          <w:b/>
          <w:i/>
          <w:sz w:val="22"/>
        </w:rPr>
        <w:t xml:space="preserve">o </w:t>
      </w:r>
      <w:r w:rsidRPr="00B46FBB">
        <w:rPr>
          <w:rFonts w:ascii="Palatino Linotype" w:hAnsi="Palatino Linotype" w:cs="Arial"/>
          <w:b/>
          <w:i/>
          <w:sz w:val="22"/>
          <w:u w:val="single"/>
        </w:rPr>
        <w:t>de incompetencia realicen los titulares de las áreas de los sujetos obligados</w:t>
      </w:r>
      <w:r w:rsidRPr="00B46FBB">
        <w:rPr>
          <w:rFonts w:ascii="Palatino Linotype" w:hAnsi="Palatino Linotype" w:cs="Arial"/>
          <w:i/>
          <w:sz w:val="22"/>
        </w:rPr>
        <w:t>;</w:t>
      </w:r>
    </w:p>
    <w:p w:rsidR="00255F1A" w:rsidRPr="00B46FBB" w:rsidRDefault="00255F1A" w:rsidP="00255F1A">
      <w:pPr>
        <w:autoSpaceDE w:val="0"/>
        <w:autoSpaceDN w:val="0"/>
        <w:adjustRightInd w:val="0"/>
        <w:ind w:left="567" w:right="616"/>
        <w:jc w:val="both"/>
        <w:rPr>
          <w:rFonts w:ascii="Palatino Linotype" w:hAnsi="Palatino Linotype" w:cs="Arial"/>
          <w:i/>
          <w:sz w:val="22"/>
        </w:rPr>
      </w:pPr>
      <w:r w:rsidRPr="00B46FBB">
        <w:rPr>
          <w:rFonts w:ascii="Palatino Linotype" w:hAnsi="Palatino Linotype" w:cs="Arial"/>
          <w:bCs/>
          <w:i/>
          <w:sz w:val="22"/>
        </w:rPr>
        <w:t>(…)</w:t>
      </w:r>
      <w:r w:rsidRPr="00B46FBB">
        <w:rPr>
          <w:rFonts w:ascii="Palatino Linotype" w:hAnsi="Palatino Linotype" w:cs="Arial"/>
          <w:i/>
          <w:sz w:val="22"/>
        </w:rPr>
        <w:t>”</w:t>
      </w:r>
    </w:p>
    <w:p w:rsidR="00255F1A" w:rsidRPr="00B46FBB" w:rsidRDefault="00255F1A" w:rsidP="00255F1A"/>
    <w:p w:rsidR="00255F1A" w:rsidRPr="00B46FBB" w:rsidRDefault="00255F1A" w:rsidP="00255F1A">
      <w:pPr>
        <w:spacing w:line="360" w:lineRule="auto"/>
        <w:jc w:val="both"/>
        <w:rPr>
          <w:rFonts w:ascii="Palatino Linotype" w:eastAsia="Calibri" w:hAnsi="Palatino Linotype" w:cs="Arial"/>
        </w:rPr>
      </w:pPr>
      <w:r w:rsidRPr="00B46FBB">
        <w:rPr>
          <w:rFonts w:ascii="Palatino Linotype" w:eastAsia="Calibri" w:hAnsi="Palatino Linotype" w:cs="Arial"/>
        </w:rPr>
        <w:t xml:space="preserve">Es de lo expuesto que el Comité de Transparencia </w:t>
      </w:r>
      <w:r w:rsidRPr="00B46FBB">
        <w:rPr>
          <w:rFonts w:ascii="Palatino Linotype" w:eastAsia="Calibri" w:hAnsi="Palatino Linotype" w:cs="Arial"/>
          <w:b/>
          <w:u w:val="single"/>
        </w:rPr>
        <w:t>debe confirmar la incompetencia que en el presente asunto encuadra en el supuesto de la Ley</w:t>
      </w:r>
      <w:r w:rsidRPr="00B46FBB">
        <w:rPr>
          <w:rFonts w:ascii="Palatino Linotype" w:eastAsia="Calibri" w:hAnsi="Palatino Linotype" w:cs="Arial"/>
        </w:rPr>
        <w:t>.</w:t>
      </w:r>
    </w:p>
    <w:p w:rsidR="00261BC7" w:rsidRPr="00B46FBB" w:rsidRDefault="00261BC7" w:rsidP="0029071C">
      <w:pPr>
        <w:spacing w:line="360" w:lineRule="auto"/>
        <w:jc w:val="both"/>
        <w:rPr>
          <w:rFonts w:ascii="Palatino Linotype" w:eastAsiaTheme="minorHAnsi" w:hAnsi="Palatino Linotype" w:cs="Arial"/>
          <w:lang w:val="es-MX" w:eastAsia="es-MX"/>
        </w:rPr>
      </w:pPr>
    </w:p>
    <w:p w:rsidR="0029071C" w:rsidRPr="00B46FBB" w:rsidRDefault="0029071C" w:rsidP="0029071C">
      <w:pPr>
        <w:spacing w:line="360" w:lineRule="auto"/>
        <w:jc w:val="both"/>
        <w:rPr>
          <w:rFonts w:ascii="Palatino Linotype" w:eastAsiaTheme="minorHAnsi" w:hAnsi="Palatino Linotype" w:cstheme="minorBidi"/>
          <w:lang w:val="es-MX" w:eastAsia="en-US"/>
        </w:rPr>
      </w:pPr>
      <w:r w:rsidRPr="00B46FBB">
        <w:rPr>
          <w:rFonts w:ascii="Palatino Linotype" w:eastAsiaTheme="minorHAnsi" w:hAnsi="Palatino Linotype" w:cs="Arial"/>
          <w:lang w:val="es-MX" w:eastAsia="es-MX"/>
        </w:rPr>
        <w:t>Final</w:t>
      </w:r>
      <w:r w:rsidRPr="00B46FBB">
        <w:rPr>
          <w:rFonts w:ascii="Palatino Linotype" w:eastAsiaTheme="minorHAnsi" w:hAnsi="Palatino Linotype" w:cstheme="minorBidi"/>
          <w:lang w:val="es-MX" w:eastAsia="en-US"/>
        </w:rPr>
        <w:t xml:space="preserve">mente y en mérito de lo expuesto en líneas anteriores, resultan </w:t>
      </w:r>
      <w:r w:rsidR="00255F1A" w:rsidRPr="00B46FBB">
        <w:rPr>
          <w:rFonts w:ascii="Palatino Linotype" w:eastAsiaTheme="minorHAnsi" w:hAnsi="Palatino Linotype" w:cstheme="minorBidi"/>
          <w:lang w:val="es-MX" w:eastAsia="en-US"/>
        </w:rPr>
        <w:t xml:space="preserve">parcialmente </w:t>
      </w:r>
      <w:r w:rsidRPr="00B46FBB">
        <w:rPr>
          <w:rFonts w:ascii="Palatino Linotype" w:eastAsiaTheme="minorHAnsi" w:hAnsi="Palatino Linotype" w:cstheme="minorBidi"/>
          <w:lang w:val="es-MX" w:eastAsia="en-US"/>
        </w:rPr>
        <w:t>fundados los motivos de inconformidad vertidos por</w:t>
      </w:r>
      <w:r w:rsidR="00AB6E87" w:rsidRPr="00B46FBB">
        <w:rPr>
          <w:rFonts w:ascii="Palatino Linotype" w:eastAsiaTheme="minorHAnsi" w:hAnsi="Palatino Linotype" w:cstheme="minorBidi"/>
          <w:lang w:val="es-MX" w:eastAsia="en-US"/>
        </w:rPr>
        <w:t xml:space="preserve"> la </w:t>
      </w:r>
      <w:r w:rsidRPr="00B46FBB">
        <w:rPr>
          <w:rFonts w:ascii="Palatino Linotype" w:eastAsiaTheme="minorHAnsi" w:hAnsi="Palatino Linotype" w:cstheme="minorBidi"/>
          <w:b/>
          <w:lang w:val="es-MX" w:eastAsia="en-US"/>
        </w:rPr>
        <w:t>Recurrente</w:t>
      </w:r>
      <w:r w:rsidRPr="00B46FBB">
        <w:rPr>
          <w:rFonts w:ascii="Palatino Linotype" w:eastAsiaTheme="minorHAnsi" w:hAnsi="Palatino Linotype" w:cstheme="minorBidi"/>
          <w:lang w:val="es-MX" w:eastAsia="en-US"/>
        </w:rPr>
        <w:t xml:space="preserve">, por ello con fundamento en la </w:t>
      </w:r>
      <w:r w:rsidR="00261BC7" w:rsidRPr="00B46FBB">
        <w:rPr>
          <w:rFonts w:ascii="Palatino Linotype" w:eastAsiaTheme="minorHAnsi" w:hAnsi="Palatino Linotype" w:cstheme="minorBidi"/>
          <w:i/>
          <w:lang w:val="es-MX" w:eastAsia="en-US"/>
        </w:rPr>
        <w:t>segund</w:t>
      </w:r>
      <w:r w:rsidRPr="00B46FBB">
        <w:rPr>
          <w:rFonts w:ascii="Palatino Linotype" w:eastAsiaTheme="minorHAnsi" w:hAnsi="Palatino Linotype" w:cstheme="minorBidi"/>
          <w:i/>
          <w:lang w:val="es-MX" w:eastAsia="en-US"/>
        </w:rPr>
        <w:t>a hipótesis</w:t>
      </w:r>
      <w:r w:rsidRPr="00B46FBB">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261BC7" w:rsidRPr="00B46FBB">
        <w:rPr>
          <w:rFonts w:ascii="Palatino Linotype" w:eastAsiaTheme="minorHAnsi" w:hAnsi="Palatino Linotype" w:cstheme="minorBidi"/>
          <w:b/>
          <w:lang w:val="es-MX" w:eastAsia="en-US"/>
        </w:rPr>
        <w:t>MODIFI</w:t>
      </w:r>
      <w:r w:rsidRPr="00B46FBB">
        <w:rPr>
          <w:rFonts w:ascii="Palatino Linotype" w:eastAsiaTheme="minorHAnsi" w:hAnsi="Palatino Linotype" w:cstheme="minorBidi"/>
          <w:b/>
          <w:lang w:val="es-MX" w:eastAsia="en-US"/>
        </w:rPr>
        <w:t xml:space="preserve">CA </w:t>
      </w:r>
      <w:r w:rsidRPr="00B46FBB">
        <w:rPr>
          <w:rFonts w:ascii="Palatino Linotype" w:eastAsiaTheme="minorHAnsi" w:hAnsi="Palatino Linotype" w:cstheme="minorBidi"/>
          <w:lang w:val="es-MX" w:eastAsia="en-US"/>
        </w:rPr>
        <w:t xml:space="preserve">la respuesta a la solicitud de información </w:t>
      </w:r>
      <w:r w:rsidR="00AB6E87" w:rsidRPr="00B46FBB">
        <w:rPr>
          <w:rFonts w:ascii="Palatino Linotype" w:eastAsiaTheme="minorHAnsi" w:hAnsi="Palatino Linotype" w:cs="Arial"/>
          <w:b/>
          <w:lang w:val="es-MX" w:eastAsia="en-US"/>
        </w:rPr>
        <w:t>00168/TECAMAC/IP/2022</w:t>
      </w:r>
      <w:r w:rsidRPr="00B46FBB">
        <w:rPr>
          <w:rFonts w:ascii="Palatino Linotype" w:eastAsiaTheme="minorHAnsi" w:hAnsi="Palatino Linotype" w:cs="Arial"/>
          <w:lang w:val="es-MX" w:eastAsia="en-US"/>
        </w:rPr>
        <w:t xml:space="preserve">, </w:t>
      </w:r>
      <w:r w:rsidRPr="00B46FBB">
        <w:rPr>
          <w:rFonts w:ascii="Palatino Linotype" w:eastAsiaTheme="minorHAnsi" w:hAnsi="Palatino Linotype" w:cstheme="minorBidi"/>
          <w:lang w:val="es-MX" w:eastAsia="en-US"/>
        </w:rPr>
        <w:t>que ha sido materia del presente fallo.</w:t>
      </w:r>
    </w:p>
    <w:p w:rsidR="0029071C" w:rsidRPr="00B46FBB" w:rsidRDefault="0029071C" w:rsidP="0029071C">
      <w:pPr>
        <w:spacing w:line="360" w:lineRule="auto"/>
        <w:jc w:val="both"/>
        <w:rPr>
          <w:rFonts w:ascii="Palatino Linotype" w:eastAsiaTheme="minorHAnsi" w:hAnsi="Palatino Linotype" w:cs="Arial"/>
          <w:b/>
          <w:bCs/>
          <w:color w:val="333333"/>
          <w:lang w:val="es-MX" w:eastAsia="en-US"/>
        </w:rPr>
      </w:pPr>
    </w:p>
    <w:p w:rsidR="0057289F" w:rsidRPr="00B46FBB" w:rsidRDefault="0029071C" w:rsidP="0029071C">
      <w:pPr>
        <w:spacing w:line="360" w:lineRule="auto"/>
        <w:jc w:val="both"/>
        <w:rPr>
          <w:rFonts w:ascii="Palatino Linotype" w:eastAsiaTheme="minorHAnsi" w:hAnsi="Palatino Linotype" w:cstheme="minorBidi"/>
          <w:lang w:val="es-MX" w:eastAsia="en-US"/>
        </w:rPr>
      </w:pPr>
      <w:r w:rsidRPr="00B46FBB">
        <w:rPr>
          <w:rFonts w:ascii="Palatino Linotype" w:eastAsiaTheme="minorHAnsi" w:hAnsi="Palatino Linotype" w:cstheme="minorBidi"/>
          <w:lang w:val="es-MX" w:eastAsia="en-US"/>
        </w:rPr>
        <w:t xml:space="preserve">Por lo antes expuesto y fundado. </w:t>
      </w:r>
    </w:p>
    <w:p w:rsidR="00255F1A" w:rsidRPr="00B46FBB" w:rsidRDefault="00255F1A" w:rsidP="00255F1A">
      <w:pPr>
        <w:pStyle w:val="Sinespaciado"/>
        <w:rPr>
          <w:rFonts w:eastAsiaTheme="minorHAnsi"/>
          <w:lang w:eastAsia="en-US"/>
        </w:rPr>
      </w:pPr>
    </w:p>
    <w:p w:rsidR="0029071C" w:rsidRPr="00B46FBB" w:rsidRDefault="0029071C" w:rsidP="0029071C">
      <w:pPr>
        <w:spacing w:line="360" w:lineRule="auto"/>
        <w:jc w:val="center"/>
        <w:rPr>
          <w:rFonts w:ascii="Palatino Linotype" w:hAnsi="Palatino Linotype" w:cstheme="minorBidi"/>
          <w:b/>
          <w:bCs/>
          <w:spacing w:val="60"/>
          <w:sz w:val="28"/>
          <w:lang w:val="es-ES_tradnl" w:eastAsia="en-US"/>
        </w:rPr>
      </w:pPr>
      <w:r w:rsidRPr="00B46FBB">
        <w:rPr>
          <w:rFonts w:ascii="Palatino Linotype" w:hAnsi="Palatino Linotype" w:cstheme="minorBidi"/>
          <w:b/>
          <w:bCs/>
          <w:spacing w:val="60"/>
          <w:sz w:val="28"/>
          <w:lang w:val="es-ES_tradnl" w:eastAsia="en-US"/>
        </w:rPr>
        <w:t>SE    RESUELVE</w:t>
      </w:r>
    </w:p>
    <w:p w:rsidR="0029071C" w:rsidRPr="00B46FBB" w:rsidRDefault="0029071C" w:rsidP="0029071C">
      <w:pPr>
        <w:rPr>
          <w:rFonts w:ascii="Palatino Linotype" w:hAnsi="Palatino Linotype"/>
          <w:lang w:val="es-ES_tradnl"/>
        </w:rPr>
      </w:pPr>
    </w:p>
    <w:p w:rsidR="0029071C" w:rsidRPr="00B46FBB"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B46FBB">
        <w:rPr>
          <w:rFonts w:ascii="Palatino Linotype" w:eastAsiaTheme="minorHAnsi" w:hAnsi="Palatino Linotype" w:cs="Arial"/>
          <w:b/>
          <w:sz w:val="28"/>
          <w:szCs w:val="28"/>
          <w:lang w:val="es-ES_tradnl" w:eastAsia="en-US"/>
        </w:rPr>
        <w:t>PRIMERO.</w:t>
      </w:r>
      <w:r w:rsidRPr="00B46FBB">
        <w:rPr>
          <w:rFonts w:ascii="Palatino Linotype" w:eastAsiaTheme="minorHAnsi" w:hAnsi="Palatino Linotype" w:cs="Arial"/>
          <w:lang w:val="es-ES_tradnl" w:eastAsia="en-US"/>
        </w:rPr>
        <w:t xml:space="preserve"> </w:t>
      </w:r>
      <w:r w:rsidRPr="00B46FBB">
        <w:rPr>
          <w:rFonts w:ascii="Palatino Linotype" w:eastAsiaTheme="minorHAnsi" w:hAnsi="Palatino Linotype" w:cs="Arial"/>
          <w:lang w:val="es-MX" w:eastAsia="en-US"/>
        </w:rPr>
        <w:t>Se</w:t>
      </w:r>
      <w:r w:rsidRPr="00B46FBB">
        <w:rPr>
          <w:rFonts w:ascii="Palatino Linotype" w:eastAsiaTheme="minorHAnsi" w:hAnsi="Palatino Linotype" w:cs="Arial"/>
          <w:b/>
          <w:lang w:val="es-MX" w:eastAsia="en-US"/>
        </w:rPr>
        <w:t xml:space="preserve"> </w:t>
      </w:r>
      <w:r w:rsidR="00261BC7" w:rsidRPr="00B46FBB">
        <w:rPr>
          <w:rFonts w:ascii="Palatino Linotype" w:eastAsiaTheme="minorHAnsi" w:hAnsi="Palatino Linotype" w:cs="Arial"/>
          <w:b/>
          <w:lang w:val="es-MX" w:eastAsia="en-US"/>
        </w:rPr>
        <w:t>MODIFI</w:t>
      </w:r>
      <w:r w:rsidRPr="00B46FBB">
        <w:rPr>
          <w:rFonts w:ascii="Palatino Linotype" w:eastAsiaTheme="minorHAnsi" w:hAnsi="Palatino Linotype" w:cs="Arial"/>
          <w:b/>
          <w:lang w:val="es-MX" w:eastAsia="en-US"/>
        </w:rPr>
        <w:t xml:space="preserve">CA </w:t>
      </w:r>
      <w:r w:rsidRPr="00B46FBB">
        <w:rPr>
          <w:rFonts w:ascii="Palatino Linotype" w:eastAsia="Arial Unicode MS" w:hAnsi="Palatino Linotype" w:cs="Arial"/>
          <w:lang w:val="es-MX" w:eastAsia="en-US"/>
        </w:rPr>
        <w:t xml:space="preserve">la respuesta entregada por </w:t>
      </w:r>
      <w:r w:rsidRPr="00B46FBB">
        <w:rPr>
          <w:rFonts w:ascii="Palatino Linotype" w:eastAsia="Arial Unicode MS" w:hAnsi="Palatino Linotype" w:cs="Arial"/>
          <w:b/>
          <w:lang w:val="es-MX" w:eastAsia="en-US"/>
        </w:rPr>
        <w:t xml:space="preserve">El Sujeto Obligado </w:t>
      </w:r>
      <w:r w:rsidRPr="00B46FBB">
        <w:rPr>
          <w:rFonts w:ascii="Palatino Linotype" w:eastAsia="Arial Unicode MS" w:hAnsi="Palatino Linotype" w:cs="Arial"/>
          <w:lang w:val="es-MX" w:eastAsia="en-US"/>
        </w:rPr>
        <w:t xml:space="preserve">a la </w:t>
      </w:r>
      <w:r w:rsidR="00255F1A" w:rsidRPr="00B46FBB">
        <w:rPr>
          <w:rFonts w:ascii="Palatino Linotype" w:eastAsia="Arial Unicode MS" w:hAnsi="Palatino Linotype" w:cs="Arial"/>
          <w:lang w:val="es-MX" w:eastAsia="en-US"/>
        </w:rPr>
        <w:t xml:space="preserve">solicitud de información número </w:t>
      </w:r>
      <w:r w:rsidR="00AB6E87" w:rsidRPr="00B46FBB">
        <w:rPr>
          <w:rFonts w:ascii="Palatino Linotype" w:eastAsiaTheme="minorHAnsi" w:hAnsi="Palatino Linotype" w:cs="Arial"/>
          <w:b/>
          <w:lang w:val="es-MX" w:eastAsia="en-US"/>
        </w:rPr>
        <w:t>00168/TECAMAC/IP/2022</w:t>
      </w:r>
      <w:r w:rsidRPr="00B46FBB">
        <w:rPr>
          <w:rFonts w:ascii="Palatino Linotype" w:eastAsiaTheme="minorHAnsi" w:hAnsi="Palatino Linotype" w:cs="Arial"/>
          <w:lang w:val="es-MX" w:eastAsia="en-US"/>
        </w:rPr>
        <w:t xml:space="preserve">, por resultar </w:t>
      </w:r>
      <w:r w:rsidR="00255F1A" w:rsidRPr="00B46FBB">
        <w:rPr>
          <w:rFonts w:ascii="Palatino Linotype" w:eastAsiaTheme="minorHAnsi" w:hAnsi="Palatino Linotype" w:cs="Arial"/>
          <w:lang w:val="es-MX" w:eastAsia="en-US"/>
        </w:rPr>
        <w:t xml:space="preserve">parcialmente </w:t>
      </w:r>
      <w:r w:rsidRPr="00B46FBB">
        <w:rPr>
          <w:rFonts w:ascii="Palatino Linotype" w:eastAsiaTheme="minorHAnsi" w:hAnsi="Palatino Linotype" w:cs="Arial"/>
          <w:lang w:val="es-MX" w:eastAsia="en-US"/>
        </w:rPr>
        <w:t xml:space="preserve">fundados los motivos de inconformidad vertidos por </w:t>
      </w:r>
      <w:r w:rsidR="00AB6E87" w:rsidRPr="00B46FBB">
        <w:rPr>
          <w:rFonts w:ascii="Palatino Linotype" w:eastAsiaTheme="minorHAnsi" w:hAnsi="Palatino Linotype" w:cs="Arial"/>
          <w:lang w:val="es-MX" w:eastAsia="en-US"/>
        </w:rPr>
        <w:t>la</w:t>
      </w:r>
      <w:r w:rsidRPr="00B46FBB">
        <w:rPr>
          <w:rFonts w:ascii="Palatino Linotype" w:eastAsiaTheme="minorHAnsi" w:hAnsi="Palatino Linotype" w:cs="Arial"/>
          <w:b/>
          <w:lang w:val="es-MX" w:eastAsia="en-US"/>
        </w:rPr>
        <w:t xml:space="preserve"> Recurrente</w:t>
      </w:r>
      <w:r w:rsidRPr="00B46FBB">
        <w:rPr>
          <w:rFonts w:ascii="Palatino Linotype" w:eastAsiaTheme="minorHAnsi" w:hAnsi="Palatino Linotype" w:cs="Arial"/>
          <w:lang w:val="es-MX" w:eastAsia="en-US"/>
        </w:rPr>
        <w:t xml:space="preserve">, en términos del Considerando </w:t>
      </w:r>
      <w:r w:rsidR="00261BC7" w:rsidRPr="00B46FBB">
        <w:rPr>
          <w:rFonts w:ascii="Palatino Linotype" w:eastAsiaTheme="minorHAnsi" w:hAnsi="Palatino Linotype" w:cs="Arial"/>
          <w:b/>
          <w:lang w:val="es-MX" w:eastAsia="en-US"/>
        </w:rPr>
        <w:t>CUAR</w:t>
      </w:r>
      <w:r w:rsidRPr="00B46FBB">
        <w:rPr>
          <w:rFonts w:ascii="Palatino Linotype" w:eastAsiaTheme="minorHAnsi" w:hAnsi="Palatino Linotype" w:cs="Arial"/>
          <w:b/>
          <w:lang w:val="es-MX" w:eastAsia="en-US"/>
        </w:rPr>
        <w:t>TO</w:t>
      </w:r>
      <w:r w:rsidRPr="00B46FBB">
        <w:rPr>
          <w:rFonts w:ascii="Palatino Linotype" w:eastAsiaTheme="minorHAnsi" w:hAnsi="Palatino Linotype" w:cs="Arial"/>
          <w:lang w:val="es-MX" w:eastAsia="en-US"/>
        </w:rPr>
        <w:t xml:space="preserve"> de ésta resolución.</w:t>
      </w:r>
    </w:p>
    <w:p w:rsidR="0029071C" w:rsidRPr="00B46FBB"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rsidR="0029071C" w:rsidRPr="00B46FBB" w:rsidRDefault="0029071C" w:rsidP="0029071C">
      <w:pPr>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b/>
          <w:sz w:val="28"/>
          <w:szCs w:val="28"/>
          <w:lang w:val="es-MX" w:eastAsia="en-US"/>
        </w:rPr>
        <w:t>SEGUNDO.</w:t>
      </w:r>
      <w:r w:rsidRPr="00B46FBB">
        <w:rPr>
          <w:rFonts w:ascii="Palatino Linotype" w:eastAsiaTheme="minorHAnsi" w:hAnsi="Palatino Linotype" w:cs="Arial"/>
          <w:lang w:val="es-MX" w:eastAsia="en-US"/>
        </w:rPr>
        <w:t xml:space="preserve"> Se </w:t>
      </w:r>
      <w:r w:rsidRPr="00B46FBB">
        <w:rPr>
          <w:rFonts w:ascii="Palatino Linotype" w:eastAsiaTheme="minorHAnsi" w:hAnsi="Palatino Linotype" w:cs="Arial"/>
          <w:b/>
          <w:lang w:val="es-MX" w:eastAsia="en-US"/>
        </w:rPr>
        <w:t>ORDENA</w:t>
      </w:r>
      <w:r w:rsidRPr="00B46FBB">
        <w:rPr>
          <w:rFonts w:ascii="Palatino Linotype" w:eastAsiaTheme="minorHAnsi" w:hAnsi="Palatino Linotype" w:cs="Arial"/>
          <w:lang w:val="es-MX" w:eastAsia="en-US"/>
        </w:rPr>
        <w:t xml:space="preserve"> al </w:t>
      </w:r>
      <w:r w:rsidRPr="00B46FBB">
        <w:rPr>
          <w:rFonts w:ascii="Palatino Linotype" w:eastAsiaTheme="minorHAnsi" w:hAnsi="Palatino Linotype" w:cs="Arial"/>
          <w:b/>
          <w:lang w:val="es-MX" w:eastAsia="en-US"/>
        </w:rPr>
        <w:t>Sujeto Obligado</w:t>
      </w:r>
      <w:r w:rsidRPr="00B46FBB">
        <w:rPr>
          <w:rFonts w:ascii="Palatino Linotype" w:eastAsiaTheme="minorHAnsi" w:hAnsi="Palatino Linotype" w:cs="Arial"/>
          <w:lang w:val="es-MX" w:eastAsia="en-US"/>
        </w:rPr>
        <w:t xml:space="preserve"> haga entrega a</w:t>
      </w:r>
      <w:r w:rsidR="00AB6E87" w:rsidRPr="00B46FBB">
        <w:rPr>
          <w:rFonts w:ascii="Palatino Linotype" w:eastAsiaTheme="minorHAnsi" w:hAnsi="Palatino Linotype" w:cs="Arial"/>
          <w:lang w:val="es-MX" w:eastAsia="en-US"/>
        </w:rPr>
        <w:t xml:space="preserve"> la</w:t>
      </w:r>
      <w:r w:rsidRPr="00B46FBB">
        <w:rPr>
          <w:rFonts w:ascii="Palatino Linotype" w:eastAsiaTheme="minorHAnsi" w:hAnsi="Palatino Linotype" w:cs="Arial"/>
          <w:lang w:val="es-MX" w:eastAsia="en-US"/>
        </w:rPr>
        <w:t xml:space="preserve"> </w:t>
      </w:r>
      <w:r w:rsidRPr="00B46FBB">
        <w:rPr>
          <w:rFonts w:ascii="Palatino Linotype" w:eastAsiaTheme="minorHAnsi" w:hAnsi="Palatino Linotype" w:cs="Arial"/>
          <w:b/>
          <w:lang w:val="es-MX" w:eastAsia="en-US"/>
        </w:rPr>
        <w:t xml:space="preserve">Recurrente </w:t>
      </w:r>
      <w:r w:rsidRPr="00B46FBB">
        <w:rPr>
          <w:rFonts w:ascii="Palatino Linotype" w:eastAsiaTheme="minorHAnsi" w:hAnsi="Palatino Linotype" w:cs="Arial"/>
          <w:lang w:val="es-MX" w:eastAsia="en-US"/>
        </w:rPr>
        <w:t xml:space="preserve">en términos del Considerando </w:t>
      </w:r>
      <w:r w:rsidR="00261BC7" w:rsidRPr="00B46FBB">
        <w:rPr>
          <w:rFonts w:ascii="Palatino Linotype" w:eastAsiaTheme="minorHAnsi" w:hAnsi="Palatino Linotype" w:cs="Arial"/>
          <w:b/>
          <w:lang w:val="es-MX" w:eastAsia="en-US"/>
        </w:rPr>
        <w:t>CUAR</w:t>
      </w:r>
      <w:r w:rsidRPr="00B46FBB">
        <w:rPr>
          <w:rFonts w:ascii="Palatino Linotype" w:eastAsiaTheme="minorHAnsi" w:hAnsi="Palatino Linotype" w:cs="Arial"/>
          <w:b/>
          <w:lang w:val="es-MX" w:eastAsia="en-US"/>
        </w:rPr>
        <w:t xml:space="preserve">TO </w:t>
      </w:r>
      <w:r w:rsidRPr="00B46FBB">
        <w:rPr>
          <w:rFonts w:ascii="Palatino Linotype" w:eastAsiaTheme="minorHAnsi" w:hAnsi="Palatino Linotype" w:cs="Arial"/>
          <w:lang w:val="es-MX" w:eastAsia="en-US"/>
        </w:rPr>
        <w:t>de esta resolución, a través del</w:t>
      </w:r>
      <w:r w:rsidRPr="00B46FBB">
        <w:rPr>
          <w:rFonts w:ascii="Palatino Linotype" w:eastAsiaTheme="minorHAnsi" w:hAnsi="Palatino Linotype" w:cs="Arial"/>
          <w:b/>
          <w:lang w:val="es-MX" w:eastAsia="en-US"/>
        </w:rPr>
        <w:t xml:space="preserve"> </w:t>
      </w:r>
      <w:r w:rsidRPr="00B46FBB">
        <w:rPr>
          <w:rFonts w:ascii="Palatino Linotype" w:eastAsiaTheme="minorHAnsi" w:hAnsi="Palatino Linotype" w:cs="Arial"/>
          <w:szCs w:val="22"/>
          <w:lang w:val="es-MX" w:eastAsia="en-US"/>
        </w:rPr>
        <w:t xml:space="preserve">Sistema de Acceso a la Información Mexiquense </w:t>
      </w:r>
      <w:r w:rsidRPr="00B46FBB">
        <w:rPr>
          <w:rFonts w:ascii="Palatino Linotype" w:eastAsiaTheme="minorHAnsi" w:hAnsi="Palatino Linotype" w:cs="Arial"/>
          <w:b/>
          <w:szCs w:val="22"/>
          <w:lang w:val="es-MX" w:eastAsia="en-US"/>
        </w:rPr>
        <w:t>(SAIMEX)</w:t>
      </w:r>
      <w:r w:rsidR="002A040B" w:rsidRPr="00B46FBB">
        <w:rPr>
          <w:rFonts w:ascii="Palatino Linotype" w:eastAsiaTheme="minorHAnsi" w:hAnsi="Palatino Linotype" w:cs="Arial"/>
          <w:lang w:val="es-MX" w:eastAsia="en-US"/>
        </w:rPr>
        <w:t>, de lo siguiente:</w:t>
      </w:r>
    </w:p>
    <w:p w:rsidR="002A040B" w:rsidRPr="00B46FBB" w:rsidRDefault="002A040B" w:rsidP="0029071C">
      <w:pPr>
        <w:spacing w:line="360" w:lineRule="auto"/>
        <w:jc w:val="both"/>
        <w:rPr>
          <w:rFonts w:ascii="Palatino Linotype" w:eastAsiaTheme="minorHAnsi" w:hAnsi="Palatino Linotype" w:cs="Arial"/>
          <w:lang w:val="es-MX" w:eastAsia="en-US"/>
        </w:rPr>
      </w:pPr>
    </w:p>
    <w:p w:rsidR="00255F1A" w:rsidRPr="00B46FBB" w:rsidRDefault="00255F1A" w:rsidP="00AB6E87">
      <w:pPr>
        <w:pStyle w:val="Prrafodelista"/>
        <w:numPr>
          <w:ilvl w:val="0"/>
          <w:numId w:val="27"/>
        </w:numPr>
        <w:autoSpaceDE w:val="0"/>
        <w:autoSpaceDN w:val="0"/>
        <w:adjustRightInd w:val="0"/>
        <w:spacing w:line="360" w:lineRule="auto"/>
        <w:ind w:right="49"/>
        <w:jc w:val="both"/>
        <w:rPr>
          <w:rFonts w:ascii="Palatino Linotype" w:eastAsiaTheme="minorHAnsi" w:hAnsi="Palatino Linotype" w:cs="Arial"/>
        </w:rPr>
      </w:pPr>
      <w:r w:rsidRPr="00B46FBB">
        <w:rPr>
          <w:rFonts w:ascii="Palatino Linotype" w:eastAsia="Calibri" w:hAnsi="Palatino Linotype" w:cs="Arial"/>
        </w:rPr>
        <w:t xml:space="preserve">El Acuerdo que emita el Comité de Transparencia mediante el que confirme la Declaratoria de Incompetencia del </w:t>
      </w:r>
      <w:r w:rsidRPr="00B46FBB">
        <w:rPr>
          <w:rFonts w:ascii="Palatino Linotype" w:eastAsia="Calibri" w:hAnsi="Palatino Linotype" w:cs="Arial"/>
          <w:b/>
        </w:rPr>
        <w:t>Sujeto Obligado</w:t>
      </w:r>
      <w:r w:rsidRPr="00B46FBB">
        <w:rPr>
          <w:rFonts w:ascii="Palatino Linotype" w:eastAsia="Calibri" w:hAnsi="Palatino Linotype" w:cs="Arial"/>
        </w:rPr>
        <w:t xml:space="preserve">, respecto de la información solicitada, con el número de Folio </w:t>
      </w:r>
      <w:r w:rsidR="00AB6E87" w:rsidRPr="00B46FBB">
        <w:rPr>
          <w:rFonts w:ascii="Palatino Linotype" w:eastAsia="Calibri" w:hAnsi="Palatino Linotype" w:cs="Arial"/>
          <w:b/>
        </w:rPr>
        <w:t>00168/TECAMAC/IP/2022</w:t>
      </w:r>
      <w:r w:rsidRPr="00B46FBB">
        <w:rPr>
          <w:rFonts w:ascii="Palatino Linotype" w:eastAsia="Calibri" w:hAnsi="Palatino Linotype" w:cs="Arial"/>
        </w:rPr>
        <w:t>.</w:t>
      </w:r>
    </w:p>
    <w:p w:rsidR="0029071C" w:rsidRPr="00B46FBB" w:rsidRDefault="0029071C" w:rsidP="002A040B">
      <w:pPr>
        <w:ind w:right="567"/>
        <w:jc w:val="both"/>
        <w:rPr>
          <w:rFonts w:ascii="Palatino Linotype" w:hAnsi="Palatino Linotype" w:cs="Arial"/>
          <w:i/>
          <w:sz w:val="23"/>
          <w:szCs w:val="23"/>
          <w:lang w:val="es-MX"/>
        </w:rPr>
      </w:pPr>
    </w:p>
    <w:p w:rsidR="0029071C" w:rsidRPr="00B46FBB" w:rsidRDefault="0029071C" w:rsidP="0029071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B46FBB">
        <w:rPr>
          <w:rFonts w:ascii="Palatino Linotype" w:eastAsiaTheme="minorHAnsi" w:hAnsi="Palatino Linotype" w:cs="Arial"/>
          <w:b/>
          <w:sz w:val="28"/>
          <w:szCs w:val="28"/>
          <w:lang w:val="es-ES_tradnl" w:eastAsia="en-US"/>
        </w:rPr>
        <w:t xml:space="preserve">TERCERO. </w:t>
      </w:r>
      <w:r w:rsidRPr="00B46FBB">
        <w:rPr>
          <w:rFonts w:ascii="Palatino Linotype" w:eastAsiaTheme="minorHAnsi" w:hAnsi="Palatino Linotype" w:cs="Arial"/>
          <w:b/>
          <w:szCs w:val="28"/>
          <w:lang w:val="es-ES_tradnl" w:eastAsia="en-US"/>
        </w:rPr>
        <w:t>NOTIFÍQUESE</w:t>
      </w:r>
      <w:r w:rsidRPr="00B46FBB">
        <w:rPr>
          <w:rFonts w:ascii="Palatino Linotype" w:eastAsiaTheme="minorHAnsi" w:hAnsi="Palatino Linotype" w:cs="Arial"/>
          <w:b/>
          <w:sz w:val="28"/>
          <w:szCs w:val="28"/>
          <w:lang w:val="es-ES_tradnl" w:eastAsia="en-US"/>
        </w:rPr>
        <w:t xml:space="preserve"> </w:t>
      </w:r>
      <w:r w:rsidRPr="00B46FBB">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9071C" w:rsidRPr="00B46FBB" w:rsidRDefault="0029071C" w:rsidP="0029071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29071C" w:rsidRPr="00B46FBB" w:rsidRDefault="0029071C" w:rsidP="0029071C">
      <w:pPr>
        <w:spacing w:line="360" w:lineRule="auto"/>
        <w:jc w:val="both"/>
        <w:rPr>
          <w:rFonts w:ascii="Palatino Linotype" w:eastAsiaTheme="minorHAnsi" w:hAnsi="Palatino Linotype" w:cs="Arial"/>
          <w:bCs/>
          <w:szCs w:val="28"/>
          <w:lang w:val="es-MX" w:eastAsia="en-US"/>
        </w:rPr>
      </w:pPr>
      <w:r w:rsidRPr="00B46FBB">
        <w:rPr>
          <w:rFonts w:ascii="Palatino Linotype" w:eastAsiaTheme="minorHAnsi" w:hAnsi="Palatino Linotype" w:cs="Arial"/>
          <w:b/>
          <w:bCs/>
          <w:sz w:val="28"/>
          <w:szCs w:val="28"/>
          <w:lang w:val="es-MX" w:eastAsia="en-US"/>
        </w:rPr>
        <w:t>CUARTO.</w:t>
      </w:r>
      <w:r w:rsidRPr="00B46FBB">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B46FBB">
        <w:rPr>
          <w:rFonts w:ascii="Palatino Linotype" w:eastAsiaTheme="minorHAnsi" w:hAnsi="Palatino Linotype" w:cs="Arial"/>
          <w:b/>
          <w:bCs/>
          <w:szCs w:val="28"/>
          <w:lang w:val="es-MX" w:eastAsia="en-US"/>
        </w:rPr>
        <w:t>Sujeto Obligado</w:t>
      </w:r>
      <w:r w:rsidRPr="00B46FBB">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29071C" w:rsidRPr="00B46FBB" w:rsidRDefault="0029071C" w:rsidP="0029071C">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rsidR="0029071C" w:rsidRPr="00B46FBB"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B46FBB">
        <w:rPr>
          <w:rFonts w:ascii="Palatino Linotype" w:eastAsiaTheme="minorHAnsi" w:hAnsi="Palatino Linotype" w:cs="Arial"/>
          <w:b/>
          <w:sz w:val="28"/>
          <w:szCs w:val="28"/>
          <w:lang w:val="es-MX" w:eastAsia="en-US"/>
        </w:rPr>
        <w:t>QUINTO.</w:t>
      </w:r>
      <w:r w:rsidRPr="00B46FBB">
        <w:rPr>
          <w:rFonts w:ascii="Palatino Linotype" w:eastAsiaTheme="minorHAnsi" w:hAnsi="Palatino Linotype" w:cs="Arial"/>
          <w:b/>
          <w:lang w:val="es-MX" w:eastAsia="en-US"/>
        </w:rPr>
        <w:t xml:space="preserve"> NOTIFÍQUESE</w:t>
      </w:r>
      <w:r w:rsidR="00AB6E87" w:rsidRPr="00B46FBB">
        <w:rPr>
          <w:rFonts w:ascii="Palatino Linotype" w:eastAsiaTheme="minorHAnsi" w:hAnsi="Palatino Linotype" w:cs="Arial"/>
          <w:lang w:val="es-MX" w:eastAsia="en-US"/>
        </w:rPr>
        <w:t xml:space="preserve"> a la</w:t>
      </w:r>
      <w:r w:rsidRPr="00B46FBB">
        <w:rPr>
          <w:rFonts w:ascii="Palatino Linotype" w:eastAsiaTheme="minorHAnsi" w:hAnsi="Palatino Linotype" w:cs="Arial"/>
          <w:lang w:val="es-MX" w:eastAsia="en-US"/>
        </w:rPr>
        <w:t xml:space="preserve"> </w:t>
      </w:r>
      <w:r w:rsidRPr="00B46FBB">
        <w:rPr>
          <w:rFonts w:ascii="Palatino Linotype" w:eastAsiaTheme="minorHAnsi" w:hAnsi="Palatino Linotype" w:cs="Arial"/>
          <w:b/>
          <w:lang w:val="es-MX" w:eastAsia="en-US"/>
        </w:rPr>
        <w:t>Recurrente</w:t>
      </w:r>
      <w:r w:rsidRPr="00B46FBB">
        <w:rPr>
          <w:rFonts w:ascii="Palatino Linotype" w:eastAsiaTheme="minorHAnsi" w:hAnsi="Palatino Linotype" w:cs="Arial"/>
          <w:lang w:val="es-MX" w:eastAsia="en-US"/>
        </w:rPr>
        <w:t xml:space="preserve"> la presente resolución a través del </w:t>
      </w:r>
      <w:r w:rsidRPr="00B46FBB">
        <w:rPr>
          <w:rFonts w:ascii="Palatino Linotype" w:eastAsiaTheme="minorHAnsi" w:hAnsi="Palatino Linotype" w:cs="Arial"/>
          <w:szCs w:val="22"/>
          <w:lang w:val="es-MX" w:eastAsia="en-US"/>
        </w:rPr>
        <w:t xml:space="preserve">Sistema de Acceso a la Información Mexiquense </w:t>
      </w:r>
      <w:r w:rsidRPr="00B46FBB">
        <w:rPr>
          <w:rFonts w:ascii="Palatino Linotype" w:eastAsiaTheme="minorHAnsi" w:hAnsi="Palatino Linotype" w:cs="Arial"/>
          <w:b/>
          <w:szCs w:val="22"/>
          <w:lang w:val="es-MX" w:eastAsia="en-US"/>
        </w:rPr>
        <w:t>(SAIMEX)</w:t>
      </w:r>
      <w:r w:rsidRPr="00B46FBB">
        <w:rPr>
          <w:rFonts w:ascii="Palatino Linotype" w:eastAsiaTheme="minorHAnsi" w:hAnsi="Palatino Linotype" w:cs="Arial"/>
          <w:b/>
          <w:lang w:val="es-MX" w:eastAsia="en-US"/>
        </w:rPr>
        <w:t>,</w:t>
      </w:r>
      <w:r w:rsidRPr="00B46FBB">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9071C" w:rsidRPr="00B46FBB"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rsidR="002D61F7" w:rsidRPr="00B46FBB" w:rsidRDefault="0029071C" w:rsidP="002A040B">
      <w:pPr>
        <w:spacing w:line="360" w:lineRule="auto"/>
        <w:jc w:val="both"/>
        <w:rPr>
          <w:rFonts w:ascii="Palatino Linotype" w:eastAsiaTheme="minorHAnsi" w:hAnsi="Palatino Linotype" w:cs="Arial"/>
          <w:sz w:val="18"/>
          <w:lang w:val="es-MX" w:eastAsia="en-US"/>
        </w:rPr>
      </w:pPr>
      <w:r w:rsidRPr="00B46FBB">
        <w:rPr>
          <w:rFonts w:ascii="Palatino Linotype" w:eastAsiaTheme="minorHAnsi" w:hAnsi="Palatino Linotype" w:cs="Arial"/>
          <w:lang w:val="es-MX" w:eastAsia="en-US"/>
        </w:rPr>
        <w:lastRenderedPageBreak/>
        <w:t>ASÍ LO RESUELVE, POR UNANIMIDAD DE VO</w:t>
      </w:r>
      <w:bookmarkStart w:id="0" w:name="_GoBack"/>
      <w:bookmarkEnd w:id="0"/>
      <w:r w:rsidRPr="00B46FBB">
        <w:rPr>
          <w:rFonts w:ascii="Palatino Linotype" w:eastAsiaTheme="minorHAnsi" w:hAnsi="Palatino Linotype" w:cs="Arial"/>
          <w:lang w:val="es-MX" w:eastAsia="en-US"/>
        </w:rPr>
        <w:t>TOS, EL PLENO DEL</w:t>
      </w:r>
      <w:r w:rsidRPr="00B46FB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46FBB">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00AB6E87" w:rsidRPr="00B46FBB">
        <w:rPr>
          <w:rFonts w:ascii="Palatino Linotype" w:eastAsiaTheme="minorHAnsi" w:hAnsi="Palatino Linotype" w:cs="Arial"/>
          <w:lang w:val="es-MX" w:eastAsia="en-US"/>
        </w:rPr>
        <w:t>T</w:t>
      </w:r>
      <w:r w:rsidR="001A1E5B" w:rsidRPr="00B46FBB">
        <w:rPr>
          <w:rFonts w:ascii="Palatino Linotype" w:eastAsiaTheme="minorHAnsi" w:hAnsi="Palatino Linotype" w:cs="Arial"/>
          <w:lang w:val="es-MX" w:eastAsia="en-US"/>
        </w:rPr>
        <w:t>R</w:t>
      </w:r>
      <w:r w:rsidR="00AB6E87" w:rsidRPr="00B46FBB">
        <w:rPr>
          <w:rFonts w:ascii="Palatino Linotype" w:eastAsiaTheme="minorHAnsi" w:hAnsi="Palatino Linotype" w:cs="Arial"/>
          <w:lang w:val="es-MX" w:eastAsia="en-US"/>
        </w:rPr>
        <w:t xml:space="preserve">IGÉSIMA </w:t>
      </w:r>
      <w:r w:rsidR="00B46FBB" w:rsidRPr="00B46FBB">
        <w:rPr>
          <w:rFonts w:ascii="Palatino Linotype" w:eastAsiaTheme="minorHAnsi" w:hAnsi="Palatino Linotype" w:cs="Arial"/>
          <w:lang w:val="es-MX" w:eastAsia="en-US"/>
        </w:rPr>
        <w:t>SEXT</w:t>
      </w:r>
      <w:r w:rsidR="00A90157" w:rsidRPr="00B46FBB">
        <w:rPr>
          <w:rFonts w:ascii="Palatino Linotype" w:eastAsiaTheme="minorHAnsi" w:hAnsi="Palatino Linotype" w:cs="Arial"/>
          <w:lang w:val="es-MX" w:eastAsia="en-US"/>
        </w:rPr>
        <w:t>A</w:t>
      </w:r>
      <w:r w:rsidRPr="00B46FBB">
        <w:rPr>
          <w:rFonts w:ascii="Palatino Linotype" w:eastAsiaTheme="minorHAnsi" w:hAnsi="Palatino Linotype" w:cs="Arial"/>
          <w:lang w:val="es-MX" w:eastAsia="en-US"/>
        </w:rPr>
        <w:t xml:space="preserve"> SESIÓN ORDINARIA CELEBRADA EL </w:t>
      </w:r>
      <w:r w:rsidR="00B46FBB" w:rsidRPr="00B46FBB">
        <w:rPr>
          <w:rFonts w:ascii="Palatino Linotype" w:hAnsi="Palatino Linotype" w:cs="Arial"/>
          <w:color w:val="000000"/>
          <w:lang w:val="es-MX" w:eastAsia="es-MX"/>
        </w:rPr>
        <w:t>CINCO DE OCTUBRE</w:t>
      </w:r>
      <w:r w:rsidR="00A90157" w:rsidRPr="00B46FBB">
        <w:rPr>
          <w:rFonts w:ascii="Palatino Linotype" w:hAnsi="Palatino Linotype" w:cs="Arial"/>
          <w:color w:val="000000"/>
          <w:lang w:val="es-MX" w:eastAsia="es-MX"/>
        </w:rPr>
        <w:t xml:space="preserve"> </w:t>
      </w:r>
      <w:r w:rsidRPr="00B46FBB">
        <w:rPr>
          <w:rFonts w:ascii="Palatino Linotype" w:hAnsi="Palatino Linotype" w:cs="Arial"/>
          <w:color w:val="000000"/>
          <w:lang w:val="es-MX" w:eastAsia="es-MX"/>
        </w:rPr>
        <w:t>DE</w:t>
      </w:r>
      <w:r w:rsidR="00A90157" w:rsidRPr="00B46FBB">
        <w:rPr>
          <w:rFonts w:ascii="Palatino Linotype" w:eastAsiaTheme="minorHAnsi" w:hAnsi="Palatino Linotype" w:cs="Arial"/>
          <w:lang w:val="es-MX" w:eastAsia="en-US"/>
        </w:rPr>
        <w:t xml:space="preserve"> DOS MIL VEINTIDÓS</w:t>
      </w:r>
      <w:r w:rsidRPr="00B46FBB">
        <w:rPr>
          <w:rFonts w:ascii="Palatino Linotype" w:eastAsiaTheme="minorHAnsi" w:hAnsi="Palatino Linotype" w:cs="Arial"/>
          <w:lang w:val="es-MX" w:eastAsia="en-US"/>
        </w:rPr>
        <w:t>, ANTE EL SECRETARIO TÉCNICO, ALEXIS TAPIA RAMÍREZ.-------------------------------------------</w:t>
      </w:r>
      <w:r w:rsidR="00255F1A" w:rsidRPr="00B46FBB">
        <w:rPr>
          <w:rFonts w:ascii="Palatino Linotype" w:eastAsiaTheme="minorHAnsi" w:hAnsi="Palatino Linotype" w:cs="Arial"/>
          <w:lang w:val="es-MX" w:eastAsia="en-US"/>
        </w:rPr>
        <w:t>----------------------------------------------------------------------------------------------------------------------------------------------------------------------------------------------------------------------------------------------------------------------------------------------------------------------------------------------------------------------------------------------------------------------------------------------------------------------------------------------------------------------------------------------------------------------------------------------------------------------------------------------------------------------------------------------------------------------------------------------------------------------------------------------------------------------------------------------------------------------------------------------------------------------------------------------------------------------------------------------------------------------------------------------------------------------------------------------------------------------------------------------------------------------------------------------------------------------------------</w:t>
      </w:r>
      <w:r w:rsidR="00A90157" w:rsidRPr="00B46FBB">
        <w:rPr>
          <w:rFonts w:ascii="Palatino Linotype" w:eastAsiaTheme="minorHAnsi" w:hAnsi="Palatino Linotype" w:cs="Arial"/>
          <w:lang w:val="es-MX" w:eastAsia="en-US"/>
        </w:rPr>
        <w:t>-----------------------------------------------------------------------------------------------------</w:t>
      </w:r>
      <w:r w:rsidR="00C46731" w:rsidRPr="00B46FBB">
        <w:rPr>
          <w:rFonts w:ascii="Palatino Linotype" w:eastAsiaTheme="minorHAnsi" w:hAnsi="Palatino Linotype" w:cs="Arial"/>
          <w:lang w:val="es-MX" w:eastAsia="en-US"/>
        </w:rPr>
        <w:t>-----------------------</w:t>
      </w:r>
      <w:r w:rsidR="001A1E5B" w:rsidRPr="00B46FBB">
        <w:rPr>
          <w:rFonts w:ascii="Palatino Linotype" w:eastAsiaTheme="minorHAnsi" w:hAnsi="Palatino Linotype" w:cs="Arial"/>
          <w:lang w:val="es-MX" w:eastAsia="en-US"/>
        </w:rPr>
        <w:t xml:space="preserve"> -------------------------------------------------------------------------------------------------------------------------------------------------------------------------------------------------------------------------------------------------------------------------------------------------------------------------------------------------------------------------------------------------------------------------------------------------------------------------------------------------------------------------------------------------------------------------------</w:t>
      </w:r>
      <w:r w:rsidR="00B46FBB" w:rsidRPr="00B46FBB">
        <w:rPr>
          <w:rFonts w:ascii="Palatino Linotype" w:eastAsiaTheme="minorHAnsi" w:hAnsi="Palatino Linotype" w:cs="Arial"/>
          <w:lang w:val="es-MX" w:eastAsia="en-US"/>
        </w:rPr>
        <w:t>-----------</w:t>
      </w:r>
    </w:p>
    <w:p w:rsidR="0029071C" w:rsidRPr="00DC2B31" w:rsidRDefault="0029071C" w:rsidP="002A040B">
      <w:pPr>
        <w:spacing w:line="360" w:lineRule="auto"/>
        <w:jc w:val="both"/>
        <w:rPr>
          <w:rFonts w:ascii="Palatino Linotype" w:eastAsiaTheme="minorHAnsi" w:hAnsi="Palatino Linotype" w:cs="Arial"/>
          <w:lang w:val="es-MX" w:eastAsia="en-US"/>
        </w:rPr>
      </w:pPr>
      <w:r w:rsidRPr="00B46FBB">
        <w:rPr>
          <w:rFonts w:ascii="Palatino Linotype" w:eastAsiaTheme="minorHAnsi" w:hAnsi="Palatino Linotype" w:cs="Arial"/>
          <w:sz w:val="18"/>
          <w:lang w:val="es-MX" w:eastAsia="en-US"/>
        </w:rPr>
        <w:t>JMV/CCR/</w:t>
      </w:r>
      <w:proofErr w:type="spellStart"/>
      <w:r w:rsidRPr="00B46FBB">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6CD" w:rsidRDefault="009C46CD" w:rsidP="000B5E25">
      <w:r>
        <w:separator/>
      </w:r>
    </w:p>
  </w:endnote>
  <w:endnote w:type="continuationSeparator" w:id="0">
    <w:p w:rsidR="009C46CD" w:rsidRDefault="009C46C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34B" w:rsidRPr="000D3AD4" w:rsidRDefault="00BB134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A1518">
      <w:rPr>
        <w:rFonts w:ascii="Palatino Linotype" w:hAnsi="Palatino Linotype" w:cs="Arial"/>
        <w:bCs/>
        <w:noProof/>
        <w:sz w:val="20"/>
        <w:szCs w:val="20"/>
      </w:rPr>
      <w:t>23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A1518">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34B" w:rsidRPr="000D3AD4" w:rsidRDefault="00BB134B"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A151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A1518">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6CD" w:rsidRDefault="009C46CD" w:rsidP="000B5E25">
      <w:r>
        <w:separator/>
      </w:r>
    </w:p>
  </w:footnote>
  <w:footnote w:type="continuationSeparator" w:id="0">
    <w:p w:rsidR="009C46CD" w:rsidRDefault="009C46CD" w:rsidP="000B5E25">
      <w:r>
        <w:continuationSeparator/>
      </w:r>
    </w:p>
  </w:footnote>
  <w:footnote w:id="1">
    <w:p w:rsidR="008A64CB" w:rsidRPr="008A64CB" w:rsidRDefault="008A64CB"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8A64CB" w:rsidRPr="008A64CB" w:rsidRDefault="008A64CB"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A64CB" w:rsidRPr="008A64CB" w:rsidRDefault="008A64CB">
      <w:pPr>
        <w:pStyle w:val="Textonotapie"/>
        <w:rPr>
          <w:lang w:val="es-MX"/>
        </w:rPr>
      </w:pPr>
    </w:p>
  </w:footnote>
  <w:footnote w:id="2">
    <w:p w:rsidR="00563B39" w:rsidRPr="0078706E" w:rsidRDefault="00563B39" w:rsidP="00563B39">
      <w:pPr>
        <w:pStyle w:val="Textonotapie"/>
        <w:ind w:left="142" w:right="-567"/>
        <w:jc w:val="both"/>
        <w:rPr>
          <w:rFonts w:ascii="Palatino Linotype" w:hAnsi="Palatino Linotype"/>
          <w:sz w:val="18"/>
          <w:szCs w:val="18"/>
        </w:rPr>
      </w:pPr>
      <w:r>
        <w:rPr>
          <w:rStyle w:val="Refdenotaalpie"/>
        </w:rPr>
        <w:footnoteRef/>
      </w:r>
      <w:r>
        <w:t xml:space="preserve"> </w:t>
      </w:r>
      <w:r w:rsidRPr="00B27C8F">
        <w:rPr>
          <w:rFonts w:ascii="Palatino Linotype" w:hAnsi="Palatino Linotype"/>
          <w:i/>
          <w:sz w:val="18"/>
          <w:szCs w:val="18"/>
        </w:rPr>
        <w:t>Modificado posteriormente en fechas 27 de noviembre de 2017, 23 de enero y 7 de agosto de 2019, por el Pleno del Instituto de Transparencia, Acceso a la Información Pública y Protección de Datos Personales del Estado de México y Municipios, mediante Acuerdos publicados en el Periódico Oficial “Gaceta del Gobierno”.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34B" w:rsidRDefault="009C46C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BB134B" w:rsidRPr="008F2CCC" w:rsidTr="00732345">
      <w:tc>
        <w:tcPr>
          <w:tcW w:w="2552" w:type="dxa"/>
          <w:shd w:val="clear" w:color="auto" w:fill="auto"/>
        </w:tcPr>
        <w:p w:rsidR="00BB134B" w:rsidRPr="00807CDA" w:rsidRDefault="00BB134B"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BB134B" w:rsidRPr="0029071C" w:rsidRDefault="00A47879" w:rsidP="00A47879">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12515</w:t>
          </w:r>
          <w:r w:rsidR="00A90157">
            <w:rPr>
              <w:rFonts w:ascii="Palatino Linotype" w:hAnsi="Palatino Linotype"/>
              <w:sz w:val="22"/>
              <w:szCs w:val="22"/>
              <w:lang w:val="es-ES_tradnl"/>
            </w:rPr>
            <w:t>/INFOEM/IP/RR/2022</w:t>
          </w:r>
        </w:p>
      </w:tc>
    </w:tr>
    <w:tr w:rsidR="00BB134B" w:rsidRPr="008F2CCC" w:rsidTr="00732345">
      <w:tc>
        <w:tcPr>
          <w:tcW w:w="2552" w:type="dxa"/>
          <w:shd w:val="clear" w:color="auto" w:fill="auto"/>
        </w:tcPr>
        <w:p w:rsidR="00BB134B" w:rsidRPr="00807CDA" w:rsidRDefault="00BB134B"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BB134B" w:rsidRPr="0029071C" w:rsidRDefault="00A47879" w:rsidP="00E5647F">
          <w:pPr>
            <w:spacing w:line="276" w:lineRule="auto"/>
            <w:jc w:val="right"/>
            <w:rPr>
              <w:rFonts w:ascii="Palatino Linotype" w:hAnsi="Palatino Linotype"/>
              <w:sz w:val="22"/>
              <w:szCs w:val="22"/>
              <w:lang w:val="es-ES_tradnl"/>
            </w:rPr>
          </w:pPr>
          <w:r w:rsidRPr="00A47879">
            <w:rPr>
              <w:rFonts w:ascii="Palatino Linotype" w:hAnsi="Palatino Linotype"/>
              <w:sz w:val="22"/>
              <w:szCs w:val="22"/>
              <w:lang w:val="es-ES_tradnl"/>
            </w:rPr>
            <w:t>Ayuntamiento de Tecámac</w:t>
          </w:r>
        </w:p>
      </w:tc>
    </w:tr>
    <w:tr w:rsidR="00BB134B" w:rsidRPr="008F2CCC" w:rsidTr="00732345">
      <w:trPr>
        <w:trHeight w:val="228"/>
      </w:trPr>
      <w:tc>
        <w:tcPr>
          <w:tcW w:w="2552" w:type="dxa"/>
          <w:shd w:val="clear" w:color="auto" w:fill="auto"/>
        </w:tcPr>
        <w:p w:rsidR="00BB134B" w:rsidRPr="00807CDA" w:rsidRDefault="00BB134B"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BB134B" w:rsidRPr="0029071C" w:rsidRDefault="00BB134B"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BB134B" w:rsidRPr="001779E0" w:rsidRDefault="009C46C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BB134B" w:rsidRPr="008F2CCC" w:rsidTr="0029071C">
      <w:tc>
        <w:tcPr>
          <w:tcW w:w="2835" w:type="dxa"/>
          <w:shd w:val="clear" w:color="auto" w:fill="auto"/>
        </w:tcPr>
        <w:p w:rsidR="00BB134B" w:rsidRPr="00807CDA" w:rsidRDefault="00BB134B"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BB134B" w:rsidRPr="0029071C" w:rsidRDefault="00A47879" w:rsidP="002D61F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12515</w:t>
          </w:r>
          <w:r w:rsidR="00A90157">
            <w:rPr>
              <w:rFonts w:ascii="Palatino Linotype" w:hAnsi="Palatino Linotype"/>
              <w:sz w:val="22"/>
              <w:szCs w:val="22"/>
              <w:lang w:val="es-ES_tradnl"/>
            </w:rPr>
            <w:t>/INFOEM/IP/RR/2022</w:t>
          </w:r>
        </w:p>
      </w:tc>
    </w:tr>
    <w:tr w:rsidR="00BB134B" w:rsidRPr="008F2CCC" w:rsidTr="0029071C">
      <w:tc>
        <w:tcPr>
          <w:tcW w:w="2835" w:type="dxa"/>
          <w:shd w:val="clear" w:color="auto" w:fill="auto"/>
          <w:vAlign w:val="center"/>
        </w:tcPr>
        <w:p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A47879" w:rsidRDefault="00CA1518" w:rsidP="0029071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w:t>
          </w:r>
          <w:r w:rsidR="00A47879" w:rsidRPr="00A47879">
            <w:rPr>
              <w:rFonts w:ascii="Palatino Linotype" w:hAnsi="Palatino Linotype"/>
              <w:sz w:val="22"/>
              <w:szCs w:val="22"/>
              <w:lang w:val="es-ES_tradnl"/>
            </w:rPr>
            <w:t xml:space="preserve"> </w:t>
          </w:r>
        </w:p>
        <w:p w:rsidR="00BB134B" w:rsidRPr="0029071C" w:rsidRDefault="00CA1518" w:rsidP="0029071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w:t>
          </w:r>
        </w:p>
      </w:tc>
    </w:tr>
    <w:tr w:rsidR="00BB134B" w:rsidRPr="008F2CCC" w:rsidTr="0029071C">
      <w:trPr>
        <w:trHeight w:val="228"/>
      </w:trPr>
      <w:tc>
        <w:tcPr>
          <w:tcW w:w="2835" w:type="dxa"/>
          <w:shd w:val="clear" w:color="auto" w:fill="auto"/>
        </w:tcPr>
        <w:p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BB134B" w:rsidRPr="0029071C" w:rsidRDefault="00A47879" w:rsidP="0029071C">
          <w:pPr>
            <w:spacing w:line="276" w:lineRule="auto"/>
            <w:jc w:val="right"/>
            <w:rPr>
              <w:rFonts w:ascii="Palatino Linotype" w:hAnsi="Palatino Linotype"/>
              <w:sz w:val="22"/>
              <w:szCs w:val="22"/>
            </w:rPr>
          </w:pPr>
          <w:r w:rsidRPr="00A47879">
            <w:rPr>
              <w:rFonts w:ascii="Palatino Linotype" w:hAnsi="Palatino Linotype"/>
              <w:sz w:val="22"/>
              <w:szCs w:val="22"/>
            </w:rPr>
            <w:t>Ayuntamiento de Tecámac</w:t>
          </w:r>
        </w:p>
      </w:tc>
    </w:tr>
    <w:tr w:rsidR="00BB134B" w:rsidRPr="008F2CCC" w:rsidTr="0029071C">
      <w:tc>
        <w:tcPr>
          <w:tcW w:w="2835" w:type="dxa"/>
          <w:shd w:val="clear" w:color="auto" w:fill="auto"/>
        </w:tcPr>
        <w:p w:rsidR="00BB134B" w:rsidRPr="00807CDA" w:rsidRDefault="00BB134B"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BB134B" w:rsidRPr="0029071C" w:rsidRDefault="00BB134B"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BB134B" w:rsidRPr="009F1AB6" w:rsidRDefault="009C46CD">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105.7pt;margin-top:-126.6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7F4C4E"/>
    <w:multiLevelType w:val="hybridMultilevel"/>
    <w:tmpl w:val="35461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5A3497"/>
    <w:multiLevelType w:val="hybridMultilevel"/>
    <w:tmpl w:val="DAF478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3"/>
  </w:num>
  <w:num w:numId="3">
    <w:abstractNumId w:val="22"/>
  </w:num>
  <w:num w:numId="4">
    <w:abstractNumId w:val="7"/>
  </w:num>
  <w:num w:numId="5">
    <w:abstractNumId w:val="16"/>
  </w:num>
  <w:num w:numId="6">
    <w:abstractNumId w:val="15"/>
  </w:num>
  <w:num w:numId="7">
    <w:abstractNumId w:val="17"/>
  </w:num>
  <w:num w:numId="8">
    <w:abstractNumId w:val="0"/>
  </w:num>
  <w:num w:numId="9">
    <w:abstractNumId w:val="24"/>
  </w:num>
  <w:num w:numId="10">
    <w:abstractNumId w:val="27"/>
  </w:num>
  <w:num w:numId="11">
    <w:abstractNumId w:val="2"/>
  </w:num>
  <w:num w:numId="12">
    <w:abstractNumId w:val="6"/>
  </w:num>
  <w:num w:numId="13">
    <w:abstractNumId w:val="19"/>
  </w:num>
  <w:num w:numId="14">
    <w:abstractNumId w:val="26"/>
  </w:num>
  <w:num w:numId="15">
    <w:abstractNumId w:val="25"/>
  </w:num>
  <w:num w:numId="16">
    <w:abstractNumId w:val="5"/>
  </w:num>
  <w:num w:numId="17">
    <w:abstractNumId w:val="3"/>
  </w:num>
  <w:num w:numId="18">
    <w:abstractNumId w:val="1"/>
  </w:num>
  <w:num w:numId="19">
    <w:abstractNumId w:val="21"/>
  </w:num>
  <w:num w:numId="20">
    <w:abstractNumId w:val="9"/>
  </w:num>
  <w:num w:numId="21">
    <w:abstractNumId w:val="11"/>
  </w:num>
  <w:num w:numId="22">
    <w:abstractNumId w:val="10"/>
  </w:num>
  <w:num w:numId="2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4"/>
  </w:num>
  <w:num w:numId="26">
    <w:abstractNumId w:val="12"/>
  </w:num>
  <w:num w:numId="27">
    <w:abstractNumId w:val="8"/>
  </w:num>
  <w:num w:numId="28">
    <w:abstractNumId w:val="2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6FAE"/>
    <w:rsid w:val="000572E9"/>
    <w:rsid w:val="00093AE1"/>
    <w:rsid w:val="000A717C"/>
    <w:rsid w:val="000B5E25"/>
    <w:rsid w:val="000B7C6C"/>
    <w:rsid w:val="000C43CE"/>
    <w:rsid w:val="000D3AD4"/>
    <w:rsid w:val="000F1585"/>
    <w:rsid w:val="000F16BA"/>
    <w:rsid w:val="00101AD8"/>
    <w:rsid w:val="00123996"/>
    <w:rsid w:val="0012510D"/>
    <w:rsid w:val="00186CCB"/>
    <w:rsid w:val="0019170F"/>
    <w:rsid w:val="001A1E5B"/>
    <w:rsid w:val="001A6109"/>
    <w:rsid w:val="001C41E1"/>
    <w:rsid w:val="001D4046"/>
    <w:rsid w:val="001E45B5"/>
    <w:rsid w:val="0020249A"/>
    <w:rsid w:val="00202C04"/>
    <w:rsid w:val="002167BB"/>
    <w:rsid w:val="00217E6C"/>
    <w:rsid w:val="00225163"/>
    <w:rsid w:val="00235936"/>
    <w:rsid w:val="00236CBA"/>
    <w:rsid w:val="00255F1A"/>
    <w:rsid w:val="00261BC7"/>
    <w:rsid w:val="00267BB5"/>
    <w:rsid w:val="0029071C"/>
    <w:rsid w:val="00295B3F"/>
    <w:rsid w:val="002A040B"/>
    <w:rsid w:val="002A4B43"/>
    <w:rsid w:val="002A676F"/>
    <w:rsid w:val="002C0BE5"/>
    <w:rsid w:val="002C6117"/>
    <w:rsid w:val="002D61F7"/>
    <w:rsid w:val="002E3085"/>
    <w:rsid w:val="002F3B20"/>
    <w:rsid w:val="00307006"/>
    <w:rsid w:val="0030701F"/>
    <w:rsid w:val="00330FC3"/>
    <w:rsid w:val="00343F0B"/>
    <w:rsid w:val="003520C5"/>
    <w:rsid w:val="003746DE"/>
    <w:rsid w:val="003804E8"/>
    <w:rsid w:val="00380D3E"/>
    <w:rsid w:val="003A07FD"/>
    <w:rsid w:val="003B1C85"/>
    <w:rsid w:val="003E56C9"/>
    <w:rsid w:val="004018F9"/>
    <w:rsid w:val="00425E0F"/>
    <w:rsid w:val="004344EA"/>
    <w:rsid w:val="0043515A"/>
    <w:rsid w:val="00442FD8"/>
    <w:rsid w:val="00443892"/>
    <w:rsid w:val="004445A1"/>
    <w:rsid w:val="00445CAA"/>
    <w:rsid w:val="004D6F71"/>
    <w:rsid w:val="00524A8D"/>
    <w:rsid w:val="00555C87"/>
    <w:rsid w:val="00563B39"/>
    <w:rsid w:val="0057289F"/>
    <w:rsid w:val="0059032F"/>
    <w:rsid w:val="005A6216"/>
    <w:rsid w:val="005B234D"/>
    <w:rsid w:val="005B26AD"/>
    <w:rsid w:val="005B36A8"/>
    <w:rsid w:val="005B5693"/>
    <w:rsid w:val="005C6646"/>
    <w:rsid w:val="005D77CC"/>
    <w:rsid w:val="005E5716"/>
    <w:rsid w:val="006002E0"/>
    <w:rsid w:val="00620280"/>
    <w:rsid w:val="006258FD"/>
    <w:rsid w:val="00632E48"/>
    <w:rsid w:val="00643B58"/>
    <w:rsid w:val="006807ED"/>
    <w:rsid w:val="00694976"/>
    <w:rsid w:val="006B321A"/>
    <w:rsid w:val="006B418F"/>
    <w:rsid w:val="006D1713"/>
    <w:rsid w:val="006D3A03"/>
    <w:rsid w:val="006E08FA"/>
    <w:rsid w:val="006F5F93"/>
    <w:rsid w:val="00710FED"/>
    <w:rsid w:val="0072658E"/>
    <w:rsid w:val="00732345"/>
    <w:rsid w:val="00754AD0"/>
    <w:rsid w:val="00756F04"/>
    <w:rsid w:val="00770F18"/>
    <w:rsid w:val="007A118C"/>
    <w:rsid w:val="007D2A81"/>
    <w:rsid w:val="007E534B"/>
    <w:rsid w:val="007E7C02"/>
    <w:rsid w:val="007F7462"/>
    <w:rsid w:val="00835035"/>
    <w:rsid w:val="00847265"/>
    <w:rsid w:val="008500D3"/>
    <w:rsid w:val="00852668"/>
    <w:rsid w:val="008578BF"/>
    <w:rsid w:val="008660D6"/>
    <w:rsid w:val="008A1A90"/>
    <w:rsid w:val="008A64CB"/>
    <w:rsid w:val="008C3B24"/>
    <w:rsid w:val="008E01E4"/>
    <w:rsid w:val="00900C9B"/>
    <w:rsid w:val="00901487"/>
    <w:rsid w:val="00926C44"/>
    <w:rsid w:val="0093645B"/>
    <w:rsid w:val="00945B1F"/>
    <w:rsid w:val="009758CB"/>
    <w:rsid w:val="00980909"/>
    <w:rsid w:val="00993406"/>
    <w:rsid w:val="009A0F77"/>
    <w:rsid w:val="009A5223"/>
    <w:rsid w:val="009B23B7"/>
    <w:rsid w:val="009B2B6B"/>
    <w:rsid w:val="009B7BFD"/>
    <w:rsid w:val="009C46CD"/>
    <w:rsid w:val="009D2E87"/>
    <w:rsid w:val="009D39B3"/>
    <w:rsid w:val="009E0E89"/>
    <w:rsid w:val="009E1F26"/>
    <w:rsid w:val="009F4FF4"/>
    <w:rsid w:val="009F62C3"/>
    <w:rsid w:val="009F71DC"/>
    <w:rsid w:val="00A0100D"/>
    <w:rsid w:val="00A05133"/>
    <w:rsid w:val="00A05D3A"/>
    <w:rsid w:val="00A47879"/>
    <w:rsid w:val="00A5260D"/>
    <w:rsid w:val="00A6692F"/>
    <w:rsid w:val="00A72262"/>
    <w:rsid w:val="00A90157"/>
    <w:rsid w:val="00AA26B4"/>
    <w:rsid w:val="00AB15E3"/>
    <w:rsid w:val="00AB6E87"/>
    <w:rsid w:val="00AD33BE"/>
    <w:rsid w:val="00AE1A47"/>
    <w:rsid w:val="00AE5995"/>
    <w:rsid w:val="00AE6704"/>
    <w:rsid w:val="00B01BD5"/>
    <w:rsid w:val="00B05B83"/>
    <w:rsid w:val="00B17992"/>
    <w:rsid w:val="00B23344"/>
    <w:rsid w:val="00B27C8F"/>
    <w:rsid w:val="00B309E3"/>
    <w:rsid w:val="00B31853"/>
    <w:rsid w:val="00B46FBB"/>
    <w:rsid w:val="00B50B07"/>
    <w:rsid w:val="00B8098B"/>
    <w:rsid w:val="00BB134B"/>
    <w:rsid w:val="00BC0CFA"/>
    <w:rsid w:val="00BD14B3"/>
    <w:rsid w:val="00BD677A"/>
    <w:rsid w:val="00BE233B"/>
    <w:rsid w:val="00BE7A6E"/>
    <w:rsid w:val="00C46731"/>
    <w:rsid w:val="00C56DD5"/>
    <w:rsid w:val="00C802FB"/>
    <w:rsid w:val="00C941C8"/>
    <w:rsid w:val="00CA1518"/>
    <w:rsid w:val="00CA216C"/>
    <w:rsid w:val="00CC0700"/>
    <w:rsid w:val="00CD024D"/>
    <w:rsid w:val="00D21ECE"/>
    <w:rsid w:val="00D27727"/>
    <w:rsid w:val="00D333EE"/>
    <w:rsid w:val="00D4431A"/>
    <w:rsid w:val="00D57210"/>
    <w:rsid w:val="00D876D5"/>
    <w:rsid w:val="00D901D7"/>
    <w:rsid w:val="00D92BFE"/>
    <w:rsid w:val="00DC2B31"/>
    <w:rsid w:val="00DD1866"/>
    <w:rsid w:val="00DE0A8D"/>
    <w:rsid w:val="00DE562A"/>
    <w:rsid w:val="00E353A0"/>
    <w:rsid w:val="00E42B2B"/>
    <w:rsid w:val="00E5647F"/>
    <w:rsid w:val="00E65F37"/>
    <w:rsid w:val="00E711DE"/>
    <w:rsid w:val="00E74701"/>
    <w:rsid w:val="00E823B8"/>
    <w:rsid w:val="00E9091C"/>
    <w:rsid w:val="00EA46CC"/>
    <w:rsid w:val="00EA61B9"/>
    <w:rsid w:val="00EA7BF4"/>
    <w:rsid w:val="00EB6C62"/>
    <w:rsid w:val="00EE4D9C"/>
    <w:rsid w:val="00EE6265"/>
    <w:rsid w:val="00EE7518"/>
    <w:rsid w:val="00EF193B"/>
    <w:rsid w:val="00F34A32"/>
    <w:rsid w:val="00F455F1"/>
    <w:rsid w:val="00F570D3"/>
    <w:rsid w:val="00F73BB1"/>
    <w:rsid w:val="00F8513C"/>
    <w:rsid w:val="00F93C57"/>
    <w:rsid w:val="00FC0DAE"/>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f.tecamac.gob.mx/Eventos"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www.facebook.com/100069002108088/videos/110131104726623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70C66-F1E9-4353-8695-F6CA5604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25</Pages>
  <Words>5753</Words>
  <Characters>31647</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Rodrigo Nájera</cp:lastModifiedBy>
  <cp:revision>6</cp:revision>
  <dcterms:created xsi:type="dcterms:W3CDTF">2022-09-08T19:02:00Z</dcterms:created>
  <dcterms:modified xsi:type="dcterms:W3CDTF">2022-10-24T21:47:00Z</dcterms:modified>
</cp:coreProperties>
</file>