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veintinueve de junio del dos mil veintidós.</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04034/INFOEM/IP/RR/2022;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un particular que no proporcionó nombre o seudónimo</w:t>
      </w:r>
      <w:r>
        <w:rPr>
          <w:rFonts w:ascii="Palatino Linotype" w:eastAsia="Palatino Linotype" w:hAnsi="Palatino Linotype" w:cs="Palatino Linotype"/>
        </w:rPr>
        <w:t xml:space="preserve">, en lo sucesivo se le denominara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00218/INFOEM/IP/2022,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Instituto de Transparencia, Acceso a la Información Pública y Protección de Datos Personales del Estado de México y Municipios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6F690A" w:rsidRDefault="0061297A">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6F690A" w:rsidRDefault="0061297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6F690A" w:rsidRDefault="0061297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w:t>
      </w:r>
      <w:r>
        <w:rPr>
          <w:rFonts w:ascii="Palatino Linotype" w:eastAsia="Palatino Linotype" w:hAnsi="Palatino Linotype" w:cs="Palatino Linotype"/>
          <w:b/>
          <w:i/>
          <w:u w:val="single"/>
        </w:rPr>
        <w:t xml:space="preserve">saber la fecha </w:t>
      </w:r>
      <w:r>
        <w:rPr>
          <w:rFonts w:ascii="Palatino Linotype" w:eastAsia="Palatino Linotype" w:hAnsi="Palatino Linotype" w:cs="Palatino Linotype"/>
          <w:i/>
        </w:rPr>
        <w:t>en que depositan los 20 días proporcionales del aguinaldo” (Sic)</w:t>
      </w:r>
    </w:p>
    <w:p w:rsidR="006F690A" w:rsidRDefault="006F690A">
      <w:pPr>
        <w:ind w:left="851" w:right="902"/>
        <w:jc w:val="both"/>
        <w:rPr>
          <w:rFonts w:ascii="Palatino Linotype" w:eastAsia="Palatino Linotype" w:hAnsi="Palatino Linotype" w:cs="Palatino Linotype"/>
          <w:i/>
          <w:color w:val="000000"/>
          <w:sz w:val="22"/>
          <w:szCs w:val="22"/>
        </w:rPr>
      </w:pPr>
    </w:p>
    <w:p w:rsidR="006F690A" w:rsidRDefault="006F690A">
      <w:pPr>
        <w:ind w:left="851" w:right="902"/>
        <w:jc w:val="both"/>
        <w:rPr>
          <w:rFonts w:ascii="Palatino Linotype" w:eastAsia="Palatino Linotype" w:hAnsi="Palatino Linotype" w:cs="Palatino Linotype"/>
          <w:i/>
          <w:color w:val="000000"/>
          <w:sz w:val="22"/>
          <w:szCs w:val="22"/>
        </w:rPr>
      </w:pPr>
    </w:p>
    <w:p w:rsidR="006F690A" w:rsidRDefault="0061297A">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diecisiete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6F690A" w:rsidRDefault="0061297A">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F690A" w:rsidRDefault="0061297A">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fundamento en el artículo 53 fracción II de la Ley de Transparencia y Acceso a la Información Pública del Estado de México y Municipios, se adjunta la respuesta a su solicitud de acceso a la información pública.</w:t>
      </w:r>
    </w:p>
    <w:p w:rsidR="006F690A" w:rsidRDefault="0061297A">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6F690A" w:rsidRDefault="0061297A">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Mtro. Juan Salvador V. Hernández Flores.” (Sic)</w:t>
      </w:r>
    </w:p>
    <w:p w:rsidR="006F690A" w:rsidRDefault="006F690A">
      <w:pPr>
        <w:ind w:right="902"/>
        <w:jc w:val="both"/>
        <w:rPr>
          <w:rFonts w:ascii="Palatino Linotype" w:eastAsia="Palatino Linotype" w:hAnsi="Palatino Linotype" w:cs="Palatino Linotype"/>
          <w:b/>
        </w:rPr>
      </w:pPr>
    </w:p>
    <w:p w:rsidR="006F690A" w:rsidRDefault="0061297A">
      <w:pPr>
        <w:spacing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Adjuntando a su respuesta dos archivos electrónicos: </w:t>
      </w:r>
    </w:p>
    <w:p w:rsidR="006F690A" w:rsidRDefault="0061297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RespuestaSolicitud00218UT.pdf, </w:t>
      </w:r>
      <w:r>
        <w:rPr>
          <w:rFonts w:ascii="Palatino Linotype" w:eastAsia="Palatino Linotype" w:hAnsi="Palatino Linotype" w:cs="Palatino Linotype"/>
          <w:color w:val="000000"/>
          <w:sz w:val="22"/>
          <w:szCs w:val="22"/>
        </w:rPr>
        <w:t>oficio número: INFOEM/UT/226/2022, de fecha diecisiete de marzo de dos mil veintidós, suscrito por el Titular de la Unidad de Transparencia, a través de cual informa lo siguiente:</w:t>
      </w:r>
    </w:p>
    <w:p w:rsidR="006F690A" w:rsidRDefault="0061297A">
      <w:pPr>
        <w:spacing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la solicitud de acceso a la información pública, que realizó a través del Sistema de Acceso a la Información Mexiquense (SAIMEX), el día veinticuatro de febrero de dos mil veintidós, mediante la que requirió: “Solicito saber la fecha en que depositan los 20 días proporcionales del aguinaldo” misma que fue registrada bajo el folio número 00218/INFOEM/IP/2022, sírvase en encontrar en archivo adjunto la documentación consistente en:  La respuesta del servidor público habilitado de la Dirección General de Administración y Finanzas bajo el número de oficio INFOEM/DGAF/121/2022, remitido a esta Unidad de Transparencia </w:t>
      </w:r>
      <w:r>
        <w:rPr>
          <w:rFonts w:ascii="Palatino Linotype" w:eastAsia="Palatino Linotype" w:hAnsi="Palatino Linotype" w:cs="Palatino Linotype"/>
          <w:i/>
          <w:sz w:val="22"/>
          <w:szCs w:val="22"/>
        </w:rPr>
        <w:lastRenderedPageBreak/>
        <w:t xml:space="preserve">identificada con el nombre de archivo “RespuestaSolicitud00218DGAF”. …” </w:t>
      </w:r>
      <w:r>
        <w:rPr>
          <w:rFonts w:ascii="Palatino Linotype" w:eastAsia="Palatino Linotype" w:hAnsi="Palatino Linotype" w:cs="Palatino Linotype"/>
          <w:sz w:val="22"/>
          <w:szCs w:val="22"/>
        </w:rPr>
        <w:t>(Sic)</w:t>
      </w:r>
    </w:p>
    <w:p w:rsidR="006F690A" w:rsidRDefault="0061297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RespuestaSolicitud00218DGAF.pdf, </w:t>
      </w:r>
      <w:r>
        <w:rPr>
          <w:rFonts w:ascii="Palatino Linotype" w:eastAsia="Palatino Linotype" w:hAnsi="Palatino Linotype" w:cs="Palatino Linotype"/>
          <w:color w:val="000000"/>
          <w:sz w:val="22"/>
          <w:szCs w:val="22"/>
        </w:rPr>
        <w:t>oficio número INFOEM/DGAF/121/2022, de fecha catorce de marzo de dos mil veintidós, suscrito por el Director General de Administración y Finanzas, mediante el cual informa lo siguiente:</w:t>
      </w:r>
    </w:p>
    <w:p w:rsidR="006F690A" w:rsidRDefault="0061297A">
      <w:pPr>
        <w:spacing w:after="240"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“Con la finalidad de atender la solicitud del particular oportunamente y con fundamento en el artículo 12 y 59 fracción I y II de la Ley de Transparencia y Acceso a la Información Pública del Estado de México y Municipios atendiendo lo previsto en el artículo 9 de la misma Ley, se procedió a realizar una búsqueda exhaustiva y razonable en los archivos de esta Dirección General y el Departamento de Recursos Humanos adscrito; </w:t>
      </w:r>
      <w:r>
        <w:rPr>
          <w:rFonts w:ascii="Palatino Linotype" w:eastAsia="Palatino Linotype" w:hAnsi="Palatino Linotype" w:cs="Palatino Linotype"/>
          <w:b/>
          <w:i/>
          <w:sz w:val="22"/>
          <w:szCs w:val="22"/>
        </w:rPr>
        <w:t xml:space="preserve">al respecto se hace de su conocimiento que el Manual De Normas Y Procedimientos De Desarrollo Y Administración De Personal establece que "el aguinaldo corresponde a 60 días de sueldo base presupuestal, cuando se ha trabajado durante el año calendario, y se paga en dos parcialidades: la primera por un monto equivalente a 20 días, denominado "adelanto de aguinaldo" el cual se pagará antes del primer período vacacional. .. " dicho Manual puede ser consultado en el siguiente link: </w:t>
      </w:r>
    </w:p>
    <w:p w:rsidR="006F690A" w:rsidRDefault="0061297A">
      <w:pPr>
        <w:spacing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https://finanzas.edomex.gob.mx/sites/finanzas.edomex.gob.mx/files/ftlesServidores%20Publicos/MANUAL/Procedimientos/300_2022.pdf </w:t>
      </w:r>
      <w:r>
        <w:rPr>
          <w:rFonts w:ascii="Palatino Linotype" w:eastAsia="Palatino Linotype" w:hAnsi="Palatino Linotype" w:cs="Palatino Linotype"/>
          <w:sz w:val="22"/>
          <w:szCs w:val="22"/>
        </w:rPr>
        <w:t>“ (Sic)</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w:t>
      </w:r>
      <w:r>
        <w:rPr>
          <w:rFonts w:ascii="Palatino Linotype" w:eastAsia="Palatino Linotype" w:hAnsi="Palatino Linotype" w:cs="Palatino Linotype"/>
          <w:b/>
        </w:rPr>
        <w:t>diecisiete de marzo de dos mil veintidós,</w:t>
      </w:r>
      <w:r>
        <w:rPr>
          <w:rFonts w:ascii="Palatino Linotype" w:eastAsia="Palatino Linotype" w:hAnsi="Palatino Linotype" w:cs="Palatino Linotype"/>
        </w:rPr>
        <w:t xml:space="preserve"> a través del cual expresó lo siguiente:</w:t>
      </w:r>
    </w:p>
    <w:p w:rsidR="006F690A" w:rsidRDefault="0061297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6F690A" w:rsidRDefault="0061297A">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“No me respondieron mi solicitud de manera adecuada.” (Sic)</w:t>
      </w:r>
    </w:p>
    <w:p w:rsidR="006F690A" w:rsidRDefault="0061297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6F690A" w:rsidRDefault="0061297A">
      <w:pPr>
        <w:spacing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mi solicitud requeri la "Fecha" de cuando se depositaban los 20 días del aguinaldo </w:t>
      </w:r>
      <w:r>
        <w:rPr>
          <w:rFonts w:ascii="Palatino Linotype" w:eastAsia="Palatino Linotype" w:hAnsi="Palatino Linotype" w:cs="Palatino Linotype"/>
          <w:b/>
          <w:i/>
          <w:color w:val="000000"/>
        </w:rPr>
        <w:t>no solicite que me explicaran los dos periodos en que se pagan los 60 días ni como se denominan a los 20 días, aunado a ello dicen que antes del periodo vacacional lo cual es ambiguo y no corresponde a lo solicitado</w:t>
      </w:r>
      <w:r>
        <w:rPr>
          <w:rFonts w:ascii="Palatino Linotype" w:eastAsia="Palatino Linotype" w:hAnsi="Palatino Linotype" w:cs="Palatino Linotype"/>
          <w:i/>
          <w:color w:val="000000"/>
        </w:rPr>
        <w:t>.” (Sic)</w:t>
      </w:r>
    </w:p>
    <w:p w:rsidR="006F690A" w:rsidRDefault="0061297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los recurso de revisión número </w:t>
      </w:r>
      <w:r>
        <w:rPr>
          <w:rFonts w:ascii="Palatino Linotype" w:eastAsia="Palatino Linotype" w:hAnsi="Palatino Linotype" w:cs="Palatino Linotype"/>
          <w:b/>
        </w:rPr>
        <w:t xml:space="preserve">04034/INFOEM/IP/RR/2022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6F690A" w:rsidRDefault="006F690A">
      <w:pPr>
        <w:spacing w:after="40" w:line="360" w:lineRule="auto"/>
        <w:jc w:val="both"/>
        <w:rPr>
          <w:rFonts w:ascii="Palatino Linotype" w:eastAsia="Palatino Linotype" w:hAnsi="Palatino Linotype" w:cs="Palatino Linotype"/>
        </w:rPr>
      </w:pPr>
    </w:p>
    <w:p w:rsidR="006F690A" w:rsidRDefault="0061297A">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veintitrés de marzo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6F690A" w:rsidRDefault="0061297A">
      <w:pPr>
        <w:spacing w:before="280" w:after="28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ofrecer pruebas y alegatos, 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lastRenderedPageBreak/>
        <w:t xml:space="preserve">fecha primero de abril del dos mil veintidós, </w:t>
      </w:r>
      <w:r>
        <w:rPr>
          <w:rFonts w:ascii="Palatino Linotype" w:eastAsia="Palatino Linotype" w:hAnsi="Palatino Linotype" w:cs="Palatino Linotype"/>
        </w:rPr>
        <w:t>mismo que se puso a la vista de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veinticuatro de mayo de dos mil veintidós.</w:t>
      </w:r>
    </w:p>
    <w:p w:rsidR="006F690A" w:rsidRDefault="0061297A">
      <w:pPr>
        <w:numPr>
          <w:ilvl w:val="0"/>
          <w:numId w:val="2"/>
        </w:num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RequerimientoInformeRR04034.pdf,</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memorándum número INFOEM/UT/079/2022, de fecha veintitrés de marzo de dos mil veintidós, suscrito por el Titular de la Unidad de Transparencia, por medio del cual solicita al Director General de Administración, remita</w:t>
      </w:r>
      <w:r>
        <w:rPr>
          <w:color w:val="000000"/>
          <w:sz w:val="22"/>
          <w:szCs w:val="22"/>
        </w:rPr>
        <w:t xml:space="preserve"> </w:t>
      </w:r>
      <w:r>
        <w:rPr>
          <w:rFonts w:ascii="Palatino Linotype" w:eastAsia="Palatino Linotype" w:hAnsi="Palatino Linotype" w:cs="Palatino Linotype"/>
          <w:color w:val="000000"/>
          <w:sz w:val="22"/>
          <w:szCs w:val="22"/>
        </w:rPr>
        <w:t>el informe derivado de la respuesta a la solicitud de información de cita, emitida por la Unidad Administrativa a su cargo, a más tardar el día treinta de marzo de dos mil veintidós.</w:t>
      </w:r>
    </w:p>
    <w:p w:rsidR="006F690A" w:rsidRDefault="0061297A">
      <w:pPr>
        <w:numPr>
          <w:ilvl w:val="0"/>
          <w:numId w:val="2"/>
        </w:num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InformeJustificadoRR04034UT.pdf,</w:t>
      </w:r>
      <w:r>
        <w:rPr>
          <w:color w:val="000000"/>
          <w:sz w:val="22"/>
          <w:szCs w:val="22"/>
        </w:rPr>
        <w:t xml:space="preserve"> </w:t>
      </w:r>
      <w:r>
        <w:rPr>
          <w:rFonts w:ascii="Palatino Linotype" w:eastAsia="Palatino Linotype" w:hAnsi="Palatino Linotype" w:cs="Palatino Linotype"/>
          <w:color w:val="000000"/>
          <w:sz w:val="22"/>
          <w:szCs w:val="22"/>
        </w:rPr>
        <w:t xml:space="preserve">oficio número INFOEM/UT/288/2022, del uno de abril de dos mil veintidós, mediante el cual remiten informe justificado en el cual esencialmente solicita se confirme el sentido de la respuesta que fue emitida en la vía originaria, a la vez de señalar en observancia del principio de máxima publicidad que </w:t>
      </w:r>
      <w:r>
        <w:rPr>
          <w:rFonts w:ascii="Palatino Linotype" w:eastAsia="Palatino Linotype" w:hAnsi="Palatino Linotype" w:cs="Palatino Linotype"/>
          <w:b/>
          <w:color w:val="000000"/>
          <w:sz w:val="22"/>
          <w:szCs w:val="22"/>
        </w:rPr>
        <w:t>el pagó respectivo se verá reflejado el siete de abril del año en curso</w:t>
      </w:r>
      <w:r>
        <w:rPr>
          <w:rFonts w:ascii="Palatino Linotype" w:eastAsia="Palatino Linotype" w:hAnsi="Palatino Linotype" w:cs="Palatino Linotype"/>
          <w:color w:val="000000"/>
          <w:sz w:val="22"/>
          <w:szCs w:val="22"/>
        </w:rPr>
        <w:t xml:space="preserve">, y solicita se </w:t>
      </w:r>
      <w:r>
        <w:rPr>
          <w:rFonts w:ascii="Palatino Linotype" w:eastAsia="Palatino Linotype" w:hAnsi="Palatino Linotype" w:cs="Palatino Linotype"/>
          <w:b/>
          <w:color w:val="000000"/>
          <w:sz w:val="22"/>
          <w:szCs w:val="22"/>
        </w:rPr>
        <w:t>CONFIRME</w:t>
      </w:r>
      <w:r>
        <w:rPr>
          <w:rFonts w:ascii="Palatino Linotype" w:eastAsia="Palatino Linotype" w:hAnsi="Palatino Linotype" w:cs="Palatino Linotype"/>
          <w:color w:val="000000"/>
          <w:sz w:val="22"/>
          <w:szCs w:val="22"/>
        </w:rPr>
        <w:t xml:space="preserve"> la respuesta otorgada a la solicitud de acceso a la información pública.</w:t>
      </w:r>
    </w:p>
    <w:p w:rsidR="006F690A" w:rsidRDefault="0061297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InformeRR04034DGAF.pdf, </w:t>
      </w:r>
      <w:r>
        <w:rPr>
          <w:rFonts w:ascii="Palatino Linotype" w:eastAsia="Palatino Linotype" w:hAnsi="Palatino Linotype" w:cs="Palatino Linotype"/>
          <w:color w:val="000000"/>
          <w:sz w:val="22"/>
          <w:szCs w:val="22"/>
        </w:rPr>
        <w:t>oficio número INFOEM/DGAF/181/2022, de fecha  uno de abril de dos mil veintidós, suscrito por el Director General de Administración y Finanzas, mediante el cual informa lo siguiente:</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manera general, podrá observarse que esta Unidad Administrativa respetó los principios que rigen en la materia, mediante el análisis y atención oportuna de la solicitud de información, otorgando la respuesta que conforme </w:t>
      </w:r>
      <w:r>
        <w:rPr>
          <w:rFonts w:ascii="Palatino Linotype" w:eastAsia="Palatino Linotype" w:hAnsi="Palatino Linotype" w:cs="Palatino Linotype"/>
          <w:i/>
          <w:color w:val="000000"/>
          <w:sz w:val="22"/>
          <w:szCs w:val="22"/>
        </w:rPr>
        <w:lastRenderedPageBreak/>
        <w:t>a derecho debió emitirse; enviando la respuesta correspondiente en cuanto a en qué fecha serían pagados los veinte días proporcionales al aguinaldo. …</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Cabe aclarar que el primer periodo vacacional calendarizado es del periodo comprendido del 18 al 29 de Julio del presente año, ya que por lo que respecta al periodo comprendido del 13 al 15 de abril, se refiere a una suspensión de labores. </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Ahora bien, atendiendo al principio de máxima publicidad de la información a la fecha ya puede informase de dicho pago se verá reflejado el día 7 de abril del 2022. </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Ahora bien, atendiendo a todo lo expuesto, este Instituto podrá declarar infundado e improcedente lo impugnado por el recurrente, debiendo ratificar la respuesta otorgada, y por </w:t>
      </w:r>
      <w:r>
        <w:rPr>
          <w:rFonts w:ascii="Palatino Linotype" w:eastAsia="Palatino Linotype" w:hAnsi="Palatino Linotype" w:cs="Palatino Linotype"/>
          <w:b/>
          <w:i/>
          <w:color w:val="000000"/>
          <w:sz w:val="22"/>
          <w:szCs w:val="22"/>
          <w:u w:val="single"/>
        </w:rPr>
        <w:t>lo tanto a consideración de esta Unidad Administrativa y en apego a lo que dispone el artículo 186 fracción l, de la Ley de Transparencia Local, deberá ser sobreseída</w:t>
      </w:r>
      <w:r>
        <w:rPr>
          <w:rFonts w:ascii="Palatino Linotype" w:eastAsia="Palatino Linotype" w:hAnsi="Palatino Linotype" w:cs="Palatino Linotype"/>
          <w:i/>
          <w:color w:val="000000"/>
          <w:sz w:val="22"/>
          <w:szCs w:val="22"/>
        </w:rPr>
        <w:t>. …” (Sic)</w:t>
      </w: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veinticuatro de mayo del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el plazo para emitir la presente resolución a fin de realizar un mejor estudio del asunto.</w:t>
      </w:r>
    </w:p>
    <w:p w:rsidR="007971C9" w:rsidRDefault="007971C9">
      <w:pPr>
        <w:spacing w:line="360" w:lineRule="auto"/>
        <w:jc w:val="both"/>
        <w:rPr>
          <w:rFonts w:ascii="Palatino Linotype" w:eastAsia="Palatino Linotype" w:hAnsi="Palatino Linotype" w:cs="Palatino Linotype"/>
        </w:rPr>
      </w:pP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 xml:space="preserve">Este organismo garante no pasa por alto justificar, que el plazo para emitir la resolución en el presente asunto encuentra justificación en el alto número de </w:t>
      </w:r>
      <w:r>
        <w:rPr>
          <w:rFonts w:ascii="Palatino Linotype" w:hAnsi="Palatino Linotype"/>
          <w:color w:val="000000"/>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Por ello, excepcionalmente, si un asunto es resuelto con posterioridad a los plazos señalados por la norma debe analizarse la razonabilidad del tiempo necesario para su resolución atentos a los siguientes criterios: </w:t>
      </w:r>
    </w:p>
    <w:p w:rsidR="007971C9" w:rsidRDefault="007971C9" w:rsidP="007971C9">
      <w:pPr>
        <w:pStyle w:val="NormalWeb"/>
        <w:numPr>
          <w:ilvl w:val="0"/>
          <w:numId w:val="5"/>
        </w:numPr>
        <w:spacing w:before="0" w:beforeAutospacing="0" w:after="0" w:afterAutospacing="0" w:line="360" w:lineRule="auto"/>
        <w:ind w:left="851" w:hanging="425"/>
        <w:jc w:val="both"/>
        <w:textAlignment w:val="baseline"/>
      </w:pPr>
      <w:r>
        <w:rPr>
          <w:rFonts w:ascii="Palatino Linotype" w:hAnsi="Palatino Linotype"/>
          <w:color w:val="000000"/>
        </w:rPr>
        <w:lastRenderedPageBreak/>
        <w:t>Complejidad del Asunto: La complejidad de la prueba, la pluralidad de sujetos procesales, el tiempo transcurrido, las características y contexto del recurso. </w:t>
      </w:r>
    </w:p>
    <w:p w:rsidR="007971C9" w:rsidRDefault="007971C9" w:rsidP="007971C9">
      <w:pPr>
        <w:pStyle w:val="NormalWeb"/>
        <w:numPr>
          <w:ilvl w:val="0"/>
          <w:numId w:val="5"/>
        </w:numPr>
        <w:spacing w:before="0" w:beforeAutospacing="0" w:after="0" w:afterAutospacing="0" w:line="360" w:lineRule="auto"/>
        <w:ind w:left="851" w:hanging="425"/>
        <w:jc w:val="both"/>
        <w:textAlignment w:val="baseline"/>
      </w:pPr>
      <w:r>
        <w:rPr>
          <w:rFonts w:ascii="Palatino Linotype" w:hAnsi="Palatino Linotype"/>
          <w:color w:val="000000"/>
        </w:rPr>
        <w:t>Actividad Procesal del interesado. Acciones u omisiones del interesado.</w:t>
      </w:r>
    </w:p>
    <w:p w:rsidR="007971C9" w:rsidRDefault="007971C9" w:rsidP="007971C9">
      <w:pPr>
        <w:pStyle w:val="NormalWeb"/>
        <w:numPr>
          <w:ilvl w:val="0"/>
          <w:numId w:val="6"/>
        </w:numPr>
        <w:spacing w:before="0" w:beforeAutospacing="0" w:after="0" w:afterAutospacing="0" w:line="360" w:lineRule="auto"/>
        <w:ind w:left="851" w:hanging="425"/>
        <w:jc w:val="both"/>
        <w:textAlignment w:val="baseline"/>
      </w:pPr>
      <w:r>
        <w:rPr>
          <w:rFonts w:ascii="Palatino Linotype" w:hAnsi="Palatino Linotype"/>
          <w:color w:val="000000"/>
        </w:rPr>
        <w:t>Conducta de la Autoridad: Las Acciones u omisiones realizadas en el procedimiento. Así como si la autoridad actuó con la debida diligencia.</w:t>
      </w:r>
    </w:p>
    <w:p w:rsidR="007971C9" w:rsidRDefault="007971C9" w:rsidP="007971C9">
      <w:pPr>
        <w:pStyle w:val="NormalWeb"/>
        <w:spacing w:before="0" w:beforeAutospacing="0" w:after="160" w:afterAutospacing="0" w:line="360" w:lineRule="auto"/>
        <w:ind w:left="851" w:hanging="425"/>
        <w:jc w:val="both"/>
      </w:pPr>
      <w:r>
        <w:rPr>
          <w:rFonts w:ascii="Palatino Linotype" w:hAnsi="Palatino Linotype"/>
          <w:color w:val="000000"/>
        </w:rPr>
        <w:t>d. La afectación generada en la situación jurídica de la persona involucrada en el proceso: Violación a sus derechos humanos.</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 xml:space="preserve">Argumento que encuentra sustento en la jurisprudencia P./J. 32/92 emitida por el Pleno de la Suprema Corte de Justicia de la Nación de rubro </w:t>
      </w:r>
      <w:r>
        <w:rPr>
          <w:i/>
          <w:iCs/>
        </w:rPr>
        <w:t>“TÉRMINOS PROCESALES. PARA DETERMINAR SI UN FUNCIONARIO JUDICIAL ACTUÓ INDEBIDAMENTE POR NO RESPETARLOS SE DEBE ATENDER AL PRESUPUESTO QUE CONSIDERÓ EL LEGISLADOR AL FIJARLOS Y LAS CARACTERÍSTICAS DEL CASO.”</w:t>
      </w:r>
      <w:r>
        <w:t>, visible en la Gaceta del Seminario Judicial de la Federación con el registro digital 205635.</w:t>
      </w:r>
    </w:p>
    <w:p w:rsidR="007971C9" w:rsidRDefault="007971C9" w:rsidP="007971C9">
      <w:pPr>
        <w:spacing w:line="360" w:lineRule="auto"/>
      </w:pP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971C9" w:rsidRDefault="007971C9" w:rsidP="007971C9">
      <w:pPr>
        <w:pStyle w:val="NormalWeb"/>
        <w:spacing w:before="0" w:beforeAutospacing="0" w:after="160" w:afterAutospacing="0" w:line="360" w:lineRule="auto"/>
        <w:jc w:val="both"/>
      </w:pPr>
      <w:r>
        <w:rPr>
          <w:rFonts w:ascii="Palatino Linotype" w:hAnsi="Palatino Linotype"/>
          <w:color w:val="000000"/>
        </w:rPr>
        <w:t>Al respecto, también son de considerar los criterios sostenidos por el Cuarto Tribunal Colegiado en Materia Administrativa del Primer Circuito, cuyos rubros y datos de identificación son los siguientes:</w:t>
      </w:r>
    </w:p>
    <w:p w:rsidR="007971C9" w:rsidRDefault="007971C9" w:rsidP="007971C9">
      <w:pPr>
        <w:spacing w:line="360" w:lineRule="auto"/>
      </w:pPr>
    </w:p>
    <w:p w:rsidR="007971C9" w:rsidRDefault="007971C9" w:rsidP="007971C9">
      <w:pPr>
        <w:pStyle w:val="NormalWeb"/>
        <w:spacing w:before="0" w:beforeAutospacing="0" w:after="160" w:afterAutospacing="0" w:line="360" w:lineRule="auto"/>
        <w:jc w:val="both"/>
      </w:pPr>
      <w:r>
        <w:rPr>
          <w:rFonts w:ascii="Palatino Linotype" w:hAnsi="Palatino Linotype"/>
          <w:color w:val="000000"/>
          <w:sz w:val="22"/>
          <w:szCs w:val="22"/>
        </w:rPr>
        <w:t> </w:t>
      </w:r>
      <w:r>
        <w:rPr>
          <w:i/>
          <w:iCs/>
        </w:rPr>
        <w:t>“PLAZO RAZONABLE PARA RESOLVER. DIMENSIÓN Y EFECTOS DE ESTE CONCEPTO CUANDO SE ADUCE EXCESIVA CARGA DE TRABAJO.”</w:t>
      </w:r>
      <w:r>
        <w:t xml:space="preserve"> consultable en el Seminario Judicial de la Federación y su gaceta, con el registro digital 2002351.</w:t>
      </w:r>
    </w:p>
    <w:p w:rsidR="007971C9" w:rsidRDefault="007971C9" w:rsidP="007971C9">
      <w:pPr>
        <w:spacing w:line="360" w:lineRule="auto"/>
      </w:pPr>
    </w:p>
    <w:p w:rsidR="007971C9" w:rsidRDefault="007971C9" w:rsidP="007971C9">
      <w:pPr>
        <w:pStyle w:val="NormalWeb"/>
        <w:spacing w:before="0" w:beforeAutospacing="0" w:after="160" w:afterAutospacing="0" w:line="360" w:lineRule="auto"/>
        <w:jc w:val="both"/>
      </w:pPr>
      <w:r>
        <w:rPr>
          <w:rFonts w:ascii="Palatino Linotype" w:hAnsi="Palatino Linotype"/>
          <w:i/>
          <w:iCs/>
          <w:color w:val="000000"/>
          <w:sz w:val="22"/>
          <w:szCs w:val="22"/>
        </w:rPr>
        <w:t>“PLAZO RAZONABLE PARA RESOLVER. CONCEPTO Y ELEMENTOS QUE LO INTEGRAN A LA LUZ DEL DERECHO INTERNACIONAL DE LOS DERECHOS HUMANOS.”</w:t>
      </w:r>
      <w:r>
        <w:rPr>
          <w:rFonts w:ascii="Palatino Linotype" w:hAnsi="Palatino Linotype"/>
          <w:color w:val="000000"/>
          <w:sz w:val="22"/>
          <w:szCs w:val="22"/>
        </w:rPr>
        <w:t>, visible en el Seminario Judicial de la Federación y su gaceta, con el registro digital 2002350.</w:t>
      </w:r>
    </w:p>
    <w:p w:rsidR="007971C9" w:rsidRPr="007971C9" w:rsidRDefault="007971C9" w:rsidP="007971C9">
      <w:pPr>
        <w:pStyle w:val="NormalWeb"/>
        <w:spacing w:before="0" w:beforeAutospacing="0" w:after="0" w:afterAutospacing="0" w:line="360" w:lineRule="auto"/>
        <w:jc w:val="both"/>
      </w:pPr>
      <w:r>
        <w:rPr>
          <w:rFonts w:ascii="Palatino Linotype" w:hAnsi="Palatino Linotype"/>
          <w:color w:val="000000"/>
        </w:rPr>
        <w:lastRenderedPageBreak/>
        <w:t>Por ello, este organismo garante comprometido con la tutela de los derechos humanos confiados, señala que este exceso del plazo legal para resolver el presente asunto, resulta de carácter excepcional.</w:t>
      </w:r>
      <w:bookmarkStart w:id="0" w:name="_GoBack"/>
      <w:bookmarkEnd w:id="0"/>
    </w:p>
    <w:p w:rsidR="006F690A" w:rsidRDefault="006F690A">
      <w:pPr>
        <w:spacing w:line="360" w:lineRule="auto"/>
        <w:jc w:val="both"/>
        <w:rPr>
          <w:rFonts w:ascii="Palatino Linotype" w:eastAsia="Palatino Linotype" w:hAnsi="Palatino Linotype" w:cs="Palatino Linotype"/>
        </w:rPr>
      </w:pP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y uno de mayo del año dos mil veintidós,</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rsidR="00B142B6" w:rsidRDefault="00B142B6">
      <w:pPr>
        <w:spacing w:line="360" w:lineRule="auto"/>
        <w:jc w:val="both"/>
        <w:rPr>
          <w:rFonts w:ascii="Palatino Linotype" w:eastAsia="Palatino Linotype" w:hAnsi="Palatino Linotype" w:cs="Palatino Linotype"/>
        </w:rPr>
      </w:pPr>
    </w:p>
    <w:p w:rsidR="006F690A" w:rsidRDefault="00B142B6">
      <w:pPr>
        <w:spacing w:line="360" w:lineRule="auto"/>
        <w:jc w:val="both"/>
        <w:rPr>
          <w:rFonts w:ascii="Palatino Linotype" w:eastAsia="Palatino Linotype" w:hAnsi="Palatino Linotype" w:cs="Palatino Linotype"/>
          <w:highlight w:val="yellow"/>
        </w:rPr>
      </w:pPr>
      <w:r w:rsidRPr="00B142B6">
        <w:rPr>
          <w:rFonts w:ascii="Palatino Linotype" w:eastAsia="Palatino Linotype" w:hAnsi="Palatino Linotype" w:cs="Palatino Linotype"/>
        </w:rPr>
        <w:t>En razón de que fueron debidamente sustanciados los expedientes electrónicos y no existe diligencia pendiente de desahogo, se emite la Resolución que conforme a Derecho proceda, de acuerdo con los siguientes:</w:t>
      </w:r>
    </w:p>
    <w:p w:rsidR="006F690A" w:rsidRDefault="0061297A">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diecisiete de marzo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el diecisiete de marzo del año dos mil veintidós, </w:t>
      </w:r>
      <w:r>
        <w:rPr>
          <w:rFonts w:ascii="Palatino Linotype" w:eastAsia="Palatino Linotype" w:hAnsi="Palatino Linotype" w:cs="Palatino Linotype"/>
          <w:color w:val="000000"/>
        </w:rPr>
        <w:t>esto es el mismo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rsidR="006F690A" w:rsidRDefault="006129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w:t>
      </w:r>
      <w:r>
        <w:rPr>
          <w:rFonts w:ascii="Palatino Linotype" w:eastAsia="Palatino Linotype" w:hAnsi="Palatino Linotype" w:cs="Palatino Linotype"/>
          <w:color w:val="000000"/>
        </w:rPr>
        <w:lastRenderedPageBreak/>
        <w:t>/J.41/2015, publicada en el Semanario Judicial de la Federación y su Gaceta, Libro 19, Junio de 2015, Tomo I, página 569 de la Décima época que lleva por rubro y texto los siguientes:</w:t>
      </w:r>
    </w:p>
    <w:p w:rsidR="006F690A" w:rsidRDefault="0061297A">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rsidR="006F690A" w:rsidRDefault="0061297A">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6F690A" w:rsidRDefault="0061297A">
      <w:pPr>
        <w:pBdr>
          <w:top w:val="nil"/>
          <w:left w:val="nil"/>
          <w:bottom w:val="nil"/>
          <w:right w:val="nil"/>
          <w:between w:val="nil"/>
        </w:pBdr>
        <w:spacing w:before="240" w:after="240" w:line="360" w:lineRule="auto"/>
        <w:ind w:right="-93"/>
        <w:jc w:val="both"/>
        <w:rPr>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6F690A" w:rsidRDefault="0061297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Asimismo,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w:t>
      </w:r>
      <w:r>
        <w:rPr>
          <w:rFonts w:ascii="Palatino Linotype" w:eastAsia="Palatino Linotype" w:hAnsi="Palatino Linotype" w:cs="Palatino Linotype"/>
          <w:color w:val="000000"/>
        </w:rPr>
        <w:lastRenderedPageBreak/>
        <w:t>lo previsto en el artículo 155, penúltimo párrafo de la Ley de Transparencia y Acceso a la Información Pública del Estado de México y Municipios que establece lo siguiente:</w:t>
      </w:r>
    </w:p>
    <w:p w:rsidR="006F690A" w:rsidRDefault="0061297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6F690A" w:rsidRDefault="0061297A">
      <w:pPr>
        <w:pBdr>
          <w:top w:val="nil"/>
          <w:left w:val="nil"/>
          <w:bottom w:val="nil"/>
          <w:right w:val="nil"/>
          <w:between w:val="nil"/>
        </w:pBdr>
        <w:spacing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formato visible en el SAIMEX. </w:t>
      </w:r>
    </w:p>
    <w:p w:rsidR="006F690A" w:rsidRDefault="006F690A">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6F690A" w:rsidRDefault="0061297A">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el recurrente en sus razones o motivos de inconformidad, de acuerdo al artículo 179, fracción VI de la Ley de Transparencia y Acceso a la Información Pública del Estado de México y Municipios; que a la letra dice:</w:t>
      </w:r>
    </w:p>
    <w:p w:rsidR="006F690A" w:rsidRDefault="006F690A">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6F690A" w:rsidRDefault="0061297A">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6F690A" w:rsidRDefault="006F690A">
      <w:pPr>
        <w:pBdr>
          <w:top w:val="nil"/>
          <w:left w:val="nil"/>
          <w:bottom w:val="nil"/>
          <w:right w:val="nil"/>
          <w:between w:val="nil"/>
        </w:pBdr>
        <w:ind w:left="992" w:right="1043"/>
        <w:jc w:val="both"/>
        <w:rPr>
          <w:rFonts w:ascii="Palatino Linotype" w:eastAsia="Palatino Linotype" w:hAnsi="Palatino Linotype" w:cs="Palatino Linotype"/>
          <w:i/>
          <w:sz w:val="22"/>
          <w:szCs w:val="22"/>
        </w:rPr>
      </w:pPr>
    </w:p>
    <w:p w:rsidR="006F690A" w:rsidRDefault="0061297A">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6F690A" w:rsidRDefault="0061297A">
      <w:pPr>
        <w:numPr>
          <w:ilvl w:val="0"/>
          <w:numId w:val="4"/>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entrega de información que no corresponde con lo solicitado” (Sic)</w:t>
      </w:r>
    </w:p>
    <w:p w:rsidR="006F690A" w:rsidRDefault="006F690A">
      <w:pPr>
        <w:pBdr>
          <w:top w:val="nil"/>
          <w:left w:val="nil"/>
          <w:bottom w:val="nil"/>
          <w:right w:val="nil"/>
          <w:between w:val="nil"/>
        </w:pBdr>
        <w:ind w:left="992" w:right="1043"/>
        <w:jc w:val="both"/>
        <w:rPr>
          <w:rFonts w:ascii="Palatino Linotype" w:eastAsia="Palatino Linotype" w:hAnsi="Palatino Linotype" w:cs="Palatino Linotype"/>
          <w:i/>
          <w:color w:val="000000"/>
        </w:rPr>
      </w:pPr>
    </w:p>
    <w:p w:rsidR="006F690A" w:rsidRDefault="0061297A">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Tercero. Análisis de las causales de sobreseimiento.</w:t>
      </w:r>
      <w:r>
        <w:rPr>
          <w:rFonts w:ascii="Palatino Linotype" w:eastAsia="Palatino Linotype" w:hAnsi="Palatino Linotype" w:cs="Palatino Linotype"/>
          <w:color w:val="000000"/>
        </w:rPr>
        <w:t xml:space="preserve"> Del análisis de la solicitud de información pública que motivó el recurso de revisión que ahora se resuelve, se advierte que el particular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siguiente:</w:t>
      </w:r>
    </w:p>
    <w:p w:rsidR="006F690A" w:rsidRDefault="0061297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rPr>
        <w:t xml:space="preserve">Solicito </w:t>
      </w:r>
      <w:r>
        <w:rPr>
          <w:rFonts w:ascii="Palatino Linotype" w:eastAsia="Palatino Linotype" w:hAnsi="Palatino Linotype" w:cs="Palatino Linotype"/>
          <w:b/>
          <w:i/>
          <w:u w:val="single"/>
        </w:rPr>
        <w:t xml:space="preserve">saber la fecha </w:t>
      </w:r>
      <w:r>
        <w:rPr>
          <w:rFonts w:ascii="Palatino Linotype" w:eastAsia="Palatino Linotype" w:hAnsi="Palatino Linotype" w:cs="Palatino Linotype"/>
          <w:i/>
        </w:rPr>
        <w:t>en que depositan los 20 días proporcionales del aguinaldo” (Sic)</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del oficio número INFOEM/DGAF/121/2022, de fecha catorce de marzo de dos mil veintidós, suscrito por el Director General de Administración y Finanzas, que se muestra a continuación:</w:t>
      </w:r>
    </w:p>
    <w:p w:rsidR="006F690A" w:rsidRDefault="00B142B6">
      <w:pPr>
        <w:spacing w:before="240" w:after="240" w:line="360" w:lineRule="auto"/>
        <w:jc w:val="center"/>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0288" behindDoc="0" locked="0" layoutInCell="1" hidden="0" allowOverlap="1" wp14:anchorId="5B3DF7C6" wp14:editId="735758E5">
                <wp:simplePos x="0" y="0"/>
                <wp:positionH relativeFrom="margin">
                  <wp:posOffset>694073</wp:posOffset>
                </wp:positionH>
                <wp:positionV relativeFrom="paragraph">
                  <wp:posOffset>3040769</wp:posOffset>
                </wp:positionV>
                <wp:extent cx="4121207" cy="1924334"/>
                <wp:effectExtent l="19050" t="19050" r="12700" b="19050"/>
                <wp:wrapNone/>
                <wp:docPr id="1" name="Rectángulo 1"/>
                <wp:cNvGraphicFramePr/>
                <a:graphic xmlns:a="http://schemas.openxmlformats.org/drawingml/2006/main">
                  <a:graphicData uri="http://schemas.microsoft.com/office/word/2010/wordprocessingShape">
                    <wps:wsp>
                      <wps:cNvSpPr/>
                      <wps:spPr>
                        <a:xfrm>
                          <a:off x="0" y="0"/>
                          <a:ext cx="4121207" cy="1924334"/>
                        </a:xfrm>
                        <a:prstGeom prst="rect">
                          <a:avLst/>
                        </a:prstGeom>
                        <a:noFill/>
                        <a:ln w="28575" cap="flat" cmpd="sng">
                          <a:solidFill>
                            <a:srgbClr val="FF0000"/>
                          </a:solidFill>
                          <a:prstDash val="solid"/>
                          <a:miter lim="800000"/>
                          <a:headEnd type="none" w="sm" len="sm"/>
                          <a:tailEnd type="none" w="sm" len="sm"/>
                        </a:ln>
                      </wps:spPr>
                      <wps:txbx>
                        <w:txbxContent>
                          <w:p w:rsidR="00B142B6" w:rsidRDefault="00B142B6" w:rsidP="00B142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B3DF7C6" id="Rectángulo 1" o:spid="_x0000_s1026" style="position:absolute;left:0;text-align:left;margin-left:54.65pt;margin-top:239.45pt;width:324.5pt;height:1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" filled="f" strokecolor="red" strokeweight="2.25pt">
                <v:stroke startarrowwidth="narrow" startarrowlength="short" endarrowwidth="narrow" endarrowlength="short"/>
                <v:textbox inset="2.53958mm,2.53958mm,2.53958mm,2.53958mm">
                  <w:txbxContent>
                    <w:p w:rsidR="00B142B6" w:rsidRDefault="00B142B6" w:rsidP="00B142B6">
                      <w:pPr>
                        <w:textDirection w:val="btLr"/>
                      </w:pPr>
                    </w:p>
                  </w:txbxContent>
                </v:textbox>
                <w10:wrap anchorx="margin"/>
              </v:rect>
            </w:pict>
          </mc:Fallback>
        </mc:AlternateContent>
      </w:r>
      <w:r w:rsidR="0061297A">
        <w:rPr>
          <w:noProof/>
          <w:lang w:val="es-MX" w:eastAsia="es-MX"/>
        </w:rPr>
        <w:drawing>
          <wp:inline distT="0" distB="0" distL="0" distR="0">
            <wp:extent cx="4299045" cy="4899546"/>
            <wp:effectExtent l="0" t="0" r="635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2573" t="18709" r="42294" b="15811"/>
                    <a:stretch>
                      <a:fillRect/>
                    </a:stretch>
                  </pic:blipFill>
                  <pic:spPr>
                    <a:xfrm>
                      <a:off x="0" y="0"/>
                      <a:ext cx="4321163" cy="4924754"/>
                    </a:xfrm>
                    <a:prstGeom prst="rect">
                      <a:avLst/>
                    </a:prstGeom>
                    <a:ln/>
                  </pic:spPr>
                </pic:pic>
              </a:graphicData>
            </a:graphic>
          </wp:inline>
        </w:drawing>
      </w:r>
    </w:p>
    <w:p w:rsidR="006F690A" w:rsidRDefault="006F690A">
      <w:pPr>
        <w:spacing w:line="360" w:lineRule="auto"/>
        <w:jc w:val="both"/>
        <w:rPr>
          <w:rFonts w:ascii="Palatino Linotype" w:eastAsia="Palatino Linotype" w:hAnsi="Palatino Linotype" w:cs="Palatino Linotype"/>
        </w:rPr>
      </w:pP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dicha respuesta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por considerar, que no le respondieron su solicitud de manera adecuada, que requirió la "Fecha" de cuando se depositaban los 20 días del aguinaldo, no que le explicaran los dos periodos en que se pagan los 60 días ni como se denominan a los 20 días, aunado a ello considera que  es ambiguo y no corresponde a lo solicitado.</w:t>
      </w:r>
    </w:p>
    <w:p w:rsidR="006F690A" w:rsidRDefault="006F690A">
      <w:pPr>
        <w:spacing w:line="360" w:lineRule="auto"/>
        <w:jc w:val="both"/>
        <w:rPr>
          <w:rFonts w:ascii="Palatino Linotype" w:eastAsia="Palatino Linotype" w:hAnsi="Palatino Linotype" w:cs="Palatino Linotype"/>
        </w:rPr>
      </w:pP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derivado de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rinde su informe justificado; a través del SAIMEX, dentro de lo que se destaca lo siguiente:</w:t>
      </w:r>
    </w:p>
    <w:p w:rsidR="006F690A" w:rsidRDefault="006F690A">
      <w:pPr>
        <w:spacing w:line="360" w:lineRule="auto"/>
        <w:jc w:val="both"/>
        <w:rPr>
          <w:rFonts w:ascii="Palatino Linotype" w:eastAsia="Palatino Linotype" w:hAnsi="Palatino Linotype" w:cs="Palatino Linotype"/>
        </w:rPr>
      </w:pP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Oficio número INFOEM/DGAF/181/2022, de fecha uno de abril de dos mil veintidós, suscrito por el Director General de Administración y Finanzas, mediante el cual informa:</w:t>
      </w:r>
    </w:p>
    <w:p w:rsidR="006F690A" w:rsidRDefault="0061297A">
      <w:pPr>
        <w:spacing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extent cx="4826221" cy="5775642"/>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4778" t="17802" r="44162" b="16112"/>
                    <a:stretch>
                      <a:fillRect/>
                    </a:stretch>
                  </pic:blipFill>
                  <pic:spPr>
                    <a:xfrm>
                      <a:off x="0" y="0"/>
                      <a:ext cx="4826221" cy="5775642"/>
                    </a:xfrm>
                    <a:prstGeom prst="rect">
                      <a:avLst/>
                    </a:prstGeom>
                    <a:ln/>
                  </pic:spPr>
                </pic:pic>
              </a:graphicData>
            </a:graphic>
          </wp:inline>
        </w:drawing>
      </w:r>
    </w:p>
    <w:p w:rsidR="006F690A" w:rsidRDefault="0061297A">
      <w:pPr>
        <w:spacing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extent cx="4810731" cy="5677194"/>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4609" t="20820" r="43992" b="20337"/>
                    <a:stretch>
                      <a:fillRect/>
                    </a:stretch>
                  </pic:blipFill>
                  <pic:spPr>
                    <a:xfrm>
                      <a:off x="0" y="0"/>
                      <a:ext cx="4810731" cy="5677194"/>
                    </a:xfrm>
                    <a:prstGeom prst="rect">
                      <a:avLst/>
                    </a:prstGeom>
                    <a:ln/>
                  </pic:spPr>
                </pic:pic>
              </a:graphicData>
            </a:graphic>
          </wp:inline>
        </w:drawing>
      </w:r>
    </w:p>
    <w:p w:rsidR="006F690A" w:rsidRDefault="006F690A">
      <w:pPr>
        <w:spacing w:after="240" w:line="360" w:lineRule="auto"/>
        <w:jc w:val="both"/>
        <w:rPr>
          <w:rFonts w:ascii="Palatino Linotype" w:eastAsia="Palatino Linotype" w:hAnsi="Palatino Linotype" w:cs="Palatino Linotype"/>
        </w:rPr>
      </w:pPr>
    </w:p>
    <w:p w:rsidR="006F690A" w:rsidRDefault="006F690A">
      <w:pPr>
        <w:spacing w:after="240" w:line="360" w:lineRule="auto"/>
        <w:jc w:val="both"/>
        <w:rPr>
          <w:rFonts w:ascii="Palatino Linotype" w:eastAsia="Palatino Linotype" w:hAnsi="Palatino Linotype" w:cs="Palatino Linotype"/>
        </w:rPr>
      </w:pPr>
    </w:p>
    <w:p w:rsidR="006F690A" w:rsidRDefault="0061297A">
      <w:pPr>
        <w:spacing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extent cx="4562885" cy="4763451"/>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4608" t="16596" r="44501" b="26070"/>
                    <a:stretch>
                      <a:fillRect/>
                    </a:stretch>
                  </pic:blipFill>
                  <pic:spPr>
                    <a:xfrm>
                      <a:off x="0" y="0"/>
                      <a:ext cx="4562885" cy="4763451"/>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546100</wp:posOffset>
                </wp:positionH>
                <wp:positionV relativeFrom="paragraph">
                  <wp:posOffset>1498600</wp:posOffset>
                </wp:positionV>
                <wp:extent cx="4267200" cy="495300"/>
                <wp:effectExtent l="0" t="0" r="0" b="0"/>
                <wp:wrapNone/>
                <wp:docPr id="48" name="Rectángulo 48"/>
                <wp:cNvGraphicFramePr/>
                <a:graphic xmlns:a="http://schemas.openxmlformats.org/drawingml/2006/main">
                  <a:graphicData uri="http://schemas.microsoft.com/office/word/2010/wordprocessingShape">
                    <wps:wsp>
                      <wps:cNvSpPr/>
                      <wps:spPr>
                        <a:xfrm>
                          <a:off x="3226688" y="3546638"/>
                          <a:ext cx="4238625" cy="466725"/>
                        </a:xfrm>
                        <a:prstGeom prst="rect">
                          <a:avLst/>
                        </a:prstGeom>
                        <a:noFill/>
                        <a:ln w="28575" cap="flat" cmpd="sng">
                          <a:solidFill>
                            <a:srgbClr val="FF0000"/>
                          </a:solidFill>
                          <a:prstDash val="solid"/>
                          <a:miter lim="800000"/>
                          <a:headEnd type="none" w="sm" len="sm"/>
                          <a:tailEnd type="none" w="sm" len="sm"/>
                        </a:ln>
                      </wps:spPr>
                      <wps:txbx>
                        <w:txbxContent>
                          <w:p w:rsidR="006F690A" w:rsidRDefault="006F690A">
                            <w:pPr>
                              <w:textDirection w:val="btLr"/>
                            </w:pPr>
                          </w:p>
                        </w:txbxContent>
                      </wps:txbx>
                      <wps:bodyPr spcFirstLastPara="1" wrap="square" lIns="91425" tIns="91425" rIns="91425" bIns="91425" anchor="ctr" anchorCtr="0">
                        <a:noAutofit/>
                      </wps:bodyPr>
                    </wps:wsp>
                  </a:graphicData>
                </a:graphic>
              </wp:anchor>
            </w:drawing>
          </mc:Choice>
          <mc:Fallback>
            <w:pict>
              <v:rect id="Rectángulo 48" o:spid="_x0000_s1027" style="position:absolute;left:0;text-align:left;margin-left:43pt;margin-top:118pt;width:336pt;height:3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" filled="f" strokecolor="red" strokeweight="2.25pt">
                <v:stroke startarrowwidth="narrow" startarrowlength="short" endarrowwidth="narrow" endarrowlength="short"/>
                <v:textbox inset="2.53958mm,2.53958mm,2.53958mm,2.53958mm">
                  <w:txbxContent>
                    <w:p w:rsidR="006F690A" w:rsidRDefault="006F690A">
                      <w:pPr>
                        <w:textDirection w:val="btLr"/>
                      </w:pPr>
                    </w:p>
                  </w:txbxContent>
                </v:textbox>
              </v:rect>
            </w:pict>
          </mc:Fallback>
        </mc:AlternateContent>
      </w: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cual se advierte que el Servidor Público Habilitado de la Dirección General de Administración y Finanzas, refiere: </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 xml:space="preserve">Ahora bien, atendiendo al principio de máxima publicidad de la información a la fecha ya puede </w:t>
      </w:r>
      <w:r>
        <w:rPr>
          <w:rFonts w:ascii="Palatino Linotype" w:eastAsia="Palatino Linotype" w:hAnsi="Palatino Linotype" w:cs="Palatino Linotype"/>
          <w:b/>
          <w:i/>
          <w:sz w:val="22"/>
          <w:szCs w:val="22"/>
          <w:u w:val="single"/>
        </w:rPr>
        <w:t>informarse</w:t>
      </w:r>
      <w:r>
        <w:rPr>
          <w:rFonts w:ascii="Palatino Linotype" w:eastAsia="Palatino Linotype" w:hAnsi="Palatino Linotype" w:cs="Palatino Linotype"/>
          <w:b/>
          <w:i/>
          <w:color w:val="000000"/>
          <w:sz w:val="22"/>
          <w:szCs w:val="22"/>
          <w:u w:val="single"/>
        </w:rPr>
        <w:t xml:space="preserve"> de dicho pago se verá reflejado el día 7 de abril del 2022. </w:t>
      </w:r>
    </w:p>
    <w:p w:rsidR="006F690A" w:rsidRDefault="0061297A">
      <w:pPr>
        <w:pBdr>
          <w:top w:val="nil"/>
          <w:left w:val="nil"/>
          <w:bottom w:val="nil"/>
          <w:right w:val="nil"/>
          <w:between w:val="nil"/>
        </w:pBdr>
        <w:spacing w:before="280" w:after="280"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 Ahora bien, atendiendo a todo lo expuesto, este Instituto podrá declarar infundado e improcedente lo impugnado por el recurrente, debiendo ratificar la respuesta otorgada, y por </w:t>
      </w:r>
      <w:r>
        <w:rPr>
          <w:rFonts w:ascii="Palatino Linotype" w:eastAsia="Palatino Linotype" w:hAnsi="Palatino Linotype" w:cs="Palatino Linotype"/>
          <w:b/>
          <w:i/>
          <w:color w:val="000000"/>
          <w:sz w:val="22"/>
          <w:szCs w:val="22"/>
          <w:u w:val="single"/>
        </w:rPr>
        <w:t>lo tanto a consideración de esta Unidad Administrativa y en apego a lo que dispone el artículo 186 fracción l, de la Ley de Transparencia Local, deberá ser sobreseída</w:t>
      </w:r>
      <w:r>
        <w:rPr>
          <w:rFonts w:ascii="Palatino Linotype" w:eastAsia="Palatino Linotype" w:hAnsi="Palatino Linotype" w:cs="Palatino Linotype"/>
          <w:i/>
          <w:color w:val="000000"/>
          <w:sz w:val="22"/>
          <w:szCs w:val="22"/>
        </w:rPr>
        <w:t>. …” (Sic)</w:t>
      </w: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del análisis a los archivos descritos anteriormente, en especial del informe justificado,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modifica su respuesta, informando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fecha de cuando se depositaban los 20 días del aguinaldo.</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logra vislumbrar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la fecha en la cual se depositan los veinte días del aguinaldo, al precisar el día</w:t>
      </w:r>
      <w:r>
        <w:rPr>
          <w:rFonts w:ascii="Palatino Linotype" w:eastAsia="Palatino Linotype" w:hAnsi="Palatino Linotype" w:cs="Palatino Linotype"/>
          <w:b/>
        </w:rPr>
        <w:t xml:space="preserve"> siete de abril de dos mil veintidós</w:t>
      </w:r>
      <w:r>
        <w:rPr>
          <w:rFonts w:ascii="Palatino Linotype" w:eastAsia="Palatino Linotype" w:hAnsi="Palatino Linotype" w:cs="Palatino Linotype"/>
        </w:rPr>
        <w:t>.</w:t>
      </w:r>
    </w:p>
    <w:p w:rsidR="006F690A" w:rsidRDefault="0061297A">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Por lo anterior, se concluye que con la información que remite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el informe justificado atiende a lo dispuesto por la normatividad en la materia en cuanto a la fecha del pago de aguinaldo, por lo tanto, colma con la solicitud de acceso a la información ejercida por el particular.</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w:t>
      </w:r>
      <w:r>
        <w:rPr>
          <w:rFonts w:ascii="Palatino Linotype" w:eastAsia="Palatino Linotype" w:hAnsi="Palatino Linotype" w:cs="Palatino Linotype"/>
        </w:rPr>
        <w:t xml:space="preserve">unado a lo anterior, también resulta importante destacar que tanto la respuesta, como el informe justificado fueron emitidos por la Dirección General de Administración y Finanzas, con lo que atendió al </w:t>
      </w:r>
      <w:r>
        <w:rPr>
          <w:rFonts w:ascii="Palatino Linotype" w:eastAsia="Palatino Linotype" w:hAnsi="Palatino Linotype" w:cs="Palatino Linotype"/>
          <w:b/>
        </w:rPr>
        <w:t>procedimiento de búsqueda que deben de seguir los Sujetos Obligados para localizar la información</w:t>
      </w:r>
      <w:r>
        <w:rPr>
          <w:rFonts w:ascii="Palatino Linotype" w:eastAsia="Palatino Linotype" w:hAnsi="Palatino Linotype" w:cs="Palatino Linotype"/>
        </w:rPr>
        <w:t xml:space="preserve">, previsto en los artículos 160 y 162 de la Ley de Transparencia y Acceso a la Información Pública </w:t>
      </w:r>
      <w:r>
        <w:rPr>
          <w:rFonts w:ascii="Palatino Linotype" w:eastAsia="Palatino Linotype" w:hAnsi="Palatino Linotype" w:cs="Palatino Linotype"/>
        </w:rPr>
        <w:lastRenderedPageBreak/>
        <w:t xml:space="preserve">del Estado de México y Municipios, ya que la solicitud fue turnada al área competente que cuenta con la información o deba tenerla -de acuerdo a las facultades, competencias y funciones-, con el objeto de que dicha área realizara una búsqueda exhaustiva y razonable de la información requerida. </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Ello en virtud de que el artículo 26 del Reglamento Interior del Instituto de Transparencia, Acceso a la Información Pública y Protección de Datos Personales del Estado de México y Municipios, señala lo siguiente:</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26. Corresponde a la </w:t>
      </w:r>
      <w:r>
        <w:rPr>
          <w:rFonts w:ascii="Palatino Linotype" w:eastAsia="Palatino Linotype" w:hAnsi="Palatino Linotype" w:cs="Palatino Linotype"/>
          <w:b/>
          <w:i/>
          <w:sz w:val="22"/>
          <w:szCs w:val="22"/>
        </w:rPr>
        <w:t>Dirección General de Administración y Finanzas</w:t>
      </w:r>
      <w:r>
        <w:rPr>
          <w:rFonts w:ascii="Palatino Linotype" w:eastAsia="Palatino Linotype" w:hAnsi="Palatino Linotype" w:cs="Palatino Linotype"/>
          <w:i/>
          <w:sz w:val="22"/>
          <w:szCs w:val="22"/>
        </w:rPr>
        <w:t xml:space="preserve"> ejercer las atribuciones siguientes:</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690A" w:rsidRDefault="0061297A">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rPr>
        <w:t>Realizar los movimientos del personal, asimismo, emitir los reportes correspondientes al tabulador, plantilla de personal y nóminas;</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w:t>
      </w:r>
      <w:r>
        <w:rPr>
          <w:rFonts w:ascii="Palatino Linotype" w:eastAsia="Palatino Linotype" w:hAnsi="Palatino Linotype" w:cs="Palatino Linotype"/>
          <w:b/>
          <w:i/>
          <w:sz w:val="22"/>
          <w:szCs w:val="22"/>
        </w:rPr>
        <w:t>Elaborar las normas de administración de personal</w:t>
      </w:r>
      <w:r>
        <w:rPr>
          <w:rFonts w:ascii="Palatino Linotype" w:eastAsia="Palatino Linotype" w:hAnsi="Palatino Linotype" w:cs="Palatino Linotype"/>
          <w:i/>
          <w:sz w:val="22"/>
          <w:szCs w:val="22"/>
        </w:rPr>
        <w:t>, contratos o convenios que regulen las relaciones laborales y vigilar la aplicación de las mismas;</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Cumplir oportunamente con las obligaciones</w:t>
      </w:r>
      <w:r>
        <w:rPr>
          <w:rFonts w:ascii="Palatino Linotype" w:eastAsia="Palatino Linotype" w:hAnsi="Palatino Linotype" w:cs="Palatino Linotype"/>
          <w:i/>
          <w:sz w:val="22"/>
          <w:szCs w:val="22"/>
        </w:rPr>
        <w:t xml:space="preserve"> fiscales, </w:t>
      </w:r>
      <w:r>
        <w:rPr>
          <w:rFonts w:ascii="Palatino Linotype" w:eastAsia="Palatino Linotype" w:hAnsi="Palatino Linotype" w:cs="Palatino Linotype"/>
          <w:b/>
          <w:i/>
          <w:sz w:val="22"/>
          <w:szCs w:val="22"/>
        </w:rPr>
        <w:t>laborales</w:t>
      </w:r>
      <w:r>
        <w:rPr>
          <w:rFonts w:ascii="Palatino Linotype" w:eastAsia="Palatino Linotype" w:hAnsi="Palatino Linotype" w:cs="Palatino Linotype"/>
          <w:i/>
          <w:sz w:val="22"/>
          <w:szCs w:val="22"/>
        </w:rPr>
        <w:t xml:space="preserve"> y administrativas, en materia contable y presupuestal;</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w:t>
      </w:r>
      <w:r>
        <w:rPr>
          <w:rFonts w:ascii="Palatino Linotype" w:eastAsia="Palatino Linotype" w:hAnsi="Palatino Linotype" w:cs="Palatino Linotype"/>
          <w:b/>
          <w:i/>
          <w:sz w:val="22"/>
          <w:szCs w:val="22"/>
        </w:rPr>
        <w:t>Elaborar las modificaciones de los Tabuladores de sueldos, así como el catálogo de puestos y plantilla de plazas presupuestales del personal, con base en la asignación presupuestaria para cada Unidad Administrativa;</w:t>
      </w:r>
    </w:p>
    <w:p w:rsidR="006F690A" w:rsidRDefault="0061297A">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F690A" w:rsidRDefault="006F690A">
      <w:pPr>
        <w:spacing w:before="240" w:after="240" w:line="360" w:lineRule="auto"/>
        <w:jc w:val="both"/>
        <w:rPr>
          <w:rFonts w:ascii="Palatino Linotype" w:eastAsia="Palatino Linotype" w:hAnsi="Palatino Linotype" w:cs="Palatino Linotype"/>
        </w:rPr>
      </w:pP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precisa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la Dirección General de Administración y Finanzas, encargada de cumplir con las obligaciones en materia laboral, movimientos de personal, plantillas de personal y nóminas, entre otras atribuciones.</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turnó el requerimiento de información, a la unidad administrativa idónea para conocer de la información solicitada, esto es, a la Dirección General de Administración y Finanzas, que atiende las cuestiones relacionadas con los servidores públicos de este Instituto en atención al pago de sus prestaciones, por lo que, cumplió con el procedimiento de búsqueda establecido en el artículo 162 de la Ley de Transparencia y Acceso a la Información Pública del Estado de México.</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al contar este Órgano Garante con la información que colma el derecho de acceso a la información del particular y que fue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el sentido del presente fallo es el sobreseimiento, al actualizar la causal prevista en la fracción III del artículo 192 de la Ley de Transparencia y Acceso a la Información Pública del Estado de México y Municipios, que dispone lo siguiente:</w:t>
      </w:r>
    </w:p>
    <w:p w:rsidR="006F690A" w:rsidRDefault="0061297A">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6F690A" w:rsidRDefault="0061297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6F690A" w:rsidRDefault="0061297A">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6F690A" w:rsidRDefault="006F690A">
      <w:pPr>
        <w:spacing w:after="240" w:line="360" w:lineRule="auto"/>
        <w:jc w:val="both"/>
        <w:rPr>
          <w:rFonts w:ascii="Palatino Linotype" w:eastAsia="Palatino Linotype" w:hAnsi="Palatino Linotype" w:cs="Palatino Linotype"/>
          <w:b/>
          <w:i/>
        </w:rPr>
      </w:pP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rsidR="006F690A" w:rsidRDefault="0061297A">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6F690A" w:rsidRDefault="0061297A">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6F690A" w:rsidRDefault="0061297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6F690A" w:rsidRDefault="006F690A">
      <w:pPr>
        <w:spacing w:line="360" w:lineRule="auto"/>
        <w:jc w:val="both"/>
        <w:rPr>
          <w:rFonts w:ascii="Palatino Linotype" w:eastAsia="Palatino Linotype" w:hAnsi="Palatino Linotype" w:cs="Palatino Linotype"/>
        </w:rPr>
      </w:pP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que a través del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al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la fecha en la que depositaron los 20 días proporcionales del aguinaldo.</w:t>
      </w:r>
    </w:p>
    <w:p w:rsidR="006F690A" w:rsidRDefault="0061297A">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De tal manera, es evidente que con ello queda sin materia el presente recurso de revisión, ya que la inconformidad sobre que la información proporcionada en la respuesta consistente en la fecha en que depositan los 20 días proporcionales del aguinaldo, se subsanó con la información entregada en el SAIMEX a través del Recurso de Revisión.</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complementa su respuesta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dejando con ello sin materia el presente recurso de revisión, actualizándose entonces la causal prevista en la fracción III del artículo 192 de la Ley de la Materia vigente en la Entidad, antes transcrita. </w:t>
      </w:r>
    </w:p>
    <w:p w:rsidR="006F690A" w:rsidRDefault="006129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6F690A" w:rsidRDefault="0061297A">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6F690A" w:rsidRDefault="0061297A">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Localización: 213609. II.2o.183 K. Tribunales Colegiados de Circuito. Octava Época. Semanario Judicial de la Federación. Tomo XIII, Febrero de 1994, Pág. 420</w:t>
      </w:r>
    </w:p>
    <w:p w:rsidR="006F690A" w:rsidRDefault="0061297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6F690A" w:rsidRDefault="006F690A">
      <w:pPr>
        <w:ind w:left="567" w:right="567"/>
        <w:jc w:val="both"/>
        <w:rPr>
          <w:rFonts w:ascii="Palatino Linotype" w:eastAsia="Palatino Linotype" w:hAnsi="Palatino Linotype" w:cs="Palatino Linotype"/>
          <w:i/>
          <w:sz w:val="22"/>
          <w:szCs w:val="22"/>
        </w:rPr>
      </w:pP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6F690A" w:rsidRDefault="0061297A">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6F690A" w:rsidRDefault="0061297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6F690A" w:rsidRDefault="006F690A">
      <w:pPr>
        <w:ind w:left="567" w:right="567"/>
        <w:jc w:val="both"/>
        <w:rPr>
          <w:rFonts w:ascii="Palatino Linotype" w:eastAsia="Palatino Linotype" w:hAnsi="Palatino Linotype" w:cs="Palatino Linotype"/>
          <w:i/>
          <w:sz w:val="22"/>
          <w:szCs w:val="22"/>
        </w:rPr>
      </w:pPr>
    </w:p>
    <w:p w:rsidR="006F690A" w:rsidRDefault="0061297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6F690A" w:rsidRDefault="0061297A">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6F690A" w:rsidRDefault="0061297A">
      <w:pPr>
        <w:pBdr>
          <w:top w:val="nil"/>
          <w:left w:val="nil"/>
          <w:bottom w:val="nil"/>
          <w:right w:val="nil"/>
          <w:between w:val="nil"/>
        </w:pBdr>
        <w:spacing w:before="16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SOBRESEE</w:t>
      </w:r>
      <w:r>
        <w:rPr>
          <w:rFonts w:ascii="Palatino Linotype" w:eastAsia="Palatino Linotype" w:hAnsi="Palatino Linotype" w:cs="Palatino Linotype"/>
          <w:color w:val="000000"/>
        </w:rPr>
        <w:t xml:space="preserve"> el recurso de revisión número </w:t>
      </w:r>
      <w:r>
        <w:rPr>
          <w:rFonts w:ascii="Palatino Linotype" w:eastAsia="Palatino Linotype" w:hAnsi="Palatino Linotype" w:cs="Palatino Linotype"/>
          <w:b/>
          <w:color w:val="000000"/>
        </w:rPr>
        <w:t>04034/INFOEM/IP/RR/2022,</w:t>
      </w:r>
      <w:r>
        <w:rPr>
          <w:rFonts w:ascii="Palatino Linotype" w:eastAsia="Palatino Linotype" w:hAnsi="Palatino Linotype" w:cs="Palatino Linotype"/>
          <w:color w:val="000000"/>
        </w:rPr>
        <w:t xml:space="preserve"> porque </w:t>
      </w:r>
      <w:r>
        <w:rPr>
          <w:rFonts w:ascii="Palatino Linotype" w:eastAsia="Palatino Linotype" w:hAnsi="Palatino Linotype" w:cs="Palatino Linotype"/>
        </w:rPr>
        <w:t xml:space="preserve">al </w:t>
      </w:r>
      <w:r>
        <w:rPr>
          <w:rFonts w:ascii="Palatino Linotype" w:eastAsia="Palatino Linotype" w:hAnsi="Palatino Linotype" w:cs="Palatino Linotype"/>
          <w:b/>
        </w:rPr>
        <w:t>modificar la respuesta</w:t>
      </w:r>
      <w:r>
        <w:rPr>
          <w:rFonts w:ascii="Palatino Linotype" w:eastAsia="Palatino Linotype" w:hAnsi="Palatino Linotype" w:cs="Palatino Linotype"/>
        </w:rPr>
        <w:t xml:space="preserve"> se actualizó la causal prevista en el artículo 192, fracción III, de la Ley de Transparencia vigente en la entidad, quedando sin materia en términos del considerando </w:t>
      </w:r>
      <w:r>
        <w:rPr>
          <w:rFonts w:ascii="Palatino Linotype" w:eastAsia="Palatino Linotype" w:hAnsi="Palatino Linotype" w:cs="Palatino Linotype"/>
          <w:b/>
        </w:rPr>
        <w:t xml:space="preserve">Tercero </w:t>
      </w:r>
      <w:r>
        <w:rPr>
          <w:rFonts w:ascii="Palatino Linotype" w:eastAsia="Palatino Linotype" w:hAnsi="Palatino Linotype" w:cs="Palatino Linotype"/>
        </w:rPr>
        <w:t>de la presente Resolución.</w:t>
      </w:r>
    </w:p>
    <w:p w:rsidR="006F690A" w:rsidRDefault="006F690A">
      <w:pPr>
        <w:spacing w:line="360" w:lineRule="auto"/>
        <w:jc w:val="both"/>
        <w:rPr>
          <w:rFonts w:ascii="Palatino Linotype" w:eastAsia="Palatino Linotype" w:hAnsi="Palatino Linotype" w:cs="Palatino Linotype"/>
          <w:b/>
          <w:sz w:val="20"/>
          <w:szCs w:val="20"/>
        </w:rPr>
      </w:pPr>
    </w:p>
    <w:p w:rsidR="006F690A" w:rsidRDefault="006129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w:t>
      </w:r>
    </w:p>
    <w:p w:rsidR="006F690A" w:rsidRDefault="006F690A">
      <w:pPr>
        <w:spacing w:line="360" w:lineRule="auto"/>
        <w:jc w:val="both"/>
        <w:rPr>
          <w:rFonts w:ascii="Palatino Linotype" w:eastAsia="Palatino Linotype" w:hAnsi="Palatino Linotype" w:cs="Palatino Linotype"/>
        </w:rPr>
      </w:pPr>
    </w:p>
    <w:p w:rsidR="006F690A" w:rsidRDefault="0061297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a través del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6F690A" w:rsidRDefault="006F690A">
      <w:pPr>
        <w:spacing w:line="360" w:lineRule="auto"/>
        <w:jc w:val="both"/>
        <w:rPr>
          <w:rFonts w:ascii="Palatino Linotype" w:eastAsia="Palatino Linotype" w:hAnsi="Palatino Linotype" w:cs="Palatino Linotype"/>
        </w:rPr>
      </w:pPr>
    </w:p>
    <w:p w:rsidR="006F690A" w:rsidRDefault="0061297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rPr>
        <w:lastRenderedPageBreak/>
        <w:t>MORALES MARTÍNEZ</w:t>
      </w:r>
      <w:r w:rsidR="00DD0616">
        <w:rPr>
          <w:rFonts w:ascii="Palatino Linotype" w:eastAsia="Palatino Linotype" w:hAnsi="Palatino Linotype" w:cs="Palatino Linotype"/>
        </w:rPr>
        <w:t xml:space="preserve"> (AUSENCIA JUSTIFICADA)</w:t>
      </w:r>
      <w:r>
        <w:rPr>
          <w:rFonts w:ascii="Palatino Linotype" w:eastAsia="Palatino Linotype" w:hAnsi="Palatino Linotype" w:cs="Palatino Linotype"/>
        </w:rPr>
        <w:t>, LUIS GUSTAVO PARRA NORIEGA Y GUADALUPE RAMÍREZ PEÑA; EN LA VIGÉSIMA CUARTA SESIÓN ORDINARIA CELEBRADA EL VEINTINUEVE DE JUNIO DEL DOS MIL VEINTIDÓS, ANTE EL SECRETARIO TÉCNICO DEL PLENO ALEXIS TAPIA RAMÍREZ.</w:t>
      </w:r>
    </w:p>
    <w:p w:rsidR="006F690A" w:rsidRDefault="006F690A">
      <w:pPr>
        <w:spacing w:line="360" w:lineRule="auto"/>
        <w:jc w:val="both"/>
        <w:rPr>
          <w:rFonts w:ascii="Palatino Linotype" w:eastAsia="Palatino Linotype" w:hAnsi="Palatino Linotype" w:cs="Palatino Linotype"/>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p w:rsidR="006F690A" w:rsidRDefault="006F690A">
      <w:pPr>
        <w:jc w:val="both"/>
        <w:rPr>
          <w:rFonts w:ascii="Palatino Linotype" w:eastAsia="Palatino Linotype" w:hAnsi="Palatino Linotype" w:cs="Palatino Linotype"/>
          <w:sz w:val="20"/>
          <w:szCs w:val="20"/>
        </w:rPr>
      </w:pPr>
    </w:p>
    <w:sectPr w:rsidR="006F690A">
      <w:headerReference w:type="default" r:id="rId12"/>
      <w:footerReference w:type="default" r:id="rId13"/>
      <w:headerReference w:type="first" r:id="rId14"/>
      <w:footerReference w:type="first" r:id="rId15"/>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898" w:rsidRDefault="00831898">
      <w:r>
        <w:separator/>
      </w:r>
    </w:p>
  </w:endnote>
  <w:endnote w:type="continuationSeparator" w:id="0">
    <w:p w:rsidR="00831898" w:rsidRDefault="0083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0A" w:rsidRDefault="006129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971C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971C9">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rsidR="006F690A" w:rsidRDefault="006F690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0A" w:rsidRDefault="006129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971C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971C9">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rsidR="006F690A" w:rsidRDefault="006F690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898" w:rsidRDefault="00831898">
      <w:r>
        <w:separator/>
      </w:r>
    </w:p>
  </w:footnote>
  <w:footnote w:type="continuationSeparator" w:id="0">
    <w:p w:rsidR="00831898" w:rsidRDefault="00831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0A" w:rsidRDefault="0061297A">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-714373</wp:posOffset>
          </wp:positionH>
          <wp:positionV relativeFrom="paragraph">
            <wp:posOffset>-267333</wp:posOffset>
          </wp:positionV>
          <wp:extent cx="7635600" cy="9943200"/>
          <wp:effectExtent l="0" t="0" r="0"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670" w:type="dxa"/>
      <w:tblInd w:w="3119" w:type="dxa"/>
      <w:tblLayout w:type="fixed"/>
      <w:tblLook w:val="0400" w:firstRow="0" w:lastRow="0" w:firstColumn="0" w:lastColumn="0" w:noHBand="0" w:noVBand="1"/>
    </w:tblPr>
    <w:tblGrid>
      <w:gridCol w:w="2551"/>
      <w:gridCol w:w="3119"/>
    </w:tblGrid>
    <w:tr w:rsidR="006F690A">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F690A" w:rsidRDefault="006129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04034/INFOEM/IP/RR/2022.</w:t>
          </w:r>
        </w:p>
      </w:tc>
    </w:tr>
    <w:tr w:rsidR="006F690A">
      <w:trPr>
        <w:trHeight w:val="228"/>
      </w:trPr>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F690A" w:rsidRDefault="006129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F690A">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F690A" w:rsidRDefault="006129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F690A" w:rsidRDefault="006F690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0A" w:rsidRDefault="0061297A">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-638173</wp:posOffset>
          </wp:positionH>
          <wp:positionV relativeFrom="paragraph">
            <wp:posOffset>-172083</wp:posOffset>
          </wp:positionV>
          <wp:extent cx="7635600" cy="9943200"/>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6F690A">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F690A" w:rsidRDefault="006129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04034/INFOEM/IP/RR/2022.</w:t>
          </w:r>
        </w:p>
      </w:tc>
    </w:tr>
    <w:tr w:rsidR="006F690A">
      <w:tc>
        <w:tcPr>
          <w:tcW w:w="2551" w:type="dxa"/>
          <w:vAlign w:val="center"/>
        </w:tcPr>
        <w:p w:rsidR="006F690A" w:rsidRDefault="0061297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6F690A" w:rsidRDefault="006F690A">
          <w:pPr>
            <w:jc w:val="both"/>
            <w:rPr>
              <w:rFonts w:ascii="Palatino Linotype" w:eastAsia="Palatino Linotype" w:hAnsi="Palatino Linotype" w:cs="Palatino Linotype"/>
              <w:b/>
              <w:sz w:val="22"/>
              <w:szCs w:val="22"/>
            </w:rPr>
          </w:pPr>
        </w:p>
      </w:tc>
    </w:tr>
    <w:tr w:rsidR="006F690A">
      <w:trPr>
        <w:trHeight w:val="228"/>
      </w:trPr>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F690A" w:rsidRDefault="0061297A">
          <w:pPr>
            <w:tabs>
              <w:tab w:val="left" w:pos="5670"/>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Instituto de Transparencia, Acceso a la Información Pública y Protección de Datos Personales del Estado de México y Municipios</w:t>
          </w:r>
        </w:p>
      </w:tc>
    </w:tr>
    <w:tr w:rsidR="006F690A">
      <w:tc>
        <w:tcPr>
          <w:tcW w:w="2551" w:type="dxa"/>
          <w:vAlign w:val="center"/>
        </w:tcPr>
        <w:p w:rsidR="006F690A" w:rsidRDefault="006129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F690A" w:rsidRDefault="006129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F690A" w:rsidRDefault="006F690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569E"/>
    <w:multiLevelType w:val="multilevel"/>
    <w:tmpl w:val="75EC4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0D26C5"/>
    <w:multiLevelType w:val="multilevel"/>
    <w:tmpl w:val="F6829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4502C6"/>
    <w:multiLevelType w:val="multilevel"/>
    <w:tmpl w:val="111CCC06"/>
    <w:lvl w:ilvl="0">
      <w:start w:val="6"/>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 w15:restartNumberingAfterBreak="0">
    <w:nsid w:val="6EB6023D"/>
    <w:multiLevelType w:val="multilevel"/>
    <w:tmpl w:val="1512D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AC36D66"/>
    <w:multiLevelType w:val="hybridMultilevel"/>
    <w:tmpl w:val="4E428EEE"/>
    <w:lvl w:ilvl="0" w:tplc="BC7C5728">
      <w:start w:val="3"/>
      <w:numFmt w:val="lowerLetter"/>
      <w:lvlText w:val="%1."/>
      <w:lvlJc w:val="left"/>
      <w:pPr>
        <w:tabs>
          <w:tab w:val="num" w:pos="720"/>
        </w:tabs>
        <w:ind w:left="720" w:hanging="360"/>
      </w:pPr>
    </w:lvl>
    <w:lvl w:ilvl="1" w:tplc="13E6BAD2">
      <w:start w:val="1"/>
      <w:numFmt w:val="decimal"/>
      <w:lvlText w:val="%2."/>
      <w:lvlJc w:val="left"/>
      <w:pPr>
        <w:tabs>
          <w:tab w:val="num" w:pos="1440"/>
        </w:tabs>
        <w:ind w:left="1440" w:hanging="360"/>
      </w:pPr>
    </w:lvl>
    <w:lvl w:ilvl="2" w:tplc="973EC8B4">
      <w:start w:val="1"/>
      <w:numFmt w:val="decimal"/>
      <w:lvlText w:val="%3."/>
      <w:lvlJc w:val="left"/>
      <w:pPr>
        <w:tabs>
          <w:tab w:val="num" w:pos="2160"/>
        </w:tabs>
        <w:ind w:left="2160" w:hanging="360"/>
      </w:pPr>
    </w:lvl>
    <w:lvl w:ilvl="3" w:tplc="2F44902E">
      <w:start w:val="1"/>
      <w:numFmt w:val="decimal"/>
      <w:lvlText w:val="%4."/>
      <w:lvlJc w:val="left"/>
      <w:pPr>
        <w:tabs>
          <w:tab w:val="num" w:pos="2880"/>
        </w:tabs>
        <w:ind w:left="2880" w:hanging="360"/>
      </w:pPr>
    </w:lvl>
    <w:lvl w:ilvl="4" w:tplc="C51C4C32">
      <w:start w:val="1"/>
      <w:numFmt w:val="decimal"/>
      <w:lvlText w:val="%5."/>
      <w:lvlJc w:val="left"/>
      <w:pPr>
        <w:tabs>
          <w:tab w:val="num" w:pos="3600"/>
        </w:tabs>
        <w:ind w:left="3600" w:hanging="360"/>
      </w:pPr>
    </w:lvl>
    <w:lvl w:ilvl="5" w:tplc="A23C8528">
      <w:start w:val="1"/>
      <w:numFmt w:val="decimal"/>
      <w:lvlText w:val="%6."/>
      <w:lvlJc w:val="left"/>
      <w:pPr>
        <w:tabs>
          <w:tab w:val="num" w:pos="4320"/>
        </w:tabs>
        <w:ind w:left="4320" w:hanging="360"/>
      </w:pPr>
    </w:lvl>
    <w:lvl w:ilvl="6" w:tplc="CB9CA032">
      <w:start w:val="1"/>
      <w:numFmt w:val="decimal"/>
      <w:lvlText w:val="%7."/>
      <w:lvlJc w:val="left"/>
      <w:pPr>
        <w:tabs>
          <w:tab w:val="num" w:pos="5040"/>
        </w:tabs>
        <w:ind w:left="5040" w:hanging="360"/>
      </w:pPr>
    </w:lvl>
    <w:lvl w:ilvl="7" w:tplc="26A04578">
      <w:start w:val="1"/>
      <w:numFmt w:val="decimal"/>
      <w:lvlText w:val="%8."/>
      <w:lvlJc w:val="left"/>
      <w:pPr>
        <w:tabs>
          <w:tab w:val="num" w:pos="5760"/>
        </w:tabs>
        <w:ind w:left="5760" w:hanging="360"/>
      </w:pPr>
    </w:lvl>
    <w:lvl w:ilvl="8" w:tplc="9E2EC9F6">
      <w:start w:val="1"/>
      <w:numFmt w:val="decimal"/>
      <w:lvlText w:val="%9."/>
      <w:lvlJc w:val="left"/>
      <w:pPr>
        <w:tabs>
          <w:tab w:val="num" w:pos="6480"/>
        </w:tabs>
        <w:ind w:left="6480" w:hanging="360"/>
      </w:pPr>
    </w:lvl>
  </w:abstractNum>
  <w:abstractNum w:abstractNumId="5" w15:restartNumberingAfterBreak="0">
    <w:nsid w:val="7C871107"/>
    <w:multiLevelType w:val="multilevel"/>
    <w:tmpl w:val="ED08E22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0A"/>
    <w:rsid w:val="005521DF"/>
    <w:rsid w:val="0061297A"/>
    <w:rsid w:val="006F690A"/>
    <w:rsid w:val="007971C9"/>
    <w:rsid w:val="00831898"/>
    <w:rsid w:val="00A2759C"/>
    <w:rsid w:val="00B142B6"/>
    <w:rsid w:val="00B61CED"/>
    <w:rsid w:val="00DD0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A57F2-8BE0-405D-9E95-4C14CA95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Mencinsinresolver1">
    <w:name w:val="Mención sin resolver1"/>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68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MeHLsDhHh3gS/t8o8dZIEPsiiA==">AMUW2mWwddq01+yKR+KT6o3s86KzujgB9PO6wC9bX77K/lyILhMSGlLhhAOd9bfOuyz9NPUhO7FlrmKEA8soFBd3sI4TAhGVJtuKDw8XM8g0WuODyYsQ+0BJmgZAg+RGV3a5MOA0rkYE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4904</Words>
  <Characters>26978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Cuenta Microsoft</cp:lastModifiedBy>
  <cp:revision>5</cp:revision>
  <dcterms:created xsi:type="dcterms:W3CDTF">2022-06-23T03:05:00Z</dcterms:created>
  <dcterms:modified xsi:type="dcterms:W3CDTF">2022-06-30T21:32:00Z</dcterms:modified>
</cp:coreProperties>
</file>