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E075" w14:textId="0ACF677B"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w:t>
      </w:r>
      <w:r w:rsidRPr="00FE5ED6">
        <w:rPr>
          <w:rFonts w:ascii="Palatino Linotype" w:eastAsia="Times New Roman" w:hAnsi="Palatino Linotype" w:cs="Arial"/>
          <w:color w:val="000000"/>
          <w:sz w:val="24"/>
          <w:szCs w:val="24"/>
          <w:lang w:eastAsia="es-MX"/>
        </w:rPr>
        <w:t xml:space="preserve">México, a </w:t>
      </w:r>
      <w:r w:rsidR="00814D6A" w:rsidRPr="00FE5ED6">
        <w:rPr>
          <w:rFonts w:ascii="Palatino Linotype" w:eastAsia="Times New Roman" w:hAnsi="Palatino Linotype" w:cs="Arial"/>
          <w:color w:val="000000"/>
          <w:sz w:val="24"/>
          <w:szCs w:val="24"/>
          <w:lang w:eastAsia="es-MX"/>
        </w:rPr>
        <w:t>cuatro de mayo</w:t>
      </w:r>
      <w:r w:rsidR="00EF6598" w:rsidRPr="00FE5ED6">
        <w:rPr>
          <w:rFonts w:ascii="Palatino Linotype" w:eastAsia="Times New Roman" w:hAnsi="Palatino Linotype" w:cs="Arial"/>
          <w:color w:val="000000"/>
          <w:sz w:val="24"/>
          <w:szCs w:val="24"/>
          <w:lang w:eastAsia="es-MX"/>
        </w:rPr>
        <w:t xml:space="preserve"> de dos mil veintidós.</w:t>
      </w:r>
      <w:r w:rsidR="00EF6598">
        <w:rPr>
          <w:rFonts w:ascii="Palatino Linotype" w:eastAsia="Times New Roman" w:hAnsi="Palatino Linotype" w:cs="Arial"/>
          <w:color w:val="000000"/>
          <w:sz w:val="24"/>
          <w:szCs w:val="24"/>
          <w:lang w:eastAsia="es-MX"/>
        </w:rPr>
        <w:t xml:space="preserve"> </w:t>
      </w:r>
      <w:r w:rsidR="00D139EB">
        <w:rPr>
          <w:rFonts w:ascii="Palatino Linotype" w:eastAsia="Times New Roman" w:hAnsi="Palatino Linotype" w:cs="Arial"/>
          <w:color w:val="000000"/>
          <w:sz w:val="24"/>
          <w:szCs w:val="24"/>
          <w:lang w:eastAsia="es-MX"/>
        </w:rPr>
        <w:t xml:space="preserve">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768D6BD1" w14:textId="34B5B4E9" w:rsidR="00EF6598" w:rsidRPr="00EF6598" w:rsidRDefault="006D5803" w:rsidP="00E669E6">
      <w:pPr>
        <w:tabs>
          <w:tab w:val="left" w:pos="1701"/>
        </w:tabs>
        <w:spacing w:before="240" w:line="360" w:lineRule="auto"/>
        <w:jc w:val="both"/>
        <w:rPr>
          <w:rFonts w:ascii="Palatino Linotype" w:hAnsi="Palatino Linotype" w:cs="Arial"/>
          <w:bCs/>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B70741">
        <w:rPr>
          <w:rFonts w:ascii="Palatino Linotype" w:hAnsi="Palatino Linotype" w:cs="Arial"/>
          <w:b/>
          <w:sz w:val="24"/>
        </w:rPr>
        <w:t>0</w:t>
      </w:r>
      <w:r w:rsidR="00EF6598">
        <w:rPr>
          <w:rFonts w:ascii="Palatino Linotype" w:hAnsi="Palatino Linotype" w:cs="Arial"/>
          <w:b/>
          <w:sz w:val="24"/>
        </w:rPr>
        <w:t>1905</w:t>
      </w:r>
      <w:r w:rsidR="00FD6B57">
        <w:rPr>
          <w:rFonts w:ascii="Palatino Linotype" w:hAnsi="Palatino Linotype" w:cs="Arial"/>
          <w:b/>
          <w:sz w:val="24"/>
        </w:rPr>
        <w:t>/INFOEM/IP/RR/2022</w:t>
      </w:r>
      <w:r>
        <w:rPr>
          <w:rFonts w:ascii="Palatino Linotype" w:hAnsi="Palatino Linotype" w:cs="Arial"/>
          <w:b/>
          <w:sz w:val="24"/>
        </w:rPr>
        <w:t xml:space="preserve">, </w:t>
      </w:r>
      <w:r>
        <w:rPr>
          <w:rFonts w:ascii="Palatino Linotype" w:hAnsi="Palatino Linotype" w:cs="Arial"/>
          <w:sz w:val="24"/>
        </w:rPr>
        <w:t xml:space="preserve">interpuesto por </w:t>
      </w:r>
      <w:r w:rsidR="0098057B">
        <w:rPr>
          <w:rFonts w:ascii="Palatino Linotype" w:hAnsi="Palatino Linotype" w:cs="Arial"/>
          <w:sz w:val="24"/>
        </w:rPr>
        <w:t xml:space="preserve">el </w:t>
      </w:r>
      <w:r w:rsidR="0098057B">
        <w:rPr>
          <w:rFonts w:ascii="Palatino Linotype" w:hAnsi="Palatino Linotype" w:cs="Arial"/>
          <w:b/>
          <w:sz w:val="24"/>
        </w:rPr>
        <w:t xml:space="preserve">C. </w:t>
      </w:r>
      <w:r w:rsidR="00272C55">
        <w:rPr>
          <w:rFonts w:ascii="Palatino Linotype" w:hAnsi="Palatino Linotype" w:cs="Arial"/>
          <w:b/>
          <w:sz w:val="24"/>
        </w:rPr>
        <w:t>xxxxx</w:t>
      </w:r>
      <w:r w:rsidR="00EF6598">
        <w:rPr>
          <w:rFonts w:ascii="Palatino Linotype" w:hAnsi="Palatino Linotype" w:cs="Arial"/>
          <w:b/>
          <w:sz w:val="24"/>
        </w:rPr>
        <w:t xml:space="preserve">, </w:t>
      </w:r>
      <w:r w:rsidR="00EF6598">
        <w:rPr>
          <w:rFonts w:ascii="Palatino Linotype" w:hAnsi="Palatino Linotype" w:cs="Arial"/>
          <w:bCs/>
          <w:sz w:val="24"/>
        </w:rPr>
        <w:t xml:space="preserve">en lo sucesivo </w:t>
      </w:r>
      <w:r w:rsidR="00EF6598">
        <w:rPr>
          <w:rFonts w:ascii="Palatino Linotype" w:hAnsi="Palatino Linotype" w:cs="Arial"/>
          <w:b/>
          <w:sz w:val="24"/>
        </w:rPr>
        <w:t xml:space="preserve">El Recurrente, </w:t>
      </w:r>
      <w:r w:rsidR="00EF6598">
        <w:rPr>
          <w:rFonts w:ascii="Palatino Linotype" w:hAnsi="Palatino Linotype" w:cs="Arial"/>
          <w:bCs/>
          <w:sz w:val="24"/>
        </w:rPr>
        <w:t xml:space="preserve">en contra de la respuesta del </w:t>
      </w:r>
      <w:r w:rsidR="00EF6598">
        <w:rPr>
          <w:rFonts w:ascii="Palatino Linotype" w:hAnsi="Palatino Linotype" w:cs="Arial"/>
          <w:b/>
          <w:sz w:val="24"/>
        </w:rPr>
        <w:t xml:space="preserve">Ayuntamiento de Atizapán de Zaragoza, </w:t>
      </w:r>
      <w:r w:rsidR="00EF6598">
        <w:rPr>
          <w:rFonts w:ascii="Palatino Linotype" w:hAnsi="Palatino Linotype" w:cs="Arial"/>
          <w:bCs/>
          <w:sz w:val="24"/>
        </w:rPr>
        <w:t xml:space="preserve">en lo sucesivo </w:t>
      </w:r>
      <w:r w:rsidR="00EF6598">
        <w:rPr>
          <w:rFonts w:ascii="Palatino Linotype" w:hAnsi="Palatino Linotype" w:cs="Arial"/>
          <w:b/>
          <w:sz w:val="24"/>
        </w:rPr>
        <w:t xml:space="preserve">EL Sujeto Obligado, </w:t>
      </w:r>
      <w:r w:rsidR="00EF6598">
        <w:rPr>
          <w:rFonts w:ascii="Palatino Linotype" w:hAnsi="Palatino Linotype" w:cs="Arial"/>
          <w:bCs/>
          <w:sz w:val="24"/>
        </w:rPr>
        <w:t xml:space="preserve">se procede a dictar la presente resolución. </w:t>
      </w:r>
    </w:p>
    <w:p w14:paraId="6165250A" w14:textId="77777777" w:rsidR="00EF6598" w:rsidRDefault="00EF6598" w:rsidP="00E669E6">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6522D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58BED89E" w14:textId="23579EED" w:rsidR="007D63A2" w:rsidRPr="002E3B86" w:rsidRDefault="0098057B" w:rsidP="0098057B">
      <w:pPr>
        <w:spacing w:before="240" w:line="360" w:lineRule="auto"/>
        <w:jc w:val="both"/>
        <w:rPr>
          <w:rFonts w:ascii="Palatino Linotype" w:hAnsi="Palatino Linotype" w:cs="Arial"/>
          <w:sz w:val="24"/>
          <w:highlight w:val="yellow"/>
        </w:rPr>
      </w:pPr>
      <w:r>
        <w:rPr>
          <w:rFonts w:ascii="Palatino Linotype" w:hAnsi="Palatino Linotype" w:cs="Arial"/>
          <w:sz w:val="24"/>
        </w:rPr>
        <w:t>Con fecha</w:t>
      </w:r>
      <w:r w:rsidR="007D63A2">
        <w:rPr>
          <w:rFonts w:ascii="Palatino Linotype" w:hAnsi="Palatino Linotype" w:cs="Arial"/>
          <w:sz w:val="24"/>
        </w:rPr>
        <w:t xml:space="preserve"> veinte de enero de dos mil veintidós, </w:t>
      </w:r>
      <w:r w:rsidR="007D63A2">
        <w:rPr>
          <w:rFonts w:ascii="Palatino Linotype" w:hAnsi="Palatino Linotype" w:cs="Arial"/>
          <w:b/>
          <w:bCs/>
          <w:sz w:val="24"/>
        </w:rPr>
        <w:t xml:space="preserve">El Recurrente </w:t>
      </w:r>
      <w:r w:rsidR="007D63A2" w:rsidRPr="00B22B55">
        <w:rPr>
          <w:rFonts w:ascii="Palatino Linotype" w:hAnsi="Palatino Linotype" w:cs="Arial"/>
          <w:sz w:val="24"/>
        </w:rPr>
        <w:t xml:space="preserve">presentó a través del </w:t>
      </w:r>
      <w:r w:rsidR="007D63A2" w:rsidRPr="00EF3A46">
        <w:rPr>
          <w:rFonts w:ascii="Palatino Linotype" w:hAnsi="Palatino Linotype" w:cs="Arial"/>
          <w:sz w:val="24"/>
        </w:rPr>
        <w:t>a través de la Plataforma Nacional de Trasparencia (PNT)</w:t>
      </w:r>
      <w:r w:rsidR="007D63A2">
        <w:rPr>
          <w:rFonts w:ascii="Palatino Linotype" w:hAnsi="Palatino Linotype" w:cs="Arial"/>
          <w:sz w:val="24"/>
        </w:rPr>
        <w:t>,</w:t>
      </w:r>
      <w:r w:rsidR="007D63A2" w:rsidRPr="00EF3A46">
        <w:rPr>
          <w:rFonts w:ascii="Palatino Linotype" w:hAnsi="Palatino Linotype" w:cs="Arial"/>
          <w:sz w:val="24"/>
        </w:rPr>
        <w:t xml:space="preserve"> vinculada al </w:t>
      </w:r>
      <w:r w:rsidR="007D63A2" w:rsidRPr="00B22B55">
        <w:rPr>
          <w:rFonts w:ascii="Palatino Linotype" w:hAnsi="Palatino Linotype" w:cs="Arial"/>
          <w:sz w:val="24"/>
        </w:rPr>
        <w:t>Sistema de Acceso a la Información Mexiquense (</w:t>
      </w:r>
      <w:r w:rsidR="007D63A2" w:rsidRPr="00B22B55">
        <w:rPr>
          <w:rFonts w:ascii="Palatino Linotype" w:hAnsi="Palatino Linotype" w:cs="Arial"/>
          <w:b/>
          <w:sz w:val="24"/>
        </w:rPr>
        <w:t>SAIMEX</w:t>
      </w:r>
      <w:r w:rsidR="007D63A2" w:rsidRPr="00B22B55">
        <w:rPr>
          <w:rFonts w:ascii="Palatino Linotype" w:hAnsi="Palatino Linotype" w:cs="Arial"/>
          <w:sz w:val="24"/>
        </w:rPr>
        <w:t xml:space="preserve">) ante </w:t>
      </w:r>
      <w:r w:rsidR="007D63A2" w:rsidRPr="00B22B55">
        <w:rPr>
          <w:rFonts w:ascii="Palatino Linotype" w:hAnsi="Palatino Linotype" w:cs="Arial"/>
          <w:b/>
          <w:sz w:val="24"/>
        </w:rPr>
        <w:t>El Sujeto Obligado</w:t>
      </w:r>
      <w:r w:rsidR="007D63A2" w:rsidRPr="00B22B55">
        <w:rPr>
          <w:rFonts w:ascii="Palatino Linotype" w:hAnsi="Palatino Linotype" w:cs="Arial"/>
          <w:sz w:val="24"/>
        </w:rPr>
        <w:t>, la solicitud de acceso a la información, registrada bajo el número de expediente</w:t>
      </w:r>
      <w:r w:rsidR="007D63A2">
        <w:rPr>
          <w:rFonts w:ascii="Palatino Linotype" w:hAnsi="Palatino Linotype" w:cs="Arial"/>
          <w:sz w:val="24"/>
        </w:rPr>
        <w:t xml:space="preserve"> </w:t>
      </w:r>
      <w:r w:rsidR="007D63A2" w:rsidRPr="00D709E8">
        <w:rPr>
          <w:rFonts w:ascii="Palatino Linotype" w:hAnsi="Palatino Linotype" w:cs="Arial"/>
          <w:b/>
          <w:bCs/>
          <w:sz w:val="24"/>
        </w:rPr>
        <w:t xml:space="preserve">00041/ATIZARA/IP/2022, </w:t>
      </w:r>
      <w:r w:rsidR="007D63A2" w:rsidRPr="00D709E8">
        <w:rPr>
          <w:rFonts w:ascii="Palatino Linotype" w:hAnsi="Palatino Linotype" w:cs="Arial"/>
          <w:sz w:val="24"/>
        </w:rPr>
        <w:t>mediante la cual solicitó lo siguiente:</w:t>
      </w:r>
    </w:p>
    <w:p w14:paraId="7378B9E5" w14:textId="0F562059" w:rsidR="007D63A2" w:rsidRDefault="00124E99" w:rsidP="004A55D8">
      <w:pPr>
        <w:pStyle w:val="Citas"/>
        <w:rPr>
          <w:b/>
          <w:bCs/>
        </w:rPr>
      </w:pPr>
      <w:r>
        <w:t>“</w:t>
      </w:r>
      <w:r w:rsidR="007D63A2" w:rsidRPr="004A55D8">
        <w:t>solicito se informe el destino comprobado de los gastos que fueron aprobados el año pasado para el festejo del bicentenario del municipio, pues debido a</w:t>
      </w:r>
      <w:r w:rsidR="007D63A2" w:rsidRPr="004A55D8">
        <w:br/>
        <w:t>la pandemia no se llevó a cabo, por lo que solicito el destino de ese dinero</w:t>
      </w:r>
      <w:r>
        <w:t xml:space="preserve">” </w:t>
      </w:r>
      <w:r w:rsidRPr="00124E99">
        <w:rPr>
          <w:b/>
          <w:bCs/>
        </w:rPr>
        <w:t>[</w:t>
      </w:r>
      <w:r w:rsidR="00D00C20">
        <w:rPr>
          <w:b/>
          <w:bCs/>
        </w:rPr>
        <w:t>Sic</w:t>
      </w:r>
      <w:r w:rsidRPr="00124E99">
        <w:rPr>
          <w:b/>
          <w:bCs/>
        </w:rPr>
        <w:t>]</w:t>
      </w:r>
    </w:p>
    <w:p w14:paraId="08D9DEE2" w14:textId="77777777" w:rsidR="0060108E" w:rsidRDefault="0060108E" w:rsidP="0060108E">
      <w:pPr>
        <w:pStyle w:val="Citas"/>
        <w:ind w:left="0"/>
        <w:jc w:val="left"/>
        <w:rPr>
          <w:i w:val="0"/>
          <w:iCs/>
          <w:sz w:val="24"/>
          <w:szCs w:val="24"/>
        </w:rPr>
      </w:pPr>
    </w:p>
    <w:p w14:paraId="5DCC3896" w14:textId="2A8CEDF7" w:rsidR="0060108E" w:rsidRPr="0048339F" w:rsidRDefault="0060108E" w:rsidP="00AD3849">
      <w:pPr>
        <w:pStyle w:val="Citas"/>
        <w:ind w:left="0" w:right="72"/>
        <w:rPr>
          <w:i w:val="0"/>
          <w:iCs/>
          <w:sz w:val="24"/>
          <w:szCs w:val="24"/>
        </w:rPr>
      </w:pPr>
      <w:r>
        <w:rPr>
          <w:i w:val="0"/>
          <w:iCs/>
          <w:sz w:val="24"/>
          <w:szCs w:val="24"/>
        </w:rPr>
        <w:lastRenderedPageBreak/>
        <w:t>De forma complementaria, el particular adjunt</w:t>
      </w:r>
      <w:r w:rsidR="00F1080A" w:rsidRPr="00F1080A">
        <w:rPr>
          <w:rStyle w:val="nfasis"/>
          <w:color w:val="5F6368"/>
          <w:sz w:val="24"/>
          <w:szCs w:val="24"/>
          <w:shd w:val="clear" w:color="auto" w:fill="FFFFFF"/>
        </w:rPr>
        <w:t>ó</w:t>
      </w:r>
      <w:r w:rsidR="00705BF0">
        <w:rPr>
          <w:i w:val="0"/>
          <w:iCs/>
          <w:sz w:val="24"/>
          <w:szCs w:val="24"/>
        </w:rPr>
        <w:t xml:space="preserve"> el documento electrónico </w:t>
      </w:r>
      <w:r w:rsidR="00F1080A">
        <w:rPr>
          <w:b/>
          <w:bCs/>
          <w:i w:val="0"/>
          <w:iCs/>
          <w:sz w:val="24"/>
          <w:szCs w:val="24"/>
        </w:rPr>
        <w:t>“</w:t>
      </w:r>
      <w:r w:rsidR="0048339F">
        <w:rPr>
          <w:b/>
          <w:bCs/>
          <w:i w:val="0"/>
          <w:iCs/>
          <w:sz w:val="24"/>
          <w:szCs w:val="24"/>
        </w:rPr>
        <w:t xml:space="preserve">Archivo Adjunto a la Solicitud” </w:t>
      </w:r>
      <w:r w:rsidR="0048339F">
        <w:rPr>
          <w:i w:val="0"/>
          <w:iCs/>
          <w:sz w:val="24"/>
          <w:szCs w:val="24"/>
        </w:rPr>
        <w:t xml:space="preserve">cuyo contenido fue imposible de visualizar. </w:t>
      </w:r>
    </w:p>
    <w:p w14:paraId="6C718A25" w14:textId="4B44C21A"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p>
    <w:p w14:paraId="1E0FF5C3" w14:textId="77777777"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p>
    <w:p w14:paraId="3D1C9994" w14:textId="4BE4ED3F"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09D627A8" w14:textId="3C9AC44F" w:rsidR="00AD3849"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F24A58">
        <w:rPr>
          <w:rFonts w:ascii="Palatino Linotype" w:hAnsi="Palatino Linotype" w:cs="Arial"/>
          <w:sz w:val="24"/>
          <w:szCs w:val="24"/>
        </w:rPr>
        <w:t xml:space="preserve">nueve de febrero de dos mil veintidós, </w:t>
      </w:r>
      <w:r w:rsidR="00F24A58">
        <w:rPr>
          <w:rFonts w:ascii="Palatino Linotype" w:hAnsi="Palatino Linotype" w:cs="Arial"/>
          <w:b/>
          <w:bCs/>
          <w:sz w:val="24"/>
          <w:szCs w:val="24"/>
        </w:rPr>
        <w:t xml:space="preserve">El Sujeto Obligado </w:t>
      </w:r>
      <w:r w:rsidR="00F24A58">
        <w:rPr>
          <w:rFonts w:ascii="Palatino Linotype" w:hAnsi="Palatino Linotype" w:cs="Arial"/>
          <w:sz w:val="24"/>
          <w:szCs w:val="24"/>
        </w:rPr>
        <w:t xml:space="preserve">dio respuesta a la solicitud de información en los siguientes términos: </w:t>
      </w:r>
    </w:p>
    <w:p w14:paraId="1714A10C" w14:textId="2A64A86C" w:rsidR="00656289" w:rsidRPr="001E3E6B" w:rsidRDefault="00656289" w:rsidP="001E3E6B">
      <w:pPr>
        <w:pStyle w:val="Citas"/>
      </w:pPr>
      <w:r w:rsidRPr="001E3E6B">
        <w:t>“En respuesta a la solicitud recibida, nos permitimos hacer de su conocimiento que con fundamento en el artículo 53, Fracciones: II, V y VI de la Ley de Transparencia y Acceso a la Información Pública del Estado de México y Municipios, le contestamos que</w:t>
      </w:r>
    </w:p>
    <w:p w14:paraId="61A89267" w14:textId="7B01EF58" w:rsidR="004E4020" w:rsidRPr="004E4020" w:rsidRDefault="004E4020" w:rsidP="00656289">
      <w:pPr>
        <w:pStyle w:val="Citas"/>
      </w:pPr>
      <w:r>
        <w:t xml:space="preserve">SE ANEXA </w:t>
      </w:r>
      <w:r w:rsidR="001E3E6B">
        <w:t>RESPUESTA” [</w:t>
      </w:r>
      <w:r>
        <w:rPr>
          <w:b/>
          <w:bCs/>
        </w:rPr>
        <w:t>Sic</w:t>
      </w:r>
      <w:r w:rsidRPr="00124E99">
        <w:rPr>
          <w:b/>
          <w:bCs/>
        </w:rPr>
        <w:t>]</w:t>
      </w:r>
    </w:p>
    <w:p w14:paraId="67CAB026" w14:textId="34F5EBAD" w:rsidR="00EE257E" w:rsidRPr="00EE257E" w:rsidRDefault="003D4013" w:rsidP="00EE257E">
      <w:pPr>
        <w:pStyle w:val="Citas"/>
        <w:ind w:left="0" w:right="72"/>
        <w:rPr>
          <w:sz w:val="24"/>
          <w:szCs w:val="24"/>
        </w:rPr>
      </w:pPr>
      <w:r>
        <w:rPr>
          <w:i w:val="0"/>
          <w:sz w:val="24"/>
          <w:szCs w:val="24"/>
        </w:rPr>
        <w:t>Adicionalmente</w:t>
      </w:r>
      <w:r w:rsidR="00EE257E" w:rsidRPr="006522DA">
        <w:rPr>
          <w:i w:val="0"/>
          <w:sz w:val="24"/>
          <w:szCs w:val="24"/>
        </w:rPr>
        <w:t xml:space="preserve">, </w:t>
      </w:r>
      <w:r w:rsidR="00EE257E" w:rsidRPr="006522DA">
        <w:rPr>
          <w:b/>
          <w:i w:val="0"/>
          <w:sz w:val="24"/>
          <w:szCs w:val="24"/>
        </w:rPr>
        <w:t xml:space="preserve">El Sujeto Obligado </w:t>
      </w:r>
      <w:r w:rsidR="00EE257E" w:rsidRPr="006522DA">
        <w:rPr>
          <w:i w:val="0"/>
          <w:sz w:val="24"/>
          <w:szCs w:val="24"/>
        </w:rPr>
        <w:t>adjuntó el documento electrónico</w:t>
      </w:r>
      <w:r w:rsidR="00EE257E">
        <w:rPr>
          <w:i w:val="0"/>
          <w:sz w:val="24"/>
          <w:szCs w:val="24"/>
        </w:rPr>
        <w:t xml:space="preserve"> </w:t>
      </w:r>
      <w:r w:rsidR="00EE257E">
        <w:rPr>
          <w:b/>
          <w:bCs/>
          <w:i w:val="0"/>
          <w:sz w:val="24"/>
          <w:szCs w:val="24"/>
        </w:rPr>
        <w:t>“</w:t>
      </w:r>
      <w:r w:rsidR="00441432">
        <w:rPr>
          <w:b/>
          <w:bCs/>
          <w:i w:val="0"/>
          <w:sz w:val="24"/>
          <w:szCs w:val="24"/>
        </w:rPr>
        <w:t>00041-291-22</w:t>
      </w:r>
      <w:r w:rsidR="00EE257E">
        <w:rPr>
          <w:b/>
          <w:bCs/>
          <w:i w:val="0"/>
          <w:sz w:val="24"/>
          <w:szCs w:val="24"/>
        </w:rPr>
        <w:t xml:space="preserve">”, </w:t>
      </w:r>
      <w:r w:rsidR="00EE257E">
        <w:rPr>
          <w:i w:val="0"/>
          <w:sz w:val="24"/>
          <w:szCs w:val="24"/>
        </w:rPr>
        <w:t xml:space="preserve">cuyo contenido será materia de estudio en el considerando respectivo. </w:t>
      </w:r>
    </w:p>
    <w:p w14:paraId="26F693D1" w14:textId="77777777" w:rsidR="00EE257E" w:rsidRPr="00EE257E" w:rsidRDefault="00EE257E" w:rsidP="00EE257E">
      <w:pPr>
        <w:pStyle w:val="Citas"/>
        <w:rPr>
          <w:b/>
          <w:bCs/>
          <w:sz w:val="24"/>
          <w:szCs w:val="24"/>
        </w:rPr>
      </w:pPr>
    </w:p>
    <w:p w14:paraId="067753A9" w14:textId="112CFC73"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2EB4CAF6" w14:textId="2C51F2ED" w:rsidR="00441432" w:rsidRPr="00B84884"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EE05C1">
        <w:rPr>
          <w:rFonts w:ascii="Palatino Linotype" w:hAnsi="Palatino Linotype" w:cs="Arial"/>
          <w:sz w:val="24"/>
          <w:szCs w:val="24"/>
        </w:rPr>
        <w:t xml:space="preserve"> </w:t>
      </w:r>
      <w:r w:rsidR="001D5F45">
        <w:rPr>
          <w:rFonts w:ascii="Palatino Linotype" w:hAnsi="Palatino Linotype" w:cs="Arial"/>
          <w:sz w:val="24"/>
          <w:szCs w:val="24"/>
        </w:rPr>
        <w:t xml:space="preserve">veinticinco de febrero de dos mil </w:t>
      </w:r>
      <w:r w:rsidR="000B0EFE">
        <w:rPr>
          <w:rFonts w:ascii="Palatino Linotype" w:hAnsi="Palatino Linotype" w:cs="Arial"/>
          <w:sz w:val="24"/>
          <w:szCs w:val="24"/>
        </w:rPr>
        <w:t xml:space="preserve">veintidós, el cual fue registrado </w:t>
      </w:r>
      <w:r w:rsidR="000B0EFE">
        <w:rPr>
          <w:rFonts w:ascii="Palatino Linotype" w:hAnsi="Palatino Linotype" w:cs="Arial"/>
          <w:sz w:val="24"/>
          <w:szCs w:val="24"/>
        </w:rPr>
        <w:lastRenderedPageBreak/>
        <w:t xml:space="preserve">con el expediente </w:t>
      </w:r>
      <w:r w:rsidR="00F868D1">
        <w:rPr>
          <w:rFonts w:ascii="Palatino Linotype" w:hAnsi="Palatino Linotype" w:cs="Arial"/>
          <w:sz w:val="24"/>
          <w:szCs w:val="24"/>
        </w:rPr>
        <w:t>número</w:t>
      </w:r>
      <w:r w:rsidR="000B0EFE">
        <w:rPr>
          <w:rFonts w:ascii="Palatino Linotype" w:hAnsi="Palatino Linotype" w:cs="Arial"/>
          <w:sz w:val="24"/>
          <w:szCs w:val="24"/>
        </w:rPr>
        <w:t xml:space="preserve"> </w:t>
      </w:r>
      <w:r w:rsidR="000B0EFE" w:rsidRPr="000B0EFE">
        <w:rPr>
          <w:rFonts w:ascii="Palatino Linotype" w:hAnsi="Palatino Linotype" w:cs="Arial"/>
          <w:b/>
          <w:bCs/>
          <w:sz w:val="24"/>
          <w:szCs w:val="24"/>
        </w:rPr>
        <w:t>01905/INFOEM/IP/RR/2022</w:t>
      </w:r>
      <w:r w:rsidR="00B84884">
        <w:rPr>
          <w:rFonts w:ascii="Palatino Linotype" w:hAnsi="Palatino Linotype" w:cs="Arial"/>
          <w:b/>
          <w:bCs/>
          <w:sz w:val="24"/>
          <w:szCs w:val="24"/>
        </w:rPr>
        <w:t xml:space="preserve">, </w:t>
      </w:r>
      <w:r w:rsidR="00B84884">
        <w:rPr>
          <w:rFonts w:ascii="Palatino Linotype" w:hAnsi="Palatino Linotype" w:cs="Arial"/>
          <w:sz w:val="24"/>
          <w:szCs w:val="24"/>
        </w:rPr>
        <w:t xml:space="preserve">en el cual arguye </w:t>
      </w:r>
      <w:r w:rsidR="00CC3AD5">
        <w:rPr>
          <w:rFonts w:ascii="Palatino Linotype" w:hAnsi="Palatino Linotype" w:cs="Arial"/>
          <w:sz w:val="24"/>
          <w:szCs w:val="24"/>
        </w:rPr>
        <w:t>como acto impugnado lo siguiente:</w:t>
      </w:r>
    </w:p>
    <w:p w14:paraId="0B4E0576" w14:textId="5713C0C1" w:rsidR="00073E92" w:rsidRDefault="00073E92" w:rsidP="00073E92">
      <w:pPr>
        <w:pStyle w:val="Citas"/>
        <w:rPr>
          <w:b/>
        </w:rPr>
      </w:pPr>
      <w:r w:rsidRPr="00360F1F">
        <w:t>“</w:t>
      </w:r>
      <w:r w:rsidR="00360F1F" w:rsidRPr="00360F1F">
        <w:t>falta información</w:t>
      </w:r>
      <w:r w:rsidRPr="00360F1F">
        <w:t>”</w:t>
      </w:r>
      <w:r w:rsidRPr="007E24F0">
        <w:t xml:space="preserve"> </w:t>
      </w:r>
      <w:r>
        <w:rPr>
          <w:b/>
        </w:rPr>
        <w:t xml:space="preserve">[Sic] </w:t>
      </w:r>
    </w:p>
    <w:p w14:paraId="39BD595D" w14:textId="77777777" w:rsidR="003442C8" w:rsidRDefault="003442C8" w:rsidP="00FF3A25">
      <w:pPr>
        <w:pStyle w:val="Citas"/>
        <w:rPr>
          <w:b/>
        </w:rPr>
      </w:pPr>
    </w:p>
    <w:p w14:paraId="23958021" w14:textId="4860BA8D" w:rsidR="00CC3AD5" w:rsidRPr="005F10E7" w:rsidRDefault="003442C8" w:rsidP="00875611">
      <w:pPr>
        <w:pStyle w:val="Citas"/>
        <w:ind w:left="0" w:right="0"/>
        <w:rPr>
          <w:i w:val="0"/>
          <w:sz w:val="24"/>
          <w:szCs w:val="24"/>
        </w:rPr>
      </w:pPr>
      <w:r w:rsidRPr="00875611">
        <w:rPr>
          <w:i w:val="0"/>
          <w:sz w:val="24"/>
          <w:szCs w:val="24"/>
        </w:rPr>
        <w:t xml:space="preserve">Adicionalmente, el particular adjuntó </w:t>
      </w:r>
      <w:r w:rsidR="00CC3AD5">
        <w:rPr>
          <w:i w:val="0"/>
          <w:sz w:val="24"/>
          <w:szCs w:val="24"/>
        </w:rPr>
        <w:t xml:space="preserve">el documento electrónico </w:t>
      </w:r>
      <w:r w:rsidR="001F6D13">
        <w:rPr>
          <w:b/>
          <w:bCs/>
          <w:i w:val="0"/>
          <w:sz w:val="24"/>
          <w:szCs w:val="24"/>
        </w:rPr>
        <w:t>“Archivo 1645817426979”</w:t>
      </w:r>
      <w:r w:rsidR="005F10E7">
        <w:rPr>
          <w:b/>
          <w:bCs/>
          <w:i w:val="0"/>
          <w:sz w:val="24"/>
          <w:szCs w:val="24"/>
        </w:rPr>
        <w:t xml:space="preserve"> </w:t>
      </w:r>
      <w:r w:rsidR="005F10E7">
        <w:rPr>
          <w:i w:val="0"/>
          <w:sz w:val="24"/>
          <w:szCs w:val="24"/>
        </w:rPr>
        <w:t xml:space="preserve">cuyo contenido fue imposible de visualizar. </w:t>
      </w:r>
    </w:p>
    <w:p w14:paraId="5FF26BE0" w14:textId="77777777" w:rsidR="00CC3AD5" w:rsidRDefault="00CC3AD5" w:rsidP="00875611">
      <w:pPr>
        <w:pStyle w:val="Citas"/>
        <w:ind w:left="0" w:right="0"/>
        <w:rPr>
          <w:i w:val="0"/>
          <w:sz w:val="24"/>
          <w:szCs w:val="24"/>
        </w:rPr>
      </w:pPr>
    </w:p>
    <w:p w14:paraId="6B689A4F" w14:textId="2ADFE30A" w:rsidR="00073E92" w:rsidRDefault="00871F78"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6782C784" w14:textId="7B7D632C" w:rsidR="004C7E3D" w:rsidRDefault="00073E92" w:rsidP="004C7E3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sidR="00B85673">
        <w:rPr>
          <w:rFonts w:ascii="Palatino Linotype" w:hAnsi="Palatino Linotype" w:cs="Arial"/>
          <w:sz w:val="24"/>
          <w:szCs w:val="24"/>
        </w:rPr>
        <w:t xml:space="preserve">Presidente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4C7E3D">
        <w:rPr>
          <w:rFonts w:ascii="Palatino Linotype" w:hAnsi="Palatino Linotype" w:cs="Arial"/>
          <w:sz w:val="24"/>
          <w:szCs w:val="24"/>
        </w:rPr>
        <w:t>tres de marzo de dos mil veintidós, determinándose en él, un plazo de siete días para que las partes manifestaran lo que a su derecho corresponda en términos del numeral ya citado.</w:t>
      </w:r>
    </w:p>
    <w:p w14:paraId="27840F0C" w14:textId="30BEB601" w:rsidR="00652E67" w:rsidRDefault="00652E67" w:rsidP="00871F78">
      <w:pPr>
        <w:spacing w:before="240" w:line="360" w:lineRule="auto"/>
        <w:jc w:val="both"/>
        <w:rPr>
          <w:rFonts w:ascii="Palatino Linotype" w:hAnsi="Palatino Linotype" w:cs="Arial"/>
          <w:sz w:val="24"/>
          <w:szCs w:val="24"/>
        </w:rPr>
      </w:pPr>
    </w:p>
    <w:p w14:paraId="66F3567F" w14:textId="6E711A71" w:rsidR="00073E92" w:rsidRDefault="00871F78"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0F59AC58" w14:textId="5DB508B6" w:rsidR="00120A03" w:rsidRDefault="00A715FE" w:rsidP="00A715FE">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sidR="00120A03">
        <w:rPr>
          <w:rFonts w:ascii="Palatino Linotype" w:hAnsi="Palatino Linotype" w:cs="Arial"/>
          <w:sz w:val="24"/>
          <w:szCs w:val="24"/>
        </w:rPr>
        <w:t xml:space="preserve">siete de marzo, mismo que fue puesto a la vista el dieciséis de marzo de dos mil veintidós. </w:t>
      </w:r>
    </w:p>
    <w:p w14:paraId="708196F7" w14:textId="2DC34F5E" w:rsidR="00A715FE" w:rsidRDefault="00A715FE" w:rsidP="00A715FE">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Por lo cual se decretó cierre de instrucción con fecha </w:t>
      </w:r>
      <w:r w:rsidR="004C1B07">
        <w:rPr>
          <w:rFonts w:ascii="Palatino Linotype" w:hAnsi="Palatino Linotype" w:cs="Arial"/>
          <w:b/>
          <w:bCs/>
          <w:sz w:val="24"/>
          <w:szCs w:val="24"/>
        </w:rPr>
        <w:t xml:space="preserve">veinticinco de marzo de dos mil veintidós, </w:t>
      </w:r>
      <w:r>
        <w:rPr>
          <w:rFonts w:ascii="Palatino Linotype" w:hAnsi="Palatino Linotype" w:cs="Arial"/>
          <w:sz w:val="24"/>
          <w:szCs w:val="24"/>
        </w:rPr>
        <w:t xml:space="preserve">en términos del artículo 185 Fracción VI de la Ley de Transparencia y Acceso a la Información Pública del Estado de México y Municipios, iniciando el término legal para dictar resolución definitiva del asunto. </w:t>
      </w:r>
    </w:p>
    <w:p w14:paraId="2ADD701B" w14:textId="77777777" w:rsidR="00D36819" w:rsidRDefault="00D36819" w:rsidP="00D36819">
      <w:pPr>
        <w:spacing w:before="240" w:line="360" w:lineRule="auto"/>
        <w:jc w:val="both"/>
        <w:rPr>
          <w:rFonts w:ascii="Palatino Linotype" w:hAnsi="Palatino Linotype" w:cs="Arial"/>
          <w:sz w:val="24"/>
          <w:szCs w:val="24"/>
        </w:rPr>
      </w:pPr>
      <w:r w:rsidRPr="0053191B">
        <w:rPr>
          <w:rFonts w:ascii="Palatino Linotype" w:hAnsi="Palatino Linotype" w:cs="Arial"/>
          <w:sz w:val="24"/>
          <w:szCs w:val="24"/>
        </w:rPr>
        <w:t xml:space="preserve">Así, en fecha </w:t>
      </w:r>
      <w:r>
        <w:rPr>
          <w:rFonts w:ascii="Palatino Linotype" w:hAnsi="Palatino Linotype" w:cs="Arial"/>
          <w:b/>
          <w:bCs/>
          <w:sz w:val="24"/>
          <w:szCs w:val="24"/>
        </w:rPr>
        <w:t>veinticinco de abril de dos mil veintidós</w:t>
      </w:r>
      <w:r w:rsidRPr="0053191B">
        <w:rPr>
          <w:rFonts w:ascii="Palatino Linotype" w:hAnsi="Palatino Linotype" w:cs="Arial"/>
          <w:b/>
          <w:bCs/>
          <w:sz w:val="24"/>
          <w:szCs w:val="24"/>
        </w:rPr>
        <w:t>,</w:t>
      </w:r>
      <w:r w:rsidRPr="0053191B">
        <w:rPr>
          <w:rFonts w:ascii="Palatino Linotype" w:hAnsi="Palatino Linotype" w:cs="Arial"/>
          <w:sz w:val="24"/>
          <w:szCs w:val="24"/>
        </w:rPr>
        <w:t xml:space="preserve"> </w:t>
      </w:r>
      <w:r>
        <w:rPr>
          <w:rFonts w:ascii="Palatino Linotype" w:hAnsi="Palatino Linotype" w:cs="Arial"/>
          <w:sz w:val="24"/>
          <w:szCs w:val="24"/>
        </w:rPr>
        <w:t xml:space="preserve">en el expediente electrónico del recurso de revisión </w:t>
      </w:r>
      <w:r>
        <w:rPr>
          <w:rFonts w:ascii="Palatino Linotype" w:hAnsi="Palatino Linotype" w:cs="Arial"/>
          <w:sz w:val="24"/>
        </w:rPr>
        <w:t xml:space="preserve">se amplió plazo para dictar resolución, en términos del </w:t>
      </w:r>
      <w:r w:rsidRPr="0053191B">
        <w:rPr>
          <w:rFonts w:ascii="Palatino Linotype" w:hAnsi="Palatino Linotype" w:cs="Arial"/>
          <w:sz w:val="24"/>
          <w:szCs w:val="24"/>
        </w:rPr>
        <w:t>artículo 181 de la Ley de Transparencia y Acceso a la Información del Estado de México y Municipios.</w:t>
      </w:r>
      <w:r>
        <w:rPr>
          <w:rFonts w:ascii="Palatino Linotype" w:hAnsi="Palatino Linotype" w:cs="Arial"/>
          <w:sz w:val="24"/>
          <w:szCs w:val="24"/>
        </w:rPr>
        <w:t xml:space="preserve"> </w:t>
      </w:r>
    </w:p>
    <w:p w14:paraId="534684BA" w14:textId="77777777" w:rsidR="00D36819" w:rsidRDefault="00D36819" w:rsidP="00A715FE">
      <w:pPr>
        <w:spacing w:after="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144809EB"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lastRenderedPageBreak/>
        <w:t>Reglamento Interior del Instituto de Transparencia, Acceso a la Información Pública y Protección de Datos Personales del Estado de México y Municipios.</w:t>
      </w:r>
    </w:p>
    <w:p w14:paraId="2AB13518" w14:textId="6B4EA073" w:rsidR="001E3E6B" w:rsidRDefault="001E3E6B" w:rsidP="007E24F0">
      <w:pPr>
        <w:spacing w:before="240" w:line="360" w:lineRule="auto"/>
        <w:jc w:val="both"/>
        <w:rPr>
          <w:rFonts w:ascii="Palatino Linotype" w:eastAsia="Calibri" w:hAnsi="Palatino Linotype" w:cs="Arial"/>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385679CE" w14:textId="77777777" w:rsidR="00871F78" w:rsidRDefault="00871F78" w:rsidP="00871F7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88BB4CA" w14:textId="77777777" w:rsidR="00871F78" w:rsidRPr="00514E66" w:rsidRDefault="00871F78" w:rsidP="00871F78">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2A3AB3C" w14:textId="77777777" w:rsidR="00871F78" w:rsidRDefault="00871F78" w:rsidP="00871F78">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lastRenderedPageBreak/>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910EFA4" w14:textId="77777777" w:rsidR="00D00A04" w:rsidRDefault="00D00A04"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lastRenderedPageBreak/>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w:t>
      </w:r>
      <w:r w:rsidRPr="006010FE">
        <w:rPr>
          <w:rFonts w:ascii="Palatino Linotype" w:eastAsia="Times New Roman" w:hAnsi="Palatino Linotype" w:cs="Times New Roman"/>
          <w:i/>
          <w:lang w:eastAsia="es-ES"/>
        </w:rPr>
        <w:lastRenderedPageBreak/>
        <w:t>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 xml:space="preserve">encuentren en sus archivos o que estén obligados a documentar de acuerdo con sus </w:t>
      </w:r>
      <w:r w:rsidRPr="006010FE">
        <w:rPr>
          <w:rFonts w:ascii="Palatino Linotype" w:eastAsia="Times New Roman" w:hAnsi="Palatino Linotype" w:cs="Times New Roman"/>
          <w:i/>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p>
    <w:p w14:paraId="7FB42C68" w14:textId="1B26ABA9"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145298A1" w14:textId="77777777" w:rsidR="00B85673" w:rsidRDefault="00B85673" w:rsidP="007E24F0">
      <w:pPr>
        <w:spacing w:after="0" w:line="360" w:lineRule="auto"/>
        <w:jc w:val="both"/>
        <w:rPr>
          <w:rFonts w:ascii="Palatino Linotype" w:eastAsia="Times New Roman" w:hAnsi="Palatino Linotype" w:cs="Times New Roman"/>
          <w:sz w:val="24"/>
          <w:szCs w:val="24"/>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E80103B" w14:textId="77777777" w:rsidR="0072378A" w:rsidRDefault="0072378A" w:rsidP="006D5803">
      <w:pPr>
        <w:tabs>
          <w:tab w:val="left" w:pos="709"/>
        </w:tabs>
        <w:spacing w:before="240" w:line="360" w:lineRule="auto"/>
        <w:ind w:right="51"/>
        <w:jc w:val="both"/>
        <w:rPr>
          <w:rFonts w:ascii="Palatino Linotype" w:hAnsi="Palatino Linotype"/>
          <w:sz w:val="24"/>
          <w:szCs w:val="24"/>
        </w:rPr>
      </w:pPr>
    </w:p>
    <w:p w14:paraId="5070847A" w14:textId="03BF1CD8" w:rsidR="00A755B3" w:rsidRPr="00B6662B" w:rsidRDefault="0072378A" w:rsidP="00B6662B">
      <w:pPr>
        <w:spacing w:before="240" w:line="360" w:lineRule="auto"/>
        <w:jc w:val="both"/>
        <w:rPr>
          <w:rFonts w:ascii="Palatino Linotype" w:hAnsi="Palatino Linotype" w:cs="Arial"/>
          <w:sz w:val="24"/>
          <w:szCs w:val="24"/>
        </w:rPr>
      </w:pPr>
      <w:r w:rsidRPr="00A279CF">
        <w:rPr>
          <w:rFonts w:ascii="Palatino Linotype" w:hAnsi="Palatino Linotype"/>
          <w:sz w:val="24"/>
          <w:szCs w:val="24"/>
        </w:rPr>
        <w:t>Una vez sentado lo anterior, en una aproximación inicial, es proce</w:t>
      </w:r>
      <w:r w:rsidR="00612954" w:rsidRPr="00A279CF">
        <w:rPr>
          <w:rFonts w:ascii="Palatino Linotype" w:hAnsi="Palatino Linotype"/>
          <w:sz w:val="24"/>
          <w:szCs w:val="24"/>
        </w:rPr>
        <w:t>dente mencionar que mediante la solicitud</w:t>
      </w:r>
      <w:r w:rsidRPr="00A279CF">
        <w:rPr>
          <w:rFonts w:ascii="Palatino Linotype" w:hAnsi="Palatino Linotype"/>
          <w:sz w:val="24"/>
          <w:szCs w:val="24"/>
        </w:rPr>
        <w:t xml:space="preserve"> de información</w:t>
      </w:r>
      <w:r w:rsidR="00A85816">
        <w:rPr>
          <w:rFonts w:ascii="Palatino Linotype" w:hAnsi="Palatino Linotype"/>
          <w:sz w:val="24"/>
          <w:szCs w:val="24"/>
        </w:rPr>
        <w:t xml:space="preserve"> </w:t>
      </w:r>
      <w:r w:rsidR="00A85816">
        <w:rPr>
          <w:rFonts w:ascii="Palatino Linotype" w:hAnsi="Palatino Linotype"/>
          <w:b/>
          <w:bCs/>
          <w:sz w:val="24"/>
          <w:szCs w:val="24"/>
        </w:rPr>
        <w:t>00041/ATIZARA/IP/2022</w:t>
      </w:r>
      <w:r w:rsidR="00DB0E0F">
        <w:rPr>
          <w:rFonts w:ascii="Palatino Linotype" w:hAnsi="Palatino Linotype"/>
          <w:b/>
          <w:bCs/>
          <w:sz w:val="24"/>
          <w:szCs w:val="24"/>
        </w:rPr>
        <w:t xml:space="preserve"> </w:t>
      </w:r>
      <w:r w:rsidR="00DB0E0F">
        <w:rPr>
          <w:rFonts w:ascii="Palatino Linotype" w:hAnsi="Palatino Linotype"/>
          <w:sz w:val="24"/>
          <w:szCs w:val="24"/>
        </w:rPr>
        <w:t xml:space="preserve">fue formulado </w:t>
      </w:r>
      <w:r w:rsidR="00B6662B">
        <w:rPr>
          <w:rFonts w:ascii="Palatino Linotype" w:hAnsi="Palatino Linotype"/>
          <w:sz w:val="24"/>
          <w:szCs w:val="24"/>
        </w:rPr>
        <w:t xml:space="preserve">un requerimiento que versa en conocer la siguiente </w:t>
      </w:r>
      <w:r w:rsidR="0066790A">
        <w:rPr>
          <w:rFonts w:ascii="Palatino Linotype" w:hAnsi="Palatino Linotype"/>
          <w:sz w:val="24"/>
          <w:szCs w:val="24"/>
        </w:rPr>
        <w:t>información</w:t>
      </w:r>
      <w:r w:rsidR="00794D64">
        <w:rPr>
          <w:rFonts w:ascii="Palatino Linotype" w:hAnsi="Palatino Linotype"/>
          <w:sz w:val="24"/>
          <w:szCs w:val="24"/>
        </w:rPr>
        <w:t xml:space="preserve">: </w:t>
      </w:r>
    </w:p>
    <w:p w14:paraId="4D72EF73" w14:textId="7D5CB7C4" w:rsidR="00A755B3" w:rsidRPr="0066790A" w:rsidRDefault="0066790A" w:rsidP="0066790A">
      <w:pPr>
        <w:pStyle w:val="Citas"/>
        <w:rPr>
          <w:b/>
          <w:bCs/>
          <w:sz w:val="24"/>
          <w:szCs w:val="24"/>
        </w:rPr>
      </w:pPr>
      <w:r>
        <w:t xml:space="preserve">“solicito se informe el destino comprobado de los gastos que fueron aprobados el año pasado para el festejo del bicentenario del municipio, pues debido a la pandemia no se llevó a cabo, por lo que solicito el destino de ese dinero.” </w:t>
      </w:r>
      <w:r>
        <w:rPr>
          <w:b/>
          <w:bCs/>
        </w:rPr>
        <w:t>[Sic]</w:t>
      </w:r>
    </w:p>
    <w:p w14:paraId="325B69A8" w14:textId="3FB625E4" w:rsidR="00F448AA" w:rsidRDefault="00F448AA" w:rsidP="00F448AA">
      <w:pPr>
        <w:pStyle w:val="Citas"/>
        <w:ind w:left="0" w:right="0"/>
        <w:rPr>
          <w:i w:val="0"/>
          <w:sz w:val="24"/>
          <w:szCs w:val="24"/>
        </w:rPr>
      </w:pPr>
      <w:r>
        <w:rPr>
          <w:i w:val="0"/>
          <w:sz w:val="24"/>
          <w:szCs w:val="24"/>
        </w:rPr>
        <w:lastRenderedPageBreak/>
        <w:t xml:space="preserve">De forma complementaria, con relación </w:t>
      </w:r>
      <w:r w:rsidR="00DA67AA">
        <w:rPr>
          <w:i w:val="0"/>
          <w:sz w:val="24"/>
          <w:szCs w:val="24"/>
        </w:rPr>
        <w:t>al requerimiento formulado</w:t>
      </w:r>
      <w:r>
        <w:rPr>
          <w:i w:val="0"/>
          <w:sz w:val="24"/>
          <w:szCs w:val="24"/>
        </w:rPr>
        <w:t xml:space="preserve"> por el particular, resulta oportuno traer a colación las siguientes imágenes ilustrativas,  correspondiente al organigrama del </w:t>
      </w:r>
      <w:r>
        <w:rPr>
          <w:b/>
          <w:i w:val="0"/>
          <w:sz w:val="24"/>
          <w:szCs w:val="24"/>
        </w:rPr>
        <w:t xml:space="preserve">Sujeto Obligado, </w:t>
      </w:r>
      <w:r>
        <w:rPr>
          <w:i w:val="0"/>
          <w:sz w:val="24"/>
          <w:szCs w:val="24"/>
        </w:rPr>
        <w:t>susceptible de ser consultado en la siguiente dirección electrónica:</w:t>
      </w:r>
      <w:r w:rsidR="00B85673">
        <w:rPr>
          <w:i w:val="0"/>
          <w:sz w:val="24"/>
          <w:szCs w:val="24"/>
        </w:rPr>
        <w:t xml:space="preserve"> </w:t>
      </w:r>
    </w:p>
    <w:p w14:paraId="7BF04619" w14:textId="59C05A86" w:rsidR="00101CE5" w:rsidRDefault="00B85673" w:rsidP="00A755B3">
      <w:pPr>
        <w:spacing w:before="240" w:line="360" w:lineRule="auto"/>
        <w:ind w:right="72"/>
        <w:jc w:val="both"/>
        <w:rPr>
          <w:rFonts w:ascii="Palatino Linotype" w:hAnsi="Palatino Linotype" w:cs="Arial"/>
          <w:sz w:val="24"/>
          <w:szCs w:val="24"/>
        </w:rPr>
      </w:pPr>
      <w:r>
        <w:rPr>
          <w:b/>
          <w:noProof/>
          <w:lang w:eastAsia="es-MX"/>
        </w:rPr>
        <w:drawing>
          <wp:anchor distT="0" distB="0" distL="114300" distR="114300" simplePos="0" relativeHeight="251677694" behindDoc="0" locked="0" layoutInCell="1" allowOverlap="1" wp14:anchorId="189C5955" wp14:editId="2965F917">
            <wp:simplePos x="0" y="0"/>
            <wp:positionH relativeFrom="column">
              <wp:posOffset>38735</wp:posOffset>
            </wp:positionH>
            <wp:positionV relativeFrom="paragraph">
              <wp:posOffset>824230</wp:posOffset>
            </wp:positionV>
            <wp:extent cx="5760720" cy="1294765"/>
            <wp:effectExtent l="19050" t="19050" r="11430" b="19685"/>
            <wp:wrapThrough wrapText="bothSides">
              <wp:wrapPolygon edited="0">
                <wp:start x="-71" y="-318"/>
                <wp:lineTo x="-71" y="21611"/>
                <wp:lineTo x="21571" y="21611"/>
                <wp:lineTo x="21571" y="-318"/>
                <wp:lineTo x="-71" y="-318"/>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12947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b/>
          <w:noProof/>
          <w:lang w:eastAsia="es-MX"/>
        </w:rPr>
        <w:drawing>
          <wp:anchor distT="0" distB="0" distL="114300" distR="114300" simplePos="0" relativeHeight="251688960" behindDoc="0" locked="0" layoutInCell="1" allowOverlap="1" wp14:anchorId="3D8B3019" wp14:editId="206FC70B">
            <wp:simplePos x="0" y="0"/>
            <wp:positionH relativeFrom="column">
              <wp:posOffset>3133090</wp:posOffset>
            </wp:positionH>
            <wp:positionV relativeFrom="paragraph">
              <wp:posOffset>2393950</wp:posOffset>
            </wp:positionV>
            <wp:extent cx="2583180" cy="3541395"/>
            <wp:effectExtent l="19050" t="19050" r="26670" b="20955"/>
            <wp:wrapThrough wrapText="bothSides">
              <wp:wrapPolygon edited="0">
                <wp:start x="-159" y="-116"/>
                <wp:lineTo x="-159" y="21612"/>
                <wp:lineTo x="21664" y="21612"/>
                <wp:lineTo x="21664" y="-116"/>
                <wp:lineTo x="-159" y="-116"/>
              </wp:wrapPolygon>
            </wp:wrapThrough>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83180" cy="35413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b/>
          <w:noProof/>
          <w:lang w:eastAsia="es-MX"/>
        </w:rPr>
        <w:drawing>
          <wp:anchor distT="0" distB="0" distL="114300" distR="114300" simplePos="0" relativeHeight="251680768" behindDoc="0" locked="0" layoutInCell="1" allowOverlap="1" wp14:anchorId="6CFBE114" wp14:editId="435DA491">
            <wp:simplePos x="0" y="0"/>
            <wp:positionH relativeFrom="column">
              <wp:posOffset>170434</wp:posOffset>
            </wp:positionH>
            <wp:positionV relativeFrom="paragraph">
              <wp:posOffset>2394052</wp:posOffset>
            </wp:positionV>
            <wp:extent cx="2583180" cy="3541776"/>
            <wp:effectExtent l="19050" t="19050" r="26670" b="20955"/>
            <wp:wrapThrough wrapText="bothSides">
              <wp:wrapPolygon edited="0">
                <wp:start x="-159" y="-116"/>
                <wp:lineTo x="-159" y="21612"/>
                <wp:lineTo x="21664" y="21612"/>
                <wp:lineTo x="21664" y="-116"/>
                <wp:lineTo x="-159" y="-116"/>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83180" cy="3541776"/>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hyperlink r:id="rId11" w:history="1">
        <w:r w:rsidR="009E6985" w:rsidRPr="00850CCC">
          <w:rPr>
            <w:rStyle w:val="Hipervnculo"/>
            <w:rFonts w:ascii="Palatino Linotype" w:hAnsi="Palatino Linotype" w:cs="Arial"/>
            <w:sz w:val="24"/>
            <w:szCs w:val="24"/>
          </w:rPr>
          <w:t>https://www.ipomex.org.mx/ipo3/lgt/indice/ATIZAPANDEZARAGOZA/art_92_ii_b/3.web</w:t>
        </w:r>
      </w:hyperlink>
      <w:r w:rsidR="00301981">
        <w:rPr>
          <w:rFonts w:ascii="Palatino Linotype" w:hAnsi="Palatino Linotype" w:cs="Arial"/>
          <w:sz w:val="24"/>
          <w:szCs w:val="24"/>
        </w:rPr>
        <w:t xml:space="preserve"> </w:t>
      </w:r>
    </w:p>
    <w:p w14:paraId="2830F426" w14:textId="47E8B266" w:rsidR="00101CE5" w:rsidRDefault="008A4437" w:rsidP="00A755B3">
      <w:pPr>
        <w:spacing w:before="240" w:line="360" w:lineRule="auto"/>
        <w:ind w:right="72"/>
        <w:jc w:val="both"/>
        <w:rPr>
          <w:rFonts w:ascii="Palatino Linotype" w:hAnsi="Palatino Linotype" w:cs="Arial"/>
          <w:sz w:val="24"/>
          <w:szCs w:val="24"/>
        </w:rPr>
      </w:pPr>
      <w:r>
        <w:rPr>
          <w:rFonts w:ascii="Palatino Linotype" w:hAnsi="Palatino Linotype"/>
          <w:b/>
          <w:noProof/>
          <w:sz w:val="24"/>
          <w:szCs w:val="24"/>
          <w:lang w:eastAsia="es-MX"/>
        </w:rPr>
        <w:lastRenderedPageBreak/>
        <w:drawing>
          <wp:anchor distT="0" distB="0" distL="114300" distR="114300" simplePos="0" relativeHeight="251685888" behindDoc="0" locked="0" layoutInCell="1" allowOverlap="1" wp14:anchorId="610BBD74" wp14:editId="1B6C4C0E">
            <wp:simplePos x="0" y="0"/>
            <wp:positionH relativeFrom="column">
              <wp:posOffset>861354</wp:posOffset>
            </wp:positionH>
            <wp:positionV relativeFrom="paragraph">
              <wp:posOffset>153670</wp:posOffset>
            </wp:positionV>
            <wp:extent cx="1775460" cy="1158875"/>
            <wp:effectExtent l="19050" t="19050" r="15240" b="22225"/>
            <wp:wrapThrough wrapText="bothSides">
              <wp:wrapPolygon edited="0">
                <wp:start x="-232" y="-355"/>
                <wp:lineTo x="-232" y="21659"/>
                <wp:lineTo x="21554" y="21659"/>
                <wp:lineTo x="21554" y="-355"/>
                <wp:lineTo x="-232" y="-355"/>
              </wp:wrapPolygon>
            </wp:wrapThrough>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75460" cy="11588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b/>
          <w:noProof/>
          <w:sz w:val="24"/>
          <w:szCs w:val="24"/>
          <w:lang w:eastAsia="es-MX"/>
        </w:rPr>
        <w:drawing>
          <wp:anchor distT="0" distB="0" distL="114300" distR="114300" simplePos="0" relativeHeight="251686912" behindDoc="0" locked="0" layoutInCell="1" allowOverlap="1" wp14:anchorId="56844B3F" wp14:editId="46B12CC8">
            <wp:simplePos x="0" y="0"/>
            <wp:positionH relativeFrom="column">
              <wp:posOffset>3176661</wp:posOffset>
            </wp:positionH>
            <wp:positionV relativeFrom="paragraph">
              <wp:posOffset>153670</wp:posOffset>
            </wp:positionV>
            <wp:extent cx="1775460" cy="1158875"/>
            <wp:effectExtent l="19050" t="19050" r="15240" b="22225"/>
            <wp:wrapThrough wrapText="bothSides">
              <wp:wrapPolygon edited="0">
                <wp:start x="-232" y="-355"/>
                <wp:lineTo x="-232" y="21659"/>
                <wp:lineTo x="21554" y="21659"/>
                <wp:lineTo x="21554" y="-355"/>
                <wp:lineTo x="-232" y="-355"/>
              </wp:wrapPolygon>
            </wp:wrapThrough>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75460" cy="11588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2D2DCCB5" w14:textId="2872CB67" w:rsidR="005F4BA7" w:rsidRDefault="005F4BA7" w:rsidP="00652E67">
      <w:pPr>
        <w:pStyle w:val="Citas"/>
        <w:rPr>
          <w:b/>
        </w:rPr>
      </w:pPr>
    </w:p>
    <w:p w14:paraId="3B57C4A8" w14:textId="68E8752F" w:rsidR="00B06055" w:rsidRDefault="00B06055" w:rsidP="00652E67">
      <w:pPr>
        <w:pStyle w:val="Citas"/>
        <w:rPr>
          <w:b/>
        </w:rPr>
      </w:pPr>
    </w:p>
    <w:p w14:paraId="63C27CF6" w14:textId="2F677AAE" w:rsidR="00B06055" w:rsidRDefault="008A4437" w:rsidP="00652E67">
      <w:pPr>
        <w:pStyle w:val="Citas"/>
        <w:rPr>
          <w:b/>
        </w:rPr>
      </w:pPr>
      <w:r>
        <w:rPr>
          <w:b/>
          <w:noProof/>
          <w:sz w:val="24"/>
          <w:szCs w:val="24"/>
          <w:lang w:eastAsia="es-MX"/>
        </w:rPr>
        <w:drawing>
          <wp:anchor distT="0" distB="0" distL="114300" distR="114300" simplePos="0" relativeHeight="251689984" behindDoc="0" locked="0" layoutInCell="1" allowOverlap="1" wp14:anchorId="09240A37" wp14:editId="576E682A">
            <wp:simplePos x="0" y="0"/>
            <wp:positionH relativeFrom="column">
              <wp:posOffset>3175000</wp:posOffset>
            </wp:positionH>
            <wp:positionV relativeFrom="paragraph">
              <wp:posOffset>432435</wp:posOffset>
            </wp:positionV>
            <wp:extent cx="1776730" cy="1160145"/>
            <wp:effectExtent l="19050" t="19050" r="13970" b="20955"/>
            <wp:wrapThrough wrapText="bothSides">
              <wp:wrapPolygon edited="0">
                <wp:start x="-232" y="-355"/>
                <wp:lineTo x="-232" y="21635"/>
                <wp:lineTo x="21538" y="21635"/>
                <wp:lineTo x="21538" y="-355"/>
                <wp:lineTo x="-232" y="-355"/>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76730" cy="11601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b/>
          <w:noProof/>
          <w:sz w:val="24"/>
          <w:szCs w:val="24"/>
          <w:lang w:eastAsia="es-MX"/>
        </w:rPr>
        <w:drawing>
          <wp:anchor distT="0" distB="0" distL="114300" distR="114300" simplePos="0" relativeHeight="251687936" behindDoc="0" locked="0" layoutInCell="1" allowOverlap="1" wp14:anchorId="4E5083B1" wp14:editId="6D7D1B50">
            <wp:simplePos x="0" y="0"/>
            <wp:positionH relativeFrom="column">
              <wp:posOffset>861060</wp:posOffset>
            </wp:positionH>
            <wp:positionV relativeFrom="paragraph">
              <wp:posOffset>432680</wp:posOffset>
            </wp:positionV>
            <wp:extent cx="1775460" cy="1158875"/>
            <wp:effectExtent l="19050" t="19050" r="15240" b="22225"/>
            <wp:wrapThrough wrapText="bothSides">
              <wp:wrapPolygon edited="0">
                <wp:start x="-232" y="-355"/>
                <wp:lineTo x="-232" y="21659"/>
                <wp:lineTo x="21554" y="21659"/>
                <wp:lineTo x="21554" y="-355"/>
                <wp:lineTo x="-232" y="-355"/>
              </wp:wrapPolygon>
            </wp:wrapThrough>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75460" cy="115887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ECC290A" w14:textId="2A7396A8" w:rsidR="00B06055" w:rsidRDefault="00B06055" w:rsidP="00652E67">
      <w:pPr>
        <w:pStyle w:val="Citas"/>
        <w:rPr>
          <w:b/>
        </w:rPr>
      </w:pPr>
    </w:p>
    <w:p w14:paraId="424FE048" w14:textId="132050D1" w:rsidR="00B06055" w:rsidRDefault="00B06055" w:rsidP="00652E67">
      <w:pPr>
        <w:pStyle w:val="Citas"/>
        <w:rPr>
          <w:b/>
        </w:rPr>
      </w:pPr>
    </w:p>
    <w:p w14:paraId="1DB063B5" w14:textId="46A6848E" w:rsidR="00B06055" w:rsidRDefault="00B06055" w:rsidP="00652E67">
      <w:pPr>
        <w:pStyle w:val="Citas"/>
        <w:rPr>
          <w:b/>
        </w:rPr>
      </w:pPr>
    </w:p>
    <w:p w14:paraId="5116514F" w14:textId="09E063AA" w:rsidR="00B83146" w:rsidRDefault="00B83146" w:rsidP="003E20B4">
      <w:pPr>
        <w:spacing w:before="240" w:line="360" w:lineRule="auto"/>
        <w:jc w:val="both"/>
        <w:rPr>
          <w:rFonts w:ascii="Palatino Linotype" w:hAnsi="Palatino Linotype"/>
          <w:b/>
          <w:sz w:val="24"/>
          <w:szCs w:val="24"/>
        </w:rPr>
      </w:pPr>
    </w:p>
    <w:p w14:paraId="376E619A" w14:textId="58B4B7B9" w:rsidR="002F5BD7" w:rsidRDefault="002F5BD7" w:rsidP="002F5BD7">
      <w:pPr>
        <w:pStyle w:val="Citas"/>
        <w:ind w:left="0" w:right="0"/>
        <w:rPr>
          <w:i w:val="0"/>
          <w:sz w:val="24"/>
          <w:szCs w:val="24"/>
        </w:rPr>
      </w:pPr>
      <w:r w:rsidRPr="00E253F6">
        <w:rPr>
          <w:i w:val="0"/>
          <w:sz w:val="24"/>
          <w:szCs w:val="24"/>
        </w:rPr>
        <w:t xml:space="preserve">De lo expuesto con anterioridad, se desprende que </w:t>
      </w:r>
      <w:r w:rsidRPr="00E253F6">
        <w:rPr>
          <w:b/>
          <w:i w:val="0"/>
          <w:sz w:val="24"/>
          <w:szCs w:val="24"/>
        </w:rPr>
        <w:t xml:space="preserve">El Sujeto Obligado </w:t>
      </w:r>
      <w:r w:rsidRPr="00E253F6">
        <w:rPr>
          <w:i w:val="0"/>
          <w:sz w:val="24"/>
          <w:szCs w:val="24"/>
        </w:rPr>
        <w:t>se auxilia de diversas Direcciones, Subdirecciones, Departamentos y Unidades Administrativas para cumplir con sus fines y objetivos, resultando de nuestro más amplio interés la</w:t>
      </w:r>
      <w:r>
        <w:rPr>
          <w:i w:val="0"/>
          <w:sz w:val="24"/>
          <w:szCs w:val="24"/>
        </w:rPr>
        <w:t xml:space="preserve"> Tesorería Municipal, la Subtesorería de Egresos, </w:t>
      </w:r>
      <w:r w:rsidR="0033704D">
        <w:rPr>
          <w:i w:val="0"/>
          <w:sz w:val="24"/>
          <w:szCs w:val="24"/>
        </w:rPr>
        <w:t>el Departamento</w:t>
      </w:r>
      <w:r>
        <w:rPr>
          <w:i w:val="0"/>
          <w:sz w:val="24"/>
          <w:szCs w:val="24"/>
        </w:rPr>
        <w:t xml:space="preserve"> de Registro y Control Presupuestal</w:t>
      </w:r>
      <w:r w:rsidR="008A4437">
        <w:rPr>
          <w:i w:val="0"/>
          <w:sz w:val="24"/>
          <w:szCs w:val="24"/>
        </w:rPr>
        <w:t xml:space="preserve">, así como la Dirección de Administración y Desarrollo de Personal. </w:t>
      </w:r>
    </w:p>
    <w:p w14:paraId="0DA4C5FA" w14:textId="3CA7A633" w:rsidR="00084BAA" w:rsidRDefault="000511AB" w:rsidP="003E20B4">
      <w:pPr>
        <w:spacing w:before="240" w:line="360" w:lineRule="auto"/>
        <w:jc w:val="both"/>
        <w:rPr>
          <w:rFonts w:ascii="Palatino Linotype" w:hAnsi="Palatino Linotype"/>
          <w:sz w:val="24"/>
          <w:szCs w:val="24"/>
        </w:rPr>
      </w:pPr>
      <w:r w:rsidRPr="00B443AD">
        <w:rPr>
          <w:rFonts w:ascii="Palatino Linotype" w:hAnsi="Palatino Linotype"/>
          <w:iCs/>
          <w:sz w:val="24"/>
          <w:szCs w:val="24"/>
        </w:rPr>
        <w:t xml:space="preserve">En virtud de lo anterior, para delimitar las fronteras conceptuales de las unidades administrativas en cita, </w:t>
      </w:r>
      <w:r w:rsidRPr="00B443AD">
        <w:rPr>
          <w:rFonts w:ascii="Palatino Linotype" w:hAnsi="Palatino Linotype"/>
          <w:sz w:val="24"/>
          <w:szCs w:val="24"/>
        </w:rPr>
        <w:t xml:space="preserve">se traen a colación </w:t>
      </w:r>
      <w:r w:rsidR="00084BAA">
        <w:rPr>
          <w:rFonts w:ascii="Palatino Linotype" w:hAnsi="Palatino Linotype"/>
          <w:sz w:val="24"/>
          <w:szCs w:val="24"/>
        </w:rPr>
        <w:t xml:space="preserve">el capítulo X, apartados </w:t>
      </w:r>
      <w:r w:rsidR="0033704D">
        <w:rPr>
          <w:rFonts w:ascii="Palatino Linotype" w:hAnsi="Palatino Linotype"/>
          <w:sz w:val="24"/>
          <w:szCs w:val="24"/>
        </w:rPr>
        <w:t xml:space="preserve">I, III y III.III del </w:t>
      </w:r>
      <w:r w:rsidR="0002163D">
        <w:rPr>
          <w:rFonts w:ascii="Palatino Linotype" w:hAnsi="Palatino Linotype"/>
          <w:sz w:val="24"/>
          <w:szCs w:val="24"/>
        </w:rPr>
        <w:t xml:space="preserve">Manual de Organización y </w:t>
      </w:r>
      <w:r w:rsidR="00366665">
        <w:rPr>
          <w:rFonts w:ascii="Palatino Linotype" w:hAnsi="Palatino Linotype"/>
          <w:sz w:val="24"/>
          <w:szCs w:val="24"/>
        </w:rPr>
        <w:t>de Procedimientos de la Tesorería Municipal</w:t>
      </w:r>
      <w:r w:rsidR="00084BAA">
        <w:rPr>
          <w:rFonts w:ascii="Palatino Linotype" w:hAnsi="Palatino Linotype"/>
          <w:sz w:val="24"/>
          <w:szCs w:val="24"/>
        </w:rPr>
        <w:t>; así como el capítulo X, apartado I del Manual del Manual de Organización y de Procedimientos de la Dirección de Administración y Desarrollo de Personal, porciones normativas que disponen a la literalidad lo siguiente:</w:t>
      </w:r>
    </w:p>
    <w:p w14:paraId="047FED28" w14:textId="54F23256" w:rsidR="008A4437" w:rsidRPr="008A4437" w:rsidRDefault="008A4437" w:rsidP="00DA67AA">
      <w:pPr>
        <w:pStyle w:val="Citas"/>
        <w:rPr>
          <w:b/>
          <w:bCs/>
        </w:rPr>
      </w:pPr>
      <w:r w:rsidRPr="008A4437">
        <w:rPr>
          <w:b/>
          <w:bCs/>
          <w:sz w:val="24"/>
          <w:szCs w:val="24"/>
        </w:rPr>
        <w:lastRenderedPageBreak/>
        <w:t>MANUAL DE ORGANIZACIÓN Y DE PROCEDIMIENTOS DE LA TESORERÍA MUNICIPAL</w:t>
      </w:r>
      <w:r w:rsidR="00787954">
        <w:rPr>
          <w:b/>
          <w:bCs/>
          <w:sz w:val="24"/>
          <w:szCs w:val="24"/>
        </w:rPr>
        <w:t xml:space="preserve"> </w:t>
      </w:r>
    </w:p>
    <w:p w14:paraId="19471B52" w14:textId="5EA53F72" w:rsidR="00B83146" w:rsidRPr="009B4429" w:rsidRDefault="00366665" w:rsidP="00023442">
      <w:pPr>
        <w:pStyle w:val="Citas"/>
        <w:rPr>
          <w:b/>
          <w:bCs/>
        </w:rPr>
      </w:pPr>
      <w:r>
        <w:rPr>
          <w:b/>
          <w:bCs/>
        </w:rPr>
        <w:t>“</w:t>
      </w:r>
      <w:r w:rsidR="00023442" w:rsidRPr="009B4429">
        <w:rPr>
          <w:b/>
          <w:bCs/>
        </w:rPr>
        <w:t>X. OBJETIVO Y FUNCIONES POR UNIDAD ADMINISTRATIVA</w:t>
      </w:r>
    </w:p>
    <w:p w14:paraId="32445A4D" w14:textId="4B58D085" w:rsidR="00023442" w:rsidRPr="009B4429" w:rsidRDefault="00023442" w:rsidP="00023442">
      <w:pPr>
        <w:pStyle w:val="Citas"/>
        <w:rPr>
          <w:b/>
          <w:bCs/>
        </w:rPr>
      </w:pPr>
      <w:r w:rsidRPr="009B4429">
        <w:rPr>
          <w:b/>
          <w:bCs/>
        </w:rPr>
        <w:t>I. Tesorería Municipal</w:t>
      </w:r>
    </w:p>
    <w:p w14:paraId="398EE5D5" w14:textId="461D5091" w:rsidR="00023442" w:rsidRPr="009B4429" w:rsidRDefault="00023442" w:rsidP="00023442">
      <w:pPr>
        <w:pStyle w:val="Citas"/>
        <w:rPr>
          <w:b/>
          <w:bCs/>
        </w:rPr>
      </w:pPr>
      <w:r w:rsidRPr="009B4429">
        <w:rPr>
          <w:b/>
          <w:bCs/>
        </w:rPr>
        <w:t>a) Objetivo</w:t>
      </w:r>
      <w:r w:rsidR="00FD4474" w:rsidRPr="009B4429">
        <w:rPr>
          <w:b/>
          <w:bCs/>
        </w:rPr>
        <w:t>:</w:t>
      </w:r>
    </w:p>
    <w:p w14:paraId="7996CF4E" w14:textId="58D13BE8" w:rsidR="00FD4474" w:rsidRDefault="00FD4474" w:rsidP="00023442">
      <w:pPr>
        <w:pStyle w:val="Citas"/>
      </w:pPr>
      <w:r>
        <w:t xml:space="preserve">Dirigir y coordinar los procesos de la actividad financiera que contribuyen a la integración de la hacienda </w:t>
      </w:r>
      <w:r w:rsidR="003C4C62" w:rsidRPr="003C4C62">
        <w:t>pública</w:t>
      </w:r>
      <w:r>
        <w:t xml:space="preserve"> municipal </w:t>
      </w:r>
      <w:r w:rsidR="00977E05">
        <w:t xml:space="preserve">de acuerdo con la legislación aplicable vigente, mediante la instrumentación de la política tributaria </w:t>
      </w:r>
      <w:r w:rsidR="0047088E">
        <w:t>y de gasto municipal, propiciando la satisfacción de los objetivos, funciones y atribuciones de la Administración P</w:t>
      </w:r>
      <w:r w:rsidR="0047088E" w:rsidRPr="0047088E">
        <w:t>ública</w:t>
      </w:r>
      <w:r w:rsidR="0047088E">
        <w:t xml:space="preserve"> Municipal</w:t>
      </w:r>
      <w:r w:rsidR="00C45C58">
        <w:t>.</w:t>
      </w:r>
    </w:p>
    <w:p w14:paraId="458E7C9C" w14:textId="4B8AD1DF" w:rsidR="00C45C58" w:rsidRPr="009B4429" w:rsidRDefault="00C45C58" w:rsidP="00023442">
      <w:pPr>
        <w:pStyle w:val="Citas"/>
        <w:rPr>
          <w:b/>
          <w:bCs/>
        </w:rPr>
      </w:pPr>
      <w:r w:rsidRPr="009B4429">
        <w:rPr>
          <w:b/>
          <w:bCs/>
        </w:rPr>
        <w:t>b) Funciones:</w:t>
      </w:r>
    </w:p>
    <w:p w14:paraId="165EF2DA" w14:textId="521090A2" w:rsidR="00C45C58" w:rsidRDefault="00C45C58" w:rsidP="00023442">
      <w:pPr>
        <w:pStyle w:val="Citas"/>
      </w:pPr>
      <w:r>
        <w:t>(…)</w:t>
      </w:r>
    </w:p>
    <w:p w14:paraId="13A6A89F" w14:textId="5ABD1F85" w:rsidR="00C45C58" w:rsidRDefault="007E1DE4" w:rsidP="00023442">
      <w:pPr>
        <w:pStyle w:val="Citas"/>
      </w:pPr>
      <w:r>
        <w:t xml:space="preserve">I. Administrar y controlar la hacienda </w:t>
      </w:r>
      <w:r w:rsidRPr="007E1DE4">
        <w:t>pública</w:t>
      </w:r>
      <w:r>
        <w:t xml:space="preserve"> municipal, de conformidad con las disposiciones </w:t>
      </w:r>
      <w:r w:rsidR="002B3AF1">
        <w:t>legales aplicables.</w:t>
      </w:r>
    </w:p>
    <w:p w14:paraId="573EDED6" w14:textId="1FF06491" w:rsidR="002B3AF1" w:rsidRDefault="002B3AF1" w:rsidP="00023442">
      <w:pPr>
        <w:pStyle w:val="Citas"/>
      </w:pPr>
      <w:r>
        <w:t>(…)</w:t>
      </w:r>
    </w:p>
    <w:p w14:paraId="0F16B253" w14:textId="61B3DA86" w:rsidR="002B3AF1" w:rsidRDefault="001416FE" w:rsidP="00023442">
      <w:pPr>
        <w:pStyle w:val="Citas"/>
        <w:rPr>
          <w:b/>
          <w:bCs/>
          <w:u w:val="single"/>
        </w:rPr>
      </w:pPr>
      <w:r w:rsidRPr="003A19E1">
        <w:rPr>
          <w:b/>
          <w:bCs/>
          <w:u w:val="single"/>
        </w:rPr>
        <w:t xml:space="preserve">IV. Asegurar </w:t>
      </w:r>
      <w:r w:rsidR="00C55C14" w:rsidRPr="003A19E1">
        <w:rPr>
          <w:b/>
          <w:bCs/>
          <w:u w:val="single"/>
        </w:rPr>
        <w:t xml:space="preserve">el cumplimiento de los techos y calendarios presupuestarios aprobados; y autorizar las solicitudes de ampliaciones </w:t>
      </w:r>
      <w:r w:rsidR="00A708F1" w:rsidRPr="003A19E1">
        <w:rPr>
          <w:b/>
          <w:bCs/>
          <w:u w:val="single"/>
        </w:rPr>
        <w:t>y reducciones l</w:t>
      </w:r>
      <w:r w:rsidR="00017F8D" w:rsidRPr="003A19E1">
        <w:rPr>
          <w:b/>
          <w:bCs/>
          <w:u w:val="single"/>
        </w:rPr>
        <w:t>í</w:t>
      </w:r>
      <w:r w:rsidR="00A708F1" w:rsidRPr="003A19E1">
        <w:rPr>
          <w:b/>
          <w:bCs/>
          <w:u w:val="single"/>
        </w:rPr>
        <w:t>quidas</w:t>
      </w:r>
      <w:r w:rsidR="009D42F9" w:rsidRPr="003A19E1">
        <w:rPr>
          <w:b/>
          <w:bCs/>
          <w:u w:val="single"/>
        </w:rPr>
        <w:t>, liberaciones, retenciones, reca</w:t>
      </w:r>
      <w:r w:rsidR="002D6159" w:rsidRPr="003A19E1">
        <w:rPr>
          <w:b/>
          <w:bCs/>
          <w:u w:val="single"/>
        </w:rPr>
        <w:t>lendarizaciones y traspasos presupuestarios (reconducciones) de las dependencias ejecutoras del gasto, previa justificaci</w:t>
      </w:r>
      <w:r w:rsidR="00025F8F" w:rsidRPr="003A19E1">
        <w:rPr>
          <w:b/>
          <w:bCs/>
          <w:u w:val="single"/>
        </w:rPr>
        <w:t>ón y validación de la UIPPE, de acuerdo a la disponibilidad financiera, en t</w:t>
      </w:r>
      <w:r w:rsidR="003A19E1" w:rsidRPr="003A19E1">
        <w:rPr>
          <w:b/>
          <w:bCs/>
          <w:u w:val="single"/>
        </w:rPr>
        <w:t>érminos de la normatividad aplicable;</w:t>
      </w:r>
    </w:p>
    <w:p w14:paraId="2C6DDB53" w14:textId="12B084A6" w:rsidR="003A19E1" w:rsidRDefault="00FE015B" w:rsidP="00023442">
      <w:pPr>
        <w:pStyle w:val="Citas"/>
      </w:pPr>
      <w:r>
        <w:lastRenderedPageBreak/>
        <w:t>V. Coordinar la aplicación de normas y políticas sobre sistemas de contabilidad gubernamental, responsabilidad hacendaria y disciplina financiera</w:t>
      </w:r>
      <w:r w:rsidR="0092563B">
        <w:t xml:space="preserve"> en los registros de las operaciones de la actividad financiera, establecidas en la Ley General de Contabilidad Gubernamental, el Consejo Nacional de Armonización Contable (CONAC)</w:t>
      </w:r>
      <w:r w:rsidR="00941FE3">
        <w:t xml:space="preserve"> y la Ley de Disciplina Financiera para las entidades federativas y municipios;</w:t>
      </w:r>
    </w:p>
    <w:p w14:paraId="056F982D" w14:textId="28B9DD5E" w:rsidR="00941FE3" w:rsidRDefault="005863B4" w:rsidP="00023442">
      <w:pPr>
        <w:pStyle w:val="Citas"/>
      </w:pPr>
      <w:r>
        <w:t xml:space="preserve">VI. Coordinar la integración de </w:t>
      </w:r>
      <w:r w:rsidR="00195824">
        <w:t>los informes mensuales y anuales de la cuenta pública del Municipio de cada ejercicio fiscal, en coordinación con las dependencias y entidades</w:t>
      </w:r>
      <w:r w:rsidR="00FB7602">
        <w:t xml:space="preserve"> corresponsables de la Administración Pública, para su presentación al Órgano </w:t>
      </w:r>
      <w:r w:rsidR="000D0916">
        <w:t xml:space="preserve">Superior de Fiscalización del Estado de México; previa revisión y, en su caso, </w:t>
      </w:r>
      <w:r w:rsidR="002C2ED7">
        <w:t>ajustes derivado de la formulación de observaciones realizadas por el Síndico;</w:t>
      </w:r>
    </w:p>
    <w:p w14:paraId="08C0D142" w14:textId="79579273" w:rsidR="002C2ED7" w:rsidRDefault="00734B6E" w:rsidP="00734B6E">
      <w:pPr>
        <w:pStyle w:val="Citas"/>
      </w:pPr>
      <w:r>
        <w:t>(…)</w:t>
      </w:r>
    </w:p>
    <w:p w14:paraId="4C05A54F" w14:textId="1186C998" w:rsidR="00734B6E" w:rsidRPr="00F63F11" w:rsidRDefault="00734B6E" w:rsidP="00734B6E">
      <w:pPr>
        <w:pStyle w:val="Citas"/>
        <w:rPr>
          <w:b/>
          <w:bCs/>
        </w:rPr>
      </w:pPr>
      <w:r w:rsidRPr="00F63F11">
        <w:rPr>
          <w:b/>
          <w:bCs/>
        </w:rPr>
        <w:t>III. Subtesorer</w:t>
      </w:r>
      <w:r w:rsidR="00E57466" w:rsidRPr="00F63F11">
        <w:rPr>
          <w:b/>
          <w:bCs/>
        </w:rPr>
        <w:t>ía de Egresos</w:t>
      </w:r>
    </w:p>
    <w:p w14:paraId="77FAF15A" w14:textId="1EA2D201" w:rsidR="00E57466" w:rsidRPr="009B4429" w:rsidRDefault="00E57466" w:rsidP="00E57466">
      <w:pPr>
        <w:pStyle w:val="Citas"/>
        <w:numPr>
          <w:ilvl w:val="0"/>
          <w:numId w:val="18"/>
        </w:numPr>
        <w:rPr>
          <w:b/>
          <w:bCs/>
        </w:rPr>
      </w:pPr>
      <w:r w:rsidRPr="009B4429">
        <w:rPr>
          <w:b/>
          <w:bCs/>
        </w:rPr>
        <w:t>Objetivo</w:t>
      </w:r>
    </w:p>
    <w:p w14:paraId="4CF686D7" w14:textId="2C6B345F" w:rsidR="00E57466" w:rsidRDefault="00E57466" w:rsidP="00E57466">
      <w:pPr>
        <w:pStyle w:val="Citas"/>
      </w:pPr>
      <w:r>
        <w:t xml:space="preserve">Dirigir, </w:t>
      </w:r>
      <w:r w:rsidR="00D8307E">
        <w:t>coordinar y supervisar las acciones de planeación, presupuestación, ejercicio, registro y transparencia</w:t>
      </w:r>
      <w:r w:rsidR="00E47568">
        <w:t xml:space="preserve"> de las operaciones presupuestales, contables y financieras, en apego a las disposiciones en materia de responsabilidad hacendaria, disciplina financiera y contabilidad gubernamental.</w:t>
      </w:r>
    </w:p>
    <w:p w14:paraId="46AECF71" w14:textId="54E35FD3" w:rsidR="00E47568" w:rsidRPr="009B4429" w:rsidRDefault="00E47568" w:rsidP="00E47568">
      <w:pPr>
        <w:pStyle w:val="Citas"/>
        <w:numPr>
          <w:ilvl w:val="0"/>
          <w:numId w:val="18"/>
        </w:numPr>
        <w:rPr>
          <w:b/>
          <w:bCs/>
        </w:rPr>
      </w:pPr>
      <w:r w:rsidRPr="009B4429">
        <w:rPr>
          <w:b/>
          <w:bCs/>
        </w:rPr>
        <w:t>Funciones:</w:t>
      </w:r>
    </w:p>
    <w:p w14:paraId="77B76E57" w14:textId="0D745671" w:rsidR="00E47568" w:rsidRDefault="00C861F5" w:rsidP="00E47568">
      <w:pPr>
        <w:pStyle w:val="Citas"/>
      </w:pPr>
      <w:r>
        <w:t xml:space="preserve">IV. Supervisar </w:t>
      </w:r>
      <w:r w:rsidR="00BC4CC5">
        <w:t>el cumplimiento de los techos y calendarios presupuestarios aprobados; y validar para autorización del Tesorero</w:t>
      </w:r>
      <w:r w:rsidR="008A08B6">
        <w:t xml:space="preserve"> las solicitudes de ampliaciones y reducciones liquidas, liberaciones, retenciones, recalendarizaciones</w:t>
      </w:r>
      <w:r w:rsidR="00286C41">
        <w:t xml:space="preserve"> y traspasos </w:t>
      </w:r>
      <w:r w:rsidR="00286C41">
        <w:lastRenderedPageBreak/>
        <w:t>presupuestarios (reconducciones) de las dependencias ejecutoras del gasto, previa justificación</w:t>
      </w:r>
      <w:r w:rsidR="00BD2C39">
        <w:t xml:space="preserve"> y validación de la UIPPE, de acuerdo a la disponibilidad financiera, en términos de la normatividad aplicable;</w:t>
      </w:r>
    </w:p>
    <w:p w14:paraId="7A7B590E" w14:textId="6ABCD8D1" w:rsidR="00BD2C39" w:rsidRDefault="00723454" w:rsidP="00E47568">
      <w:pPr>
        <w:pStyle w:val="Citas"/>
      </w:pPr>
      <w:r>
        <w:t xml:space="preserve">V. Supervisar que la documentación contable y presupuestal </w:t>
      </w:r>
      <w:r w:rsidR="00FC103E">
        <w:t xml:space="preserve">relativa a los ingresos, egresos y patrimonio, se encuentre debidamente integrada de acuerdo con las políticas y lineamientos </w:t>
      </w:r>
      <w:r w:rsidR="000B2A2F">
        <w:t>en materia de control contable y presupuestal prevista en la normatividad aplicable</w:t>
      </w:r>
    </w:p>
    <w:p w14:paraId="6E5D9D02" w14:textId="55F25FA6" w:rsidR="00F87CD3" w:rsidRDefault="00F87CD3" w:rsidP="00E47568">
      <w:pPr>
        <w:pStyle w:val="Citas"/>
      </w:pPr>
      <w:r>
        <w:t>(…)</w:t>
      </w:r>
    </w:p>
    <w:p w14:paraId="5F061846" w14:textId="06CE8877" w:rsidR="00F87CD3" w:rsidRPr="009B4429" w:rsidRDefault="00F87CD3" w:rsidP="00E47568">
      <w:pPr>
        <w:pStyle w:val="Citas"/>
        <w:rPr>
          <w:b/>
          <w:bCs/>
        </w:rPr>
      </w:pPr>
      <w:r w:rsidRPr="009B4429">
        <w:rPr>
          <w:b/>
          <w:bCs/>
        </w:rPr>
        <w:t xml:space="preserve">III.III. </w:t>
      </w:r>
      <w:r w:rsidR="00746D2D" w:rsidRPr="009B4429">
        <w:rPr>
          <w:b/>
          <w:bCs/>
        </w:rPr>
        <w:t xml:space="preserve">Departamento de Registro y Control Presupuestal </w:t>
      </w:r>
    </w:p>
    <w:p w14:paraId="4653D4B2" w14:textId="7DF165CE" w:rsidR="00746D2D" w:rsidRPr="009B4429" w:rsidRDefault="00746D2D" w:rsidP="00746D2D">
      <w:pPr>
        <w:pStyle w:val="Citas"/>
        <w:numPr>
          <w:ilvl w:val="0"/>
          <w:numId w:val="19"/>
        </w:numPr>
        <w:rPr>
          <w:b/>
          <w:bCs/>
        </w:rPr>
      </w:pPr>
      <w:r w:rsidRPr="009B4429">
        <w:rPr>
          <w:b/>
          <w:bCs/>
        </w:rPr>
        <w:t>Objetivo:</w:t>
      </w:r>
    </w:p>
    <w:p w14:paraId="4702DA40" w14:textId="2956D9EF" w:rsidR="00746D2D" w:rsidRDefault="00746D2D" w:rsidP="00746D2D">
      <w:pPr>
        <w:pStyle w:val="Citas"/>
      </w:pPr>
      <w:r>
        <w:t xml:space="preserve">Integrar el anteproyecto, proyecto y presupuesto de ingresos </w:t>
      </w:r>
      <w:r w:rsidR="00F92490">
        <w:t xml:space="preserve">y egresos en su fase financiera, así como, dar seguimiento y controlar el </w:t>
      </w:r>
      <w:r w:rsidR="004863BE">
        <w:t xml:space="preserve">ejercicio del presupuesto de cada dependencia ejecutora del gasto de acuerdo con sus techos y calendarios presupuestarios </w:t>
      </w:r>
      <w:r w:rsidR="009642BE">
        <w:t xml:space="preserve">autorizados de cada ejercicio fiscal. </w:t>
      </w:r>
    </w:p>
    <w:p w14:paraId="2D8CC46B" w14:textId="44B1961C" w:rsidR="009642BE" w:rsidRPr="009B4429" w:rsidRDefault="009642BE" w:rsidP="009642BE">
      <w:pPr>
        <w:pStyle w:val="Citas"/>
        <w:numPr>
          <w:ilvl w:val="0"/>
          <w:numId w:val="19"/>
        </w:numPr>
        <w:rPr>
          <w:b/>
          <w:bCs/>
        </w:rPr>
      </w:pPr>
      <w:r w:rsidRPr="009B4429">
        <w:rPr>
          <w:b/>
          <w:bCs/>
        </w:rPr>
        <w:t>Funciones:</w:t>
      </w:r>
    </w:p>
    <w:p w14:paraId="6BFFD499" w14:textId="002CB343" w:rsidR="009642BE" w:rsidRDefault="001F3385" w:rsidP="009642BE">
      <w:pPr>
        <w:pStyle w:val="Citas"/>
      </w:pPr>
      <w:r>
        <w:t>(…)</w:t>
      </w:r>
    </w:p>
    <w:p w14:paraId="7FCE1959" w14:textId="6D460BC5" w:rsidR="001F3385" w:rsidRDefault="001F3385" w:rsidP="009642BE">
      <w:pPr>
        <w:pStyle w:val="Citas"/>
      </w:pPr>
      <w:r>
        <w:t xml:space="preserve">III. Brindar asistencia técnica </w:t>
      </w:r>
      <w:r w:rsidR="00401F9A">
        <w:t xml:space="preserve">de manera oportuna a las dependencias que integran la Administración Pública Municipal para la formulación de su presupuesto de egresos </w:t>
      </w:r>
      <w:r w:rsidR="006766EB">
        <w:t>en base a los techos presupuestarios autorizados.</w:t>
      </w:r>
    </w:p>
    <w:p w14:paraId="7F981566" w14:textId="01D3CE9F" w:rsidR="006766EB" w:rsidRDefault="00F5390F" w:rsidP="009642BE">
      <w:pPr>
        <w:pStyle w:val="Citas"/>
      </w:pPr>
      <w:r>
        <w:t>(…)</w:t>
      </w:r>
    </w:p>
    <w:p w14:paraId="63D33E51" w14:textId="4E1154A3" w:rsidR="00F5390F" w:rsidRPr="0097038E" w:rsidRDefault="00F5390F" w:rsidP="009642BE">
      <w:pPr>
        <w:pStyle w:val="Citas"/>
        <w:rPr>
          <w:b/>
          <w:bCs/>
          <w:u w:val="single"/>
        </w:rPr>
      </w:pPr>
      <w:r w:rsidRPr="0097038E">
        <w:rPr>
          <w:b/>
          <w:bCs/>
          <w:u w:val="single"/>
        </w:rPr>
        <w:lastRenderedPageBreak/>
        <w:t>VIII. Recibir, analizar y presentar</w:t>
      </w:r>
      <w:r w:rsidR="00712AFE" w:rsidRPr="0097038E">
        <w:rPr>
          <w:b/>
          <w:bCs/>
          <w:u w:val="single"/>
        </w:rPr>
        <w:t>, para su aprobación del Tesorero y su Superior Jerárquico, las modificaciones presupuestarias presentadas</w:t>
      </w:r>
      <w:r w:rsidR="00484134" w:rsidRPr="0097038E">
        <w:rPr>
          <w:b/>
          <w:bCs/>
          <w:u w:val="single"/>
        </w:rPr>
        <w:t xml:space="preserve"> por las dependencias ejecutoras del gasto;</w:t>
      </w:r>
    </w:p>
    <w:p w14:paraId="340B21B8" w14:textId="069FC327" w:rsidR="009B4429" w:rsidRDefault="009B4429" w:rsidP="009642BE">
      <w:pPr>
        <w:pStyle w:val="Citas"/>
        <w:rPr>
          <w:b/>
          <w:bCs/>
        </w:rPr>
      </w:pPr>
      <w:r>
        <w:t>(…)</w:t>
      </w:r>
      <w:r w:rsidR="00896DB2">
        <w:t xml:space="preserve">” </w:t>
      </w:r>
      <w:r w:rsidR="00896DB2">
        <w:rPr>
          <w:b/>
          <w:bCs/>
        </w:rPr>
        <w:t>{Sic}</w:t>
      </w:r>
    </w:p>
    <w:p w14:paraId="3A0E73BA" w14:textId="77777777" w:rsidR="00084BAA" w:rsidRPr="00896DB2" w:rsidRDefault="00084BAA" w:rsidP="009642BE">
      <w:pPr>
        <w:pStyle w:val="Citas"/>
        <w:rPr>
          <w:b/>
          <w:bCs/>
        </w:rPr>
      </w:pPr>
    </w:p>
    <w:p w14:paraId="66F62A8D" w14:textId="6AD50BC5" w:rsidR="00084BAA" w:rsidRPr="008A4437" w:rsidRDefault="00084BAA" w:rsidP="00DA67AA">
      <w:pPr>
        <w:pStyle w:val="Citas"/>
        <w:rPr>
          <w:b/>
          <w:bCs/>
        </w:rPr>
      </w:pPr>
      <w:r w:rsidRPr="008A4437">
        <w:rPr>
          <w:b/>
          <w:bCs/>
          <w:sz w:val="24"/>
          <w:szCs w:val="24"/>
        </w:rPr>
        <w:t xml:space="preserve">MANUAL DE ORGANIZACIÓN Y DE PROCEDIMIENTOS DE LA </w:t>
      </w:r>
      <w:r>
        <w:rPr>
          <w:b/>
          <w:bCs/>
          <w:sz w:val="24"/>
          <w:szCs w:val="24"/>
        </w:rPr>
        <w:t>DIRECCIÓN DE ADMINISTRACIÓN Y DESARROLLO DE PERSONAL</w:t>
      </w:r>
    </w:p>
    <w:p w14:paraId="0CCB55A4" w14:textId="77777777" w:rsidR="00084BAA" w:rsidRPr="009B4429" w:rsidRDefault="00084BAA" w:rsidP="00084BAA">
      <w:pPr>
        <w:pStyle w:val="Citas"/>
        <w:rPr>
          <w:b/>
          <w:bCs/>
        </w:rPr>
      </w:pPr>
      <w:r>
        <w:rPr>
          <w:b/>
          <w:bCs/>
        </w:rPr>
        <w:t>“</w:t>
      </w:r>
      <w:r w:rsidRPr="009B4429">
        <w:rPr>
          <w:b/>
          <w:bCs/>
        </w:rPr>
        <w:t>X. OBJETIVO Y FUNCIONES POR UNIDAD ADMINISTRATIVA</w:t>
      </w:r>
    </w:p>
    <w:p w14:paraId="6FA13610" w14:textId="0FD0DA82" w:rsidR="00084BAA" w:rsidRPr="009B4429" w:rsidRDefault="00084BAA" w:rsidP="00084BAA">
      <w:pPr>
        <w:pStyle w:val="Citas"/>
        <w:rPr>
          <w:b/>
          <w:bCs/>
        </w:rPr>
      </w:pPr>
      <w:r w:rsidRPr="009B4429">
        <w:rPr>
          <w:b/>
          <w:bCs/>
        </w:rPr>
        <w:t xml:space="preserve">I. </w:t>
      </w:r>
      <w:r w:rsidR="0016699E">
        <w:rPr>
          <w:b/>
          <w:bCs/>
        </w:rPr>
        <w:t>Dirección de Administración y Desarrollo de Personal</w:t>
      </w:r>
    </w:p>
    <w:p w14:paraId="16A3FA94" w14:textId="29C97087" w:rsidR="00084BAA" w:rsidRDefault="00084BAA" w:rsidP="00084BAA">
      <w:pPr>
        <w:pStyle w:val="Citas"/>
        <w:rPr>
          <w:b/>
          <w:bCs/>
        </w:rPr>
      </w:pPr>
      <w:r w:rsidRPr="009B4429">
        <w:rPr>
          <w:b/>
          <w:bCs/>
        </w:rPr>
        <w:t>a) Objetivo:</w:t>
      </w:r>
    </w:p>
    <w:p w14:paraId="2FEEAE2E" w14:textId="44EAC452" w:rsidR="0016699E" w:rsidRPr="0016699E" w:rsidRDefault="0016699E" w:rsidP="00084BAA">
      <w:pPr>
        <w:pStyle w:val="Citas"/>
      </w:pPr>
      <w:r>
        <w:t>Planear y administrar los recursos humanos, materiales, informáticos y servicios de la administración pública municipal a fin de contribuir en el buen funcionamiento de la administración.</w:t>
      </w:r>
    </w:p>
    <w:p w14:paraId="0259CB60" w14:textId="7D7A4CC3" w:rsidR="0016699E" w:rsidRDefault="0016699E" w:rsidP="00084BAA">
      <w:pPr>
        <w:pStyle w:val="Citas"/>
        <w:rPr>
          <w:b/>
          <w:bCs/>
        </w:rPr>
      </w:pPr>
      <w:r>
        <w:rPr>
          <w:b/>
          <w:bCs/>
        </w:rPr>
        <w:t>b) Funciones:</w:t>
      </w:r>
    </w:p>
    <w:p w14:paraId="57DFBFE9" w14:textId="311B047A" w:rsidR="0016699E" w:rsidRDefault="0016699E" w:rsidP="00084BAA">
      <w:pPr>
        <w:pStyle w:val="Citas"/>
      </w:pPr>
      <w:r>
        <w:t>(…)</w:t>
      </w:r>
    </w:p>
    <w:p w14:paraId="74879A47" w14:textId="6196C09F" w:rsidR="0016699E" w:rsidRDefault="0016699E" w:rsidP="00084BAA">
      <w:pPr>
        <w:pStyle w:val="Citas"/>
      </w:pPr>
      <w:r>
        <w:t>XIII. Elaborar y ejecutar el programa anual de adquisiciones de bienes muebles y servicios, y el de compras consolidadas.</w:t>
      </w:r>
    </w:p>
    <w:p w14:paraId="6F687F48" w14:textId="4AFB732B" w:rsidR="0016699E" w:rsidRDefault="0016699E" w:rsidP="00084BAA">
      <w:pPr>
        <w:pStyle w:val="Citas"/>
      </w:pPr>
      <w:r>
        <w:t>(…)</w:t>
      </w:r>
    </w:p>
    <w:p w14:paraId="2B7E1F59" w14:textId="68875CA9" w:rsidR="0016699E" w:rsidRDefault="0016699E" w:rsidP="00084BAA">
      <w:pPr>
        <w:pStyle w:val="Citas"/>
      </w:pPr>
      <w:r>
        <w:lastRenderedPageBreak/>
        <w:t>XV. Registrar las modificaciones para mantener actualizado el padrón de proveedores y prestadores de servicios del Comité de Adquisiciones y Servicios:</w:t>
      </w:r>
    </w:p>
    <w:p w14:paraId="2BFAA380" w14:textId="0C4F7492" w:rsidR="0016699E" w:rsidRDefault="0016699E" w:rsidP="00084BAA">
      <w:pPr>
        <w:pStyle w:val="Citas"/>
        <w:rPr>
          <w:b/>
          <w:bCs/>
          <w:u w:val="single"/>
        </w:rPr>
      </w:pPr>
      <w:r>
        <w:rPr>
          <w:b/>
          <w:bCs/>
          <w:u w:val="single"/>
        </w:rPr>
        <w:t>XVI. Elaborar y ejecutar las licitaciones públicas</w:t>
      </w:r>
      <w:r w:rsidR="008709D8">
        <w:rPr>
          <w:b/>
          <w:bCs/>
          <w:u w:val="single"/>
        </w:rPr>
        <w:t>, invitaciones restringidas y las adjudicaciones directas que se requieren para la adquisición de bienes muebles y la contratación de servicios que requieran las áreas que integran de acuerdo a los requisitos establecidos en las diversas disposiciones legales aplicables</w:t>
      </w:r>
    </w:p>
    <w:p w14:paraId="5F37B90A" w14:textId="51AAEAF1" w:rsidR="008709D8" w:rsidRPr="008709D8" w:rsidRDefault="008709D8" w:rsidP="00084BAA">
      <w:pPr>
        <w:pStyle w:val="Citas"/>
        <w:rPr>
          <w:b/>
          <w:bCs/>
        </w:rPr>
      </w:pPr>
      <w:r>
        <w:t xml:space="preserve">(…)” </w:t>
      </w:r>
      <w:r>
        <w:rPr>
          <w:b/>
          <w:bCs/>
        </w:rPr>
        <w:t>[Sic}</w:t>
      </w:r>
    </w:p>
    <w:p w14:paraId="29087582" w14:textId="4B0BBAD7" w:rsidR="00B83146" w:rsidRDefault="00B83146" w:rsidP="003E20B4">
      <w:pPr>
        <w:spacing w:before="240" w:line="360" w:lineRule="auto"/>
        <w:jc w:val="both"/>
        <w:rPr>
          <w:rFonts w:ascii="Palatino Linotype" w:hAnsi="Palatino Linotype"/>
          <w:b/>
          <w:sz w:val="24"/>
          <w:szCs w:val="24"/>
        </w:rPr>
      </w:pPr>
    </w:p>
    <w:p w14:paraId="6D2EB47B" w14:textId="1DD6BEBC" w:rsidR="00254CAC" w:rsidRPr="00AA7EDD" w:rsidRDefault="008709D8" w:rsidP="00254CAC">
      <w:pPr>
        <w:pStyle w:val="Sinespaciado"/>
        <w:spacing w:line="360" w:lineRule="auto"/>
        <w:jc w:val="both"/>
        <w:rPr>
          <w:rFonts w:ascii="Palatino Linotype" w:hAnsi="Palatino Linotype"/>
        </w:rPr>
      </w:pPr>
      <w:r>
        <w:rPr>
          <w:rFonts w:ascii="Palatino Linotype" w:hAnsi="Palatino Linotype"/>
        </w:rPr>
        <w:t xml:space="preserve">De ahí que deba arribarse a la premisa de que la información requerida es susceptible de ser generada, poseída y administrada por </w:t>
      </w:r>
      <w:r>
        <w:rPr>
          <w:rFonts w:ascii="Palatino Linotype" w:hAnsi="Palatino Linotype"/>
          <w:b/>
        </w:rPr>
        <w:t xml:space="preserve">El Sujeto Obligado. </w:t>
      </w:r>
      <w:r>
        <w:rPr>
          <w:rFonts w:ascii="Palatino Linotype" w:hAnsi="Palatino Linotype"/>
        </w:rPr>
        <w:t xml:space="preserve">Así las cosas, es óbice mencionar que la información requerida estriba parcialmente dentro de las obligaciones de transparencia común, robustece lo anterior los artículos 24, fracción XII y 92, fracción </w:t>
      </w:r>
      <w:r w:rsidR="00254CAC">
        <w:rPr>
          <w:rFonts w:ascii="Palatino Linotype" w:hAnsi="Palatino Linotype"/>
        </w:rPr>
        <w:t>XXXV</w:t>
      </w:r>
      <w:r w:rsidR="00254CAC" w:rsidRPr="00254CAC">
        <w:rPr>
          <w:rFonts w:ascii="Palatino Linotype" w:hAnsi="Palatino Linotype"/>
        </w:rPr>
        <w:t xml:space="preserve"> </w:t>
      </w:r>
      <w:r w:rsidR="00254CAC">
        <w:rPr>
          <w:rFonts w:ascii="Palatino Linotype" w:hAnsi="Palatino Linotype"/>
        </w:rPr>
        <w:t xml:space="preserve">de la Ley de Transparencia y Acceso a la Información Pública del Estado de México y Municipios, normatividad invocada cuyo contenido literal es el siguiente: </w:t>
      </w:r>
    </w:p>
    <w:p w14:paraId="51C23DD6" w14:textId="77777777" w:rsidR="00254CAC" w:rsidRPr="00E66BD3" w:rsidRDefault="00254CAC" w:rsidP="00254CAC">
      <w:pPr>
        <w:spacing w:before="240" w:line="360" w:lineRule="auto"/>
        <w:ind w:left="851" w:right="851"/>
        <w:jc w:val="both"/>
        <w:rPr>
          <w:rFonts w:ascii="Palatino Linotype" w:hAnsi="Palatino Linotype"/>
          <w:i/>
        </w:rPr>
      </w:pPr>
      <w:r w:rsidRPr="00E66BD3">
        <w:rPr>
          <w:rFonts w:ascii="Palatino Linotype" w:hAnsi="Palatino Linotype"/>
          <w:i/>
        </w:rPr>
        <w:t>“Artículo 24. Para el cumplimiento de los objetivos de esta Ley, los sujetos obligados deberán cumplir con las siguientes obligaciones, según corresponda, de acuerdo a su naturaleza:</w:t>
      </w:r>
    </w:p>
    <w:p w14:paraId="23CB2345" w14:textId="77777777" w:rsidR="00254CAC" w:rsidRPr="00E66BD3" w:rsidRDefault="00254CAC" w:rsidP="00254CAC">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 xml:space="preserve">XII. Publicar y mantener actualizada la información relativa a las obligaciones generales de transparencia previstas en la presente Ley o </w:t>
      </w:r>
      <w:r w:rsidRPr="00E66BD3">
        <w:rPr>
          <w:rFonts w:ascii="Palatino Linotype" w:hAnsi="Palatino Linotype"/>
          <w:b/>
          <w:i/>
          <w:u w:val="single"/>
        </w:rPr>
        <w:lastRenderedPageBreak/>
        <w:t>determinadas así por el Instituto, y en general aquella que sea de interés público;</w:t>
      </w:r>
    </w:p>
    <w:p w14:paraId="4314D074" w14:textId="5B829BFE" w:rsidR="00254CAC" w:rsidRDefault="00254CAC" w:rsidP="00254CAC">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3CA739B6" w14:textId="14C898F4" w:rsidR="00254CAC" w:rsidRDefault="00254CAC" w:rsidP="00254CAC">
      <w:pPr>
        <w:spacing w:before="240" w:line="360" w:lineRule="auto"/>
        <w:ind w:left="851" w:right="851"/>
        <w:jc w:val="both"/>
        <w:rPr>
          <w:rFonts w:ascii="Palatino Linotype" w:hAnsi="Palatino Linotype"/>
          <w:i/>
        </w:rPr>
      </w:pPr>
      <w:r>
        <w:rPr>
          <w:rFonts w:ascii="Palatino Linotype" w:hAnsi="Palatino Linotype"/>
          <w:i/>
        </w:rPr>
        <w:t>(…)</w:t>
      </w:r>
    </w:p>
    <w:p w14:paraId="13B442A0" w14:textId="2FE0E3E4" w:rsidR="00254CAC" w:rsidRPr="00254CAC" w:rsidRDefault="00254CAC" w:rsidP="00254CAC">
      <w:pPr>
        <w:pStyle w:val="Citas"/>
        <w:rPr>
          <w:b/>
          <w:bCs/>
          <w:u w:val="single"/>
        </w:rPr>
      </w:pPr>
      <w:r w:rsidRPr="00254CAC">
        <w:rPr>
          <w:b/>
          <w:bCs/>
          <w:u w:val="single"/>
        </w:rPr>
        <w:t>XXXV. Informes de avances programáticos o presupuestales, balances generales y estado financiero;</w:t>
      </w:r>
    </w:p>
    <w:p w14:paraId="619380E9" w14:textId="79B1F055" w:rsidR="00254CAC" w:rsidRPr="00254CAC" w:rsidRDefault="00254CAC" w:rsidP="00254CAC">
      <w:pPr>
        <w:pStyle w:val="Citas"/>
        <w:rPr>
          <w:b/>
          <w:bCs/>
          <w:sz w:val="24"/>
          <w:szCs w:val="24"/>
        </w:rPr>
      </w:pPr>
      <w:r>
        <w:t xml:space="preserve">(…)” </w:t>
      </w:r>
      <w:r>
        <w:rPr>
          <w:b/>
          <w:bCs/>
        </w:rPr>
        <w:t>[Sic]</w:t>
      </w:r>
    </w:p>
    <w:p w14:paraId="6EA093CB" w14:textId="77777777" w:rsidR="00254CAC" w:rsidRPr="00E66BD3" w:rsidRDefault="00254CAC" w:rsidP="00254CAC">
      <w:pPr>
        <w:spacing w:before="240" w:line="360" w:lineRule="auto"/>
        <w:ind w:left="851" w:right="851"/>
        <w:jc w:val="both"/>
        <w:rPr>
          <w:rFonts w:ascii="Palatino Linotype" w:hAnsi="Palatino Linotype"/>
          <w:i/>
        </w:rPr>
      </w:pPr>
    </w:p>
    <w:p w14:paraId="2B03B674" w14:textId="77777777" w:rsidR="00254CAC" w:rsidRPr="00303BAD" w:rsidRDefault="00254CAC" w:rsidP="00254CAC">
      <w:pPr>
        <w:pStyle w:val="infoemcitas"/>
        <w:tabs>
          <w:tab w:val="left" w:pos="7655"/>
        </w:tabs>
        <w:ind w:left="0" w:right="0"/>
        <w:rPr>
          <w:i w:val="0"/>
          <w:sz w:val="24"/>
          <w:szCs w:val="24"/>
        </w:rPr>
      </w:pPr>
      <w:r w:rsidRPr="00303BAD">
        <w:rPr>
          <w:i w:val="0"/>
          <w:sz w:val="24"/>
          <w:szCs w:val="24"/>
        </w:rPr>
        <w:t xml:space="preserve">Robustece lo anterior, las siguientes imágenes ilustrativas, correspondientes a la tabla de aplicabilidad del </w:t>
      </w:r>
      <w:r w:rsidRPr="00303BAD">
        <w:rPr>
          <w:b/>
          <w:i w:val="0"/>
          <w:sz w:val="24"/>
          <w:szCs w:val="24"/>
        </w:rPr>
        <w:t xml:space="preserve">Sujeto Obligado, </w:t>
      </w:r>
      <w:r w:rsidRPr="00303BAD">
        <w:rPr>
          <w:i w:val="0"/>
          <w:sz w:val="24"/>
          <w:szCs w:val="24"/>
        </w:rPr>
        <w:t xml:space="preserve">misma que puede ser consultada en la siguiente dirección electrónica: </w:t>
      </w:r>
    </w:p>
    <w:p w14:paraId="2801862B" w14:textId="487B417A" w:rsidR="008709D8" w:rsidRDefault="00A32F3B" w:rsidP="00254CAC">
      <w:pPr>
        <w:pStyle w:val="Sinespaciado"/>
        <w:spacing w:line="360" w:lineRule="auto"/>
        <w:jc w:val="both"/>
        <w:rPr>
          <w:rFonts w:ascii="Palatino Linotype" w:hAnsi="Palatino Linotype"/>
        </w:rPr>
      </w:pPr>
      <w:hyperlink r:id="rId16" w:history="1">
        <w:r w:rsidR="00254CAC" w:rsidRPr="00303BAD">
          <w:rPr>
            <w:rStyle w:val="Hipervnculo"/>
            <w:rFonts w:ascii="Palatino Linotype" w:hAnsi="Palatino Linotype"/>
            <w:bCs/>
          </w:rPr>
          <w:t>https://www.infoem.org.mx/es/contenido/transparencia/directorio-de-sujetos-obligados</w:t>
        </w:r>
      </w:hyperlink>
    </w:p>
    <w:p w14:paraId="5051E1D3" w14:textId="08476FB3" w:rsidR="008709D8" w:rsidRDefault="00254CAC" w:rsidP="008709D8">
      <w:pPr>
        <w:pStyle w:val="Sinespaciado"/>
        <w:spacing w:line="360" w:lineRule="auto"/>
        <w:jc w:val="both"/>
        <w:rPr>
          <w:rFonts w:ascii="Palatino Linotype" w:hAnsi="Palatino Linotype"/>
        </w:rPr>
      </w:pPr>
      <w:r>
        <w:rPr>
          <w:rFonts w:ascii="Palatino Linotype" w:hAnsi="Palatino Linotype"/>
          <w:noProof/>
          <w:lang w:eastAsia="es-MX"/>
        </w:rPr>
        <mc:AlternateContent>
          <mc:Choice Requires="wps">
            <w:drawing>
              <wp:anchor distT="0" distB="0" distL="114300" distR="114300" simplePos="0" relativeHeight="251691008" behindDoc="0" locked="0" layoutInCell="1" allowOverlap="1" wp14:anchorId="3794E87D" wp14:editId="1AA509D1">
                <wp:simplePos x="0" y="0"/>
                <wp:positionH relativeFrom="column">
                  <wp:posOffset>-107121</wp:posOffset>
                </wp:positionH>
                <wp:positionV relativeFrom="paragraph">
                  <wp:posOffset>180828</wp:posOffset>
                </wp:positionV>
                <wp:extent cx="6195647" cy="1271954"/>
                <wp:effectExtent l="0" t="0" r="34290" b="23495"/>
                <wp:wrapNone/>
                <wp:docPr id="21" name="Straight Connector 21"/>
                <wp:cNvGraphicFramePr/>
                <a:graphic xmlns:a="http://schemas.openxmlformats.org/drawingml/2006/main">
                  <a:graphicData uri="http://schemas.microsoft.com/office/word/2010/wordprocessingShape">
                    <wps:wsp>
                      <wps:cNvCnPr/>
                      <wps:spPr>
                        <a:xfrm>
                          <a:off x="0" y="0"/>
                          <a:ext cx="6195647" cy="127195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2923AD" id="Straight Connector 21" o:spid="_x0000_s1026"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8.45pt,14.25pt" to="479.4pt,1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" strokecolor="#5b9bd5 [3204]" strokeweight=".5pt">
                <v:stroke joinstyle="miter"/>
              </v:line>
            </w:pict>
          </mc:Fallback>
        </mc:AlternateContent>
      </w:r>
    </w:p>
    <w:p w14:paraId="280F9A23" w14:textId="77777777" w:rsidR="008709D8" w:rsidRDefault="008709D8" w:rsidP="00CC1FE6">
      <w:pPr>
        <w:spacing w:before="240" w:line="360" w:lineRule="auto"/>
        <w:jc w:val="both"/>
        <w:rPr>
          <w:rFonts w:ascii="Palatino Linotype" w:hAnsi="Palatino Linotype"/>
          <w:sz w:val="24"/>
          <w:szCs w:val="24"/>
        </w:rPr>
      </w:pPr>
    </w:p>
    <w:p w14:paraId="5161DD18" w14:textId="77777777" w:rsidR="008709D8" w:rsidRDefault="008709D8" w:rsidP="00CC1FE6">
      <w:pPr>
        <w:spacing w:before="240" w:line="360" w:lineRule="auto"/>
        <w:jc w:val="both"/>
        <w:rPr>
          <w:rFonts w:ascii="Palatino Linotype" w:hAnsi="Palatino Linotype"/>
          <w:sz w:val="24"/>
          <w:szCs w:val="24"/>
        </w:rPr>
      </w:pPr>
    </w:p>
    <w:p w14:paraId="1CCA16AD" w14:textId="6091148B" w:rsidR="00010537" w:rsidRDefault="008253B0" w:rsidP="00CC1FE6">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692032" behindDoc="0" locked="0" layoutInCell="1" allowOverlap="1" wp14:anchorId="41D5A3B4" wp14:editId="7DEFDBA6">
            <wp:simplePos x="0" y="0"/>
            <wp:positionH relativeFrom="column">
              <wp:posOffset>12406</wp:posOffset>
            </wp:positionH>
            <wp:positionV relativeFrom="paragraph">
              <wp:posOffset>3710647</wp:posOffset>
            </wp:positionV>
            <wp:extent cx="5756275" cy="3560445"/>
            <wp:effectExtent l="19050" t="19050" r="15875" b="20955"/>
            <wp:wrapThrough wrapText="bothSides">
              <wp:wrapPolygon edited="0">
                <wp:start x="-71" y="-116"/>
                <wp:lineTo x="-71" y="21612"/>
                <wp:lineTo x="21588" y="21612"/>
                <wp:lineTo x="21588" y="-116"/>
                <wp:lineTo x="-71" y="-116"/>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6275" cy="35604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010537">
        <w:rPr>
          <w:rFonts w:ascii="Palatino Linotype" w:hAnsi="Palatino Linotype"/>
          <w:noProof/>
          <w:sz w:val="24"/>
          <w:szCs w:val="24"/>
          <w:lang w:eastAsia="es-MX"/>
        </w:rPr>
        <w:drawing>
          <wp:anchor distT="0" distB="0" distL="114300" distR="114300" simplePos="0" relativeHeight="251673594" behindDoc="0" locked="0" layoutInCell="1" allowOverlap="1" wp14:anchorId="5E0842F2" wp14:editId="0EABC7C4">
            <wp:simplePos x="0" y="0"/>
            <wp:positionH relativeFrom="column">
              <wp:posOffset>-1905</wp:posOffset>
            </wp:positionH>
            <wp:positionV relativeFrom="paragraph">
              <wp:posOffset>19050</wp:posOffset>
            </wp:positionV>
            <wp:extent cx="5768975" cy="3560445"/>
            <wp:effectExtent l="19050" t="19050" r="22225" b="20955"/>
            <wp:wrapThrough wrapText="bothSides">
              <wp:wrapPolygon edited="0">
                <wp:start x="-71" y="-116"/>
                <wp:lineTo x="-71" y="21612"/>
                <wp:lineTo x="21612" y="21612"/>
                <wp:lineTo x="21612" y="-116"/>
                <wp:lineTo x="-71" y="-116"/>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68975" cy="35604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6F19063A" w14:textId="5624D1F6" w:rsidR="00010537" w:rsidRDefault="008253B0" w:rsidP="00CC1FE6">
      <w:pPr>
        <w:spacing w:before="240" w:line="360" w:lineRule="auto"/>
        <w:jc w:val="both"/>
        <w:rPr>
          <w:rFonts w:ascii="Palatino Linotype" w:hAnsi="Palatino Linotype"/>
          <w:sz w:val="24"/>
          <w:szCs w:val="24"/>
        </w:rPr>
      </w:pPr>
      <w:r>
        <w:rPr>
          <w:rFonts w:ascii="Palatino Linotype" w:hAnsi="Palatino Linotype"/>
          <w:noProof/>
          <w:sz w:val="24"/>
          <w:szCs w:val="24"/>
          <w:lang w:eastAsia="es-MX"/>
        </w:rPr>
        <w:lastRenderedPageBreak/>
        <w:drawing>
          <wp:anchor distT="0" distB="0" distL="114300" distR="114300" simplePos="0" relativeHeight="251671544" behindDoc="0" locked="0" layoutInCell="1" allowOverlap="1" wp14:anchorId="22A54BD2" wp14:editId="79CE8E2E">
            <wp:simplePos x="0" y="0"/>
            <wp:positionH relativeFrom="column">
              <wp:posOffset>17145</wp:posOffset>
            </wp:positionH>
            <wp:positionV relativeFrom="paragraph">
              <wp:posOffset>19050</wp:posOffset>
            </wp:positionV>
            <wp:extent cx="5756275" cy="3560445"/>
            <wp:effectExtent l="19050" t="19050" r="15875" b="20955"/>
            <wp:wrapThrough wrapText="bothSides">
              <wp:wrapPolygon edited="0">
                <wp:start x="-71" y="-116"/>
                <wp:lineTo x="-71" y="21612"/>
                <wp:lineTo x="21588" y="21612"/>
                <wp:lineTo x="21588" y="-116"/>
                <wp:lineTo x="-71" y="-116"/>
              </wp:wrapPolygon>
            </wp:wrapThrough>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6275" cy="356044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3DF7706" w14:textId="03E141E5" w:rsidR="00CC1FE6" w:rsidRDefault="00CC1FE6" w:rsidP="00CC1FE6">
      <w:pPr>
        <w:spacing w:before="240" w:line="360" w:lineRule="auto"/>
        <w:jc w:val="both"/>
        <w:rPr>
          <w:rFonts w:ascii="Palatino Linotype" w:hAnsi="Palatino Linotype"/>
          <w:sz w:val="24"/>
          <w:szCs w:val="24"/>
        </w:rPr>
      </w:pPr>
      <w:r>
        <w:rPr>
          <w:rFonts w:ascii="Palatino Linotype" w:hAnsi="Palatino Linotype"/>
          <w:sz w:val="24"/>
          <w:szCs w:val="24"/>
        </w:rPr>
        <w:t xml:space="preserve">En razón de lo anterior, se arriba a la conclusión de que la información requerida es susceptible de ser generada, poseída o administrada por </w:t>
      </w:r>
      <w:r>
        <w:rPr>
          <w:rFonts w:ascii="Palatino Linotype" w:hAnsi="Palatino Linotype"/>
          <w:b/>
          <w:bCs/>
          <w:sz w:val="24"/>
          <w:szCs w:val="24"/>
        </w:rPr>
        <w:t xml:space="preserve">El Sujeto Obligado, </w:t>
      </w:r>
      <w:r>
        <w:rPr>
          <w:rFonts w:ascii="Palatino Linotype" w:hAnsi="Palatino Linotype"/>
          <w:sz w:val="24"/>
          <w:szCs w:val="24"/>
        </w:rPr>
        <w:t xml:space="preserve">asimismo, dichos soportes documentales encuadran dentro de las fronteras conceptuales del interés público y alcance general. </w:t>
      </w:r>
    </w:p>
    <w:p w14:paraId="79AAE756" w14:textId="6A81E7FA" w:rsidR="001154C1" w:rsidRPr="00F647D9" w:rsidRDefault="001154C1" w:rsidP="001154C1">
      <w:pPr>
        <w:spacing w:before="240" w:line="360" w:lineRule="auto"/>
        <w:jc w:val="both"/>
        <w:rPr>
          <w:rFonts w:ascii="Palatino Linotype" w:hAnsi="Palatino Linotype"/>
          <w:sz w:val="24"/>
          <w:szCs w:val="24"/>
        </w:rPr>
      </w:pPr>
      <w:r w:rsidRPr="00BF5918">
        <w:rPr>
          <w:rFonts w:ascii="Palatino Linotype" w:hAnsi="Palatino Linotype"/>
          <w:sz w:val="24"/>
          <w:szCs w:val="24"/>
        </w:rPr>
        <w:t xml:space="preserve">Una vez sentado lo anterior, como se mencionó en el antecedente </w:t>
      </w:r>
      <w:r>
        <w:rPr>
          <w:rFonts w:ascii="Palatino Linotype" w:hAnsi="Palatino Linotype"/>
          <w:sz w:val="24"/>
          <w:szCs w:val="24"/>
        </w:rPr>
        <w:t>segundo</w:t>
      </w:r>
      <w:r w:rsidRPr="00BF5918">
        <w:rPr>
          <w:rFonts w:ascii="Palatino Linotype" w:hAnsi="Palatino Linotype"/>
          <w:sz w:val="24"/>
          <w:szCs w:val="24"/>
        </w:rPr>
        <w:t xml:space="preserve">, </w:t>
      </w:r>
      <w:r w:rsidRPr="00BF5918">
        <w:rPr>
          <w:rFonts w:ascii="Palatino Linotype" w:hAnsi="Palatino Linotype"/>
          <w:b/>
          <w:sz w:val="24"/>
          <w:szCs w:val="24"/>
        </w:rPr>
        <w:t xml:space="preserve">El Sujeto Obligado </w:t>
      </w:r>
      <w:r w:rsidRPr="00BF5918">
        <w:rPr>
          <w:rFonts w:ascii="Palatino Linotype" w:hAnsi="Palatino Linotype"/>
          <w:sz w:val="24"/>
          <w:szCs w:val="24"/>
        </w:rPr>
        <w:t xml:space="preserve">en fecha </w:t>
      </w:r>
      <w:r>
        <w:rPr>
          <w:rFonts w:ascii="Palatino Linotype" w:hAnsi="Palatino Linotype"/>
          <w:sz w:val="24"/>
          <w:szCs w:val="24"/>
        </w:rPr>
        <w:t xml:space="preserve">nueve de febrero de dos mil veintidós, </w:t>
      </w:r>
      <w:r w:rsidR="00F647D9">
        <w:rPr>
          <w:rFonts w:ascii="Palatino Linotype" w:hAnsi="Palatino Linotype"/>
          <w:sz w:val="24"/>
          <w:szCs w:val="24"/>
        </w:rPr>
        <w:t xml:space="preserve">dio respuesta a la solicitud de información </w:t>
      </w:r>
      <w:r w:rsidR="00F647D9">
        <w:rPr>
          <w:rFonts w:ascii="Palatino Linotype" w:hAnsi="Palatino Linotype"/>
          <w:b/>
          <w:bCs/>
          <w:sz w:val="24"/>
          <w:szCs w:val="24"/>
        </w:rPr>
        <w:t xml:space="preserve">00041/ATIZARA/IP/2022 </w:t>
      </w:r>
      <w:r w:rsidR="00F647D9">
        <w:rPr>
          <w:rFonts w:ascii="Palatino Linotype" w:hAnsi="Palatino Linotype"/>
          <w:sz w:val="24"/>
          <w:szCs w:val="24"/>
        </w:rPr>
        <w:t>en los siguientes términos:</w:t>
      </w:r>
    </w:p>
    <w:p w14:paraId="55705E10" w14:textId="0EA548C6" w:rsidR="001154C1" w:rsidRPr="00B33F04" w:rsidRDefault="00F647D9" w:rsidP="00F647D9">
      <w:pPr>
        <w:pStyle w:val="Prrafodelista"/>
        <w:numPr>
          <w:ilvl w:val="0"/>
          <w:numId w:val="20"/>
        </w:numPr>
        <w:spacing w:before="240" w:line="360" w:lineRule="auto"/>
        <w:jc w:val="both"/>
        <w:rPr>
          <w:rFonts w:ascii="Palatino Linotype" w:hAnsi="Palatino Linotype"/>
          <w:b/>
          <w:bCs/>
        </w:rPr>
      </w:pPr>
      <w:r>
        <w:rPr>
          <w:rFonts w:ascii="Palatino Linotype" w:hAnsi="Palatino Linotype"/>
          <w:b/>
          <w:bCs/>
        </w:rPr>
        <w:lastRenderedPageBreak/>
        <w:t>“</w:t>
      </w:r>
      <w:r w:rsidR="0040028E">
        <w:rPr>
          <w:rFonts w:ascii="Palatino Linotype" w:hAnsi="Palatino Linotype"/>
          <w:b/>
          <w:bCs/>
        </w:rPr>
        <w:t xml:space="preserve">00041-290-22.pdf”: </w:t>
      </w:r>
      <w:r w:rsidR="00512786">
        <w:rPr>
          <w:rFonts w:ascii="Palatino Linotype" w:hAnsi="Palatino Linotype"/>
        </w:rPr>
        <w:t xml:space="preserve">Oficio </w:t>
      </w:r>
      <w:r w:rsidR="00512786">
        <w:rPr>
          <w:rFonts w:ascii="Palatino Linotype" w:hAnsi="Palatino Linotype"/>
          <w:b/>
          <w:bCs/>
        </w:rPr>
        <w:t>TM/</w:t>
      </w:r>
      <w:r w:rsidR="00B33F04">
        <w:rPr>
          <w:rFonts w:ascii="Palatino Linotype" w:hAnsi="Palatino Linotype"/>
          <w:b/>
          <w:bCs/>
        </w:rPr>
        <w:t xml:space="preserve">290/2022 </w:t>
      </w:r>
      <w:r w:rsidR="00B33F04">
        <w:rPr>
          <w:rFonts w:ascii="Palatino Linotype" w:hAnsi="Palatino Linotype"/>
        </w:rPr>
        <w:t>signado por el Tesorero Municipal y dirigido a la Titular de la Unidad de Transparencia, en síntesis resulta de nuestro interés el siguiente extracto:</w:t>
      </w:r>
    </w:p>
    <w:p w14:paraId="15B33CDC" w14:textId="605D4EFD" w:rsidR="00B33F04" w:rsidRDefault="00B33F04" w:rsidP="00B33F04">
      <w:pPr>
        <w:pStyle w:val="Prrafodelista"/>
        <w:spacing w:before="240" w:line="360" w:lineRule="auto"/>
        <w:ind w:left="720"/>
        <w:jc w:val="both"/>
        <w:rPr>
          <w:rFonts w:ascii="Palatino Linotype" w:hAnsi="Palatino Linotype"/>
          <w:i/>
          <w:iCs/>
        </w:rPr>
      </w:pPr>
      <w:r>
        <w:rPr>
          <w:rFonts w:ascii="Palatino Linotype" w:hAnsi="Palatino Linotype"/>
          <w:i/>
          <w:iCs/>
        </w:rPr>
        <w:t>”(…)</w:t>
      </w:r>
    </w:p>
    <w:p w14:paraId="47EB184E" w14:textId="26F98E0C" w:rsidR="00B33F04" w:rsidRPr="00B33F04" w:rsidRDefault="00DA0601" w:rsidP="00B33F04">
      <w:pPr>
        <w:pStyle w:val="Prrafodelista"/>
        <w:spacing w:before="240" w:line="360" w:lineRule="auto"/>
        <w:ind w:left="720"/>
        <w:jc w:val="both"/>
        <w:rPr>
          <w:rFonts w:ascii="Palatino Linotype" w:hAnsi="Palatino Linotype"/>
          <w:i/>
          <w:iCs/>
        </w:rPr>
      </w:pPr>
      <w:r>
        <w:rPr>
          <w:rFonts w:ascii="Palatino Linotype" w:hAnsi="Palatino Linotype"/>
          <w:i/>
          <w:iCs/>
        </w:rPr>
        <w:t>Al respecto, le comento que después de una búsqueda exhaustiva en los registros contables de la Tesorería Municipal</w:t>
      </w:r>
      <w:r w:rsidR="000B6663">
        <w:rPr>
          <w:rFonts w:ascii="Palatino Linotype" w:hAnsi="Palatino Linotype"/>
          <w:i/>
          <w:iCs/>
        </w:rPr>
        <w:t xml:space="preserve">, </w:t>
      </w:r>
      <w:r w:rsidR="000B6663" w:rsidRPr="000F1FE8">
        <w:rPr>
          <w:rFonts w:ascii="Palatino Linotype" w:hAnsi="Palatino Linotype"/>
          <w:b/>
          <w:bCs/>
          <w:i/>
          <w:iCs/>
          <w:u w:val="single"/>
        </w:rPr>
        <w:t xml:space="preserve">no se localizó el monto aprobado para la realización del festejo del bicentenario del municipio. </w:t>
      </w:r>
      <w:r w:rsidR="00CF58A9" w:rsidRPr="000F1FE8">
        <w:rPr>
          <w:rFonts w:ascii="Palatino Linotype" w:hAnsi="Palatino Linotype"/>
          <w:b/>
          <w:bCs/>
          <w:i/>
          <w:iCs/>
          <w:u w:val="single"/>
        </w:rPr>
        <w:t>Sin embargo, le informo que se realizó una reconducción presupuestal</w:t>
      </w:r>
      <w:r w:rsidR="00AB747F" w:rsidRPr="000F1FE8">
        <w:rPr>
          <w:rFonts w:ascii="Palatino Linotype" w:hAnsi="Palatino Linotype"/>
          <w:b/>
          <w:bCs/>
          <w:i/>
          <w:iCs/>
          <w:u w:val="single"/>
        </w:rPr>
        <w:t>,</w:t>
      </w:r>
      <w:r w:rsidR="00AB747F" w:rsidRPr="000F1FE8">
        <w:rPr>
          <w:rFonts w:ascii="Palatino Linotype" w:hAnsi="Palatino Linotype"/>
          <w:i/>
          <w:iCs/>
        </w:rPr>
        <w:t xml:space="preserve"> para la reasignación de los recursos con la finalidad </w:t>
      </w:r>
      <w:r w:rsidR="0000721A" w:rsidRPr="000F1FE8">
        <w:rPr>
          <w:rFonts w:ascii="Palatino Linotype" w:hAnsi="Palatino Linotype"/>
          <w:i/>
          <w:iCs/>
        </w:rPr>
        <w:t xml:space="preserve">de dar debida atención a los ciudadanos durante la realización de la </w:t>
      </w:r>
      <w:r w:rsidR="006455CC" w:rsidRPr="000F1FE8">
        <w:rPr>
          <w:rFonts w:ascii="Palatino Linotype" w:hAnsi="Palatino Linotype"/>
          <w:i/>
          <w:iCs/>
        </w:rPr>
        <w:t xml:space="preserve">campaña </w:t>
      </w:r>
      <w:r w:rsidR="006174FA" w:rsidRPr="000F1FE8">
        <w:rPr>
          <w:rFonts w:ascii="Palatino Linotype" w:hAnsi="Palatino Linotype"/>
          <w:i/>
          <w:iCs/>
        </w:rPr>
        <w:t>de vacunación derivada del virus Covid-19”</w:t>
      </w:r>
      <w:r w:rsidR="006174FA">
        <w:rPr>
          <w:rFonts w:ascii="Palatino Linotype" w:hAnsi="Palatino Linotype"/>
          <w:i/>
          <w:iCs/>
        </w:rPr>
        <w:t xml:space="preserve"> </w:t>
      </w:r>
      <w:r w:rsidR="000F1FE8">
        <w:rPr>
          <w:rFonts w:ascii="Palatino Linotype" w:hAnsi="Palatino Linotype"/>
          <w:b/>
          <w:bCs/>
          <w:i/>
          <w:iCs/>
        </w:rPr>
        <w:t>[</w:t>
      </w:r>
      <w:r w:rsidR="006174FA">
        <w:rPr>
          <w:rFonts w:ascii="Palatino Linotype" w:hAnsi="Palatino Linotype"/>
          <w:b/>
          <w:bCs/>
          <w:i/>
          <w:iCs/>
        </w:rPr>
        <w:t>Sic</w:t>
      </w:r>
      <w:r w:rsidR="000F1FE8">
        <w:rPr>
          <w:rFonts w:ascii="Palatino Linotype" w:hAnsi="Palatino Linotype"/>
          <w:b/>
          <w:bCs/>
          <w:i/>
          <w:iCs/>
        </w:rPr>
        <w:t xml:space="preserve">] </w:t>
      </w:r>
    </w:p>
    <w:p w14:paraId="225B4C2F" w14:textId="44645959" w:rsidR="00D166FF" w:rsidRDefault="00D166FF" w:rsidP="00AD30EB">
      <w:pPr>
        <w:pStyle w:val="Prrafodelista"/>
        <w:spacing w:before="240" w:line="360" w:lineRule="auto"/>
        <w:ind w:left="1440"/>
        <w:jc w:val="both"/>
        <w:rPr>
          <w:rFonts w:ascii="Palatino Linotype" w:hAnsi="Palatino Linotype"/>
          <w:b/>
        </w:rPr>
      </w:pPr>
    </w:p>
    <w:p w14:paraId="27CB5C27" w14:textId="77777777" w:rsidR="00CE57D6" w:rsidRDefault="00CE57D6" w:rsidP="00CE57D6">
      <w:pPr>
        <w:tabs>
          <w:tab w:val="left" w:pos="709"/>
        </w:tabs>
        <w:spacing w:before="240" w:line="360" w:lineRule="auto"/>
        <w:ind w:right="51"/>
        <w:jc w:val="both"/>
        <w:rPr>
          <w:rFonts w:ascii="Palatino Linotype" w:hAnsi="Palatino Linotype" w:cs="Arial"/>
          <w:sz w:val="24"/>
          <w:szCs w:val="24"/>
        </w:rPr>
      </w:pPr>
      <w:r>
        <w:rPr>
          <w:rFonts w:ascii="Palatino Linotype" w:hAnsi="Palatino Linotype" w:cs="Arial"/>
          <w:noProof/>
          <w:color w:val="000000"/>
          <w:sz w:val="24"/>
          <w:lang w:eastAsia="es-MX"/>
        </w:rPr>
        <w:t xml:space="preserve">En virtud de lo anterior, es de destacar que </w:t>
      </w:r>
      <w:r w:rsidRPr="00A507EB">
        <w:rPr>
          <w:rFonts w:ascii="Palatino Linotype" w:hAnsi="Palatino Linotype" w:cs="Arial"/>
          <w:sz w:val="24"/>
          <w:szCs w:val="24"/>
        </w:rPr>
        <w:t xml:space="preserve">el Pleno de este Organismo Garante, ha sostenido que ante la presencia de un hecho negativo, resultaría innecesaria una declaratoria de inexistencia en términos de </w:t>
      </w:r>
      <w:r>
        <w:rPr>
          <w:rFonts w:ascii="Palatino Linotype" w:hAnsi="Palatino Linotype" w:cs="Arial"/>
          <w:sz w:val="24"/>
          <w:szCs w:val="24"/>
        </w:rPr>
        <w:t xml:space="preserve"> los artículos </w:t>
      </w:r>
      <w:r w:rsidRPr="00A507EB">
        <w:rPr>
          <w:rFonts w:ascii="Palatino Linotype" w:hAnsi="Palatino Linotype" w:cs="Arial"/>
          <w:sz w:val="24"/>
          <w:szCs w:val="24"/>
        </w:rPr>
        <w:t xml:space="preserve">19, 169 y 170 de la Ley de Transparencia y Acceso a la Información Pública del Estado de México y Municipios, </w:t>
      </w:r>
      <w:r>
        <w:rPr>
          <w:rFonts w:ascii="Palatino Linotype" w:hAnsi="Palatino Linotype" w:cs="Arial"/>
          <w:sz w:val="24"/>
          <w:szCs w:val="24"/>
        </w:rPr>
        <w:t>no obstante lo anterior, la figura de hechos negativos en el caso concreto, no colma el derecho de acceso a la información pública, al inobservar el numeral 162 de la Ley de Transparencia local, porción normativa que dispone a la literalidad lo siguiente:</w:t>
      </w:r>
    </w:p>
    <w:p w14:paraId="3F9B1218" w14:textId="77777777" w:rsidR="00CE57D6" w:rsidRPr="00D14967" w:rsidRDefault="00CE57D6" w:rsidP="00CE57D6">
      <w:pPr>
        <w:pStyle w:val="Citas"/>
        <w:rPr>
          <w:b/>
        </w:rPr>
      </w:pPr>
      <w:r>
        <w:t xml:space="preserve">“Artículo 162. Las unidades de transparencia deberán garantizar que las solicitudes se turnen a todas las Áreas competentes que cuenten con la información o deban </w:t>
      </w:r>
      <w:r>
        <w:lastRenderedPageBreak/>
        <w:t xml:space="preserve">tenerla de acuerdo a sus facultades, competencias y funciones, con el objeto de que realicen una búsqueda exhaustiva y razonable de la información solicitada” </w:t>
      </w:r>
      <w:r>
        <w:rPr>
          <w:b/>
        </w:rPr>
        <w:t>[Sic]</w:t>
      </w:r>
    </w:p>
    <w:p w14:paraId="503494E8" w14:textId="77777777" w:rsidR="00CE57D6" w:rsidRPr="00CE57D6" w:rsidRDefault="00CE57D6" w:rsidP="00CE57D6">
      <w:pPr>
        <w:spacing w:before="240" w:line="360" w:lineRule="auto"/>
        <w:jc w:val="both"/>
        <w:rPr>
          <w:rFonts w:ascii="Palatino Linotype" w:hAnsi="Palatino Linotype"/>
          <w:b/>
        </w:rPr>
      </w:pPr>
    </w:p>
    <w:p w14:paraId="386740E8" w14:textId="77CD5790" w:rsidR="000F1FE8" w:rsidRDefault="000F1FE8" w:rsidP="000F1FE8">
      <w:pPr>
        <w:pStyle w:val="Default"/>
        <w:spacing w:before="240" w:after="160" w:line="360" w:lineRule="auto"/>
        <w:jc w:val="both"/>
        <w:rPr>
          <w:rFonts w:ascii="Palatino Linotype" w:hAnsi="Palatino Linotype"/>
          <w:lang w:eastAsia="es-MX"/>
        </w:rPr>
      </w:pPr>
      <w:r>
        <w:rPr>
          <w:rFonts w:ascii="Palatino Linotype" w:hAnsi="Palatino Linotype"/>
          <w:lang w:eastAsia="es-MX"/>
        </w:rPr>
        <w:t xml:space="preserve">Inconforme con la respuesta rendida por </w:t>
      </w:r>
      <w:r>
        <w:rPr>
          <w:rFonts w:ascii="Palatino Linotype" w:hAnsi="Palatino Linotype"/>
          <w:b/>
          <w:lang w:eastAsia="es-MX"/>
        </w:rPr>
        <w:t xml:space="preserve">El Sujeto Obligado, El Recurrente </w:t>
      </w:r>
      <w:r>
        <w:rPr>
          <w:rFonts w:ascii="Palatino Linotype" w:hAnsi="Palatino Linotype"/>
          <w:lang w:eastAsia="es-MX"/>
        </w:rPr>
        <w:t xml:space="preserve">interpuso recurso de revisión en fecha veinticinco de febrero, </w:t>
      </w:r>
      <w:r w:rsidR="00B00C80">
        <w:rPr>
          <w:rFonts w:ascii="Palatino Linotype" w:hAnsi="Palatino Linotype"/>
          <w:lang w:eastAsia="es-MX"/>
        </w:rPr>
        <w:t>admitiéndose</w:t>
      </w:r>
      <w:r>
        <w:rPr>
          <w:rFonts w:ascii="Palatino Linotype" w:hAnsi="Palatino Linotype"/>
          <w:lang w:eastAsia="es-MX"/>
        </w:rPr>
        <w:t xml:space="preserve"> el tres de marzo, ambos de dos mil </w:t>
      </w:r>
      <w:r w:rsidR="00B00C80">
        <w:rPr>
          <w:rFonts w:ascii="Palatino Linotype" w:hAnsi="Palatino Linotype"/>
          <w:lang w:eastAsia="es-MX"/>
        </w:rPr>
        <w:t>veintidós</w:t>
      </w:r>
      <w:r>
        <w:rPr>
          <w:rFonts w:ascii="Palatino Linotype" w:hAnsi="Palatino Linotype"/>
          <w:lang w:eastAsia="es-MX"/>
        </w:rPr>
        <w:t xml:space="preserve">. </w:t>
      </w:r>
      <w:r w:rsidR="00B00C80">
        <w:rPr>
          <w:rFonts w:ascii="Palatino Linotype" w:hAnsi="Palatino Linotype"/>
          <w:lang w:eastAsia="es-MX"/>
        </w:rPr>
        <w:t>Señalando como acto impugnado:</w:t>
      </w:r>
    </w:p>
    <w:p w14:paraId="1BA521F5" w14:textId="4F3609F1" w:rsidR="00B00C80" w:rsidRPr="00B00C80" w:rsidRDefault="00B00C80" w:rsidP="00B00C80">
      <w:pPr>
        <w:pStyle w:val="Citas"/>
        <w:rPr>
          <w:b/>
          <w:bCs/>
          <w:lang w:eastAsia="es-MX"/>
        </w:rPr>
      </w:pPr>
      <w:r>
        <w:t xml:space="preserve">“falta información” </w:t>
      </w:r>
      <w:r>
        <w:rPr>
          <w:b/>
          <w:bCs/>
        </w:rPr>
        <w:t>[Sic]</w:t>
      </w:r>
    </w:p>
    <w:p w14:paraId="1920515C" w14:textId="77777777" w:rsidR="003E20B4" w:rsidRDefault="003E20B4" w:rsidP="003E20B4">
      <w:pPr>
        <w:pStyle w:val="Citas"/>
        <w:ind w:left="0" w:right="0"/>
        <w:rPr>
          <w:rFonts w:ascii="Verdana" w:hAnsi="Verdana"/>
          <w:color w:val="000000"/>
          <w:sz w:val="14"/>
          <w:szCs w:val="14"/>
        </w:rPr>
      </w:pPr>
    </w:p>
    <w:p w14:paraId="0A523235" w14:textId="4E0D6A2C" w:rsidR="003E20B4" w:rsidRPr="00643DA3" w:rsidRDefault="00643DA3" w:rsidP="003E20B4">
      <w:pPr>
        <w:pStyle w:val="Citas"/>
        <w:ind w:left="0" w:right="0"/>
        <w:rPr>
          <w:rFonts w:ascii="Verdana" w:hAnsi="Verdana"/>
          <w:i w:val="0"/>
          <w:color w:val="000000"/>
          <w:sz w:val="14"/>
          <w:szCs w:val="14"/>
        </w:rPr>
      </w:pPr>
      <w:r w:rsidRPr="00643DA3">
        <w:rPr>
          <w:i w:val="0"/>
          <w:sz w:val="24"/>
          <w:lang w:val="es-ES"/>
        </w:rPr>
        <w:t xml:space="preserve">Derivado de la interposición del recurso de revisión, </w:t>
      </w:r>
      <w:r>
        <w:rPr>
          <w:b/>
          <w:i w:val="0"/>
          <w:sz w:val="24"/>
          <w:lang w:val="es-ES"/>
        </w:rPr>
        <w:t xml:space="preserve">El Recurrente </w:t>
      </w:r>
      <w:r w:rsidRPr="00643DA3">
        <w:rPr>
          <w:i w:val="0"/>
          <w:sz w:val="24"/>
          <w:lang w:val="es-ES"/>
        </w:rPr>
        <w:t xml:space="preserve">adjuntó </w:t>
      </w:r>
      <w:r w:rsidR="00B00C80">
        <w:rPr>
          <w:i w:val="0"/>
          <w:sz w:val="24"/>
          <w:lang w:val="es-ES"/>
        </w:rPr>
        <w:t xml:space="preserve">el documento electrónico </w:t>
      </w:r>
      <w:r w:rsidR="00B00C80">
        <w:rPr>
          <w:b/>
          <w:bCs/>
          <w:i w:val="0"/>
          <w:sz w:val="24"/>
          <w:lang w:val="es-ES"/>
        </w:rPr>
        <w:t xml:space="preserve">“Archivo1645817426979” </w:t>
      </w:r>
      <w:r w:rsidR="00B00C80">
        <w:rPr>
          <w:i w:val="0"/>
          <w:sz w:val="24"/>
          <w:lang w:val="es-ES"/>
        </w:rPr>
        <w:t xml:space="preserve">cuyo contenido no fue posible de visualizar. </w:t>
      </w:r>
      <w:r>
        <w:rPr>
          <w:i w:val="0"/>
          <w:sz w:val="24"/>
          <w:lang w:val="es-ES"/>
        </w:rPr>
        <w:t xml:space="preserve"> </w:t>
      </w:r>
    </w:p>
    <w:p w14:paraId="42359487" w14:textId="77777777" w:rsidR="00382012" w:rsidRDefault="00B00C80" w:rsidP="00382012">
      <w:pPr>
        <w:pStyle w:val="Citas"/>
        <w:ind w:left="0" w:right="0"/>
        <w:rPr>
          <w:i w:val="0"/>
          <w:sz w:val="24"/>
          <w:szCs w:val="24"/>
        </w:rPr>
      </w:pPr>
      <w:r>
        <w:rPr>
          <w:i w:val="0"/>
          <w:sz w:val="24"/>
          <w:szCs w:val="24"/>
        </w:rPr>
        <w:t xml:space="preserve">En virtud de lo anterior, a toda luz se desprende que las razones o motivos de inconformidad esgrimidos por el particular se encuentran encauzados a denotar la actualización de la causal de procedencia prevista en el artículo 179, fracciones I y </w:t>
      </w:r>
      <w:r w:rsidR="00382012">
        <w:rPr>
          <w:i w:val="0"/>
          <w:sz w:val="24"/>
          <w:szCs w:val="24"/>
        </w:rPr>
        <w:t>V de la Ley de Transparencia y Acceso a la Información Pública del Estado de México y Municipios, normatividad que dispone a la literalidad lo siguiente:</w:t>
      </w:r>
    </w:p>
    <w:p w14:paraId="7F91DB8B" w14:textId="77777777" w:rsidR="00B00C80" w:rsidRDefault="00B00C80" w:rsidP="00B00C80">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19A06C78" w14:textId="77777777" w:rsidR="00B00C80" w:rsidRDefault="00B00C80" w:rsidP="00B00C80">
      <w:pPr>
        <w:pStyle w:val="Citas"/>
      </w:pPr>
      <w:r>
        <w:t xml:space="preserve">I. La negativa a la información solicitada; </w:t>
      </w:r>
    </w:p>
    <w:p w14:paraId="038D0FC9" w14:textId="77777777" w:rsidR="00382012" w:rsidRDefault="00B00C80" w:rsidP="00B00C80">
      <w:pPr>
        <w:pStyle w:val="Citas"/>
      </w:pPr>
      <w:r>
        <w:lastRenderedPageBreak/>
        <w:t>(…)</w:t>
      </w:r>
    </w:p>
    <w:p w14:paraId="0CB6997B" w14:textId="77777777" w:rsidR="00382012" w:rsidRDefault="00382012" w:rsidP="00B00C80">
      <w:pPr>
        <w:pStyle w:val="Citas"/>
      </w:pPr>
      <w:r>
        <w:t>V. La entrega de información incompleta;</w:t>
      </w:r>
    </w:p>
    <w:p w14:paraId="3A6DEC92" w14:textId="66F965F1" w:rsidR="00B00C80" w:rsidRPr="007818E1" w:rsidRDefault="00382012" w:rsidP="00B00C80">
      <w:pPr>
        <w:pStyle w:val="Citas"/>
        <w:rPr>
          <w:b/>
        </w:rPr>
      </w:pPr>
      <w:r>
        <w:t>(…)</w:t>
      </w:r>
      <w:r w:rsidR="00B00C80">
        <w:t xml:space="preserve">” </w:t>
      </w:r>
      <w:r w:rsidR="00B00C80">
        <w:rPr>
          <w:b/>
        </w:rPr>
        <w:t>[Sic]</w:t>
      </w:r>
    </w:p>
    <w:p w14:paraId="371605D1" w14:textId="77777777" w:rsidR="003E20B4" w:rsidRDefault="003E20B4" w:rsidP="005F4BA7">
      <w:pPr>
        <w:spacing w:after="0" w:line="360" w:lineRule="auto"/>
        <w:jc w:val="both"/>
        <w:rPr>
          <w:rFonts w:ascii="Palatino Linotype" w:hAnsi="Palatino Linotype"/>
          <w:bCs/>
        </w:rPr>
      </w:pPr>
    </w:p>
    <w:p w14:paraId="6ABFF9D6" w14:textId="61440011" w:rsidR="00A715FE" w:rsidRDefault="00AB6A6D" w:rsidP="005F4BA7">
      <w:pPr>
        <w:spacing w:after="0" w:line="360" w:lineRule="auto"/>
        <w:jc w:val="both"/>
        <w:rPr>
          <w:rFonts w:ascii="Palatino Linotype" w:hAnsi="Palatino Linotype"/>
          <w:bCs/>
          <w:sz w:val="24"/>
          <w:szCs w:val="24"/>
        </w:rPr>
      </w:pPr>
      <w:r>
        <w:rPr>
          <w:rFonts w:ascii="Palatino Linotype" w:hAnsi="Palatino Linotype"/>
          <w:bCs/>
          <w:sz w:val="24"/>
          <w:szCs w:val="24"/>
        </w:rPr>
        <w:t>En virtud de lo anterior,</w:t>
      </w:r>
      <w:r w:rsidR="00643DA3" w:rsidRPr="00643DA3">
        <w:rPr>
          <w:rFonts w:ascii="Palatino Linotype" w:hAnsi="Palatino Linotype"/>
          <w:bCs/>
          <w:sz w:val="24"/>
          <w:szCs w:val="24"/>
        </w:rPr>
        <w:t xml:space="preserve"> de la interposición del recurso de revisión, </w:t>
      </w:r>
      <w:r w:rsidR="00643DA3" w:rsidRPr="00643DA3">
        <w:rPr>
          <w:rFonts w:ascii="Palatino Linotype" w:hAnsi="Palatino Linotype"/>
          <w:b/>
          <w:bCs/>
          <w:sz w:val="24"/>
          <w:szCs w:val="24"/>
        </w:rPr>
        <w:t xml:space="preserve">El Sujeto Obligado </w:t>
      </w:r>
      <w:r w:rsidR="00A715FE">
        <w:rPr>
          <w:rFonts w:ascii="Palatino Linotype" w:hAnsi="Palatino Linotype"/>
          <w:bCs/>
          <w:sz w:val="24"/>
          <w:szCs w:val="24"/>
        </w:rPr>
        <w:t>rindió su informe justificado en los siguientes términos:</w:t>
      </w:r>
    </w:p>
    <w:p w14:paraId="08C383FD" w14:textId="44D8C920" w:rsidR="00A715FE" w:rsidRPr="00B333EA" w:rsidRDefault="00A715FE" w:rsidP="00A715FE">
      <w:pPr>
        <w:pStyle w:val="Prrafodelista"/>
        <w:numPr>
          <w:ilvl w:val="0"/>
          <w:numId w:val="13"/>
        </w:numPr>
        <w:spacing w:line="360" w:lineRule="auto"/>
        <w:jc w:val="both"/>
        <w:rPr>
          <w:rFonts w:ascii="Palatino Linotype" w:hAnsi="Palatino Linotype"/>
          <w:b/>
          <w:bCs/>
        </w:rPr>
      </w:pPr>
      <w:r>
        <w:rPr>
          <w:rFonts w:ascii="Palatino Linotype" w:hAnsi="Palatino Linotype"/>
          <w:b/>
          <w:bCs/>
        </w:rPr>
        <w:t>“</w:t>
      </w:r>
      <w:r w:rsidR="005875FF">
        <w:rPr>
          <w:rFonts w:ascii="Palatino Linotype" w:hAnsi="Palatino Linotype"/>
          <w:b/>
        </w:rPr>
        <w:t xml:space="preserve">TM.724.2022.pdf”: </w:t>
      </w:r>
      <w:r w:rsidR="005875FF">
        <w:rPr>
          <w:rFonts w:ascii="Palatino Linotype" w:hAnsi="Palatino Linotype"/>
          <w:bCs/>
        </w:rPr>
        <w:t xml:space="preserve">Oficio </w:t>
      </w:r>
      <w:r w:rsidR="005875FF">
        <w:rPr>
          <w:rFonts w:ascii="Palatino Linotype" w:hAnsi="Palatino Linotype"/>
          <w:b/>
        </w:rPr>
        <w:t xml:space="preserve">TM/724/2022 </w:t>
      </w:r>
      <w:r w:rsidR="005875FF">
        <w:rPr>
          <w:rFonts w:ascii="Palatino Linotype" w:hAnsi="Palatino Linotype"/>
          <w:bCs/>
        </w:rPr>
        <w:t>signado por el Tesorero Municipal y dirigido a la Titular de la Unidad de Transparencia, en síntesis r</w:t>
      </w:r>
      <w:r w:rsidR="005008D0">
        <w:rPr>
          <w:rFonts w:ascii="Palatino Linotype" w:hAnsi="Palatino Linotype"/>
          <w:bCs/>
        </w:rPr>
        <w:t xml:space="preserve">atifica la respuesta primigenia, aduciendo que no se localizó el monto aprobado para la realización del festejo del bicentenario del municipio. Sin embargo, se realizó una reconducción presupuestal para la reasignación de los recursos con la finalidad de brindar atención durante campaña de  vacunación contra del virus </w:t>
      </w:r>
      <w:r w:rsidR="005008D0">
        <w:rPr>
          <w:rFonts w:ascii="Palatino Linotype" w:hAnsi="Palatino Linotype"/>
          <w:b/>
        </w:rPr>
        <w:t xml:space="preserve">Sars Cov2 (Covid-19). </w:t>
      </w:r>
    </w:p>
    <w:p w14:paraId="18EA890F" w14:textId="77777777" w:rsidR="00B333EA" w:rsidRPr="00A715FE" w:rsidRDefault="00B333EA" w:rsidP="00B333EA">
      <w:pPr>
        <w:pStyle w:val="Prrafodelista"/>
        <w:spacing w:line="360" w:lineRule="auto"/>
        <w:ind w:left="1440"/>
        <w:jc w:val="both"/>
        <w:rPr>
          <w:rFonts w:ascii="Palatino Linotype" w:hAnsi="Palatino Linotype"/>
          <w:b/>
          <w:bCs/>
        </w:rPr>
      </w:pPr>
    </w:p>
    <w:p w14:paraId="28C1FB43" w14:textId="77777777" w:rsidR="00A715FE" w:rsidRDefault="00A715FE" w:rsidP="005F4BA7">
      <w:pPr>
        <w:spacing w:after="0" w:line="360" w:lineRule="auto"/>
        <w:jc w:val="both"/>
        <w:rPr>
          <w:rFonts w:ascii="Palatino Linotype" w:hAnsi="Palatino Linotype"/>
          <w:b/>
          <w:bCs/>
          <w:sz w:val="24"/>
          <w:szCs w:val="24"/>
        </w:rPr>
      </w:pPr>
    </w:p>
    <w:p w14:paraId="2304AD5C" w14:textId="014C7EDA" w:rsidR="005008D0" w:rsidRDefault="00643DA3" w:rsidP="00643DA3">
      <w:pPr>
        <w:spacing w:after="0" w:line="360" w:lineRule="auto"/>
        <w:jc w:val="both"/>
        <w:rPr>
          <w:rFonts w:ascii="Palatino Linotype" w:eastAsia="Calibri" w:hAnsi="Palatino Linotype" w:cs="Times New Roman"/>
          <w:sz w:val="24"/>
          <w:szCs w:val="24"/>
          <w:lang w:val="es-ES_tradnl" w:eastAsia="es-ES"/>
        </w:rPr>
      </w:pPr>
      <w:r w:rsidRPr="00D4318C">
        <w:rPr>
          <w:rFonts w:ascii="Palatino Linotype" w:eastAsia="Calibri" w:hAnsi="Palatino Linotype" w:cs="Times New Roman"/>
          <w:sz w:val="24"/>
          <w:szCs w:val="24"/>
          <w:lang w:val="es-ES_tradnl" w:eastAsia="es-ES"/>
        </w:rPr>
        <w:t xml:space="preserve">Atentos a lo anterior, </w:t>
      </w:r>
      <w:r w:rsidR="005008D0">
        <w:rPr>
          <w:rFonts w:ascii="Palatino Linotype" w:eastAsia="Calibri" w:hAnsi="Palatino Linotype" w:cs="Times New Roman"/>
          <w:sz w:val="24"/>
          <w:szCs w:val="24"/>
          <w:lang w:val="es-ES_tradnl" w:eastAsia="es-ES"/>
        </w:rPr>
        <w:t>esta Ponencia Resolutora arriba a las siguientes consideraciones:</w:t>
      </w:r>
    </w:p>
    <w:p w14:paraId="6EAB1EAD" w14:textId="6DC456AA" w:rsidR="005008D0" w:rsidRPr="00897D44" w:rsidRDefault="005008D0" w:rsidP="005008D0">
      <w:pPr>
        <w:pStyle w:val="Prrafodelista"/>
        <w:numPr>
          <w:ilvl w:val="0"/>
          <w:numId w:val="21"/>
        </w:numPr>
        <w:spacing w:line="360" w:lineRule="auto"/>
        <w:jc w:val="both"/>
        <w:rPr>
          <w:rFonts w:ascii="Palatino Linotype" w:eastAsia="Calibri" w:hAnsi="Palatino Linotype"/>
          <w:lang w:val="es-ES_tradnl"/>
        </w:rPr>
      </w:pPr>
      <w:r>
        <w:rPr>
          <w:rFonts w:ascii="Palatino Linotype" w:hAnsi="Palatino Linotype"/>
        </w:rPr>
        <w:t xml:space="preserve">En la generación, publicación y entrega de la información, los </w:t>
      </w:r>
      <w:r>
        <w:rPr>
          <w:rFonts w:ascii="Palatino Linotype" w:hAnsi="Palatino Linotype"/>
          <w:b/>
          <w:bCs/>
        </w:rPr>
        <w:t xml:space="preserve">Sujetos Obligados </w:t>
      </w:r>
      <w:r>
        <w:rPr>
          <w:rFonts w:ascii="Palatino Linotype" w:hAnsi="Palatino Linotype"/>
        </w:rPr>
        <w:t>deberán de garantizar que ésta sea accesible, completa, congruente, confiable, verificable, veraz e integral.</w:t>
      </w:r>
    </w:p>
    <w:p w14:paraId="203DA096" w14:textId="34A8F3F3" w:rsidR="00897D44" w:rsidRPr="00897D44" w:rsidRDefault="00897D44" w:rsidP="005008D0">
      <w:pPr>
        <w:pStyle w:val="Prrafodelista"/>
        <w:numPr>
          <w:ilvl w:val="0"/>
          <w:numId w:val="21"/>
        </w:numPr>
        <w:spacing w:line="360" w:lineRule="auto"/>
        <w:jc w:val="both"/>
        <w:rPr>
          <w:rFonts w:ascii="Palatino Linotype" w:eastAsia="Calibri" w:hAnsi="Palatino Linotype"/>
          <w:lang w:val="es-ES_tradnl"/>
        </w:rPr>
      </w:pPr>
      <w:r>
        <w:rPr>
          <w:rFonts w:ascii="Palatino Linotype" w:hAnsi="Palatino Linotype"/>
        </w:rPr>
        <w:t xml:space="preserve">De una interpretación literal al numeral 162 de la Ley de Transparencia local, las Unidades de Transparencia deberán de garantizar que las solicitudes se turnen a todas las áreas competentes que cuenten con la información o deban tenerla de conformidad con las atribuciones, facultades o competencias </w:t>
      </w:r>
      <w:r>
        <w:rPr>
          <w:rFonts w:ascii="Palatino Linotype" w:hAnsi="Palatino Linotype"/>
        </w:rPr>
        <w:lastRenderedPageBreak/>
        <w:t xml:space="preserve">reservadas. </w:t>
      </w:r>
      <w:r w:rsidRPr="00897D44">
        <w:rPr>
          <w:rFonts w:ascii="Palatino Linotype" w:hAnsi="Palatino Linotype"/>
        </w:rPr>
        <w:t>Resultando competente la Tesorería Municipal, la Subtesorería de Egresos, Departamento de Registro y Control Presupuestal</w:t>
      </w:r>
      <w:r w:rsidR="00141BDA">
        <w:rPr>
          <w:rFonts w:ascii="Palatino Linotype" w:hAnsi="Palatino Linotype"/>
        </w:rPr>
        <w:t>, así como la Dirección de Administración y Desarrollo de Personal.</w:t>
      </w:r>
    </w:p>
    <w:p w14:paraId="6D5C8AFD" w14:textId="7FE9D66C" w:rsidR="00D516CC" w:rsidRPr="0070175B" w:rsidRDefault="00D516CC" w:rsidP="005008D0">
      <w:pPr>
        <w:pStyle w:val="Prrafodelista"/>
        <w:numPr>
          <w:ilvl w:val="0"/>
          <w:numId w:val="21"/>
        </w:numPr>
        <w:spacing w:line="360" w:lineRule="auto"/>
        <w:jc w:val="both"/>
        <w:rPr>
          <w:rFonts w:ascii="Palatino Linotype" w:eastAsia="Calibri" w:hAnsi="Palatino Linotype"/>
          <w:lang w:val="es-ES_tradnl"/>
        </w:rPr>
      </w:pPr>
      <w:r>
        <w:rPr>
          <w:rFonts w:ascii="Palatino Linotype" w:eastAsia="Calibri" w:hAnsi="Palatino Linotype"/>
          <w:lang w:val="es-ES_tradnl"/>
        </w:rPr>
        <w:t>En este sentido,</w:t>
      </w:r>
      <w:r w:rsidR="00897D44">
        <w:rPr>
          <w:rFonts w:ascii="Palatino Linotype" w:eastAsia="Calibri" w:hAnsi="Palatino Linotype"/>
          <w:lang w:val="es-ES_tradnl"/>
        </w:rPr>
        <w:t xml:space="preserve"> mediante respuesta a la solicitud de información </w:t>
      </w:r>
      <w:r w:rsidR="00897D44">
        <w:rPr>
          <w:rFonts w:ascii="Palatino Linotype" w:eastAsia="Calibri" w:hAnsi="Palatino Linotype"/>
          <w:b/>
          <w:bCs/>
          <w:lang w:val="es-ES_tradnl"/>
        </w:rPr>
        <w:t>00041/ATIZARA/IP/2022</w:t>
      </w:r>
      <w:r w:rsidR="00CE57D6">
        <w:rPr>
          <w:rFonts w:ascii="Palatino Linotype" w:eastAsia="Calibri" w:hAnsi="Palatino Linotype"/>
          <w:b/>
          <w:bCs/>
          <w:lang w:val="es-ES_tradnl"/>
        </w:rPr>
        <w:t xml:space="preserve">, El Sujeto Obligado </w:t>
      </w:r>
      <w:r>
        <w:rPr>
          <w:rFonts w:ascii="Palatino Linotype" w:eastAsia="Calibri" w:hAnsi="Palatino Linotype"/>
          <w:lang w:val="es-ES_tradnl"/>
        </w:rPr>
        <w:t xml:space="preserve">refirió que en sus archivos no obra la información referente a la asignación presupuestal para los festejos del Bicentenario de Independencia de México, sin embargo, fueron reconducidos para </w:t>
      </w:r>
      <w:r w:rsidR="00284A01">
        <w:rPr>
          <w:rFonts w:ascii="Palatino Linotype" w:eastAsia="Calibri" w:hAnsi="Palatino Linotype"/>
          <w:lang w:val="es-ES_tradnl"/>
        </w:rPr>
        <w:t xml:space="preserve">la atención de campañas de vacunación contra el virus </w:t>
      </w:r>
      <w:r w:rsidR="00284A01">
        <w:rPr>
          <w:rFonts w:ascii="Palatino Linotype" w:eastAsia="Calibri" w:hAnsi="Palatino Linotype"/>
          <w:b/>
          <w:bCs/>
          <w:lang w:val="es-ES_tradnl"/>
        </w:rPr>
        <w:t>Sars Cov2 (Covid-19).</w:t>
      </w:r>
    </w:p>
    <w:p w14:paraId="1966562A" w14:textId="2252DA06" w:rsidR="0070175B" w:rsidRDefault="0070175B" w:rsidP="0070175B">
      <w:pPr>
        <w:pStyle w:val="Prrafodelista"/>
        <w:spacing w:line="360" w:lineRule="auto"/>
        <w:ind w:left="720"/>
        <w:jc w:val="both"/>
        <w:rPr>
          <w:rFonts w:ascii="Palatino Linotype" w:eastAsia="Calibri" w:hAnsi="Palatino Linotype"/>
          <w:lang w:val="es-ES_tradnl"/>
        </w:rPr>
      </w:pPr>
      <w:r>
        <w:rPr>
          <w:rFonts w:ascii="Palatino Linotype" w:eastAsia="Calibri" w:hAnsi="Palatino Linotype"/>
          <w:lang w:val="es-ES_tradnl"/>
        </w:rPr>
        <w:t xml:space="preserve">Postura que no es susceptible de colmar el derecho de acceso a la información pública, al no tenerse por agotada una búsqueda exhaustiva y razonable, al tomar en consideración que en la administración de recursos del Estado convergen una Tesorería municipal que programa las finanzas, reconduce los recursos y registra los ingresos y egresos; así como una Dirección de Administración encargada de la adquisición de recursos materiales mediante licitaciones públicas o asignaciones directas. </w:t>
      </w:r>
    </w:p>
    <w:p w14:paraId="326558C3" w14:textId="581FF3DF" w:rsidR="00284A01" w:rsidRDefault="00284A01" w:rsidP="005008D0">
      <w:pPr>
        <w:pStyle w:val="Prrafodelista"/>
        <w:numPr>
          <w:ilvl w:val="0"/>
          <w:numId w:val="21"/>
        </w:num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La reconducción presupuestal se traduce en una serie de medidas administrativas que se adoptan para garantizar que los entes públicos no carezcan de los recursos presupuestales para cumplir con sus fines y objetivos. </w:t>
      </w:r>
    </w:p>
    <w:p w14:paraId="5CDB92D1" w14:textId="56CB5990" w:rsidR="00284A01" w:rsidRDefault="00284A01" w:rsidP="0099575D">
      <w:pPr>
        <w:pStyle w:val="Prrafodelista"/>
        <w:numPr>
          <w:ilvl w:val="0"/>
          <w:numId w:val="21"/>
        </w:num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Que </w:t>
      </w:r>
      <w:r w:rsidR="00B97C8F">
        <w:rPr>
          <w:rFonts w:ascii="Palatino Linotype" w:eastAsia="Calibri" w:hAnsi="Palatino Linotype"/>
          <w:lang w:val="es-ES_tradnl"/>
        </w:rPr>
        <w:t xml:space="preserve">los traspasos presupuestarios externos serán aquellos que se realicen entre programas, capítulos de gasto o fuentes de financiamiento, </w:t>
      </w:r>
      <w:r w:rsidR="00B97C8F" w:rsidRPr="0070175B">
        <w:rPr>
          <w:rFonts w:ascii="Palatino Linotype" w:eastAsia="Calibri" w:hAnsi="Palatino Linotype"/>
          <w:b/>
          <w:bCs/>
          <w:u w:val="single"/>
          <w:lang w:val="es-ES_tradnl"/>
        </w:rPr>
        <w:t>mismos que deberán de ser justificados, aprobados y amparados mediante un dictamen de reconducción y actualización programática presupuestal</w:t>
      </w:r>
      <w:r w:rsidR="0099575D">
        <w:rPr>
          <w:rFonts w:ascii="Palatino Linotype" w:eastAsia="Calibri" w:hAnsi="Palatino Linotype"/>
          <w:lang w:val="es-ES_tradnl"/>
        </w:rPr>
        <w:t xml:space="preserve"> que deberá de </w:t>
      </w:r>
      <w:r w:rsidR="0099575D">
        <w:rPr>
          <w:rFonts w:ascii="Palatino Linotype" w:eastAsia="Calibri" w:hAnsi="Palatino Linotype"/>
          <w:lang w:val="es-ES_tradnl"/>
        </w:rPr>
        <w:lastRenderedPageBreak/>
        <w:t xml:space="preserve">incluir montos, fuentes de financiamiento, programas y proyectos afectados, descripción de </w:t>
      </w:r>
      <w:r w:rsidR="0099575D" w:rsidRPr="00590A32">
        <w:rPr>
          <w:rFonts w:eastAsia="Calibri"/>
        </w:rPr>
        <w:t>ajuste</w:t>
      </w:r>
      <w:r w:rsidR="0099575D">
        <w:rPr>
          <w:rFonts w:ascii="Palatino Linotype" w:eastAsia="Calibri" w:hAnsi="Palatino Linotype"/>
          <w:lang w:val="es-ES_tradnl"/>
        </w:rPr>
        <w:t xml:space="preserve"> en sus metas y objetivos, así como unidades ejecutoras afectadas y los capítulos de gastos que comprenden.</w:t>
      </w:r>
    </w:p>
    <w:p w14:paraId="55809B41" w14:textId="4A75846E" w:rsidR="00D516CC" w:rsidRDefault="00D516CC" w:rsidP="005008D0">
      <w:pPr>
        <w:pStyle w:val="Prrafodelista"/>
        <w:numPr>
          <w:ilvl w:val="0"/>
          <w:numId w:val="21"/>
        </w:numPr>
        <w:spacing w:line="360" w:lineRule="auto"/>
        <w:jc w:val="both"/>
        <w:rPr>
          <w:rFonts w:ascii="Palatino Linotype" w:eastAsia="Calibri" w:hAnsi="Palatino Linotype"/>
          <w:lang w:val="es-ES_tradnl"/>
        </w:rPr>
      </w:pPr>
      <w:r>
        <w:rPr>
          <w:rFonts w:ascii="Palatino Linotype" w:eastAsia="Calibri" w:hAnsi="Palatino Linotype"/>
          <w:lang w:val="es-ES_tradnl"/>
        </w:rPr>
        <w:t xml:space="preserve">Que mediante informe justificado, </w:t>
      </w:r>
      <w:r>
        <w:rPr>
          <w:rFonts w:ascii="Palatino Linotype" w:eastAsia="Calibri" w:hAnsi="Palatino Linotype"/>
          <w:b/>
          <w:bCs/>
          <w:lang w:val="es-ES_tradnl"/>
        </w:rPr>
        <w:t xml:space="preserve">El Sujeto Obligado </w:t>
      </w:r>
      <w:r>
        <w:rPr>
          <w:rFonts w:ascii="Palatino Linotype" w:eastAsia="Calibri" w:hAnsi="Palatino Linotype"/>
          <w:lang w:val="es-ES_tradnl"/>
        </w:rPr>
        <w:t>se limitó a ratificar la respuesta primigenia, es decir, no subsanó la violación al derecho de acceso a la información pública.</w:t>
      </w:r>
    </w:p>
    <w:p w14:paraId="46ADC0EE" w14:textId="02893B42" w:rsidR="00897D44" w:rsidRDefault="00897D44" w:rsidP="0070175B">
      <w:pPr>
        <w:spacing w:line="360" w:lineRule="auto"/>
        <w:jc w:val="both"/>
        <w:rPr>
          <w:rFonts w:ascii="Palatino Linotype" w:eastAsia="Calibri" w:hAnsi="Palatino Linotype"/>
          <w:lang w:val="es-ES_tradnl"/>
        </w:rPr>
      </w:pPr>
    </w:p>
    <w:p w14:paraId="1300E169" w14:textId="77777777" w:rsidR="0070175B" w:rsidRDefault="0070175B" w:rsidP="0070175B">
      <w:pPr>
        <w:spacing w:before="240" w:after="240" w:line="360" w:lineRule="auto"/>
        <w:jc w:val="both"/>
        <w:rPr>
          <w:rFonts w:ascii="Palatino Linotype" w:hAnsi="Palatino Linotype"/>
          <w:sz w:val="24"/>
          <w:szCs w:val="24"/>
        </w:rPr>
      </w:pPr>
      <w:r w:rsidRPr="002975F6">
        <w:rPr>
          <w:rFonts w:ascii="Palatino Linotype" w:hAnsi="Palatino Linotype"/>
          <w:sz w:val="24"/>
          <w:szCs w:val="24"/>
        </w:rPr>
        <w:t xml:space="preserve">Con base en lo anteriormente expuesto, resulta procedente </w:t>
      </w:r>
      <w:r>
        <w:rPr>
          <w:rFonts w:ascii="Palatino Linotype" w:hAnsi="Palatino Linotype"/>
          <w:sz w:val="24"/>
          <w:szCs w:val="24"/>
        </w:rPr>
        <w:t xml:space="preserve">ordenar una búsqueda exhaustiva y razonable, a efecto de entregar en versión pública de ser procedente, de la siguiente información: </w:t>
      </w:r>
    </w:p>
    <w:p w14:paraId="03F1042C" w14:textId="77777777" w:rsidR="00D36819" w:rsidRPr="00D36819" w:rsidRDefault="00D36819" w:rsidP="00D36819">
      <w:pPr>
        <w:pStyle w:val="Prrafodelista"/>
        <w:numPr>
          <w:ilvl w:val="0"/>
          <w:numId w:val="23"/>
        </w:numPr>
        <w:spacing w:line="360" w:lineRule="auto"/>
        <w:jc w:val="both"/>
        <w:rPr>
          <w:rFonts w:ascii="Palatino Linotype" w:eastAsia="Calibri" w:hAnsi="Palatino Linotype"/>
          <w:iCs/>
        </w:rPr>
      </w:pPr>
      <w:r w:rsidRPr="00D36819">
        <w:rPr>
          <w:rFonts w:ascii="Palatino Linotype" w:eastAsia="Calibri" w:hAnsi="Palatino Linotype"/>
          <w:iCs/>
        </w:rPr>
        <w:t>El o los documentos donde conste la reconducción presupuestal de los recursos originalmente etiquetados para la celebración del Bicentenario de la Independencia de México en el municipio de Atizapán de Zaragoza, al veinte de enero de dos mil veintidós.</w:t>
      </w:r>
    </w:p>
    <w:p w14:paraId="5039ABE7" w14:textId="7E5663FB" w:rsidR="00D36819" w:rsidRPr="00D36819" w:rsidRDefault="00D36819" w:rsidP="00D36819">
      <w:pPr>
        <w:pStyle w:val="Prrafodelista"/>
        <w:numPr>
          <w:ilvl w:val="0"/>
          <w:numId w:val="23"/>
        </w:numPr>
        <w:spacing w:line="360" w:lineRule="auto"/>
        <w:jc w:val="both"/>
        <w:rPr>
          <w:rFonts w:ascii="Palatino Linotype" w:eastAsia="Calibri" w:hAnsi="Palatino Linotype"/>
          <w:iCs/>
        </w:rPr>
      </w:pPr>
      <w:r w:rsidRPr="00D36819">
        <w:rPr>
          <w:rFonts w:ascii="Palatino Linotype" w:eastAsia="Calibri" w:hAnsi="Palatino Linotype"/>
          <w:iCs/>
        </w:rPr>
        <w:t xml:space="preserve">El o los documentos donde consten los gastos respecto de los recursos públicos referidos en el primer punto.  </w:t>
      </w:r>
    </w:p>
    <w:p w14:paraId="69D3F87F" w14:textId="77777777" w:rsidR="00D36819" w:rsidRPr="0070175B" w:rsidRDefault="00D36819" w:rsidP="00D36819">
      <w:pPr>
        <w:pStyle w:val="Prrafodelista"/>
        <w:spacing w:line="360" w:lineRule="auto"/>
        <w:ind w:left="1068"/>
        <w:jc w:val="both"/>
        <w:rPr>
          <w:rFonts w:ascii="Palatino Linotype" w:eastAsia="Calibri" w:hAnsi="Palatino Linotype"/>
        </w:rPr>
      </w:pPr>
    </w:p>
    <w:p w14:paraId="2566D8C4" w14:textId="67257325" w:rsidR="005008D0" w:rsidRDefault="005008D0" w:rsidP="00643DA3">
      <w:pPr>
        <w:spacing w:after="0" w:line="360" w:lineRule="auto"/>
        <w:jc w:val="both"/>
        <w:rPr>
          <w:rFonts w:ascii="Palatino Linotype" w:eastAsia="Calibri" w:hAnsi="Palatino Linotype" w:cs="Times New Roman"/>
          <w:sz w:val="24"/>
          <w:szCs w:val="24"/>
          <w:lang w:val="es-ES_tradnl" w:eastAsia="es-ES"/>
        </w:rPr>
      </w:pPr>
    </w:p>
    <w:p w14:paraId="11CE32BB" w14:textId="77777777" w:rsidR="00D767A9" w:rsidRPr="00C22506" w:rsidRDefault="00D767A9" w:rsidP="00D767A9">
      <w:pPr>
        <w:autoSpaceDE w:val="0"/>
        <w:autoSpaceDN w:val="0"/>
        <w:adjustRightInd w:val="0"/>
        <w:spacing w:before="240" w:line="360" w:lineRule="auto"/>
        <w:jc w:val="both"/>
        <w:rPr>
          <w:rFonts w:ascii="Palatino Linotype" w:hAnsi="Palatino Linotype"/>
          <w:b/>
          <w:sz w:val="28"/>
          <w:szCs w:val="28"/>
        </w:rPr>
      </w:pPr>
      <w:r>
        <w:rPr>
          <w:rFonts w:ascii="Palatino Linotype" w:hAnsi="Palatino Linotype"/>
          <w:b/>
          <w:sz w:val="28"/>
          <w:szCs w:val="28"/>
        </w:rPr>
        <w:t xml:space="preserve">De la </w:t>
      </w:r>
      <w:r w:rsidRPr="00C22506">
        <w:rPr>
          <w:rFonts w:ascii="Palatino Linotype" w:hAnsi="Palatino Linotype"/>
          <w:b/>
          <w:sz w:val="28"/>
          <w:szCs w:val="28"/>
        </w:rPr>
        <w:t xml:space="preserve">Versión Pública </w:t>
      </w:r>
    </w:p>
    <w:p w14:paraId="2E7CDF84" w14:textId="77777777" w:rsidR="00D767A9" w:rsidRPr="001571EB" w:rsidRDefault="00D767A9" w:rsidP="00D767A9">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 xml:space="preserve">o pasa desapercibido que la información podría contener información susceptible de clasificar, por lo cual, dicha información debe ser clasificada para no vulnerar un </w:t>
      </w:r>
      <w:r w:rsidRPr="001571EB">
        <w:rPr>
          <w:rFonts w:ascii="Palatino Linotype" w:eastAsia="Arial Unicode MS" w:hAnsi="Palatino Linotype" w:cs="Arial"/>
          <w:sz w:val="24"/>
          <w:szCs w:val="24"/>
        </w:rPr>
        <w:lastRenderedPageBreak/>
        <w:t>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7978B8C" w14:textId="77777777" w:rsidR="00D767A9" w:rsidRPr="00E60DEF" w:rsidRDefault="00D767A9" w:rsidP="00D767A9">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BD11D00" w14:textId="77777777" w:rsidR="00D767A9" w:rsidRPr="00E60DEF" w:rsidRDefault="00D767A9" w:rsidP="00D767A9">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00526A1C" w14:textId="77777777" w:rsidR="00D767A9" w:rsidRPr="001571EB" w:rsidRDefault="00D767A9" w:rsidP="00D767A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74BD773B" w14:textId="77777777" w:rsidR="00D767A9" w:rsidRPr="001571EB" w:rsidRDefault="00D767A9" w:rsidP="00D767A9">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3940215" w14:textId="77777777" w:rsidR="00D767A9" w:rsidRPr="001571EB" w:rsidRDefault="00D767A9" w:rsidP="00D767A9">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002093DC" w14:textId="77777777" w:rsidR="00D767A9" w:rsidRPr="001571EB" w:rsidRDefault="00D767A9" w:rsidP="00D767A9">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La clasificación es el proceso mediante el cual el sujeto obligado determina que la información en su poder actualiza alguno de los supuestos de reserva o confidencialidad, de conformidad con lo dispuesto en el presente título.</w:t>
      </w:r>
    </w:p>
    <w:p w14:paraId="7CD5032F" w14:textId="77777777" w:rsidR="00D767A9" w:rsidRPr="001571EB" w:rsidRDefault="00D767A9" w:rsidP="00D767A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2E81EFC" w14:textId="77777777" w:rsidR="00D767A9" w:rsidRPr="001571EB" w:rsidRDefault="00D767A9" w:rsidP="00D767A9">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Artículo 132. La clasificación de la información se llevará a cabo en el momento en que:</w:t>
      </w:r>
    </w:p>
    <w:p w14:paraId="6DF9639D" w14:textId="77777777" w:rsidR="00D767A9" w:rsidRPr="001571EB" w:rsidRDefault="00D767A9" w:rsidP="00D767A9">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136F7579" w14:textId="77777777" w:rsidR="00D767A9" w:rsidRPr="00E60DEF" w:rsidRDefault="00D767A9" w:rsidP="00D767A9">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5FA6B1D" w14:textId="77777777" w:rsidR="00D767A9" w:rsidRPr="001571EB" w:rsidRDefault="00D767A9" w:rsidP="00D767A9">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2EC0E4D" w14:textId="77777777" w:rsidR="00D767A9" w:rsidRDefault="00D767A9" w:rsidP="00D767A9">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CD11EF2" w14:textId="77777777" w:rsidR="008253B0" w:rsidRDefault="008253B0" w:rsidP="00D767A9">
      <w:pPr>
        <w:spacing w:after="0" w:line="360" w:lineRule="auto"/>
        <w:ind w:right="51"/>
        <w:jc w:val="both"/>
        <w:rPr>
          <w:rFonts w:ascii="Palatino Linotype" w:eastAsia="Arial Unicode MS" w:hAnsi="Palatino Linotype" w:cs="Arial"/>
          <w:sz w:val="24"/>
          <w:szCs w:val="24"/>
        </w:rPr>
      </w:pPr>
    </w:p>
    <w:p w14:paraId="14ED86DA" w14:textId="5D979F8F" w:rsidR="00D767A9" w:rsidRPr="001571EB" w:rsidRDefault="00D767A9" w:rsidP="00D767A9">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75B1BBB" w14:textId="77777777" w:rsidR="00D767A9" w:rsidRPr="001571EB" w:rsidRDefault="00D767A9" w:rsidP="00D767A9">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7D43BA29" w14:textId="77777777" w:rsidR="00D767A9" w:rsidRPr="001571EB" w:rsidRDefault="00D767A9" w:rsidP="00D767A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2A49A005" w14:textId="77777777" w:rsidR="00D767A9" w:rsidRDefault="00D767A9" w:rsidP="00D767A9">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ahora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58CB3A9" w14:textId="77777777" w:rsidR="00D767A9" w:rsidRDefault="00D767A9" w:rsidP="00D767A9">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61D53E0C"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CBA4287"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20970BAA"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5DA72B55"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Universidad Nacional Autónoma de México. 08 de marzo de 2017. Por unanimidad. Comisionado Ponente Rosendoevgueni Monterrey Chepov</w:t>
      </w:r>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71364D05" w14:textId="77777777" w:rsidR="00D767A9" w:rsidRPr="00EE0180"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4B359D4B" w14:textId="77777777" w:rsidR="00D767A9" w:rsidRPr="001571EB" w:rsidRDefault="00D767A9" w:rsidP="00D767A9">
      <w:pPr>
        <w:autoSpaceDE w:val="0"/>
        <w:autoSpaceDN w:val="0"/>
        <w:adjustRightInd w:val="0"/>
        <w:spacing w:before="120" w:after="120"/>
        <w:ind w:left="567" w:right="850"/>
        <w:jc w:val="both"/>
        <w:rPr>
          <w:rFonts w:ascii="Palatino Linotype" w:eastAsia="Times New Roman" w:hAnsi="Palatino Linotype" w:cs="Arial"/>
          <w:i/>
        </w:rPr>
      </w:pPr>
    </w:p>
    <w:p w14:paraId="62E03669" w14:textId="77777777" w:rsidR="00D767A9" w:rsidRPr="001571EB" w:rsidRDefault="00D767A9" w:rsidP="00D767A9">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Así, el RFC se vincula al nombre de su titular, permite identificar la edad de la persona, su fecha de nacimiento, así como su homoclave, la cual es única e irrepetible y determina justamente la identificación de dicha persona para efectos fiscales, por lo éste constituye un dato personal que concierne a una persona física identificada e identificable.</w:t>
      </w:r>
    </w:p>
    <w:p w14:paraId="4E945720" w14:textId="77777777" w:rsidR="00D767A9" w:rsidRPr="001571EB" w:rsidRDefault="00D767A9" w:rsidP="00D767A9">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BDF3F91" w14:textId="77777777" w:rsidR="00D767A9" w:rsidRDefault="00D767A9" w:rsidP="00D767A9">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2E966875" w14:textId="77777777" w:rsidR="00D767A9" w:rsidRDefault="00D767A9" w:rsidP="00D767A9">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5B320E9E"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2A67B37E"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75DB86C"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3995/16. </w:t>
      </w:r>
      <w:r w:rsidRPr="001571EB">
        <w:rPr>
          <w:rFonts w:ascii="Palatino Linotype" w:eastAsia="Times New Roman" w:hAnsi="Palatino Linotype" w:cs="Arial"/>
          <w:i/>
          <w:lang w:eastAsia="es-MX"/>
        </w:rPr>
        <w:t>Secretaría de la Defensa Nacional. 1 de febrero de 2017. Por unanimidad. Comisionado Ponente Rosendoevgueni Monterrey Chepov.</w:t>
      </w:r>
    </w:p>
    <w:p w14:paraId="1178E44C" w14:textId="77777777" w:rsidR="00D767A9" w:rsidRPr="001571EB"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65DB0203" w14:textId="77777777" w:rsidR="00D767A9" w:rsidRDefault="00D767A9" w:rsidP="00D767A9">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1DE91518" w14:textId="77777777" w:rsidR="00D767A9" w:rsidRDefault="00D767A9" w:rsidP="00D767A9">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el Diario Oficial de la Federación en fecha quince de abril de dos mil dieciséis, mediante Acuerdo del Consejo Nacional del Sistema Nacional de Transparencia, Acceso a la Información Pública y Protección de Datos Personales. </w:t>
      </w:r>
    </w:p>
    <w:p w14:paraId="11DAF1B1" w14:textId="77777777" w:rsidR="00D767A9" w:rsidRDefault="00D767A9" w:rsidP="00D767A9">
      <w:pPr>
        <w:spacing w:line="360" w:lineRule="auto"/>
        <w:contextualSpacing/>
        <w:jc w:val="both"/>
        <w:rPr>
          <w:rFonts w:ascii="Palatino Linotype" w:eastAsia="MS Mincho" w:hAnsi="Palatino Linotype"/>
        </w:rPr>
      </w:pPr>
    </w:p>
    <w:p w14:paraId="1776E114" w14:textId="1FB62323" w:rsidR="00D767A9" w:rsidRPr="00D5257A" w:rsidRDefault="00D767A9" w:rsidP="00D767A9">
      <w:pPr>
        <w:tabs>
          <w:tab w:val="left" w:pos="709"/>
        </w:tabs>
        <w:spacing w:before="240" w:line="360" w:lineRule="auto"/>
        <w:ind w:right="51"/>
        <w:jc w:val="both"/>
        <w:rPr>
          <w:rFonts w:ascii="Palatino Linotype" w:hAnsi="Palatino Linotype"/>
          <w:sz w:val="24"/>
          <w:szCs w:val="24"/>
        </w:rPr>
      </w:pPr>
      <w:r w:rsidRPr="00D5257A">
        <w:rPr>
          <w:rFonts w:ascii="Palatino Linotype" w:hAnsi="Palatino Linotype"/>
          <w:iCs/>
          <w:sz w:val="24"/>
          <w:szCs w:val="24"/>
        </w:rPr>
        <w:t xml:space="preserve">En mérito de lo expuesto </w:t>
      </w:r>
      <w:r w:rsidRPr="00D5257A">
        <w:rPr>
          <w:rFonts w:ascii="Palatino Linotype" w:hAnsi="Palatino Linotype"/>
          <w:sz w:val="24"/>
          <w:szCs w:val="24"/>
        </w:rPr>
        <w:t xml:space="preserve">en líneas anteriores, resultan parcialmente fundados los motivos de inconformidad vertidos por </w:t>
      </w:r>
      <w:r>
        <w:rPr>
          <w:rFonts w:ascii="Palatino Linotype" w:hAnsi="Palatino Linotype"/>
          <w:b/>
          <w:sz w:val="24"/>
          <w:szCs w:val="24"/>
        </w:rPr>
        <w:t>El</w:t>
      </w:r>
      <w:r w:rsidRPr="00D5257A">
        <w:rPr>
          <w:rFonts w:ascii="Palatino Linotype" w:hAnsi="Palatino Linotype"/>
          <w:b/>
          <w:sz w:val="24"/>
          <w:szCs w:val="24"/>
        </w:rPr>
        <w:t xml:space="preserve"> Recurrente, </w:t>
      </w:r>
      <w:r w:rsidRPr="00D5257A">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sidRPr="00D5257A">
        <w:rPr>
          <w:rFonts w:ascii="Palatino Linotype" w:hAnsi="Palatino Linotype"/>
          <w:b/>
          <w:sz w:val="24"/>
          <w:szCs w:val="24"/>
        </w:rPr>
        <w:t xml:space="preserve">MODIFICA </w:t>
      </w:r>
      <w:r w:rsidRPr="00D5257A">
        <w:rPr>
          <w:rFonts w:ascii="Palatino Linotype" w:hAnsi="Palatino Linotype"/>
          <w:sz w:val="24"/>
          <w:szCs w:val="24"/>
        </w:rPr>
        <w:t xml:space="preserve">la respuesta a la solicitud de información </w:t>
      </w:r>
      <w:r>
        <w:rPr>
          <w:rFonts w:ascii="Palatino Linotype" w:hAnsi="Palatino Linotype"/>
          <w:b/>
          <w:sz w:val="24"/>
          <w:szCs w:val="24"/>
        </w:rPr>
        <w:t>00041/ATIZARA/IP/2022</w:t>
      </w:r>
      <w:r w:rsidRPr="00D5257A">
        <w:rPr>
          <w:rFonts w:ascii="Palatino Linotype" w:hAnsi="Palatino Linotype"/>
          <w:b/>
          <w:sz w:val="24"/>
          <w:szCs w:val="24"/>
        </w:rPr>
        <w:t xml:space="preserve">, </w:t>
      </w:r>
      <w:r w:rsidRPr="00D5257A">
        <w:rPr>
          <w:rFonts w:ascii="Palatino Linotype" w:hAnsi="Palatino Linotype"/>
          <w:sz w:val="24"/>
          <w:szCs w:val="24"/>
        </w:rPr>
        <w:t xml:space="preserve">que ha sido materia del presente fallo. </w:t>
      </w:r>
    </w:p>
    <w:p w14:paraId="46A58492" w14:textId="77777777" w:rsidR="00D767A9" w:rsidRDefault="00D767A9" w:rsidP="00D767A9">
      <w:pPr>
        <w:pStyle w:val="Prrafodelista"/>
        <w:spacing w:before="240" w:after="240" w:line="360" w:lineRule="auto"/>
        <w:ind w:left="0"/>
        <w:jc w:val="both"/>
        <w:rPr>
          <w:rFonts w:ascii="Palatino Linotype" w:hAnsi="Palatino Linotype"/>
        </w:rPr>
      </w:pPr>
      <w:r w:rsidRPr="00D5257A">
        <w:rPr>
          <w:rFonts w:ascii="Palatino Linotype" w:hAnsi="Palatino Linotype"/>
        </w:rPr>
        <w:lastRenderedPageBreak/>
        <w:t>Por lo antes expuesto y fundado es de resolverse y,</w:t>
      </w:r>
      <w:r w:rsidRPr="00F458CF">
        <w:rPr>
          <w:rFonts w:ascii="Palatino Linotype" w:hAnsi="Palatino Linotype"/>
        </w:rPr>
        <w:t xml:space="preserve"> </w:t>
      </w:r>
    </w:p>
    <w:p w14:paraId="56DBB9BE" w14:textId="57E31A4A" w:rsidR="00D767A9" w:rsidRDefault="00D767A9" w:rsidP="00D767A9">
      <w:pPr>
        <w:pStyle w:val="Citas"/>
        <w:ind w:left="0"/>
        <w:rPr>
          <w:i w:val="0"/>
          <w:sz w:val="24"/>
          <w:szCs w:val="24"/>
          <w:lang w:val="es-ES"/>
        </w:rPr>
      </w:pPr>
    </w:p>
    <w:p w14:paraId="46718CA8" w14:textId="77777777" w:rsidR="00D767A9" w:rsidRPr="00D05C83" w:rsidRDefault="00D767A9" w:rsidP="00D767A9">
      <w:pPr>
        <w:spacing w:before="240" w:line="360" w:lineRule="auto"/>
        <w:jc w:val="center"/>
        <w:rPr>
          <w:rFonts w:ascii="Palatino Linotype" w:eastAsia="Times New Roman" w:hAnsi="Palatino Linotype"/>
          <w:b/>
          <w:bCs/>
          <w:spacing w:val="60"/>
          <w:sz w:val="24"/>
          <w:szCs w:val="24"/>
          <w:lang w:val="es-ES_tradnl"/>
        </w:rPr>
      </w:pPr>
      <w:r w:rsidRPr="00D05C83">
        <w:rPr>
          <w:rFonts w:ascii="Palatino Linotype" w:eastAsia="Times New Roman" w:hAnsi="Palatino Linotype"/>
          <w:b/>
          <w:bCs/>
          <w:spacing w:val="60"/>
          <w:sz w:val="24"/>
          <w:szCs w:val="24"/>
          <w:lang w:val="es-ES_tradnl"/>
        </w:rPr>
        <w:t>SE    RESUELVE</w:t>
      </w:r>
    </w:p>
    <w:p w14:paraId="0D2DF2AF" w14:textId="7D9A8C9B" w:rsidR="00D767A9" w:rsidRDefault="00D767A9" w:rsidP="00D767A9">
      <w:pPr>
        <w:spacing w:before="240" w:line="360" w:lineRule="auto"/>
        <w:jc w:val="both"/>
        <w:rPr>
          <w:rFonts w:ascii="Palatino Linotype" w:hAnsi="Palatino Linotype" w:cs="Arial"/>
          <w:sz w:val="24"/>
        </w:rPr>
      </w:pPr>
      <w:r w:rsidRPr="00D05C83">
        <w:rPr>
          <w:rFonts w:ascii="Palatino Linotype" w:hAnsi="Palatino Linotype" w:cs="Arial"/>
          <w:b/>
          <w:sz w:val="24"/>
          <w:szCs w:val="24"/>
          <w:lang w:val="es-ES_tradnl"/>
        </w:rPr>
        <w:t>PRIMERO.</w:t>
      </w:r>
      <w:r w:rsidRPr="00D05C83">
        <w:rPr>
          <w:rFonts w:ascii="Palatino Linotype" w:hAnsi="Palatino Linotype" w:cs="Arial"/>
          <w:sz w:val="24"/>
          <w:szCs w:val="24"/>
          <w:lang w:val="es-ES_tradnl"/>
        </w:rPr>
        <w:t xml:space="preserve"> </w:t>
      </w:r>
      <w:r w:rsidRPr="00A05065">
        <w:rPr>
          <w:rFonts w:ascii="Palatino Linotype" w:hAnsi="Palatino Linotype" w:cs="Arial"/>
          <w:sz w:val="24"/>
          <w:szCs w:val="24"/>
        </w:rPr>
        <w:t xml:space="preserve">Se </w:t>
      </w:r>
      <w:r>
        <w:rPr>
          <w:rFonts w:ascii="Palatino Linotype" w:hAnsi="Palatino Linotype" w:cs="Arial"/>
          <w:b/>
          <w:sz w:val="24"/>
          <w:szCs w:val="24"/>
        </w:rPr>
        <w:t xml:space="preserve">MODIFICA </w:t>
      </w:r>
      <w:r>
        <w:rPr>
          <w:rFonts w:ascii="Palatino Linotype" w:hAnsi="Palatino Linotype" w:cs="Arial"/>
          <w:sz w:val="24"/>
          <w:szCs w:val="24"/>
        </w:rPr>
        <w:t xml:space="preserve">la respuesta entregada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Pr>
          <w:rFonts w:ascii="Palatino Linotype" w:hAnsi="Palatino Linotype"/>
          <w:b/>
          <w:sz w:val="24"/>
          <w:szCs w:val="24"/>
        </w:rPr>
        <w:t>00041/ATIZARA/IP/2022</w:t>
      </w:r>
      <w:r>
        <w:rPr>
          <w:rFonts w:ascii="Palatino Linotype" w:hAnsi="Palatino Linotype" w:cs="Arial"/>
          <w:b/>
          <w:sz w:val="24"/>
        </w:rPr>
        <w:t xml:space="preserve">, </w:t>
      </w:r>
      <w:r>
        <w:rPr>
          <w:rFonts w:ascii="Palatino Linotype" w:hAnsi="Palatino Linotype" w:cs="Arial"/>
          <w:sz w:val="24"/>
        </w:rPr>
        <w:t xml:space="preserve">por resultar parcialmente fundados los motivos de inconformidad que arguye </w:t>
      </w:r>
      <w:r>
        <w:rPr>
          <w:rFonts w:ascii="Palatino Linotype" w:hAnsi="Palatino Linotype" w:cs="Arial"/>
          <w:b/>
          <w:sz w:val="24"/>
        </w:rPr>
        <w:t xml:space="preserve">EL RECURRENTE, </w:t>
      </w:r>
      <w:r>
        <w:rPr>
          <w:rFonts w:ascii="Palatino Linotype" w:hAnsi="Palatino Linotype" w:cs="Arial"/>
          <w:sz w:val="24"/>
        </w:rPr>
        <w:t xml:space="preserve">en términos del </w:t>
      </w:r>
      <w:r w:rsidRPr="0012305B">
        <w:rPr>
          <w:rFonts w:ascii="Palatino Linotype" w:hAnsi="Palatino Linotype" w:cs="Arial"/>
          <w:b/>
          <w:sz w:val="24"/>
        </w:rPr>
        <w:t xml:space="preserve">Considerando </w:t>
      </w:r>
      <w:r>
        <w:rPr>
          <w:rFonts w:ascii="Palatino Linotype" w:hAnsi="Palatino Linotype" w:cs="Arial"/>
          <w:b/>
          <w:sz w:val="24"/>
        </w:rPr>
        <w:t xml:space="preserve">CUARTO </w:t>
      </w:r>
      <w:r>
        <w:rPr>
          <w:rFonts w:ascii="Palatino Linotype" w:hAnsi="Palatino Linotype" w:cs="Arial"/>
          <w:sz w:val="24"/>
        </w:rPr>
        <w:t xml:space="preserve">de la presente resolución. </w:t>
      </w:r>
    </w:p>
    <w:p w14:paraId="36C3DB66" w14:textId="77777777" w:rsidR="00D767A9" w:rsidRDefault="00D767A9" w:rsidP="00D767A9">
      <w:pPr>
        <w:autoSpaceDE w:val="0"/>
        <w:autoSpaceDN w:val="0"/>
        <w:adjustRightInd w:val="0"/>
        <w:spacing w:before="240" w:line="360" w:lineRule="auto"/>
        <w:ind w:right="49"/>
        <w:jc w:val="both"/>
        <w:rPr>
          <w:rFonts w:ascii="Palatino Linotype" w:hAnsi="Palatino Linotype" w:cs="Arial"/>
          <w:b/>
          <w:sz w:val="24"/>
          <w:szCs w:val="24"/>
          <w:lang w:val="es-ES_tradnl"/>
        </w:rPr>
      </w:pPr>
    </w:p>
    <w:p w14:paraId="12C497E6" w14:textId="77777777" w:rsidR="00D767A9" w:rsidRDefault="00D767A9" w:rsidP="00D767A9">
      <w:pPr>
        <w:autoSpaceDE w:val="0"/>
        <w:autoSpaceDN w:val="0"/>
        <w:adjustRightInd w:val="0"/>
        <w:spacing w:before="240" w:line="360" w:lineRule="auto"/>
        <w:ind w:right="49"/>
        <w:jc w:val="both"/>
        <w:rPr>
          <w:rFonts w:ascii="Palatino Linotype" w:hAnsi="Palatino Linotype" w:cs="Arial"/>
          <w:sz w:val="24"/>
          <w:szCs w:val="24"/>
        </w:rPr>
      </w:pPr>
      <w:r w:rsidRPr="00413327">
        <w:rPr>
          <w:rFonts w:ascii="Palatino Linotype" w:hAnsi="Palatino Linotype" w:cs="Arial"/>
          <w:b/>
          <w:sz w:val="24"/>
          <w:szCs w:val="24"/>
          <w:lang w:val="es-ES_tradnl"/>
        </w:rPr>
        <w:t>SEGUNDO.</w:t>
      </w:r>
      <w:r w:rsidRPr="00413327">
        <w:rPr>
          <w:rFonts w:ascii="Palatino Linotype" w:hAnsi="Palatino Linotype" w:cs="Arial"/>
          <w:sz w:val="24"/>
          <w:szCs w:val="24"/>
        </w:rPr>
        <w:t xml:space="preserve"> Se </w:t>
      </w:r>
      <w:r w:rsidRPr="00413327">
        <w:rPr>
          <w:rFonts w:ascii="Palatino Linotype" w:hAnsi="Palatino Linotype" w:cs="Arial"/>
          <w:b/>
          <w:sz w:val="24"/>
          <w:szCs w:val="24"/>
        </w:rPr>
        <w:t>ORDENA</w:t>
      </w:r>
      <w:r w:rsidRPr="00413327">
        <w:rPr>
          <w:rFonts w:ascii="Palatino Linotype" w:hAnsi="Palatino Linotype" w:cs="Arial"/>
          <w:sz w:val="24"/>
          <w:szCs w:val="24"/>
        </w:rPr>
        <w:t xml:space="preserve"> al </w:t>
      </w:r>
      <w:r w:rsidRPr="00413327">
        <w:rPr>
          <w:rFonts w:ascii="Palatino Linotype" w:hAnsi="Palatino Linotype" w:cs="Arial"/>
          <w:b/>
          <w:sz w:val="24"/>
          <w:szCs w:val="24"/>
        </w:rPr>
        <w:t>SUJETO OBLIGADO</w:t>
      </w:r>
      <w:r>
        <w:rPr>
          <w:rFonts w:ascii="Palatino Linotype" w:hAnsi="Palatino Linotype" w:cs="Arial"/>
          <w:sz w:val="24"/>
          <w:szCs w:val="24"/>
        </w:rPr>
        <w:t xml:space="preserve"> realizar una búsqueda exhaustiva y razonable a fin de entregar al</w:t>
      </w:r>
      <w:r>
        <w:rPr>
          <w:rFonts w:ascii="Palatino Linotype" w:hAnsi="Palatino Linotype" w:cs="Arial"/>
          <w:b/>
          <w:sz w:val="24"/>
          <w:szCs w:val="24"/>
        </w:rPr>
        <w:t xml:space="preserve"> RECURRENTE, </w:t>
      </w:r>
      <w:r>
        <w:rPr>
          <w:rFonts w:ascii="Palatino Linotype" w:hAnsi="Palatino Linotype" w:cs="Arial"/>
          <w:sz w:val="24"/>
          <w:szCs w:val="24"/>
        </w:rPr>
        <w:t xml:space="preserve">a través del Sistema de Acceso a la Información Mexiquense </w:t>
      </w:r>
      <w:r w:rsidRPr="00123390">
        <w:rPr>
          <w:rFonts w:ascii="Palatino Linotype" w:hAnsi="Palatino Linotype" w:cs="Arial"/>
          <w:b/>
          <w:sz w:val="24"/>
          <w:szCs w:val="24"/>
        </w:rPr>
        <w:t>(</w:t>
      </w:r>
      <w:r w:rsidRPr="00D178CD">
        <w:rPr>
          <w:rFonts w:ascii="Palatino Linotype" w:hAnsi="Palatino Linotype" w:cs="Arial"/>
          <w:b/>
          <w:sz w:val="24"/>
          <w:szCs w:val="24"/>
        </w:rPr>
        <w:t>SAIMEX</w:t>
      </w:r>
      <w:r>
        <w:rPr>
          <w:rFonts w:ascii="Palatino Linotype" w:hAnsi="Palatino Linotype" w:cs="Arial"/>
          <w:b/>
          <w:sz w:val="24"/>
          <w:szCs w:val="24"/>
        </w:rPr>
        <w:t>),</w:t>
      </w:r>
      <w:r>
        <w:rPr>
          <w:rFonts w:ascii="Palatino Linotype" w:hAnsi="Palatino Linotype" w:cs="Arial"/>
          <w:sz w:val="24"/>
          <w:szCs w:val="24"/>
        </w:rPr>
        <w:t xml:space="preserve"> en versión pública de ser procedente, de lo siguiente: </w:t>
      </w:r>
    </w:p>
    <w:p w14:paraId="435C7E21" w14:textId="31689325" w:rsidR="006A47F5" w:rsidRDefault="00D767A9" w:rsidP="00D767A9">
      <w:pPr>
        <w:pStyle w:val="Prrafodelista"/>
        <w:numPr>
          <w:ilvl w:val="0"/>
          <w:numId w:val="2"/>
        </w:numPr>
        <w:spacing w:line="360" w:lineRule="auto"/>
        <w:jc w:val="both"/>
        <w:rPr>
          <w:rFonts w:ascii="Palatino Linotype" w:eastAsia="Calibri" w:hAnsi="Palatino Linotype"/>
          <w:i/>
          <w:iCs/>
        </w:rPr>
      </w:pPr>
      <w:r w:rsidRPr="00D767A9">
        <w:rPr>
          <w:rFonts w:ascii="Palatino Linotype" w:eastAsia="Calibri" w:hAnsi="Palatino Linotype"/>
          <w:i/>
          <w:iCs/>
        </w:rPr>
        <w:t xml:space="preserve">El o los documentos donde conste la reconducción presupuestal </w:t>
      </w:r>
      <w:r w:rsidR="006A47F5" w:rsidRPr="00D767A9">
        <w:rPr>
          <w:rFonts w:ascii="Palatino Linotype" w:eastAsia="Calibri" w:hAnsi="Palatino Linotype"/>
          <w:i/>
          <w:iCs/>
        </w:rPr>
        <w:t>de los recursos originalmente etiquetados para la celebración del Bicentenario de la Independencia de México en el municipio de Atizapán de Zaragoza, al veinte de enero de dos mil veintidós.</w:t>
      </w:r>
    </w:p>
    <w:p w14:paraId="5BF66C67" w14:textId="0495BD7C" w:rsidR="00D767A9" w:rsidRPr="00D767A9" w:rsidRDefault="006A47F5" w:rsidP="00D767A9">
      <w:pPr>
        <w:pStyle w:val="Prrafodelista"/>
        <w:numPr>
          <w:ilvl w:val="0"/>
          <w:numId w:val="2"/>
        </w:numPr>
        <w:spacing w:line="360" w:lineRule="auto"/>
        <w:jc w:val="both"/>
        <w:rPr>
          <w:rFonts w:ascii="Palatino Linotype" w:eastAsia="Calibri" w:hAnsi="Palatino Linotype"/>
          <w:i/>
          <w:iCs/>
        </w:rPr>
      </w:pPr>
      <w:r>
        <w:rPr>
          <w:rFonts w:ascii="Palatino Linotype" w:eastAsia="Calibri" w:hAnsi="Palatino Linotype"/>
          <w:i/>
          <w:iCs/>
        </w:rPr>
        <w:t xml:space="preserve">El o los documentos donde consten los gastos respecto de los recursos públicos referidos en el numeral 1. </w:t>
      </w:r>
    </w:p>
    <w:p w14:paraId="0303C29E" w14:textId="1A82FC58" w:rsidR="00D767A9" w:rsidRDefault="008253B0" w:rsidP="00D767A9">
      <w:pPr>
        <w:pStyle w:val="Sinespaciado"/>
        <w:spacing w:line="360" w:lineRule="auto"/>
        <w:ind w:left="720"/>
        <w:jc w:val="both"/>
        <w:rPr>
          <w:rFonts w:ascii="Palatino Linotype" w:hAnsi="Palatino Linotype" w:cs="Arial"/>
          <w:i/>
        </w:rPr>
      </w:pPr>
      <w:r>
        <w:rPr>
          <w:rFonts w:ascii="Palatino Linotype" w:hAnsi="Palatino Linotype" w:cs="Arial"/>
          <w:i/>
        </w:rPr>
        <w:t>Para la</w:t>
      </w:r>
      <w:r w:rsidR="00D767A9">
        <w:rPr>
          <w:rFonts w:ascii="Palatino Linotype" w:hAnsi="Palatino Linotype" w:cs="Arial"/>
          <w:i/>
        </w:rPr>
        <w:t xml:space="preserve"> entrega en versión pública deberá emitir el Acuerdo del Comité de Transparencia en términos de los artículos 49, fracción VIII y 132 fracción II de la Ley de Transparencia y Acceso a la Información Pública del Estado de México y Municipios, en el que funde </w:t>
      </w:r>
      <w:r w:rsidR="00D767A9">
        <w:rPr>
          <w:rFonts w:ascii="Palatino Linotype" w:hAnsi="Palatino Linotype" w:cs="Arial"/>
          <w:i/>
        </w:rPr>
        <w:lastRenderedPageBreak/>
        <w:t>y motive las razones sobre los datos que se supriman o eliminen y se ponga a disposición del Recurrente.</w:t>
      </w:r>
    </w:p>
    <w:p w14:paraId="4198C09E" w14:textId="77777777" w:rsidR="00D767A9" w:rsidRDefault="00D767A9" w:rsidP="00D767A9">
      <w:pPr>
        <w:pStyle w:val="Sinespaciado"/>
        <w:spacing w:line="360" w:lineRule="auto"/>
        <w:ind w:left="720"/>
        <w:jc w:val="both"/>
        <w:rPr>
          <w:rFonts w:ascii="Palatino Linotype" w:hAnsi="Palatino Linotype" w:cs="Arial"/>
          <w:i/>
        </w:rPr>
      </w:pPr>
    </w:p>
    <w:p w14:paraId="1C22387B" w14:textId="77777777" w:rsidR="00D767A9" w:rsidRDefault="00D767A9" w:rsidP="00D767A9">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67DD7A4F" w14:textId="77777777" w:rsidR="00D767A9" w:rsidRDefault="00D767A9" w:rsidP="00D767A9">
      <w:pPr>
        <w:autoSpaceDE w:val="0"/>
        <w:autoSpaceDN w:val="0"/>
        <w:adjustRightInd w:val="0"/>
        <w:spacing w:before="240" w:line="360" w:lineRule="auto"/>
        <w:jc w:val="both"/>
        <w:rPr>
          <w:rFonts w:ascii="Palatino Linotype" w:hAnsi="Palatino Linotype" w:cs="Arial"/>
          <w:sz w:val="24"/>
          <w:szCs w:val="24"/>
        </w:rPr>
      </w:pPr>
    </w:p>
    <w:p w14:paraId="36AA084F" w14:textId="77777777" w:rsidR="00D767A9" w:rsidRDefault="00D767A9" w:rsidP="00D767A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40D8FD9" w14:textId="77777777" w:rsidR="00D767A9" w:rsidRPr="005751B7" w:rsidRDefault="00D767A9" w:rsidP="00D767A9">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75446CF" w14:textId="77777777" w:rsidR="00D767A9" w:rsidRPr="00F77047" w:rsidRDefault="00D767A9" w:rsidP="00D767A9">
      <w:pPr>
        <w:spacing w:after="0" w:line="360" w:lineRule="auto"/>
        <w:jc w:val="both"/>
        <w:rPr>
          <w:rFonts w:ascii="Palatino Linotype" w:eastAsia="Times New Roman" w:hAnsi="Palatino Linotype" w:cs="Arial"/>
          <w:b/>
          <w:sz w:val="18"/>
          <w:szCs w:val="24"/>
          <w:lang w:eastAsia="es-ES"/>
        </w:rPr>
      </w:pPr>
    </w:p>
    <w:p w14:paraId="472D37E9" w14:textId="77777777" w:rsidR="00D767A9" w:rsidRDefault="00D767A9" w:rsidP="00D767A9">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757B">
        <w:rPr>
          <w:rFonts w:ascii="Palatino Linotype" w:eastAsia="Times New Roman" w:hAnsi="Palatino Linotype" w:cs="Arial"/>
          <w:b/>
          <w:sz w:val="24"/>
          <w:szCs w:val="24"/>
          <w:lang w:eastAsia="es-ES"/>
        </w:rPr>
        <w:t xml:space="preserve">QUINTO. NOTIFÍQUESE </w:t>
      </w:r>
      <w:r>
        <w:rPr>
          <w:rFonts w:ascii="Palatino Linotype" w:eastAsia="Times New Roman" w:hAnsi="Palatino Linotype" w:cs="Arial"/>
          <w:sz w:val="24"/>
          <w:szCs w:val="24"/>
          <w:lang w:eastAsia="es-ES"/>
        </w:rPr>
        <w:t xml:space="preserve">la presente resolución a </w:t>
      </w:r>
      <w:r w:rsidRPr="00787D06">
        <w:rPr>
          <w:rFonts w:ascii="Palatino Linotype" w:eastAsia="Times New Roman" w:hAnsi="Palatino Linotype" w:cs="Arial"/>
          <w:b/>
          <w:sz w:val="24"/>
          <w:szCs w:val="24"/>
          <w:lang w:eastAsia="es-ES"/>
        </w:rPr>
        <w:t>LA</w:t>
      </w:r>
      <w:r w:rsidRPr="00DB757B">
        <w:rPr>
          <w:rFonts w:ascii="Palatino Linotype" w:eastAsia="Times New Roman" w:hAnsi="Palatino Linotype" w:cs="Arial"/>
          <w:sz w:val="24"/>
          <w:szCs w:val="24"/>
          <w:lang w:eastAsia="es-ES"/>
        </w:rPr>
        <w:t xml:space="preserve"> </w:t>
      </w:r>
      <w:r w:rsidRPr="00DB757B">
        <w:rPr>
          <w:rFonts w:ascii="Palatino Linotype" w:eastAsia="Times New Roman" w:hAnsi="Palatino Linotype" w:cs="Arial"/>
          <w:b/>
          <w:sz w:val="24"/>
          <w:szCs w:val="24"/>
          <w:lang w:eastAsia="es-ES"/>
        </w:rPr>
        <w:t xml:space="preserve">RECURRENTE vía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leyes aplicables.</w:t>
      </w:r>
    </w:p>
    <w:p w14:paraId="22BF47DB" w14:textId="2E1772E5" w:rsidR="00D767A9" w:rsidRDefault="00D767A9" w:rsidP="00643DA3">
      <w:pPr>
        <w:spacing w:after="0" w:line="360" w:lineRule="auto"/>
        <w:jc w:val="both"/>
        <w:rPr>
          <w:rFonts w:ascii="Palatino Linotype" w:eastAsia="Calibri" w:hAnsi="Palatino Linotype" w:cs="Times New Roman"/>
          <w:sz w:val="24"/>
          <w:szCs w:val="24"/>
          <w:lang w:eastAsia="es-ES"/>
        </w:rPr>
      </w:pPr>
    </w:p>
    <w:p w14:paraId="3AE6971A" w14:textId="09B3BA45" w:rsidR="008253B0" w:rsidRPr="00917744" w:rsidRDefault="008253B0" w:rsidP="008253B0">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lastRenderedPageBreak/>
        <w:t>ASÍ LO ACORDÓ, POR UNANIMIDAD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3"/>
          <w:szCs w:val="23"/>
        </w:rPr>
        <w:t xml:space="preserve">DÉCIMA </w:t>
      </w:r>
      <w:r w:rsidR="00814D6A">
        <w:rPr>
          <w:rFonts w:ascii="Palatino Linotype" w:hAnsi="Palatino Linotype" w:cs="Arial"/>
          <w:sz w:val="23"/>
          <w:szCs w:val="23"/>
        </w:rPr>
        <w:t>SEXTA</w:t>
      </w:r>
      <w:r>
        <w:rPr>
          <w:rFonts w:ascii="Palatino Linotype" w:hAnsi="Palatino Linotype" w:cs="Arial"/>
          <w:sz w:val="23"/>
          <w:szCs w:val="23"/>
        </w:rPr>
        <w:t xml:space="preserve"> SESIÓN ORDINARIA CELEBRADA EL </w:t>
      </w:r>
      <w:r w:rsidR="00814D6A">
        <w:rPr>
          <w:rFonts w:ascii="Palatino Linotype" w:hAnsi="Palatino Linotype" w:cs="Arial"/>
          <w:sz w:val="23"/>
          <w:szCs w:val="23"/>
        </w:rPr>
        <w:t>CUATRO DE MAYO</w:t>
      </w:r>
      <w:r>
        <w:rPr>
          <w:rFonts w:ascii="Palatino Linotype" w:hAnsi="Palatino Linotype" w:cs="Arial"/>
          <w:sz w:val="23"/>
          <w:szCs w:val="23"/>
        </w:rPr>
        <w:t xml:space="preserve"> DE DOS MIL VEINTIDÓS, </w:t>
      </w:r>
      <w:r w:rsidRPr="00917744">
        <w:rPr>
          <w:rFonts w:ascii="Palatino Linotype" w:hAnsi="Palatino Linotype" w:cs="Arial"/>
          <w:sz w:val="23"/>
          <w:szCs w:val="23"/>
        </w:rPr>
        <w:t xml:space="preserve">ANTE EL  SECRETARIO TÉCNICO DEL PLENO, ALEXIS TAPIA RAMÍREZ. </w:t>
      </w:r>
    </w:p>
    <w:p w14:paraId="3B3F8515" w14:textId="77777777" w:rsidR="008253B0" w:rsidRDefault="008253B0" w:rsidP="008253B0">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549F7423" w14:textId="586BBA9E" w:rsidR="008253B0" w:rsidRDefault="008253B0" w:rsidP="00643DA3">
      <w:pPr>
        <w:spacing w:after="0" w:line="360" w:lineRule="auto"/>
        <w:jc w:val="both"/>
        <w:rPr>
          <w:rFonts w:ascii="Palatino Linotype" w:eastAsia="Calibri" w:hAnsi="Palatino Linotype" w:cs="Times New Roman"/>
          <w:sz w:val="24"/>
          <w:szCs w:val="24"/>
          <w:lang w:eastAsia="es-ES"/>
        </w:rPr>
      </w:pPr>
    </w:p>
    <w:p w14:paraId="37E32B2F" w14:textId="20FC7BE6" w:rsidR="008253B0" w:rsidRDefault="008253B0" w:rsidP="00643DA3">
      <w:pPr>
        <w:spacing w:after="0" w:line="360" w:lineRule="auto"/>
        <w:jc w:val="both"/>
        <w:rPr>
          <w:rFonts w:ascii="Palatino Linotype" w:eastAsia="Calibri" w:hAnsi="Palatino Linotype" w:cs="Times New Roman"/>
          <w:sz w:val="24"/>
          <w:szCs w:val="24"/>
          <w:lang w:eastAsia="es-ES"/>
        </w:rPr>
      </w:pPr>
    </w:p>
    <w:p w14:paraId="1129E785" w14:textId="0FA39F4D" w:rsidR="008253B0" w:rsidRDefault="008253B0" w:rsidP="00643DA3">
      <w:pPr>
        <w:spacing w:after="0" w:line="360" w:lineRule="auto"/>
        <w:jc w:val="both"/>
        <w:rPr>
          <w:rFonts w:ascii="Palatino Linotype" w:eastAsia="Calibri" w:hAnsi="Palatino Linotype" w:cs="Times New Roman"/>
          <w:sz w:val="24"/>
          <w:szCs w:val="24"/>
          <w:lang w:eastAsia="es-ES"/>
        </w:rPr>
      </w:pPr>
    </w:p>
    <w:p w14:paraId="1323197A" w14:textId="44952241" w:rsidR="008253B0" w:rsidRDefault="008253B0" w:rsidP="00643DA3">
      <w:pPr>
        <w:spacing w:after="0" w:line="360" w:lineRule="auto"/>
        <w:jc w:val="both"/>
        <w:rPr>
          <w:rFonts w:ascii="Palatino Linotype" w:eastAsia="Calibri" w:hAnsi="Palatino Linotype" w:cs="Times New Roman"/>
          <w:sz w:val="24"/>
          <w:szCs w:val="24"/>
          <w:lang w:eastAsia="es-ES"/>
        </w:rPr>
      </w:pPr>
    </w:p>
    <w:p w14:paraId="284FF5A6" w14:textId="1E8FB993" w:rsidR="008253B0" w:rsidRDefault="008253B0" w:rsidP="00643DA3">
      <w:pPr>
        <w:spacing w:after="0" w:line="360" w:lineRule="auto"/>
        <w:jc w:val="both"/>
        <w:rPr>
          <w:rFonts w:ascii="Palatino Linotype" w:eastAsia="Calibri" w:hAnsi="Palatino Linotype" w:cs="Times New Roman"/>
          <w:sz w:val="24"/>
          <w:szCs w:val="24"/>
          <w:lang w:eastAsia="es-ES"/>
        </w:rPr>
      </w:pPr>
    </w:p>
    <w:p w14:paraId="0ACEEED5" w14:textId="3FAD1E39" w:rsidR="008253B0" w:rsidRDefault="008253B0" w:rsidP="00643DA3">
      <w:pPr>
        <w:spacing w:after="0" w:line="360" w:lineRule="auto"/>
        <w:jc w:val="both"/>
        <w:rPr>
          <w:rFonts w:ascii="Palatino Linotype" w:eastAsia="Calibri" w:hAnsi="Palatino Linotype" w:cs="Times New Roman"/>
          <w:sz w:val="24"/>
          <w:szCs w:val="24"/>
          <w:lang w:eastAsia="es-ES"/>
        </w:rPr>
      </w:pPr>
    </w:p>
    <w:p w14:paraId="6F6D3710" w14:textId="4BE65028" w:rsidR="008253B0" w:rsidRDefault="008253B0" w:rsidP="00643DA3">
      <w:pPr>
        <w:spacing w:after="0" w:line="360" w:lineRule="auto"/>
        <w:jc w:val="both"/>
        <w:rPr>
          <w:rFonts w:ascii="Palatino Linotype" w:eastAsia="Calibri" w:hAnsi="Palatino Linotype" w:cs="Times New Roman"/>
          <w:sz w:val="24"/>
          <w:szCs w:val="24"/>
          <w:lang w:eastAsia="es-ES"/>
        </w:rPr>
      </w:pPr>
    </w:p>
    <w:p w14:paraId="5D9DE55F" w14:textId="0D755B5C" w:rsidR="008253B0" w:rsidRDefault="008253B0" w:rsidP="00643DA3">
      <w:pPr>
        <w:spacing w:after="0" w:line="360" w:lineRule="auto"/>
        <w:jc w:val="both"/>
        <w:rPr>
          <w:rFonts w:ascii="Palatino Linotype" w:eastAsia="Calibri" w:hAnsi="Palatino Linotype" w:cs="Times New Roman"/>
          <w:sz w:val="24"/>
          <w:szCs w:val="24"/>
          <w:lang w:eastAsia="es-ES"/>
        </w:rPr>
      </w:pPr>
    </w:p>
    <w:p w14:paraId="6A3E96D6" w14:textId="7E2D7557" w:rsidR="008253B0" w:rsidRDefault="008253B0" w:rsidP="00643DA3">
      <w:pPr>
        <w:spacing w:after="0" w:line="360" w:lineRule="auto"/>
        <w:jc w:val="both"/>
        <w:rPr>
          <w:rFonts w:ascii="Palatino Linotype" w:eastAsia="Calibri" w:hAnsi="Palatino Linotype" w:cs="Times New Roman"/>
          <w:sz w:val="24"/>
          <w:szCs w:val="24"/>
          <w:lang w:eastAsia="es-ES"/>
        </w:rPr>
      </w:pPr>
    </w:p>
    <w:p w14:paraId="30FB967F" w14:textId="3EC964C6" w:rsidR="008253B0" w:rsidRDefault="008253B0" w:rsidP="00643DA3">
      <w:pPr>
        <w:spacing w:after="0" w:line="360" w:lineRule="auto"/>
        <w:jc w:val="both"/>
        <w:rPr>
          <w:rFonts w:ascii="Palatino Linotype" w:eastAsia="Calibri" w:hAnsi="Palatino Linotype" w:cs="Times New Roman"/>
          <w:sz w:val="24"/>
          <w:szCs w:val="24"/>
          <w:lang w:eastAsia="es-ES"/>
        </w:rPr>
      </w:pPr>
    </w:p>
    <w:p w14:paraId="4F2BC337" w14:textId="5CECF32A" w:rsidR="008253B0" w:rsidRDefault="008253B0" w:rsidP="00643DA3">
      <w:pPr>
        <w:spacing w:after="0" w:line="360" w:lineRule="auto"/>
        <w:jc w:val="both"/>
        <w:rPr>
          <w:rFonts w:ascii="Palatino Linotype" w:eastAsia="Calibri" w:hAnsi="Palatino Linotype" w:cs="Times New Roman"/>
          <w:sz w:val="24"/>
          <w:szCs w:val="24"/>
          <w:lang w:eastAsia="es-ES"/>
        </w:rPr>
      </w:pPr>
    </w:p>
    <w:p w14:paraId="09397877" w14:textId="7CCF1769" w:rsidR="008253B0" w:rsidRDefault="008253B0" w:rsidP="00643DA3">
      <w:pPr>
        <w:spacing w:after="0" w:line="360" w:lineRule="auto"/>
        <w:jc w:val="both"/>
        <w:rPr>
          <w:rFonts w:ascii="Palatino Linotype" w:eastAsia="Calibri" w:hAnsi="Palatino Linotype" w:cs="Times New Roman"/>
          <w:sz w:val="24"/>
          <w:szCs w:val="24"/>
          <w:lang w:eastAsia="es-ES"/>
        </w:rPr>
      </w:pPr>
    </w:p>
    <w:p w14:paraId="2FC22177" w14:textId="458A91B2" w:rsidR="008253B0" w:rsidRDefault="008253B0" w:rsidP="00643DA3">
      <w:pPr>
        <w:spacing w:after="0" w:line="360" w:lineRule="auto"/>
        <w:jc w:val="both"/>
        <w:rPr>
          <w:rFonts w:ascii="Palatino Linotype" w:eastAsia="Calibri" w:hAnsi="Palatino Linotype" w:cs="Times New Roman"/>
          <w:sz w:val="24"/>
          <w:szCs w:val="24"/>
          <w:lang w:eastAsia="es-ES"/>
        </w:rPr>
      </w:pPr>
    </w:p>
    <w:p w14:paraId="70042DBB" w14:textId="6B5B577E" w:rsidR="008253B0" w:rsidRDefault="008253B0" w:rsidP="00643DA3">
      <w:pPr>
        <w:spacing w:after="0" w:line="360" w:lineRule="auto"/>
        <w:jc w:val="both"/>
        <w:rPr>
          <w:rFonts w:ascii="Palatino Linotype" w:eastAsia="Calibri" w:hAnsi="Palatino Linotype" w:cs="Times New Roman"/>
          <w:sz w:val="24"/>
          <w:szCs w:val="24"/>
          <w:lang w:eastAsia="es-ES"/>
        </w:rPr>
      </w:pPr>
    </w:p>
    <w:p w14:paraId="2A3860A8" w14:textId="4FE0C574" w:rsidR="008253B0" w:rsidRDefault="008253B0" w:rsidP="00643DA3">
      <w:pPr>
        <w:spacing w:after="0" w:line="360" w:lineRule="auto"/>
        <w:jc w:val="both"/>
        <w:rPr>
          <w:rFonts w:ascii="Palatino Linotype" w:eastAsia="Calibri" w:hAnsi="Palatino Linotype" w:cs="Times New Roman"/>
          <w:sz w:val="24"/>
          <w:szCs w:val="24"/>
          <w:lang w:eastAsia="es-ES"/>
        </w:rPr>
      </w:pPr>
    </w:p>
    <w:p w14:paraId="7D03C45C" w14:textId="1490F9BB" w:rsidR="008253B0" w:rsidRDefault="008253B0" w:rsidP="00643DA3">
      <w:pPr>
        <w:spacing w:after="0" w:line="360" w:lineRule="auto"/>
        <w:jc w:val="both"/>
        <w:rPr>
          <w:rFonts w:ascii="Palatino Linotype" w:eastAsia="Calibri" w:hAnsi="Palatino Linotype" w:cs="Times New Roman"/>
          <w:sz w:val="24"/>
          <w:szCs w:val="24"/>
          <w:lang w:eastAsia="es-ES"/>
        </w:rPr>
      </w:pPr>
    </w:p>
    <w:p w14:paraId="18C93B99" w14:textId="7B002D0D" w:rsidR="008253B0" w:rsidRDefault="008253B0" w:rsidP="00643DA3">
      <w:pPr>
        <w:spacing w:after="0" w:line="360" w:lineRule="auto"/>
        <w:jc w:val="both"/>
        <w:rPr>
          <w:rFonts w:ascii="Palatino Linotype" w:eastAsia="Calibri" w:hAnsi="Palatino Linotype" w:cs="Times New Roman"/>
          <w:sz w:val="24"/>
          <w:szCs w:val="24"/>
          <w:lang w:eastAsia="es-ES"/>
        </w:rPr>
      </w:pPr>
    </w:p>
    <w:p w14:paraId="50CD4F12" w14:textId="6F5F4F69" w:rsidR="008253B0" w:rsidRDefault="008253B0" w:rsidP="00643DA3">
      <w:pPr>
        <w:spacing w:after="0" w:line="360" w:lineRule="auto"/>
        <w:jc w:val="both"/>
        <w:rPr>
          <w:rFonts w:ascii="Palatino Linotype" w:eastAsia="Calibri" w:hAnsi="Palatino Linotype" w:cs="Times New Roman"/>
          <w:sz w:val="24"/>
          <w:szCs w:val="24"/>
          <w:lang w:eastAsia="es-ES"/>
        </w:rPr>
      </w:pPr>
    </w:p>
    <w:p w14:paraId="3676623C" w14:textId="76A371A2" w:rsidR="008253B0" w:rsidRDefault="008253B0" w:rsidP="00643DA3">
      <w:pPr>
        <w:spacing w:after="0" w:line="360" w:lineRule="auto"/>
        <w:jc w:val="both"/>
        <w:rPr>
          <w:rFonts w:ascii="Palatino Linotype" w:eastAsia="Calibri" w:hAnsi="Palatino Linotype" w:cs="Times New Roman"/>
          <w:sz w:val="24"/>
          <w:szCs w:val="24"/>
          <w:lang w:eastAsia="es-ES"/>
        </w:rPr>
      </w:pPr>
    </w:p>
    <w:p w14:paraId="774B4BE2" w14:textId="1EAB1D02" w:rsidR="008253B0" w:rsidRDefault="008253B0" w:rsidP="00643DA3">
      <w:pPr>
        <w:spacing w:after="0" w:line="360" w:lineRule="auto"/>
        <w:jc w:val="both"/>
        <w:rPr>
          <w:rFonts w:ascii="Palatino Linotype" w:eastAsia="Calibri" w:hAnsi="Palatino Linotype" w:cs="Times New Roman"/>
          <w:sz w:val="24"/>
          <w:szCs w:val="24"/>
          <w:lang w:eastAsia="es-ES"/>
        </w:rPr>
      </w:pPr>
    </w:p>
    <w:p w14:paraId="25848B9A" w14:textId="77777777" w:rsidR="008253B0" w:rsidRPr="00D767A9" w:rsidRDefault="008253B0" w:rsidP="00643DA3">
      <w:pPr>
        <w:spacing w:after="0" w:line="360" w:lineRule="auto"/>
        <w:jc w:val="both"/>
        <w:rPr>
          <w:rFonts w:ascii="Palatino Linotype" w:eastAsia="Calibri" w:hAnsi="Palatino Linotype" w:cs="Times New Roman"/>
          <w:sz w:val="24"/>
          <w:szCs w:val="24"/>
          <w:lang w:eastAsia="es-ES"/>
        </w:rPr>
      </w:pPr>
    </w:p>
    <w:sectPr w:rsidR="008253B0" w:rsidRPr="00D767A9" w:rsidSect="00FB4AAD">
      <w:headerReference w:type="default" r:id="rId20"/>
      <w:footerReference w:type="default" r:id="rId21"/>
      <w:headerReference w:type="first" r:id="rId22"/>
      <w:footerReference w:type="first" r:id="rId2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C039F" w14:textId="77777777" w:rsidR="00A32F3B" w:rsidRDefault="00A32F3B" w:rsidP="006168E4">
      <w:pPr>
        <w:spacing w:after="0" w:line="240" w:lineRule="auto"/>
      </w:pPr>
      <w:r>
        <w:separator/>
      </w:r>
    </w:p>
  </w:endnote>
  <w:endnote w:type="continuationSeparator" w:id="0">
    <w:p w14:paraId="7923FCDA" w14:textId="77777777" w:rsidR="00A32F3B" w:rsidRDefault="00A32F3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A03338" w:rsidRPr="000B69FA" w:rsidRDefault="00A0333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5ED6">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E5ED6">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A03338" w:rsidRPr="000B69FA" w:rsidRDefault="00A03338"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E5ED6">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E5ED6">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88D33" w14:textId="77777777" w:rsidR="00A32F3B" w:rsidRDefault="00A32F3B" w:rsidP="006168E4">
      <w:pPr>
        <w:spacing w:after="0" w:line="240" w:lineRule="auto"/>
      </w:pPr>
      <w:r>
        <w:separator/>
      </w:r>
    </w:p>
  </w:footnote>
  <w:footnote w:type="continuationSeparator" w:id="0">
    <w:p w14:paraId="5A951F66" w14:textId="77777777" w:rsidR="00A32F3B" w:rsidRDefault="00A32F3B" w:rsidP="006168E4">
      <w:pPr>
        <w:spacing w:after="0" w:line="240" w:lineRule="auto"/>
      </w:pPr>
      <w:r>
        <w:continuationSeparator/>
      </w:r>
    </w:p>
  </w:footnote>
  <w:footnote w:id="1">
    <w:p w14:paraId="6BECEE51" w14:textId="77777777" w:rsidR="00A03338" w:rsidRPr="005552A8" w:rsidRDefault="00A03338" w:rsidP="00871F7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7F8B3D" w14:textId="77777777" w:rsidR="00A03338" w:rsidRPr="005552A8" w:rsidRDefault="00A03338" w:rsidP="00871F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A03338" w:rsidRDefault="00A03338">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A03338" w14:paraId="17981A04" w14:textId="77777777" w:rsidTr="00073E92">
      <w:trPr>
        <w:trHeight w:val="227"/>
      </w:trPr>
      <w:tc>
        <w:tcPr>
          <w:tcW w:w="5529" w:type="dxa"/>
          <w:hideMark/>
        </w:tcPr>
        <w:p w14:paraId="0E414BC5" w14:textId="19670DF2" w:rsidR="00A03338" w:rsidRDefault="00A0333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07F4823A" w:rsidR="00A03338" w:rsidRPr="00B4142F" w:rsidRDefault="00A0333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EF6598">
            <w:rPr>
              <w:rFonts w:ascii="Palatino Linotype" w:hAnsi="Palatino Linotype" w:cs="Arial"/>
              <w:bCs/>
              <w:sz w:val="24"/>
              <w:lang w:eastAsia="es-MX"/>
            </w:rPr>
            <w:t>1905</w:t>
          </w:r>
          <w:r>
            <w:rPr>
              <w:rFonts w:ascii="Palatino Linotype" w:hAnsi="Palatino Linotype" w:cs="Arial"/>
              <w:bCs/>
              <w:sz w:val="24"/>
              <w:lang w:eastAsia="es-MX"/>
            </w:rPr>
            <w:t>/INFOEM/IP/RR/2022</w:t>
          </w:r>
        </w:p>
      </w:tc>
    </w:tr>
    <w:tr w:rsidR="00A03338" w14:paraId="637042F0" w14:textId="77777777" w:rsidTr="00073E92">
      <w:trPr>
        <w:trHeight w:val="242"/>
      </w:trPr>
      <w:tc>
        <w:tcPr>
          <w:tcW w:w="5529" w:type="dxa"/>
          <w:hideMark/>
        </w:tcPr>
        <w:p w14:paraId="412AD568" w14:textId="582E7AD7" w:rsidR="00A03338" w:rsidRDefault="00A03338"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17352A0C" w:rsidR="00A03338" w:rsidRPr="00F06FED" w:rsidRDefault="00EF6598" w:rsidP="00BB63AB">
          <w:pPr>
            <w:spacing w:after="120" w:line="256" w:lineRule="auto"/>
            <w:ind w:left="639" w:right="214"/>
            <w:jc w:val="both"/>
            <w:rPr>
              <w:rFonts w:ascii="Palatino Linotype" w:hAnsi="Palatino Linotype" w:cs="Arial"/>
            </w:rPr>
          </w:pPr>
          <w:r>
            <w:rPr>
              <w:rFonts w:ascii="Palatino Linotype" w:hAnsi="Palatino Linotype" w:cs="Arial"/>
              <w:szCs w:val="20"/>
            </w:rPr>
            <w:t>Ayuntamiento de Atizapán de Zaragoza</w:t>
          </w:r>
        </w:p>
      </w:tc>
    </w:tr>
    <w:tr w:rsidR="00A03338" w14:paraId="21BFE746" w14:textId="77777777" w:rsidTr="00073E92">
      <w:trPr>
        <w:trHeight w:val="342"/>
      </w:trPr>
      <w:tc>
        <w:tcPr>
          <w:tcW w:w="5529" w:type="dxa"/>
          <w:hideMark/>
        </w:tcPr>
        <w:p w14:paraId="64C4E314" w14:textId="2A83840C" w:rsidR="00A03338" w:rsidRDefault="00A03338"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A03338" w:rsidRDefault="00A03338"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A03338" w:rsidRDefault="00A0333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A03338" w14:paraId="385FD437" w14:textId="77777777" w:rsidTr="00073E92">
      <w:trPr>
        <w:trHeight w:val="227"/>
      </w:trPr>
      <w:tc>
        <w:tcPr>
          <w:tcW w:w="5529" w:type="dxa"/>
          <w:hideMark/>
        </w:tcPr>
        <w:p w14:paraId="272860E8" w14:textId="6340DBC0" w:rsidR="00A03338" w:rsidRDefault="00A0333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4DDFC063" w:rsidR="00A03338" w:rsidRPr="00B4142F" w:rsidRDefault="00A03338"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EF6598">
            <w:rPr>
              <w:rFonts w:ascii="Palatino Linotype" w:hAnsi="Palatino Linotype" w:cs="Arial"/>
              <w:bCs/>
              <w:sz w:val="24"/>
              <w:lang w:eastAsia="es-MX"/>
            </w:rPr>
            <w:t>1905</w:t>
          </w:r>
          <w:r>
            <w:rPr>
              <w:rFonts w:ascii="Palatino Linotype" w:hAnsi="Palatino Linotype" w:cs="Arial"/>
              <w:bCs/>
              <w:sz w:val="24"/>
              <w:lang w:eastAsia="es-MX"/>
            </w:rPr>
            <w:t>/INFOEM/IP/RR/2022</w:t>
          </w:r>
        </w:p>
      </w:tc>
    </w:tr>
    <w:tr w:rsidR="00A03338" w14:paraId="33FC5097" w14:textId="77777777" w:rsidTr="00073E92">
      <w:trPr>
        <w:trHeight w:val="196"/>
      </w:trPr>
      <w:tc>
        <w:tcPr>
          <w:tcW w:w="5529" w:type="dxa"/>
          <w:hideMark/>
        </w:tcPr>
        <w:p w14:paraId="4F5D01E5" w14:textId="77777777" w:rsidR="00A03338" w:rsidRDefault="00A0333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3447BB3" w:rsidR="00A03338" w:rsidRPr="00F06FED" w:rsidRDefault="00272C55" w:rsidP="007A3BB5">
          <w:pPr>
            <w:spacing w:after="120" w:line="256" w:lineRule="auto"/>
            <w:ind w:left="639" w:right="214"/>
            <w:jc w:val="both"/>
            <w:rPr>
              <w:rFonts w:ascii="Palatino Linotype" w:hAnsi="Palatino Linotype" w:cs="Arial"/>
            </w:rPr>
          </w:pPr>
          <w:r>
            <w:rPr>
              <w:rFonts w:ascii="Palatino Linotype" w:hAnsi="Palatino Linotype" w:cs="Arial"/>
            </w:rPr>
            <w:t>xxxxxxxxxxx</w:t>
          </w:r>
        </w:p>
      </w:tc>
    </w:tr>
    <w:tr w:rsidR="00A03338" w14:paraId="178280DE" w14:textId="77777777" w:rsidTr="00073E92">
      <w:trPr>
        <w:trHeight w:val="242"/>
      </w:trPr>
      <w:tc>
        <w:tcPr>
          <w:tcW w:w="5529" w:type="dxa"/>
          <w:hideMark/>
        </w:tcPr>
        <w:p w14:paraId="71AC708B" w14:textId="77777777" w:rsidR="00A03338" w:rsidRDefault="00A03338"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3A58547E" w:rsidR="00A03338" w:rsidRDefault="00EF6598" w:rsidP="00D139EB">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Atizapán de Zaragoza</w:t>
          </w:r>
        </w:p>
      </w:tc>
    </w:tr>
    <w:tr w:rsidR="00A03338" w14:paraId="0518978B" w14:textId="77777777" w:rsidTr="00073E92">
      <w:trPr>
        <w:trHeight w:val="342"/>
      </w:trPr>
      <w:tc>
        <w:tcPr>
          <w:tcW w:w="5529" w:type="dxa"/>
          <w:hideMark/>
        </w:tcPr>
        <w:p w14:paraId="04968A43" w14:textId="7BE2A222" w:rsidR="00A03338" w:rsidRDefault="00A03338"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A03338" w:rsidRDefault="00A03338"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A03338" w:rsidRDefault="00A03338">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79A4"/>
    <w:multiLevelType w:val="hybridMultilevel"/>
    <w:tmpl w:val="6D76C1A8"/>
    <w:lvl w:ilvl="0" w:tplc="59F20A5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0F6702E7"/>
    <w:multiLevelType w:val="hybridMultilevel"/>
    <w:tmpl w:val="10363E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3457E44"/>
    <w:multiLevelType w:val="hybridMultilevel"/>
    <w:tmpl w:val="6A1AD91A"/>
    <w:lvl w:ilvl="0" w:tplc="0BBA5E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15:restartNumberingAfterBreak="0">
    <w:nsid w:val="14DC707A"/>
    <w:multiLevelType w:val="hybridMultilevel"/>
    <w:tmpl w:val="F886C42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F838A3"/>
    <w:multiLevelType w:val="hybridMultilevel"/>
    <w:tmpl w:val="073E53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6" w15:restartNumberingAfterBreak="0">
    <w:nsid w:val="29DC1EE1"/>
    <w:multiLevelType w:val="hybridMultilevel"/>
    <w:tmpl w:val="8F38D31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2EBE73A6"/>
    <w:multiLevelType w:val="hybridMultilevel"/>
    <w:tmpl w:val="E5F8D6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6207C18"/>
    <w:multiLevelType w:val="hybridMultilevel"/>
    <w:tmpl w:val="B2526E04"/>
    <w:lvl w:ilvl="0" w:tplc="6F466C28">
      <w:start w:val="5"/>
      <w:numFmt w:val="bullet"/>
      <w:lvlText w:val="-"/>
      <w:lvlJc w:val="left"/>
      <w:pPr>
        <w:ind w:left="1080" w:hanging="360"/>
      </w:pPr>
      <w:rPr>
        <w:rFonts w:ascii="Palatino Linotype" w:eastAsia="Calibri" w:hAnsi="Palatino Linotype"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7246713"/>
    <w:multiLevelType w:val="hybridMultilevel"/>
    <w:tmpl w:val="54C8DCF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7B23299"/>
    <w:multiLevelType w:val="hybridMultilevel"/>
    <w:tmpl w:val="3DF44A8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7CF169A"/>
    <w:multiLevelType w:val="hybridMultilevel"/>
    <w:tmpl w:val="AEBA8E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CB72F4"/>
    <w:multiLevelType w:val="hybridMultilevel"/>
    <w:tmpl w:val="A24225C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3" w15:restartNumberingAfterBreak="0">
    <w:nsid w:val="563E4FAA"/>
    <w:multiLevelType w:val="hybridMultilevel"/>
    <w:tmpl w:val="C0AAD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A700CC"/>
    <w:multiLevelType w:val="hybridMultilevel"/>
    <w:tmpl w:val="AFFA8B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0B84148"/>
    <w:multiLevelType w:val="hybridMultilevel"/>
    <w:tmpl w:val="310E56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3840B56"/>
    <w:multiLevelType w:val="hybridMultilevel"/>
    <w:tmpl w:val="DF1CD0F4"/>
    <w:lvl w:ilvl="0" w:tplc="87924D1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65941ABF"/>
    <w:multiLevelType w:val="hybridMultilevel"/>
    <w:tmpl w:val="A3B01CC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6F1C54DD"/>
    <w:multiLevelType w:val="hybridMultilevel"/>
    <w:tmpl w:val="ED4ADA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560B3F"/>
    <w:multiLevelType w:val="hybridMultilevel"/>
    <w:tmpl w:val="31782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CD5582"/>
    <w:multiLevelType w:val="hybridMultilevel"/>
    <w:tmpl w:val="ACC0C690"/>
    <w:lvl w:ilvl="0" w:tplc="7DB893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3AB4A4A"/>
    <w:multiLevelType w:val="hybridMultilevel"/>
    <w:tmpl w:val="71F4410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EA101E"/>
    <w:multiLevelType w:val="multilevel"/>
    <w:tmpl w:val="6FC09A30"/>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533276240">
    <w:abstractNumId w:val="5"/>
  </w:num>
  <w:num w:numId="2" w16cid:durableId="1007829525">
    <w:abstractNumId w:val="22"/>
  </w:num>
  <w:num w:numId="3" w16cid:durableId="1952853936">
    <w:abstractNumId w:val="10"/>
  </w:num>
  <w:num w:numId="4" w16cid:durableId="1082992292">
    <w:abstractNumId w:val="14"/>
  </w:num>
  <w:num w:numId="5" w16cid:durableId="1653176789">
    <w:abstractNumId w:val="6"/>
  </w:num>
  <w:num w:numId="6" w16cid:durableId="1255015904">
    <w:abstractNumId w:val="1"/>
  </w:num>
  <w:num w:numId="7" w16cid:durableId="1661034000">
    <w:abstractNumId w:val="15"/>
  </w:num>
  <w:num w:numId="8" w16cid:durableId="626283481">
    <w:abstractNumId w:val="12"/>
  </w:num>
  <w:num w:numId="9" w16cid:durableId="606431467">
    <w:abstractNumId w:val="20"/>
  </w:num>
  <w:num w:numId="10" w16cid:durableId="117845549">
    <w:abstractNumId w:val="7"/>
  </w:num>
  <w:num w:numId="11" w16cid:durableId="1418361416">
    <w:abstractNumId w:val="2"/>
  </w:num>
  <w:num w:numId="12" w16cid:durableId="1526555275">
    <w:abstractNumId w:val="4"/>
  </w:num>
  <w:num w:numId="13" w16cid:durableId="1946300142">
    <w:abstractNumId w:val="21"/>
  </w:num>
  <w:num w:numId="14" w16cid:durableId="28074050">
    <w:abstractNumId w:val="17"/>
  </w:num>
  <w:num w:numId="15" w16cid:durableId="385571508">
    <w:abstractNumId w:val="3"/>
  </w:num>
  <w:num w:numId="16" w16cid:durableId="590703968">
    <w:abstractNumId w:val="9"/>
  </w:num>
  <w:num w:numId="17" w16cid:durableId="715082215">
    <w:abstractNumId w:val="18"/>
  </w:num>
  <w:num w:numId="18" w16cid:durableId="1682194280">
    <w:abstractNumId w:val="16"/>
  </w:num>
  <w:num w:numId="19" w16cid:durableId="2042708026">
    <w:abstractNumId w:val="0"/>
  </w:num>
  <w:num w:numId="20" w16cid:durableId="581373495">
    <w:abstractNumId w:val="11"/>
  </w:num>
  <w:num w:numId="21" w16cid:durableId="546912518">
    <w:abstractNumId w:val="19"/>
  </w:num>
  <w:num w:numId="22" w16cid:durableId="720783469">
    <w:abstractNumId w:val="8"/>
  </w:num>
  <w:num w:numId="23" w16cid:durableId="57042916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45D"/>
    <w:rsid w:val="000009AE"/>
    <w:rsid w:val="000026CF"/>
    <w:rsid w:val="00002FA5"/>
    <w:rsid w:val="0000354B"/>
    <w:rsid w:val="000056BB"/>
    <w:rsid w:val="00005B85"/>
    <w:rsid w:val="0000721A"/>
    <w:rsid w:val="00010537"/>
    <w:rsid w:val="00011980"/>
    <w:rsid w:val="00012E56"/>
    <w:rsid w:val="0001366A"/>
    <w:rsid w:val="00013C75"/>
    <w:rsid w:val="000143F3"/>
    <w:rsid w:val="000171B7"/>
    <w:rsid w:val="00017F8D"/>
    <w:rsid w:val="00020E74"/>
    <w:rsid w:val="0002163D"/>
    <w:rsid w:val="00022B41"/>
    <w:rsid w:val="00023442"/>
    <w:rsid w:val="000240C8"/>
    <w:rsid w:val="0002560B"/>
    <w:rsid w:val="00025F8F"/>
    <w:rsid w:val="00027921"/>
    <w:rsid w:val="000306A7"/>
    <w:rsid w:val="000315CA"/>
    <w:rsid w:val="00031A66"/>
    <w:rsid w:val="00031B3B"/>
    <w:rsid w:val="0003281E"/>
    <w:rsid w:val="00032896"/>
    <w:rsid w:val="000329BE"/>
    <w:rsid w:val="00036740"/>
    <w:rsid w:val="0004186E"/>
    <w:rsid w:val="00044C7F"/>
    <w:rsid w:val="000451BE"/>
    <w:rsid w:val="00045379"/>
    <w:rsid w:val="000458B5"/>
    <w:rsid w:val="00045CB8"/>
    <w:rsid w:val="000508FA"/>
    <w:rsid w:val="000511AB"/>
    <w:rsid w:val="0005171D"/>
    <w:rsid w:val="00055224"/>
    <w:rsid w:val="000610F9"/>
    <w:rsid w:val="00061821"/>
    <w:rsid w:val="00062176"/>
    <w:rsid w:val="000623F9"/>
    <w:rsid w:val="00063A10"/>
    <w:rsid w:val="00063C69"/>
    <w:rsid w:val="00064EA6"/>
    <w:rsid w:val="000662F8"/>
    <w:rsid w:val="00066CAB"/>
    <w:rsid w:val="00070E99"/>
    <w:rsid w:val="00071290"/>
    <w:rsid w:val="00073E78"/>
    <w:rsid w:val="00073E92"/>
    <w:rsid w:val="00073FC2"/>
    <w:rsid w:val="00074B0E"/>
    <w:rsid w:val="00076AE0"/>
    <w:rsid w:val="0007756F"/>
    <w:rsid w:val="0008033D"/>
    <w:rsid w:val="0008151E"/>
    <w:rsid w:val="000821BF"/>
    <w:rsid w:val="00084BAA"/>
    <w:rsid w:val="00085007"/>
    <w:rsid w:val="0008548C"/>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A7EDC"/>
    <w:rsid w:val="000B03E0"/>
    <w:rsid w:val="000B0EFE"/>
    <w:rsid w:val="000B2A2F"/>
    <w:rsid w:val="000B45EB"/>
    <w:rsid w:val="000B4B51"/>
    <w:rsid w:val="000B4D0F"/>
    <w:rsid w:val="000B5864"/>
    <w:rsid w:val="000B6663"/>
    <w:rsid w:val="000B701B"/>
    <w:rsid w:val="000B7158"/>
    <w:rsid w:val="000C0B33"/>
    <w:rsid w:val="000C2602"/>
    <w:rsid w:val="000C5B8B"/>
    <w:rsid w:val="000C7DC3"/>
    <w:rsid w:val="000D0352"/>
    <w:rsid w:val="000D0916"/>
    <w:rsid w:val="000D1A4E"/>
    <w:rsid w:val="000D1B55"/>
    <w:rsid w:val="000D3C75"/>
    <w:rsid w:val="000D4532"/>
    <w:rsid w:val="000D4A3A"/>
    <w:rsid w:val="000D5800"/>
    <w:rsid w:val="000D67B8"/>
    <w:rsid w:val="000D69D7"/>
    <w:rsid w:val="000D7523"/>
    <w:rsid w:val="000E0C4D"/>
    <w:rsid w:val="000E30C2"/>
    <w:rsid w:val="000E3AEA"/>
    <w:rsid w:val="000E6545"/>
    <w:rsid w:val="000E686B"/>
    <w:rsid w:val="000F1FE8"/>
    <w:rsid w:val="000F2A5E"/>
    <w:rsid w:val="000F2E5A"/>
    <w:rsid w:val="000F3EC2"/>
    <w:rsid w:val="000F3F8D"/>
    <w:rsid w:val="00100C19"/>
    <w:rsid w:val="00101CE5"/>
    <w:rsid w:val="00104391"/>
    <w:rsid w:val="00106372"/>
    <w:rsid w:val="00111DCD"/>
    <w:rsid w:val="00112C29"/>
    <w:rsid w:val="00114CF9"/>
    <w:rsid w:val="00114FD0"/>
    <w:rsid w:val="001154C1"/>
    <w:rsid w:val="00117250"/>
    <w:rsid w:val="00120A03"/>
    <w:rsid w:val="00121E3A"/>
    <w:rsid w:val="001228AB"/>
    <w:rsid w:val="00124209"/>
    <w:rsid w:val="00124855"/>
    <w:rsid w:val="00124E99"/>
    <w:rsid w:val="001254F5"/>
    <w:rsid w:val="00127033"/>
    <w:rsid w:val="0012724B"/>
    <w:rsid w:val="00136C13"/>
    <w:rsid w:val="00136FAD"/>
    <w:rsid w:val="00140557"/>
    <w:rsid w:val="001408A0"/>
    <w:rsid w:val="001414E7"/>
    <w:rsid w:val="001416FE"/>
    <w:rsid w:val="00141BDA"/>
    <w:rsid w:val="001439C9"/>
    <w:rsid w:val="00146F0A"/>
    <w:rsid w:val="0015142D"/>
    <w:rsid w:val="00151D16"/>
    <w:rsid w:val="00152AB2"/>
    <w:rsid w:val="00152C2B"/>
    <w:rsid w:val="00161FBE"/>
    <w:rsid w:val="0016613D"/>
    <w:rsid w:val="0016699E"/>
    <w:rsid w:val="0016745C"/>
    <w:rsid w:val="001705AC"/>
    <w:rsid w:val="001710C0"/>
    <w:rsid w:val="001712BB"/>
    <w:rsid w:val="001733A0"/>
    <w:rsid w:val="00175897"/>
    <w:rsid w:val="00177BC8"/>
    <w:rsid w:val="00180B9F"/>
    <w:rsid w:val="00180F0F"/>
    <w:rsid w:val="00181CC5"/>
    <w:rsid w:val="001829BE"/>
    <w:rsid w:val="00182C4E"/>
    <w:rsid w:val="00184E8E"/>
    <w:rsid w:val="001854E1"/>
    <w:rsid w:val="0018577F"/>
    <w:rsid w:val="001913B5"/>
    <w:rsid w:val="00193784"/>
    <w:rsid w:val="00194676"/>
    <w:rsid w:val="00195824"/>
    <w:rsid w:val="00196DCE"/>
    <w:rsid w:val="00196FE9"/>
    <w:rsid w:val="001A02EC"/>
    <w:rsid w:val="001A1756"/>
    <w:rsid w:val="001A30F5"/>
    <w:rsid w:val="001A443E"/>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159"/>
    <w:rsid w:val="001D3E87"/>
    <w:rsid w:val="001D49A2"/>
    <w:rsid w:val="001D5F45"/>
    <w:rsid w:val="001D627A"/>
    <w:rsid w:val="001D6B60"/>
    <w:rsid w:val="001E0C3F"/>
    <w:rsid w:val="001E11BF"/>
    <w:rsid w:val="001E2C56"/>
    <w:rsid w:val="001E3960"/>
    <w:rsid w:val="001E3E6B"/>
    <w:rsid w:val="001E5168"/>
    <w:rsid w:val="001E58D8"/>
    <w:rsid w:val="001E6631"/>
    <w:rsid w:val="001E78AA"/>
    <w:rsid w:val="001F2101"/>
    <w:rsid w:val="001F2360"/>
    <w:rsid w:val="001F3385"/>
    <w:rsid w:val="001F3969"/>
    <w:rsid w:val="001F607C"/>
    <w:rsid w:val="001F61DA"/>
    <w:rsid w:val="001F6D13"/>
    <w:rsid w:val="00204420"/>
    <w:rsid w:val="00205ACD"/>
    <w:rsid w:val="002075A5"/>
    <w:rsid w:val="00212797"/>
    <w:rsid w:val="00212A9D"/>
    <w:rsid w:val="0021501E"/>
    <w:rsid w:val="00215192"/>
    <w:rsid w:val="0021530C"/>
    <w:rsid w:val="002205C0"/>
    <w:rsid w:val="00221889"/>
    <w:rsid w:val="002248AC"/>
    <w:rsid w:val="00226AF5"/>
    <w:rsid w:val="0023220E"/>
    <w:rsid w:val="0023373D"/>
    <w:rsid w:val="0023423C"/>
    <w:rsid w:val="002406B0"/>
    <w:rsid w:val="002420E3"/>
    <w:rsid w:val="002448CB"/>
    <w:rsid w:val="002525C7"/>
    <w:rsid w:val="002526E7"/>
    <w:rsid w:val="002534AB"/>
    <w:rsid w:val="002545DA"/>
    <w:rsid w:val="002548EC"/>
    <w:rsid w:val="00254BA9"/>
    <w:rsid w:val="00254CAC"/>
    <w:rsid w:val="0025556B"/>
    <w:rsid w:val="002577FE"/>
    <w:rsid w:val="00261125"/>
    <w:rsid w:val="002659E9"/>
    <w:rsid w:val="00267074"/>
    <w:rsid w:val="00267244"/>
    <w:rsid w:val="002717B7"/>
    <w:rsid w:val="00272C55"/>
    <w:rsid w:val="00273D0E"/>
    <w:rsid w:val="00274159"/>
    <w:rsid w:val="00274300"/>
    <w:rsid w:val="00274BE8"/>
    <w:rsid w:val="002765A6"/>
    <w:rsid w:val="0028097F"/>
    <w:rsid w:val="00284A01"/>
    <w:rsid w:val="0028588E"/>
    <w:rsid w:val="00286784"/>
    <w:rsid w:val="00286C41"/>
    <w:rsid w:val="00287700"/>
    <w:rsid w:val="00292BF6"/>
    <w:rsid w:val="0029431D"/>
    <w:rsid w:val="00294823"/>
    <w:rsid w:val="00295248"/>
    <w:rsid w:val="00295749"/>
    <w:rsid w:val="0029598B"/>
    <w:rsid w:val="00296316"/>
    <w:rsid w:val="00297A36"/>
    <w:rsid w:val="002A0229"/>
    <w:rsid w:val="002A0ABA"/>
    <w:rsid w:val="002A2034"/>
    <w:rsid w:val="002A24F4"/>
    <w:rsid w:val="002A38BF"/>
    <w:rsid w:val="002A4319"/>
    <w:rsid w:val="002A5409"/>
    <w:rsid w:val="002A56AE"/>
    <w:rsid w:val="002A5933"/>
    <w:rsid w:val="002A597E"/>
    <w:rsid w:val="002B0A7C"/>
    <w:rsid w:val="002B113A"/>
    <w:rsid w:val="002B18B5"/>
    <w:rsid w:val="002B19E0"/>
    <w:rsid w:val="002B1A1F"/>
    <w:rsid w:val="002B1C3E"/>
    <w:rsid w:val="002B2879"/>
    <w:rsid w:val="002B3AF1"/>
    <w:rsid w:val="002B5A2F"/>
    <w:rsid w:val="002B5DBD"/>
    <w:rsid w:val="002C07C4"/>
    <w:rsid w:val="002C1B76"/>
    <w:rsid w:val="002C2ED7"/>
    <w:rsid w:val="002C3189"/>
    <w:rsid w:val="002C39CE"/>
    <w:rsid w:val="002C72D2"/>
    <w:rsid w:val="002D08E3"/>
    <w:rsid w:val="002D30CB"/>
    <w:rsid w:val="002D310D"/>
    <w:rsid w:val="002D3D96"/>
    <w:rsid w:val="002D59F9"/>
    <w:rsid w:val="002D6159"/>
    <w:rsid w:val="002E23FD"/>
    <w:rsid w:val="002E2D7B"/>
    <w:rsid w:val="002E3B86"/>
    <w:rsid w:val="002E5E6A"/>
    <w:rsid w:val="002F14AA"/>
    <w:rsid w:val="002F2198"/>
    <w:rsid w:val="002F37BE"/>
    <w:rsid w:val="002F3C96"/>
    <w:rsid w:val="002F4577"/>
    <w:rsid w:val="002F5503"/>
    <w:rsid w:val="002F5BD7"/>
    <w:rsid w:val="002F6424"/>
    <w:rsid w:val="002F7704"/>
    <w:rsid w:val="00300D0B"/>
    <w:rsid w:val="00301981"/>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2039"/>
    <w:rsid w:val="00323CD2"/>
    <w:rsid w:val="00324E31"/>
    <w:rsid w:val="00325645"/>
    <w:rsid w:val="00326F6B"/>
    <w:rsid w:val="003272FB"/>
    <w:rsid w:val="003317CD"/>
    <w:rsid w:val="00335EE5"/>
    <w:rsid w:val="0033704D"/>
    <w:rsid w:val="00337BA5"/>
    <w:rsid w:val="0034179E"/>
    <w:rsid w:val="00341AC3"/>
    <w:rsid w:val="0034299B"/>
    <w:rsid w:val="003430A8"/>
    <w:rsid w:val="003442C8"/>
    <w:rsid w:val="003443B2"/>
    <w:rsid w:val="00345B43"/>
    <w:rsid w:val="00346B14"/>
    <w:rsid w:val="00352D61"/>
    <w:rsid w:val="003549DC"/>
    <w:rsid w:val="00360F1F"/>
    <w:rsid w:val="0036194F"/>
    <w:rsid w:val="00361B9C"/>
    <w:rsid w:val="003625BE"/>
    <w:rsid w:val="00365C45"/>
    <w:rsid w:val="00366665"/>
    <w:rsid w:val="00371031"/>
    <w:rsid w:val="0037342D"/>
    <w:rsid w:val="003736ED"/>
    <w:rsid w:val="00374444"/>
    <w:rsid w:val="00374F7B"/>
    <w:rsid w:val="003755BC"/>
    <w:rsid w:val="003756A4"/>
    <w:rsid w:val="00376114"/>
    <w:rsid w:val="00376CEC"/>
    <w:rsid w:val="00380758"/>
    <w:rsid w:val="00382012"/>
    <w:rsid w:val="003827B4"/>
    <w:rsid w:val="00383C82"/>
    <w:rsid w:val="00386BBB"/>
    <w:rsid w:val="00386D84"/>
    <w:rsid w:val="0039245A"/>
    <w:rsid w:val="00393F7A"/>
    <w:rsid w:val="00394A1E"/>
    <w:rsid w:val="003A19E1"/>
    <w:rsid w:val="003A241D"/>
    <w:rsid w:val="003A43CE"/>
    <w:rsid w:val="003A60CC"/>
    <w:rsid w:val="003A61F9"/>
    <w:rsid w:val="003A73D3"/>
    <w:rsid w:val="003B1A03"/>
    <w:rsid w:val="003B1C4E"/>
    <w:rsid w:val="003B1E88"/>
    <w:rsid w:val="003B2317"/>
    <w:rsid w:val="003B5455"/>
    <w:rsid w:val="003B5FFE"/>
    <w:rsid w:val="003B63C0"/>
    <w:rsid w:val="003B6686"/>
    <w:rsid w:val="003C1C73"/>
    <w:rsid w:val="003C2632"/>
    <w:rsid w:val="003C2A8E"/>
    <w:rsid w:val="003C4C62"/>
    <w:rsid w:val="003C7873"/>
    <w:rsid w:val="003C78F7"/>
    <w:rsid w:val="003C79D5"/>
    <w:rsid w:val="003D0A89"/>
    <w:rsid w:val="003D11E5"/>
    <w:rsid w:val="003D153C"/>
    <w:rsid w:val="003D305F"/>
    <w:rsid w:val="003D4013"/>
    <w:rsid w:val="003D4806"/>
    <w:rsid w:val="003E0BC5"/>
    <w:rsid w:val="003E16E1"/>
    <w:rsid w:val="003E20B4"/>
    <w:rsid w:val="003E2624"/>
    <w:rsid w:val="003E34C9"/>
    <w:rsid w:val="003E4B54"/>
    <w:rsid w:val="003E5686"/>
    <w:rsid w:val="003E6C30"/>
    <w:rsid w:val="003F0DF5"/>
    <w:rsid w:val="003F332C"/>
    <w:rsid w:val="003F3BA1"/>
    <w:rsid w:val="003F659A"/>
    <w:rsid w:val="003F6CB2"/>
    <w:rsid w:val="0040028E"/>
    <w:rsid w:val="00400E16"/>
    <w:rsid w:val="004012CF"/>
    <w:rsid w:val="004012E1"/>
    <w:rsid w:val="00401F9A"/>
    <w:rsid w:val="004020B1"/>
    <w:rsid w:val="004028F5"/>
    <w:rsid w:val="00402FF3"/>
    <w:rsid w:val="00404627"/>
    <w:rsid w:val="00405192"/>
    <w:rsid w:val="00405EAB"/>
    <w:rsid w:val="00406265"/>
    <w:rsid w:val="004069EB"/>
    <w:rsid w:val="004072AA"/>
    <w:rsid w:val="004111DA"/>
    <w:rsid w:val="00413327"/>
    <w:rsid w:val="00413F1C"/>
    <w:rsid w:val="0041440A"/>
    <w:rsid w:val="00423213"/>
    <w:rsid w:val="0042416D"/>
    <w:rsid w:val="00431DF7"/>
    <w:rsid w:val="00433507"/>
    <w:rsid w:val="004336AE"/>
    <w:rsid w:val="00433F50"/>
    <w:rsid w:val="00437A0E"/>
    <w:rsid w:val="00441432"/>
    <w:rsid w:val="00441566"/>
    <w:rsid w:val="00443B76"/>
    <w:rsid w:val="00444EC5"/>
    <w:rsid w:val="0044504F"/>
    <w:rsid w:val="004460C0"/>
    <w:rsid w:val="004502F1"/>
    <w:rsid w:val="004516EB"/>
    <w:rsid w:val="00451AC8"/>
    <w:rsid w:val="004529B6"/>
    <w:rsid w:val="00453DBD"/>
    <w:rsid w:val="00454CE6"/>
    <w:rsid w:val="00457162"/>
    <w:rsid w:val="00457A9F"/>
    <w:rsid w:val="0046133D"/>
    <w:rsid w:val="0046218B"/>
    <w:rsid w:val="00462881"/>
    <w:rsid w:val="00462B0D"/>
    <w:rsid w:val="00464534"/>
    <w:rsid w:val="0046475C"/>
    <w:rsid w:val="00464805"/>
    <w:rsid w:val="00466B1C"/>
    <w:rsid w:val="004702BF"/>
    <w:rsid w:val="0047088E"/>
    <w:rsid w:val="00470F88"/>
    <w:rsid w:val="00472649"/>
    <w:rsid w:val="004726B1"/>
    <w:rsid w:val="004738C8"/>
    <w:rsid w:val="0047555B"/>
    <w:rsid w:val="00475F48"/>
    <w:rsid w:val="00476C7B"/>
    <w:rsid w:val="0047718A"/>
    <w:rsid w:val="00477430"/>
    <w:rsid w:val="00477CC2"/>
    <w:rsid w:val="00480C13"/>
    <w:rsid w:val="00481325"/>
    <w:rsid w:val="0048180A"/>
    <w:rsid w:val="00481C7A"/>
    <w:rsid w:val="0048339F"/>
    <w:rsid w:val="004836B3"/>
    <w:rsid w:val="00484134"/>
    <w:rsid w:val="00485454"/>
    <w:rsid w:val="00485906"/>
    <w:rsid w:val="004863BE"/>
    <w:rsid w:val="00486CC8"/>
    <w:rsid w:val="004906C8"/>
    <w:rsid w:val="0049459B"/>
    <w:rsid w:val="00494DE3"/>
    <w:rsid w:val="00495252"/>
    <w:rsid w:val="004964B5"/>
    <w:rsid w:val="0049675F"/>
    <w:rsid w:val="004967E2"/>
    <w:rsid w:val="0049785D"/>
    <w:rsid w:val="004A1436"/>
    <w:rsid w:val="004A19ED"/>
    <w:rsid w:val="004A290F"/>
    <w:rsid w:val="004A55D8"/>
    <w:rsid w:val="004A5FFD"/>
    <w:rsid w:val="004A6011"/>
    <w:rsid w:val="004A7195"/>
    <w:rsid w:val="004A7CE2"/>
    <w:rsid w:val="004B376D"/>
    <w:rsid w:val="004B4A4A"/>
    <w:rsid w:val="004B5DEC"/>
    <w:rsid w:val="004B7F32"/>
    <w:rsid w:val="004C1B07"/>
    <w:rsid w:val="004C1DF1"/>
    <w:rsid w:val="004C4E77"/>
    <w:rsid w:val="004C74FD"/>
    <w:rsid w:val="004C7E3D"/>
    <w:rsid w:val="004D08EB"/>
    <w:rsid w:val="004D6029"/>
    <w:rsid w:val="004D6663"/>
    <w:rsid w:val="004E0166"/>
    <w:rsid w:val="004E0679"/>
    <w:rsid w:val="004E0B32"/>
    <w:rsid w:val="004E1161"/>
    <w:rsid w:val="004E1AC5"/>
    <w:rsid w:val="004E1B1C"/>
    <w:rsid w:val="004E2371"/>
    <w:rsid w:val="004E35D0"/>
    <w:rsid w:val="004E4020"/>
    <w:rsid w:val="004E6BE9"/>
    <w:rsid w:val="004E79A4"/>
    <w:rsid w:val="004F26CF"/>
    <w:rsid w:val="004F3E8F"/>
    <w:rsid w:val="004F4792"/>
    <w:rsid w:val="004F4DF1"/>
    <w:rsid w:val="004F74F7"/>
    <w:rsid w:val="005008D0"/>
    <w:rsid w:val="00502F50"/>
    <w:rsid w:val="00503655"/>
    <w:rsid w:val="00505759"/>
    <w:rsid w:val="00505784"/>
    <w:rsid w:val="0050578D"/>
    <w:rsid w:val="0051107C"/>
    <w:rsid w:val="00512786"/>
    <w:rsid w:val="00514187"/>
    <w:rsid w:val="00515090"/>
    <w:rsid w:val="00517F23"/>
    <w:rsid w:val="00521A89"/>
    <w:rsid w:val="00521E57"/>
    <w:rsid w:val="00525E83"/>
    <w:rsid w:val="005268A3"/>
    <w:rsid w:val="00527A22"/>
    <w:rsid w:val="00527EBC"/>
    <w:rsid w:val="005305EA"/>
    <w:rsid w:val="00530E3E"/>
    <w:rsid w:val="005311BB"/>
    <w:rsid w:val="00535C9F"/>
    <w:rsid w:val="00536723"/>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7500"/>
    <w:rsid w:val="00580802"/>
    <w:rsid w:val="00581A22"/>
    <w:rsid w:val="005833A8"/>
    <w:rsid w:val="00584485"/>
    <w:rsid w:val="005863B4"/>
    <w:rsid w:val="0058661B"/>
    <w:rsid w:val="005875FF"/>
    <w:rsid w:val="00587E4A"/>
    <w:rsid w:val="00590A32"/>
    <w:rsid w:val="00591165"/>
    <w:rsid w:val="00593E91"/>
    <w:rsid w:val="00594C99"/>
    <w:rsid w:val="00595600"/>
    <w:rsid w:val="00596DC4"/>
    <w:rsid w:val="00597589"/>
    <w:rsid w:val="005A0B49"/>
    <w:rsid w:val="005A52D9"/>
    <w:rsid w:val="005A5A6E"/>
    <w:rsid w:val="005A694B"/>
    <w:rsid w:val="005A6D57"/>
    <w:rsid w:val="005B00A4"/>
    <w:rsid w:val="005B0424"/>
    <w:rsid w:val="005B1C46"/>
    <w:rsid w:val="005B2B98"/>
    <w:rsid w:val="005B2E7E"/>
    <w:rsid w:val="005B37EF"/>
    <w:rsid w:val="005B5B70"/>
    <w:rsid w:val="005B5F05"/>
    <w:rsid w:val="005B77A6"/>
    <w:rsid w:val="005B79E7"/>
    <w:rsid w:val="005C0435"/>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17BC"/>
    <w:rsid w:val="005E4D7C"/>
    <w:rsid w:val="005E4EB4"/>
    <w:rsid w:val="005E54CA"/>
    <w:rsid w:val="005E63EA"/>
    <w:rsid w:val="005E6A46"/>
    <w:rsid w:val="005E7A49"/>
    <w:rsid w:val="005F048E"/>
    <w:rsid w:val="005F10E7"/>
    <w:rsid w:val="005F1408"/>
    <w:rsid w:val="005F1E0B"/>
    <w:rsid w:val="005F4BA7"/>
    <w:rsid w:val="005F57F0"/>
    <w:rsid w:val="005F7424"/>
    <w:rsid w:val="005F7D10"/>
    <w:rsid w:val="00600A14"/>
    <w:rsid w:val="00600FB9"/>
    <w:rsid w:val="0060108E"/>
    <w:rsid w:val="006010C7"/>
    <w:rsid w:val="00602223"/>
    <w:rsid w:val="0060225F"/>
    <w:rsid w:val="0060242C"/>
    <w:rsid w:val="006041EC"/>
    <w:rsid w:val="00606FDA"/>
    <w:rsid w:val="0061042F"/>
    <w:rsid w:val="00612499"/>
    <w:rsid w:val="00612954"/>
    <w:rsid w:val="006168E4"/>
    <w:rsid w:val="00616943"/>
    <w:rsid w:val="006174FA"/>
    <w:rsid w:val="00620EEE"/>
    <w:rsid w:val="00621171"/>
    <w:rsid w:val="006214B9"/>
    <w:rsid w:val="00621940"/>
    <w:rsid w:val="006223C1"/>
    <w:rsid w:val="0062421A"/>
    <w:rsid w:val="00624FE9"/>
    <w:rsid w:val="00625866"/>
    <w:rsid w:val="006300D6"/>
    <w:rsid w:val="00630382"/>
    <w:rsid w:val="00630469"/>
    <w:rsid w:val="00630E5F"/>
    <w:rsid w:val="006321C8"/>
    <w:rsid w:val="0063265C"/>
    <w:rsid w:val="00633079"/>
    <w:rsid w:val="006332DC"/>
    <w:rsid w:val="00635020"/>
    <w:rsid w:val="00635846"/>
    <w:rsid w:val="006373D0"/>
    <w:rsid w:val="00637512"/>
    <w:rsid w:val="0063765F"/>
    <w:rsid w:val="00640EE4"/>
    <w:rsid w:val="0064168D"/>
    <w:rsid w:val="00643161"/>
    <w:rsid w:val="00643DA3"/>
    <w:rsid w:val="006455CC"/>
    <w:rsid w:val="006466F5"/>
    <w:rsid w:val="006468D6"/>
    <w:rsid w:val="006478C6"/>
    <w:rsid w:val="006522DA"/>
    <w:rsid w:val="006529A5"/>
    <w:rsid w:val="00652E67"/>
    <w:rsid w:val="0065450F"/>
    <w:rsid w:val="00655735"/>
    <w:rsid w:val="00656289"/>
    <w:rsid w:val="00660155"/>
    <w:rsid w:val="00661404"/>
    <w:rsid w:val="00661753"/>
    <w:rsid w:val="006646AC"/>
    <w:rsid w:val="00664D5B"/>
    <w:rsid w:val="0066790A"/>
    <w:rsid w:val="00671D7C"/>
    <w:rsid w:val="00672112"/>
    <w:rsid w:val="006766EB"/>
    <w:rsid w:val="00676C2E"/>
    <w:rsid w:val="00681802"/>
    <w:rsid w:val="00682225"/>
    <w:rsid w:val="006822F4"/>
    <w:rsid w:val="00682B6F"/>
    <w:rsid w:val="00683417"/>
    <w:rsid w:val="00684893"/>
    <w:rsid w:val="006848B7"/>
    <w:rsid w:val="00684CBE"/>
    <w:rsid w:val="00686FC2"/>
    <w:rsid w:val="0068792F"/>
    <w:rsid w:val="0069391E"/>
    <w:rsid w:val="00694735"/>
    <w:rsid w:val="00697281"/>
    <w:rsid w:val="00697492"/>
    <w:rsid w:val="006A2C7F"/>
    <w:rsid w:val="006A2EFE"/>
    <w:rsid w:val="006A3C38"/>
    <w:rsid w:val="006A47F5"/>
    <w:rsid w:val="006B0AA4"/>
    <w:rsid w:val="006B12A6"/>
    <w:rsid w:val="006B1953"/>
    <w:rsid w:val="006B1BF1"/>
    <w:rsid w:val="006B1C95"/>
    <w:rsid w:val="006B26E3"/>
    <w:rsid w:val="006B3302"/>
    <w:rsid w:val="006B37EA"/>
    <w:rsid w:val="006B7444"/>
    <w:rsid w:val="006C0C3F"/>
    <w:rsid w:val="006C0CF5"/>
    <w:rsid w:val="006C1288"/>
    <w:rsid w:val="006C32EE"/>
    <w:rsid w:val="006C3831"/>
    <w:rsid w:val="006C6A05"/>
    <w:rsid w:val="006D23FC"/>
    <w:rsid w:val="006D3CD7"/>
    <w:rsid w:val="006D5719"/>
    <w:rsid w:val="006D5803"/>
    <w:rsid w:val="006E01D1"/>
    <w:rsid w:val="006E2644"/>
    <w:rsid w:val="006E32D1"/>
    <w:rsid w:val="006E594D"/>
    <w:rsid w:val="006E5C99"/>
    <w:rsid w:val="006E7F05"/>
    <w:rsid w:val="006F1B61"/>
    <w:rsid w:val="006F1FC1"/>
    <w:rsid w:val="006F3F8C"/>
    <w:rsid w:val="006F4A27"/>
    <w:rsid w:val="006F53A9"/>
    <w:rsid w:val="006F5A35"/>
    <w:rsid w:val="006F610D"/>
    <w:rsid w:val="006F6E0E"/>
    <w:rsid w:val="00701033"/>
    <w:rsid w:val="0070175B"/>
    <w:rsid w:val="007024E8"/>
    <w:rsid w:val="0070371E"/>
    <w:rsid w:val="00705BF0"/>
    <w:rsid w:val="00705F8F"/>
    <w:rsid w:val="007064F6"/>
    <w:rsid w:val="007078A3"/>
    <w:rsid w:val="007111B4"/>
    <w:rsid w:val="00711536"/>
    <w:rsid w:val="007129C0"/>
    <w:rsid w:val="00712AFE"/>
    <w:rsid w:val="00713390"/>
    <w:rsid w:val="007142B5"/>
    <w:rsid w:val="00716BFE"/>
    <w:rsid w:val="00720774"/>
    <w:rsid w:val="00721D87"/>
    <w:rsid w:val="00723454"/>
    <w:rsid w:val="007234D1"/>
    <w:rsid w:val="0072378A"/>
    <w:rsid w:val="00731428"/>
    <w:rsid w:val="0073157A"/>
    <w:rsid w:val="007335F8"/>
    <w:rsid w:val="00734B6E"/>
    <w:rsid w:val="00735209"/>
    <w:rsid w:val="00737D40"/>
    <w:rsid w:val="0074023C"/>
    <w:rsid w:val="00743818"/>
    <w:rsid w:val="00744E29"/>
    <w:rsid w:val="00744EEF"/>
    <w:rsid w:val="00746D2D"/>
    <w:rsid w:val="0074726D"/>
    <w:rsid w:val="00747D38"/>
    <w:rsid w:val="00750C96"/>
    <w:rsid w:val="00751095"/>
    <w:rsid w:val="007517D1"/>
    <w:rsid w:val="007524CA"/>
    <w:rsid w:val="00753F8F"/>
    <w:rsid w:val="00754B2D"/>
    <w:rsid w:val="00754CAE"/>
    <w:rsid w:val="00757559"/>
    <w:rsid w:val="00760CA0"/>
    <w:rsid w:val="007658D5"/>
    <w:rsid w:val="00772BA8"/>
    <w:rsid w:val="00774266"/>
    <w:rsid w:val="0078028A"/>
    <w:rsid w:val="007806CB"/>
    <w:rsid w:val="00780A54"/>
    <w:rsid w:val="007818E1"/>
    <w:rsid w:val="00781C64"/>
    <w:rsid w:val="00781EDB"/>
    <w:rsid w:val="007848FB"/>
    <w:rsid w:val="007851D5"/>
    <w:rsid w:val="00785698"/>
    <w:rsid w:val="0078693A"/>
    <w:rsid w:val="00787954"/>
    <w:rsid w:val="007900A4"/>
    <w:rsid w:val="007906E0"/>
    <w:rsid w:val="00794153"/>
    <w:rsid w:val="0079486A"/>
    <w:rsid w:val="00794D64"/>
    <w:rsid w:val="00794E74"/>
    <w:rsid w:val="00794F80"/>
    <w:rsid w:val="0079666D"/>
    <w:rsid w:val="0079788F"/>
    <w:rsid w:val="00797913"/>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D01"/>
    <w:rsid w:val="007D15EF"/>
    <w:rsid w:val="007D1A27"/>
    <w:rsid w:val="007D1B24"/>
    <w:rsid w:val="007D1F15"/>
    <w:rsid w:val="007D25B1"/>
    <w:rsid w:val="007D2878"/>
    <w:rsid w:val="007D300A"/>
    <w:rsid w:val="007D4430"/>
    <w:rsid w:val="007D4DD9"/>
    <w:rsid w:val="007D63A2"/>
    <w:rsid w:val="007D661B"/>
    <w:rsid w:val="007E1016"/>
    <w:rsid w:val="007E1DE4"/>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67C9"/>
    <w:rsid w:val="007F6C8E"/>
    <w:rsid w:val="007F76DF"/>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14D6A"/>
    <w:rsid w:val="00821792"/>
    <w:rsid w:val="00821C2C"/>
    <w:rsid w:val="008230AE"/>
    <w:rsid w:val="00824DCD"/>
    <w:rsid w:val="008253B0"/>
    <w:rsid w:val="00831D3F"/>
    <w:rsid w:val="00832986"/>
    <w:rsid w:val="00833DB5"/>
    <w:rsid w:val="00835692"/>
    <w:rsid w:val="008419A8"/>
    <w:rsid w:val="00842697"/>
    <w:rsid w:val="008436AD"/>
    <w:rsid w:val="00844569"/>
    <w:rsid w:val="00846539"/>
    <w:rsid w:val="0084766D"/>
    <w:rsid w:val="008479F1"/>
    <w:rsid w:val="00847D23"/>
    <w:rsid w:val="00853174"/>
    <w:rsid w:val="0085439C"/>
    <w:rsid w:val="00854887"/>
    <w:rsid w:val="00854BB0"/>
    <w:rsid w:val="00855544"/>
    <w:rsid w:val="00856D15"/>
    <w:rsid w:val="0086020D"/>
    <w:rsid w:val="00863327"/>
    <w:rsid w:val="008671BD"/>
    <w:rsid w:val="008673BF"/>
    <w:rsid w:val="00867B2F"/>
    <w:rsid w:val="00867FEE"/>
    <w:rsid w:val="00870084"/>
    <w:rsid w:val="008709D8"/>
    <w:rsid w:val="00870F44"/>
    <w:rsid w:val="00871F78"/>
    <w:rsid w:val="00874015"/>
    <w:rsid w:val="00875611"/>
    <w:rsid w:val="00876A75"/>
    <w:rsid w:val="0087786C"/>
    <w:rsid w:val="00877DCA"/>
    <w:rsid w:val="00883587"/>
    <w:rsid w:val="00884054"/>
    <w:rsid w:val="00886712"/>
    <w:rsid w:val="008868B6"/>
    <w:rsid w:val="00890A5B"/>
    <w:rsid w:val="00891715"/>
    <w:rsid w:val="00893C5F"/>
    <w:rsid w:val="00895089"/>
    <w:rsid w:val="008951ED"/>
    <w:rsid w:val="008966B3"/>
    <w:rsid w:val="00896BBD"/>
    <w:rsid w:val="00896DB2"/>
    <w:rsid w:val="00897D44"/>
    <w:rsid w:val="008A08B6"/>
    <w:rsid w:val="008A1129"/>
    <w:rsid w:val="008A322D"/>
    <w:rsid w:val="008A4437"/>
    <w:rsid w:val="008A75BE"/>
    <w:rsid w:val="008B00BD"/>
    <w:rsid w:val="008B14D0"/>
    <w:rsid w:val="008B18B5"/>
    <w:rsid w:val="008B5026"/>
    <w:rsid w:val="008B634F"/>
    <w:rsid w:val="008C2BCF"/>
    <w:rsid w:val="008C32A8"/>
    <w:rsid w:val="008C55A3"/>
    <w:rsid w:val="008C5EC3"/>
    <w:rsid w:val="008D06E0"/>
    <w:rsid w:val="008D1DFF"/>
    <w:rsid w:val="008D29A7"/>
    <w:rsid w:val="008D2F5B"/>
    <w:rsid w:val="008D4DDD"/>
    <w:rsid w:val="008D7675"/>
    <w:rsid w:val="008E6375"/>
    <w:rsid w:val="008E7DB4"/>
    <w:rsid w:val="008F10A6"/>
    <w:rsid w:val="008F16D2"/>
    <w:rsid w:val="008F3674"/>
    <w:rsid w:val="008F4944"/>
    <w:rsid w:val="008F4AB6"/>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403D"/>
    <w:rsid w:val="0092563B"/>
    <w:rsid w:val="00927C53"/>
    <w:rsid w:val="00932888"/>
    <w:rsid w:val="009331C2"/>
    <w:rsid w:val="0093422A"/>
    <w:rsid w:val="00934B04"/>
    <w:rsid w:val="009361F0"/>
    <w:rsid w:val="009402DB"/>
    <w:rsid w:val="0094160B"/>
    <w:rsid w:val="00941FE3"/>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3D83"/>
    <w:rsid w:val="009642BE"/>
    <w:rsid w:val="00964573"/>
    <w:rsid w:val="00965139"/>
    <w:rsid w:val="00965FEE"/>
    <w:rsid w:val="0096643B"/>
    <w:rsid w:val="009679C0"/>
    <w:rsid w:val="0097038E"/>
    <w:rsid w:val="0097069C"/>
    <w:rsid w:val="009706B5"/>
    <w:rsid w:val="00970CE3"/>
    <w:rsid w:val="009718BF"/>
    <w:rsid w:val="00972BDF"/>
    <w:rsid w:val="00973028"/>
    <w:rsid w:val="0097390F"/>
    <w:rsid w:val="00977E05"/>
    <w:rsid w:val="0098057B"/>
    <w:rsid w:val="0098182D"/>
    <w:rsid w:val="00985AD2"/>
    <w:rsid w:val="00985C4C"/>
    <w:rsid w:val="0098704B"/>
    <w:rsid w:val="00993821"/>
    <w:rsid w:val="009940F6"/>
    <w:rsid w:val="00994280"/>
    <w:rsid w:val="0099575D"/>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429"/>
    <w:rsid w:val="009B4510"/>
    <w:rsid w:val="009B5F5A"/>
    <w:rsid w:val="009B7C61"/>
    <w:rsid w:val="009B7D7D"/>
    <w:rsid w:val="009C0DC9"/>
    <w:rsid w:val="009C2394"/>
    <w:rsid w:val="009C3793"/>
    <w:rsid w:val="009C451F"/>
    <w:rsid w:val="009C5075"/>
    <w:rsid w:val="009C5E96"/>
    <w:rsid w:val="009C726D"/>
    <w:rsid w:val="009D1B1E"/>
    <w:rsid w:val="009D3697"/>
    <w:rsid w:val="009D42F9"/>
    <w:rsid w:val="009D5F9E"/>
    <w:rsid w:val="009D735D"/>
    <w:rsid w:val="009E1411"/>
    <w:rsid w:val="009E32B5"/>
    <w:rsid w:val="009E5079"/>
    <w:rsid w:val="009E52F2"/>
    <w:rsid w:val="009E5717"/>
    <w:rsid w:val="009E6985"/>
    <w:rsid w:val="009F002C"/>
    <w:rsid w:val="009F01C0"/>
    <w:rsid w:val="009F1278"/>
    <w:rsid w:val="009F3C1F"/>
    <w:rsid w:val="009F5439"/>
    <w:rsid w:val="009F5DB2"/>
    <w:rsid w:val="009F614E"/>
    <w:rsid w:val="009F762B"/>
    <w:rsid w:val="00A0172D"/>
    <w:rsid w:val="00A02047"/>
    <w:rsid w:val="00A03338"/>
    <w:rsid w:val="00A036BE"/>
    <w:rsid w:val="00A03C4B"/>
    <w:rsid w:val="00A04C52"/>
    <w:rsid w:val="00A0717F"/>
    <w:rsid w:val="00A07627"/>
    <w:rsid w:val="00A11AE6"/>
    <w:rsid w:val="00A12205"/>
    <w:rsid w:val="00A21876"/>
    <w:rsid w:val="00A279CF"/>
    <w:rsid w:val="00A30BC9"/>
    <w:rsid w:val="00A30C44"/>
    <w:rsid w:val="00A328AE"/>
    <w:rsid w:val="00A32F3B"/>
    <w:rsid w:val="00A347D8"/>
    <w:rsid w:val="00A35865"/>
    <w:rsid w:val="00A36D20"/>
    <w:rsid w:val="00A4131E"/>
    <w:rsid w:val="00A41694"/>
    <w:rsid w:val="00A42326"/>
    <w:rsid w:val="00A43501"/>
    <w:rsid w:val="00A453DC"/>
    <w:rsid w:val="00A469C4"/>
    <w:rsid w:val="00A46BDA"/>
    <w:rsid w:val="00A475D9"/>
    <w:rsid w:val="00A50617"/>
    <w:rsid w:val="00A535E3"/>
    <w:rsid w:val="00A5450F"/>
    <w:rsid w:val="00A570A7"/>
    <w:rsid w:val="00A57E92"/>
    <w:rsid w:val="00A61900"/>
    <w:rsid w:val="00A625E2"/>
    <w:rsid w:val="00A62AA3"/>
    <w:rsid w:val="00A62B55"/>
    <w:rsid w:val="00A64C80"/>
    <w:rsid w:val="00A67EF9"/>
    <w:rsid w:val="00A708F1"/>
    <w:rsid w:val="00A715FE"/>
    <w:rsid w:val="00A72465"/>
    <w:rsid w:val="00A755B3"/>
    <w:rsid w:val="00A75CA6"/>
    <w:rsid w:val="00A76B72"/>
    <w:rsid w:val="00A80C92"/>
    <w:rsid w:val="00A81BCB"/>
    <w:rsid w:val="00A82461"/>
    <w:rsid w:val="00A82EF1"/>
    <w:rsid w:val="00A840FB"/>
    <w:rsid w:val="00A84571"/>
    <w:rsid w:val="00A84CDC"/>
    <w:rsid w:val="00A851D8"/>
    <w:rsid w:val="00A8580D"/>
    <w:rsid w:val="00A85816"/>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4BE1"/>
    <w:rsid w:val="00AA50AC"/>
    <w:rsid w:val="00AA5D62"/>
    <w:rsid w:val="00AB14BD"/>
    <w:rsid w:val="00AB1D6A"/>
    <w:rsid w:val="00AB3710"/>
    <w:rsid w:val="00AB4B0F"/>
    <w:rsid w:val="00AB4FA1"/>
    <w:rsid w:val="00AB65D4"/>
    <w:rsid w:val="00AB6A6D"/>
    <w:rsid w:val="00AB6C3B"/>
    <w:rsid w:val="00AB747F"/>
    <w:rsid w:val="00AB76A1"/>
    <w:rsid w:val="00AC0516"/>
    <w:rsid w:val="00AC0D96"/>
    <w:rsid w:val="00AC2A55"/>
    <w:rsid w:val="00AC48E0"/>
    <w:rsid w:val="00AC6189"/>
    <w:rsid w:val="00AC7A73"/>
    <w:rsid w:val="00AC7C82"/>
    <w:rsid w:val="00AD1553"/>
    <w:rsid w:val="00AD25F0"/>
    <w:rsid w:val="00AD2EBD"/>
    <w:rsid w:val="00AD30EB"/>
    <w:rsid w:val="00AD3849"/>
    <w:rsid w:val="00AD461A"/>
    <w:rsid w:val="00AD6CC6"/>
    <w:rsid w:val="00AD6EAA"/>
    <w:rsid w:val="00AE008F"/>
    <w:rsid w:val="00AE04E8"/>
    <w:rsid w:val="00AE09FB"/>
    <w:rsid w:val="00AE0D01"/>
    <w:rsid w:val="00AE2056"/>
    <w:rsid w:val="00AE43EE"/>
    <w:rsid w:val="00AE74E9"/>
    <w:rsid w:val="00AF16C8"/>
    <w:rsid w:val="00AF4AAA"/>
    <w:rsid w:val="00AF54EF"/>
    <w:rsid w:val="00AF72F4"/>
    <w:rsid w:val="00AF74DA"/>
    <w:rsid w:val="00B00C72"/>
    <w:rsid w:val="00B00C80"/>
    <w:rsid w:val="00B01443"/>
    <w:rsid w:val="00B024D6"/>
    <w:rsid w:val="00B03C9B"/>
    <w:rsid w:val="00B04CF0"/>
    <w:rsid w:val="00B06055"/>
    <w:rsid w:val="00B070A2"/>
    <w:rsid w:val="00B0761F"/>
    <w:rsid w:val="00B10E49"/>
    <w:rsid w:val="00B11E08"/>
    <w:rsid w:val="00B145FA"/>
    <w:rsid w:val="00B2037B"/>
    <w:rsid w:val="00B20C7F"/>
    <w:rsid w:val="00B226AF"/>
    <w:rsid w:val="00B23274"/>
    <w:rsid w:val="00B24D10"/>
    <w:rsid w:val="00B264D4"/>
    <w:rsid w:val="00B272A6"/>
    <w:rsid w:val="00B30856"/>
    <w:rsid w:val="00B32CD3"/>
    <w:rsid w:val="00B333EA"/>
    <w:rsid w:val="00B33F04"/>
    <w:rsid w:val="00B34CA9"/>
    <w:rsid w:val="00B35797"/>
    <w:rsid w:val="00B35A93"/>
    <w:rsid w:val="00B3672D"/>
    <w:rsid w:val="00B40656"/>
    <w:rsid w:val="00B40F8A"/>
    <w:rsid w:val="00B443AD"/>
    <w:rsid w:val="00B4502E"/>
    <w:rsid w:val="00B4745C"/>
    <w:rsid w:val="00B50AAA"/>
    <w:rsid w:val="00B51FC0"/>
    <w:rsid w:val="00B53B4F"/>
    <w:rsid w:val="00B544D9"/>
    <w:rsid w:val="00B5641B"/>
    <w:rsid w:val="00B564E0"/>
    <w:rsid w:val="00B57F47"/>
    <w:rsid w:val="00B61063"/>
    <w:rsid w:val="00B63AA2"/>
    <w:rsid w:val="00B658D4"/>
    <w:rsid w:val="00B6662B"/>
    <w:rsid w:val="00B67823"/>
    <w:rsid w:val="00B67D2A"/>
    <w:rsid w:val="00B70133"/>
    <w:rsid w:val="00B70741"/>
    <w:rsid w:val="00B7481A"/>
    <w:rsid w:val="00B75A2C"/>
    <w:rsid w:val="00B77A82"/>
    <w:rsid w:val="00B813AC"/>
    <w:rsid w:val="00B8287F"/>
    <w:rsid w:val="00B83146"/>
    <w:rsid w:val="00B8376C"/>
    <w:rsid w:val="00B84260"/>
    <w:rsid w:val="00B84884"/>
    <w:rsid w:val="00B85673"/>
    <w:rsid w:val="00B86811"/>
    <w:rsid w:val="00B86CC9"/>
    <w:rsid w:val="00B8738D"/>
    <w:rsid w:val="00B91F0B"/>
    <w:rsid w:val="00B9223B"/>
    <w:rsid w:val="00B92D47"/>
    <w:rsid w:val="00B961A5"/>
    <w:rsid w:val="00B97C8F"/>
    <w:rsid w:val="00BA0E4C"/>
    <w:rsid w:val="00BA18D5"/>
    <w:rsid w:val="00BA1FC4"/>
    <w:rsid w:val="00BA202D"/>
    <w:rsid w:val="00BA31F5"/>
    <w:rsid w:val="00BA49CC"/>
    <w:rsid w:val="00BA4D1F"/>
    <w:rsid w:val="00BA7AD1"/>
    <w:rsid w:val="00BB0B9D"/>
    <w:rsid w:val="00BB1CC2"/>
    <w:rsid w:val="00BB2250"/>
    <w:rsid w:val="00BB2E89"/>
    <w:rsid w:val="00BB4F63"/>
    <w:rsid w:val="00BB63AB"/>
    <w:rsid w:val="00BB744D"/>
    <w:rsid w:val="00BB7708"/>
    <w:rsid w:val="00BC0FDD"/>
    <w:rsid w:val="00BC22E0"/>
    <w:rsid w:val="00BC31FC"/>
    <w:rsid w:val="00BC4AA7"/>
    <w:rsid w:val="00BC4CC5"/>
    <w:rsid w:val="00BC5852"/>
    <w:rsid w:val="00BD293B"/>
    <w:rsid w:val="00BD2C39"/>
    <w:rsid w:val="00BD5425"/>
    <w:rsid w:val="00BD6AA7"/>
    <w:rsid w:val="00BD6F2F"/>
    <w:rsid w:val="00BD705F"/>
    <w:rsid w:val="00BE28ED"/>
    <w:rsid w:val="00BE4503"/>
    <w:rsid w:val="00BE5596"/>
    <w:rsid w:val="00BE55D6"/>
    <w:rsid w:val="00BE61B8"/>
    <w:rsid w:val="00BE6F45"/>
    <w:rsid w:val="00BF030A"/>
    <w:rsid w:val="00BF2DD7"/>
    <w:rsid w:val="00BF2EA1"/>
    <w:rsid w:val="00BF41EE"/>
    <w:rsid w:val="00BF543F"/>
    <w:rsid w:val="00BF6902"/>
    <w:rsid w:val="00BF7421"/>
    <w:rsid w:val="00C01E2A"/>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6A8"/>
    <w:rsid w:val="00C337F9"/>
    <w:rsid w:val="00C3746F"/>
    <w:rsid w:val="00C3768A"/>
    <w:rsid w:val="00C37D9D"/>
    <w:rsid w:val="00C4139D"/>
    <w:rsid w:val="00C45C58"/>
    <w:rsid w:val="00C45DE7"/>
    <w:rsid w:val="00C5122B"/>
    <w:rsid w:val="00C51736"/>
    <w:rsid w:val="00C538D4"/>
    <w:rsid w:val="00C55C14"/>
    <w:rsid w:val="00C562FD"/>
    <w:rsid w:val="00C56C17"/>
    <w:rsid w:val="00C65944"/>
    <w:rsid w:val="00C666B4"/>
    <w:rsid w:val="00C66829"/>
    <w:rsid w:val="00C6788A"/>
    <w:rsid w:val="00C70EEF"/>
    <w:rsid w:val="00C71A4B"/>
    <w:rsid w:val="00C71CD1"/>
    <w:rsid w:val="00C72345"/>
    <w:rsid w:val="00C72E54"/>
    <w:rsid w:val="00C73143"/>
    <w:rsid w:val="00C76C40"/>
    <w:rsid w:val="00C77685"/>
    <w:rsid w:val="00C77815"/>
    <w:rsid w:val="00C80ED6"/>
    <w:rsid w:val="00C82D1D"/>
    <w:rsid w:val="00C85259"/>
    <w:rsid w:val="00C85378"/>
    <w:rsid w:val="00C861F5"/>
    <w:rsid w:val="00C86808"/>
    <w:rsid w:val="00C87238"/>
    <w:rsid w:val="00C90157"/>
    <w:rsid w:val="00C90F97"/>
    <w:rsid w:val="00C9297C"/>
    <w:rsid w:val="00C96057"/>
    <w:rsid w:val="00C961E8"/>
    <w:rsid w:val="00C967A3"/>
    <w:rsid w:val="00CA1C79"/>
    <w:rsid w:val="00CA30DB"/>
    <w:rsid w:val="00CA491B"/>
    <w:rsid w:val="00CA6D58"/>
    <w:rsid w:val="00CA6FDA"/>
    <w:rsid w:val="00CB3B6F"/>
    <w:rsid w:val="00CB3D57"/>
    <w:rsid w:val="00CB6F8B"/>
    <w:rsid w:val="00CB7F87"/>
    <w:rsid w:val="00CC0C5F"/>
    <w:rsid w:val="00CC1FE6"/>
    <w:rsid w:val="00CC24B0"/>
    <w:rsid w:val="00CC2788"/>
    <w:rsid w:val="00CC2F3D"/>
    <w:rsid w:val="00CC3AD5"/>
    <w:rsid w:val="00CC436A"/>
    <w:rsid w:val="00CC5FF3"/>
    <w:rsid w:val="00CD7178"/>
    <w:rsid w:val="00CE2ADF"/>
    <w:rsid w:val="00CE33FC"/>
    <w:rsid w:val="00CE39B8"/>
    <w:rsid w:val="00CE4B84"/>
    <w:rsid w:val="00CE57D6"/>
    <w:rsid w:val="00CE6A56"/>
    <w:rsid w:val="00CE74B0"/>
    <w:rsid w:val="00CE78B8"/>
    <w:rsid w:val="00CF00DE"/>
    <w:rsid w:val="00CF052D"/>
    <w:rsid w:val="00CF1D7D"/>
    <w:rsid w:val="00CF2623"/>
    <w:rsid w:val="00CF3998"/>
    <w:rsid w:val="00CF45D3"/>
    <w:rsid w:val="00CF4D04"/>
    <w:rsid w:val="00CF4E1C"/>
    <w:rsid w:val="00CF58A9"/>
    <w:rsid w:val="00CF6B6C"/>
    <w:rsid w:val="00CF7B6B"/>
    <w:rsid w:val="00D0001C"/>
    <w:rsid w:val="00D00804"/>
    <w:rsid w:val="00D00A04"/>
    <w:rsid w:val="00D00C20"/>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39EB"/>
    <w:rsid w:val="00D14BA9"/>
    <w:rsid w:val="00D16498"/>
    <w:rsid w:val="00D166FF"/>
    <w:rsid w:val="00D171EB"/>
    <w:rsid w:val="00D17789"/>
    <w:rsid w:val="00D21565"/>
    <w:rsid w:val="00D22B01"/>
    <w:rsid w:val="00D25E04"/>
    <w:rsid w:val="00D266BE"/>
    <w:rsid w:val="00D2737E"/>
    <w:rsid w:val="00D274A9"/>
    <w:rsid w:val="00D30750"/>
    <w:rsid w:val="00D32644"/>
    <w:rsid w:val="00D33619"/>
    <w:rsid w:val="00D36819"/>
    <w:rsid w:val="00D36D0F"/>
    <w:rsid w:val="00D40C02"/>
    <w:rsid w:val="00D4142D"/>
    <w:rsid w:val="00D414E0"/>
    <w:rsid w:val="00D427A6"/>
    <w:rsid w:val="00D42AFE"/>
    <w:rsid w:val="00D44A9E"/>
    <w:rsid w:val="00D46910"/>
    <w:rsid w:val="00D46E7E"/>
    <w:rsid w:val="00D475A2"/>
    <w:rsid w:val="00D5015D"/>
    <w:rsid w:val="00D516CC"/>
    <w:rsid w:val="00D52355"/>
    <w:rsid w:val="00D52AC7"/>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09E8"/>
    <w:rsid w:val="00D72D16"/>
    <w:rsid w:val="00D73893"/>
    <w:rsid w:val="00D7412C"/>
    <w:rsid w:val="00D75521"/>
    <w:rsid w:val="00D75B88"/>
    <w:rsid w:val="00D767A9"/>
    <w:rsid w:val="00D8195B"/>
    <w:rsid w:val="00D8307E"/>
    <w:rsid w:val="00D83503"/>
    <w:rsid w:val="00D84724"/>
    <w:rsid w:val="00D8554E"/>
    <w:rsid w:val="00D8619F"/>
    <w:rsid w:val="00D86764"/>
    <w:rsid w:val="00D872D8"/>
    <w:rsid w:val="00D87982"/>
    <w:rsid w:val="00D91F4E"/>
    <w:rsid w:val="00D93A67"/>
    <w:rsid w:val="00D93F28"/>
    <w:rsid w:val="00D942D8"/>
    <w:rsid w:val="00D96FC1"/>
    <w:rsid w:val="00D97AC9"/>
    <w:rsid w:val="00DA0601"/>
    <w:rsid w:val="00DA2E2B"/>
    <w:rsid w:val="00DA354D"/>
    <w:rsid w:val="00DA3DE4"/>
    <w:rsid w:val="00DA5CA1"/>
    <w:rsid w:val="00DA67AA"/>
    <w:rsid w:val="00DA69DE"/>
    <w:rsid w:val="00DB0E0F"/>
    <w:rsid w:val="00DB3BE8"/>
    <w:rsid w:val="00DB424F"/>
    <w:rsid w:val="00DB5C0A"/>
    <w:rsid w:val="00DB6DAF"/>
    <w:rsid w:val="00DC0AF1"/>
    <w:rsid w:val="00DC2393"/>
    <w:rsid w:val="00DC588B"/>
    <w:rsid w:val="00DC625A"/>
    <w:rsid w:val="00DC64BF"/>
    <w:rsid w:val="00DD0123"/>
    <w:rsid w:val="00DD13E2"/>
    <w:rsid w:val="00DD4938"/>
    <w:rsid w:val="00DD7977"/>
    <w:rsid w:val="00DE1FC5"/>
    <w:rsid w:val="00DE34FF"/>
    <w:rsid w:val="00DE35D7"/>
    <w:rsid w:val="00DE4454"/>
    <w:rsid w:val="00DE44AB"/>
    <w:rsid w:val="00DF003C"/>
    <w:rsid w:val="00DF00D4"/>
    <w:rsid w:val="00DF181A"/>
    <w:rsid w:val="00DF4501"/>
    <w:rsid w:val="00DF4928"/>
    <w:rsid w:val="00DF7233"/>
    <w:rsid w:val="00DF73DC"/>
    <w:rsid w:val="00DF75B7"/>
    <w:rsid w:val="00DF78AE"/>
    <w:rsid w:val="00E0171F"/>
    <w:rsid w:val="00E02AC4"/>
    <w:rsid w:val="00E033F2"/>
    <w:rsid w:val="00E0462A"/>
    <w:rsid w:val="00E05BB8"/>
    <w:rsid w:val="00E07AAA"/>
    <w:rsid w:val="00E07CC2"/>
    <w:rsid w:val="00E115FB"/>
    <w:rsid w:val="00E11E2E"/>
    <w:rsid w:val="00E125CA"/>
    <w:rsid w:val="00E138CC"/>
    <w:rsid w:val="00E14B17"/>
    <w:rsid w:val="00E14EAE"/>
    <w:rsid w:val="00E16394"/>
    <w:rsid w:val="00E22571"/>
    <w:rsid w:val="00E25156"/>
    <w:rsid w:val="00E25242"/>
    <w:rsid w:val="00E253F6"/>
    <w:rsid w:val="00E25AAC"/>
    <w:rsid w:val="00E2730D"/>
    <w:rsid w:val="00E279B9"/>
    <w:rsid w:val="00E27B3C"/>
    <w:rsid w:val="00E30CA9"/>
    <w:rsid w:val="00E31807"/>
    <w:rsid w:val="00E33AAA"/>
    <w:rsid w:val="00E33C53"/>
    <w:rsid w:val="00E33CB8"/>
    <w:rsid w:val="00E33F0E"/>
    <w:rsid w:val="00E36B77"/>
    <w:rsid w:val="00E36C8F"/>
    <w:rsid w:val="00E371EC"/>
    <w:rsid w:val="00E37EB7"/>
    <w:rsid w:val="00E404C5"/>
    <w:rsid w:val="00E40A10"/>
    <w:rsid w:val="00E42206"/>
    <w:rsid w:val="00E42DA5"/>
    <w:rsid w:val="00E44B8D"/>
    <w:rsid w:val="00E47568"/>
    <w:rsid w:val="00E47C5F"/>
    <w:rsid w:val="00E51EF9"/>
    <w:rsid w:val="00E523B5"/>
    <w:rsid w:val="00E54816"/>
    <w:rsid w:val="00E5512E"/>
    <w:rsid w:val="00E55E60"/>
    <w:rsid w:val="00E56594"/>
    <w:rsid w:val="00E57466"/>
    <w:rsid w:val="00E578DF"/>
    <w:rsid w:val="00E57D18"/>
    <w:rsid w:val="00E605C2"/>
    <w:rsid w:val="00E6129C"/>
    <w:rsid w:val="00E61E5F"/>
    <w:rsid w:val="00E644A0"/>
    <w:rsid w:val="00E669E6"/>
    <w:rsid w:val="00E6739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1B22"/>
    <w:rsid w:val="00EC2525"/>
    <w:rsid w:val="00EC4F33"/>
    <w:rsid w:val="00EC7410"/>
    <w:rsid w:val="00EC77D8"/>
    <w:rsid w:val="00EC7E6C"/>
    <w:rsid w:val="00ED3C5C"/>
    <w:rsid w:val="00ED3DE9"/>
    <w:rsid w:val="00ED4B06"/>
    <w:rsid w:val="00EE05C1"/>
    <w:rsid w:val="00EE0713"/>
    <w:rsid w:val="00EE07A6"/>
    <w:rsid w:val="00EE0F2E"/>
    <w:rsid w:val="00EE257E"/>
    <w:rsid w:val="00EE2A41"/>
    <w:rsid w:val="00EE4E10"/>
    <w:rsid w:val="00EE525B"/>
    <w:rsid w:val="00EE633C"/>
    <w:rsid w:val="00EF09FB"/>
    <w:rsid w:val="00EF0CFD"/>
    <w:rsid w:val="00EF0DE2"/>
    <w:rsid w:val="00EF4DFA"/>
    <w:rsid w:val="00EF5F08"/>
    <w:rsid w:val="00EF6598"/>
    <w:rsid w:val="00EF7736"/>
    <w:rsid w:val="00F02923"/>
    <w:rsid w:val="00F0351B"/>
    <w:rsid w:val="00F04089"/>
    <w:rsid w:val="00F06275"/>
    <w:rsid w:val="00F06472"/>
    <w:rsid w:val="00F1080A"/>
    <w:rsid w:val="00F123EC"/>
    <w:rsid w:val="00F14E6B"/>
    <w:rsid w:val="00F1508F"/>
    <w:rsid w:val="00F16331"/>
    <w:rsid w:val="00F16803"/>
    <w:rsid w:val="00F22566"/>
    <w:rsid w:val="00F22963"/>
    <w:rsid w:val="00F2380A"/>
    <w:rsid w:val="00F24A58"/>
    <w:rsid w:val="00F262C4"/>
    <w:rsid w:val="00F30AEF"/>
    <w:rsid w:val="00F31554"/>
    <w:rsid w:val="00F31AE4"/>
    <w:rsid w:val="00F3229A"/>
    <w:rsid w:val="00F32406"/>
    <w:rsid w:val="00F378B2"/>
    <w:rsid w:val="00F403EA"/>
    <w:rsid w:val="00F40B51"/>
    <w:rsid w:val="00F40E4D"/>
    <w:rsid w:val="00F41C66"/>
    <w:rsid w:val="00F41DE4"/>
    <w:rsid w:val="00F41F3D"/>
    <w:rsid w:val="00F42499"/>
    <w:rsid w:val="00F42753"/>
    <w:rsid w:val="00F448AA"/>
    <w:rsid w:val="00F44DC5"/>
    <w:rsid w:val="00F44ECF"/>
    <w:rsid w:val="00F453CB"/>
    <w:rsid w:val="00F45FFB"/>
    <w:rsid w:val="00F46CE7"/>
    <w:rsid w:val="00F471AE"/>
    <w:rsid w:val="00F510DB"/>
    <w:rsid w:val="00F5390F"/>
    <w:rsid w:val="00F548C1"/>
    <w:rsid w:val="00F578E5"/>
    <w:rsid w:val="00F604E0"/>
    <w:rsid w:val="00F6232F"/>
    <w:rsid w:val="00F63F11"/>
    <w:rsid w:val="00F647D9"/>
    <w:rsid w:val="00F648E3"/>
    <w:rsid w:val="00F6501E"/>
    <w:rsid w:val="00F66F0B"/>
    <w:rsid w:val="00F70615"/>
    <w:rsid w:val="00F72722"/>
    <w:rsid w:val="00F727B0"/>
    <w:rsid w:val="00F7598B"/>
    <w:rsid w:val="00F80180"/>
    <w:rsid w:val="00F81ABD"/>
    <w:rsid w:val="00F868D1"/>
    <w:rsid w:val="00F87ADD"/>
    <w:rsid w:val="00F87CD3"/>
    <w:rsid w:val="00F914FD"/>
    <w:rsid w:val="00F9164E"/>
    <w:rsid w:val="00F91FEE"/>
    <w:rsid w:val="00F92490"/>
    <w:rsid w:val="00F92D2B"/>
    <w:rsid w:val="00F952BF"/>
    <w:rsid w:val="00F95515"/>
    <w:rsid w:val="00F9574E"/>
    <w:rsid w:val="00F95C57"/>
    <w:rsid w:val="00F96695"/>
    <w:rsid w:val="00F974AA"/>
    <w:rsid w:val="00FA1FF1"/>
    <w:rsid w:val="00FA2545"/>
    <w:rsid w:val="00FA3650"/>
    <w:rsid w:val="00FA7CFC"/>
    <w:rsid w:val="00FB097C"/>
    <w:rsid w:val="00FB1D16"/>
    <w:rsid w:val="00FB21C2"/>
    <w:rsid w:val="00FB3846"/>
    <w:rsid w:val="00FB4AAD"/>
    <w:rsid w:val="00FB4AD8"/>
    <w:rsid w:val="00FB4E3D"/>
    <w:rsid w:val="00FB5A22"/>
    <w:rsid w:val="00FB5B57"/>
    <w:rsid w:val="00FB5F2A"/>
    <w:rsid w:val="00FB5FB6"/>
    <w:rsid w:val="00FB6061"/>
    <w:rsid w:val="00FB7602"/>
    <w:rsid w:val="00FC0398"/>
    <w:rsid w:val="00FC103E"/>
    <w:rsid w:val="00FC1407"/>
    <w:rsid w:val="00FC22E1"/>
    <w:rsid w:val="00FC2C04"/>
    <w:rsid w:val="00FC2C8C"/>
    <w:rsid w:val="00FC3549"/>
    <w:rsid w:val="00FC4F9B"/>
    <w:rsid w:val="00FC59F0"/>
    <w:rsid w:val="00FD2B77"/>
    <w:rsid w:val="00FD302E"/>
    <w:rsid w:val="00FD4474"/>
    <w:rsid w:val="00FD4599"/>
    <w:rsid w:val="00FD4784"/>
    <w:rsid w:val="00FD51C8"/>
    <w:rsid w:val="00FD5753"/>
    <w:rsid w:val="00FD65FE"/>
    <w:rsid w:val="00FD6B57"/>
    <w:rsid w:val="00FE0040"/>
    <w:rsid w:val="00FE00DA"/>
    <w:rsid w:val="00FE015B"/>
    <w:rsid w:val="00FE0FAF"/>
    <w:rsid w:val="00FE35B1"/>
    <w:rsid w:val="00FE3C36"/>
    <w:rsid w:val="00FE427F"/>
    <w:rsid w:val="00FE5ED6"/>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Mencinsinresolver2">
    <w:name w:val="Mención sin resolver2"/>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Mencinsinresolver3">
    <w:name w:val="Mención sin resolver3"/>
    <w:basedOn w:val="Fuentedeprrafopredeter"/>
    <w:uiPriority w:val="99"/>
    <w:semiHidden/>
    <w:unhideWhenUsed/>
    <w:rsid w:val="001D3159"/>
    <w:rPr>
      <w:color w:val="605E5C"/>
      <w:shd w:val="clear" w:color="auto" w:fill="E1DFDD"/>
    </w:rPr>
  </w:style>
  <w:style w:type="character" w:customStyle="1" w:styleId="markedcontent">
    <w:name w:val="markedcontent"/>
    <w:basedOn w:val="Fuentedeprrafopredeter"/>
    <w:rsid w:val="00963D83"/>
  </w:style>
  <w:style w:type="character" w:styleId="nfasis">
    <w:name w:val="Emphasis"/>
    <w:basedOn w:val="Fuentedeprrafopredeter"/>
    <w:uiPriority w:val="20"/>
    <w:qFormat/>
    <w:rsid w:val="00F1080A"/>
    <w:rPr>
      <w:i/>
      <w:iCs/>
    </w:rPr>
  </w:style>
  <w:style w:type="character" w:customStyle="1" w:styleId="Mencinsinresolver4">
    <w:name w:val="Mención sin resolver4"/>
    <w:basedOn w:val="Fuentedeprrafopredeter"/>
    <w:uiPriority w:val="99"/>
    <w:semiHidden/>
    <w:unhideWhenUsed/>
    <w:rsid w:val="003019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36809907">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53460785">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19786591">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nfoem.org.mx/es/contenido/transparencia/directorio-de-sujetos-obligado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ATIZAPANDEZARAGOZA/art_92_ii_b/3.we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4BD807-3677-4268-8F9B-0A70C6DE7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33</Pages>
  <Words>5636</Words>
  <Characters>31000</Characters>
  <Application>Microsoft Office Word</Application>
  <DocSecurity>0</DocSecurity>
  <Lines>258</Lines>
  <Paragraphs>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2018-12-04T20:35:00Z</cp:lastPrinted>
  <dcterms:created xsi:type="dcterms:W3CDTF">2022-05-26T02:48:00Z</dcterms:created>
  <dcterms:modified xsi:type="dcterms:W3CDTF">2022-05-26T02:50:00Z</dcterms:modified>
</cp:coreProperties>
</file>