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252C72">
        <w:rPr>
          <w:rFonts w:ascii="Palatino Linotype" w:eastAsia="Palatino Linotype" w:hAnsi="Palatino Linotype" w:cs="Palatino Linotype"/>
          <w:b/>
        </w:rPr>
        <w:t>treinta de noviembre de dos mil veintidós</w:t>
      </w:r>
      <w:r w:rsidRPr="00252C72">
        <w:rPr>
          <w:rFonts w:ascii="Palatino Linotype" w:eastAsia="Palatino Linotype" w:hAnsi="Palatino Linotype" w:cs="Palatino Linotype"/>
        </w:rPr>
        <w:t xml:space="preserve">. </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Vistos</w:t>
      </w:r>
      <w:r w:rsidRPr="00252C72">
        <w:rPr>
          <w:rFonts w:ascii="Palatino Linotype" w:eastAsia="Palatino Linotype" w:hAnsi="Palatino Linotype" w:cs="Palatino Linotype"/>
        </w:rPr>
        <w:t xml:space="preserve"> los expedientes formado con motivo de los recursos de revisión </w:t>
      </w:r>
      <w:r w:rsidRPr="00252C72">
        <w:rPr>
          <w:rFonts w:ascii="Palatino Linotype" w:eastAsia="Palatino Linotype" w:hAnsi="Palatino Linotype" w:cs="Palatino Linotype"/>
          <w:b/>
        </w:rPr>
        <w:t xml:space="preserve">11934/INFOEM/IP/RR/2022, 12406/INFOEM/IP/RR/2022 y 12408/INFOEM/IP/RR/2022 acumulados, </w:t>
      </w:r>
      <w:r w:rsidRPr="00252C72">
        <w:rPr>
          <w:rFonts w:ascii="Palatino Linotype" w:eastAsia="Palatino Linotype" w:hAnsi="Palatino Linotype" w:cs="Palatino Linotype"/>
        </w:rPr>
        <w:t>interpuestos por</w:t>
      </w:r>
      <w:r w:rsidR="00AB7FD3">
        <w:rPr>
          <w:rFonts w:ascii="Palatino Linotype" w:eastAsia="Palatino Linotype" w:hAnsi="Palatino Linotype" w:cs="Palatino Linotype"/>
          <w:b/>
        </w:rPr>
        <w:t xml:space="preserve"> XXXX XXXX XXXXXXX XXXXX</w:t>
      </w:r>
      <w:bookmarkStart w:id="0" w:name="_GoBack"/>
      <w:bookmarkEnd w:id="0"/>
      <w:r w:rsidRPr="00252C72">
        <w:rPr>
          <w:rFonts w:ascii="Palatino Linotype" w:eastAsia="Palatino Linotype" w:hAnsi="Palatino Linotype" w:cs="Palatino Linotype"/>
          <w:b/>
        </w:rPr>
        <w:t xml:space="preserve">, </w:t>
      </w:r>
      <w:r w:rsidRPr="00252C72">
        <w:rPr>
          <w:rFonts w:ascii="Palatino Linotype" w:eastAsia="Palatino Linotype" w:hAnsi="Palatino Linotype" w:cs="Palatino Linotype"/>
        </w:rPr>
        <w:t>quien en lo sucesivo</w:t>
      </w:r>
      <w:r w:rsidRPr="00252C72">
        <w:rPr>
          <w:rFonts w:ascii="Palatino Linotype" w:eastAsia="Palatino Linotype" w:hAnsi="Palatino Linotype" w:cs="Palatino Linotype"/>
          <w:b/>
        </w:rPr>
        <w:t xml:space="preserve"> </w:t>
      </w:r>
      <w:r w:rsidRPr="00252C72">
        <w:rPr>
          <w:rFonts w:ascii="Palatino Linotype" w:eastAsia="Palatino Linotype" w:hAnsi="Palatino Linotype" w:cs="Palatino Linotype"/>
        </w:rPr>
        <w:t xml:space="preserve">será identificado como </w:t>
      </w:r>
      <w:r w:rsidRPr="00252C72">
        <w:rPr>
          <w:rFonts w:ascii="Palatino Linotype" w:eastAsia="Palatino Linotype" w:hAnsi="Palatino Linotype" w:cs="Palatino Linotype"/>
          <w:b/>
        </w:rPr>
        <w:t>el Recurrente,</w:t>
      </w:r>
      <w:r w:rsidRPr="00252C72">
        <w:rPr>
          <w:rFonts w:ascii="Palatino Linotype" w:eastAsia="Palatino Linotype" w:hAnsi="Palatino Linotype" w:cs="Palatino Linotype"/>
        </w:rPr>
        <w:t xml:space="preserve"> en contra de las respuestas en las solicitudes de información con número de folio </w:t>
      </w:r>
      <w:r w:rsidRPr="00252C72">
        <w:rPr>
          <w:rFonts w:ascii="Palatino Linotype" w:eastAsia="Palatino Linotype" w:hAnsi="Palatino Linotype" w:cs="Palatino Linotype"/>
          <w:b/>
        </w:rPr>
        <w:t xml:space="preserve">03508/METEPEC/IP/2022, 03506/METEPEC/IP/2022 y 03509/METEPEC/IP/2022, </w:t>
      </w:r>
      <w:r w:rsidRPr="00252C72">
        <w:rPr>
          <w:rFonts w:ascii="Palatino Linotype" w:eastAsia="Palatino Linotype" w:hAnsi="Palatino Linotype" w:cs="Palatino Linotype"/>
        </w:rPr>
        <w:t>por parte</w:t>
      </w:r>
      <w:r w:rsidRPr="00252C72">
        <w:rPr>
          <w:rFonts w:ascii="Palatino Linotype" w:eastAsia="Palatino Linotype" w:hAnsi="Palatino Linotype" w:cs="Palatino Linotype"/>
          <w:b/>
        </w:rPr>
        <w:t xml:space="preserve"> </w:t>
      </w:r>
      <w:r w:rsidRPr="00252C72">
        <w:rPr>
          <w:rFonts w:ascii="Palatino Linotype" w:eastAsia="Palatino Linotype" w:hAnsi="Palatino Linotype" w:cs="Palatino Linotype"/>
        </w:rPr>
        <w:t xml:space="preserve">del </w:t>
      </w:r>
      <w:r w:rsidRPr="00252C72">
        <w:rPr>
          <w:rFonts w:ascii="Palatino Linotype" w:eastAsia="Palatino Linotype" w:hAnsi="Palatino Linotype" w:cs="Palatino Linotype"/>
          <w:b/>
        </w:rPr>
        <w:t xml:space="preserve">Ayuntamiento de Metepec, </w:t>
      </w:r>
      <w:r w:rsidRPr="00252C72">
        <w:rPr>
          <w:rFonts w:ascii="Palatino Linotype" w:eastAsia="Palatino Linotype" w:hAnsi="Palatino Linotype" w:cs="Palatino Linotype"/>
        </w:rPr>
        <w:t xml:space="preserve">en lo sucesivo el </w:t>
      </w:r>
      <w:r w:rsidRPr="00252C72">
        <w:rPr>
          <w:rFonts w:ascii="Palatino Linotype" w:eastAsia="Palatino Linotype" w:hAnsi="Palatino Linotype" w:cs="Palatino Linotype"/>
          <w:b/>
        </w:rPr>
        <w:t xml:space="preserve">Sujeto Obligado, </w:t>
      </w:r>
      <w:r w:rsidRPr="00252C72">
        <w:rPr>
          <w:rFonts w:ascii="Palatino Linotype" w:eastAsia="Palatino Linotype" w:hAnsi="Palatino Linotype" w:cs="Palatino Linotype"/>
        </w:rPr>
        <w:t xml:space="preserve">se procede a dictar la presente resolución con base en los siguientes: </w:t>
      </w:r>
    </w:p>
    <w:p w:rsidR="002C445A" w:rsidRPr="00252C72" w:rsidRDefault="00064134">
      <w:pPr>
        <w:spacing w:before="240" w:after="240" w:line="360"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rPr>
        <w:t>I. A N T E C E D E N T E S</w:t>
      </w:r>
    </w:p>
    <w:p w:rsidR="002C445A" w:rsidRPr="00252C72" w:rsidRDefault="00064134">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252C72">
        <w:rPr>
          <w:rFonts w:ascii="Palatino Linotype" w:eastAsia="Palatino Linotype" w:hAnsi="Palatino Linotype" w:cs="Palatino Linotype"/>
          <w:b/>
        </w:rPr>
        <w:t>1. Solicitudes de acceso a la información.</w:t>
      </w:r>
      <w:r w:rsidRPr="00252C72">
        <w:rPr>
          <w:rFonts w:ascii="Palatino Linotype" w:eastAsia="Palatino Linotype" w:hAnsi="Palatino Linotype" w:cs="Palatino Linotype"/>
        </w:rPr>
        <w:t xml:space="preserve"> El</w:t>
      </w:r>
      <w:r w:rsidRPr="00252C72">
        <w:rPr>
          <w:rFonts w:ascii="Palatino Linotype" w:eastAsia="Palatino Linotype" w:hAnsi="Palatino Linotype" w:cs="Palatino Linotype"/>
          <w:b/>
        </w:rPr>
        <w:t xml:space="preserve"> veinticuatro de mayo de dos mil veintidós,</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el</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 xml:space="preserve">Recurrente </w:t>
      </w:r>
      <w:r w:rsidRPr="00252C72">
        <w:rPr>
          <w:rFonts w:ascii="Palatino Linotype" w:eastAsia="Palatino Linotype" w:hAnsi="Palatino Linotype" w:cs="Palatino Linotype"/>
        </w:rPr>
        <w:t xml:space="preserve">formuló solicitudes de acceso a información pública a través del Sistema de Acceso a la Información Mexiquense, en adelante </w:t>
      </w:r>
      <w:r w:rsidRPr="00252C72">
        <w:rPr>
          <w:rFonts w:ascii="Palatino Linotype" w:eastAsia="Palatino Linotype" w:hAnsi="Palatino Linotype" w:cs="Palatino Linotype"/>
          <w:b/>
        </w:rPr>
        <w:t>SAIMEX,</w:t>
      </w:r>
      <w:r w:rsidRPr="00252C72">
        <w:rPr>
          <w:rFonts w:ascii="Palatino Linotype" w:eastAsia="Palatino Linotype" w:hAnsi="Palatino Linotype" w:cs="Palatino Linotype"/>
        </w:rPr>
        <w:t xml:space="preserve"> en las que requirió lo siguiente:</w:t>
      </w:r>
    </w:p>
    <w:tbl>
      <w:tblPr>
        <w:tblStyle w:val="afb"/>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52C72" w:rsidRPr="00252C72">
        <w:tc>
          <w:tcPr>
            <w:tcW w:w="4460" w:type="dxa"/>
            <w:shd w:val="clear" w:color="auto" w:fill="DBE5F1"/>
          </w:tcPr>
          <w:p w:rsidR="002C445A" w:rsidRPr="00252C72" w:rsidRDefault="00064134">
            <w:pPr>
              <w:spacing w:before="240" w:after="240" w:line="360"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rPr>
              <w:t>Número de solicitud</w:t>
            </w:r>
          </w:p>
        </w:tc>
        <w:tc>
          <w:tcPr>
            <w:tcW w:w="4461" w:type="dxa"/>
            <w:shd w:val="clear" w:color="auto" w:fill="DBE5F1"/>
          </w:tcPr>
          <w:p w:rsidR="002C445A" w:rsidRPr="00252C72" w:rsidRDefault="00064134">
            <w:pPr>
              <w:spacing w:before="240" w:after="240" w:line="360"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rPr>
              <w:t>Requerimientos</w:t>
            </w:r>
          </w:p>
        </w:tc>
      </w:tr>
      <w:tr w:rsidR="00252C72" w:rsidRPr="00252C72">
        <w:tc>
          <w:tcPr>
            <w:tcW w:w="4460" w:type="dxa"/>
          </w:tcPr>
          <w:p w:rsidR="002C445A" w:rsidRPr="00252C72" w:rsidRDefault="00064134">
            <w:pPr>
              <w:spacing w:before="240" w:after="240"/>
              <w:jc w:val="center"/>
              <w:rPr>
                <w:rFonts w:ascii="Palatino Linotype" w:eastAsia="Palatino Linotype" w:hAnsi="Palatino Linotype" w:cs="Palatino Linotype"/>
                <w:b/>
                <w:sz w:val="20"/>
                <w:szCs w:val="20"/>
              </w:rPr>
            </w:pPr>
            <w:r w:rsidRPr="00252C72">
              <w:rPr>
                <w:rFonts w:ascii="Palatino Linotype" w:eastAsia="Palatino Linotype" w:hAnsi="Palatino Linotype" w:cs="Palatino Linotype"/>
                <w:b/>
                <w:sz w:val="20"/>
                <w:szCs w:val="20"/>
              </w:rPr>
              <w:t xml:space="preserve">03508/METEPEC/IP/2022, </w:t>
            </w:r>
            <w:r w:rsidRPr="00252C72">
              <w:rPr>
                <w:rFonts w:ascii="Palatino Linotype" w:eastAsia="Palatino Linotype" w:hAnsi="Palatino Linotype" w:cs="Palatino Linotype"/>
                <w:sz w:val="20"/>
                <w:szCs w:val="20"/>
              </w:rPr>
              <w:t>correspondiente al Recurso de Revisión</w:t>
            </w:r>
            <w:r w:rsidRPr="00252C72">
              <w:rPr>
                <w:rFonts w:ascii="Palatino Linotype" w:eastAsia="Palatino Linotype" w:hAnsi="Palatino Linotype" w:cs="Palatino Linotype"/>
                <w:b/>
                <w:sz w:val="20"/>
                <w:szCs w:val="20"/>
              </w:rPr>
              <w:t xml:space="preserve"> 11934/INFOEM/IP/RR/2022</w:t>
            </w:r>
          </w:p>
        </w:tc>
        <w:tc>
          <w:tcPr>
            <w:tcW w:w="4461" w:type="dxa"/>
          </w:tcPr>
          <w:p w:rsidR="002C445A" w:rsidRPr="00252C72" w:rsidRDefault="00064134">
            <w:pPr>
              <w:jc w:val="both"/>
              <w:rPr>
                <w:rFonts w:ascii="Palatino Linotype" w:eastAsia="Palatino Linotype" w:hAnsi="Palatino Linotype" w:cs="Palatino Linotype"/>
                <w:i/>
                <w:sz w:val="20"/>
                <w:szCs w:val="20"/>
              </w:rPr>
            </w:pPr>
            <w:r w:rsidRPr="00252C72">
              <w:rPr>
                <w:rFonts w:ascii="Palatino Linotype" w:eastAsia="Palatino Linotype" w:hAnsi="Palatino Linotype" w:cs="Palatino Linotype"/>
                <w:i/>
                <w:sz w:val="20"/>
                <w:szCs w:val="20"/>
              </w:rPr>
              <w:t xml:space="preserve">“Con fundamento en la ley de transparencia y acceso a la información, solicitamos </w:t>
            </w:r>
            <w:r w:rsidRPr="00252C72">
              <w:rPr>
                <w:rFonts w:ascii="Palatino Linotype" w:eastAsia="Palatino Linotype" w:hAnsi="Palatino Linotype" w:cs="Palatino Linotype"/>
                <w:b/>
                <w:i/>
                <w:sz w:val="20"/>
                <w:szCs w:val="20"/>
              </w:rPr>
              <w:t xml:space="preserve">EN VERSIÓN PUBLICA, todos y cada uno de los oficios, escritos, notas informativas, informes, ELABORADOS Y RECIBIDOS, en la </w:t>
            </w:r>
            <w:r w:rsidRPr="00252C72">
              <w:rPr>
                <w:rFonts w:ascii="Palatino Linotype" w:eastAsia="Palatino Linotype" w:hAnsi="Palatino Linotype" w:cs="Palatino Linotype"/>
                <w:b/>
                <w:i/>
                <w:sz w:val="20"/>
                <w:szCs w:val="20"/>
              </w:rPr>
              <w:lastRenderedPageBreak/>
              <w:t>coordinación general, del instituto municipal de cultura física y deporte de MetepeC, EN EL PERIODO COMPRENDIDO DEL 01 DE FEBRERO AL 30 DE MAYO DE 2014.</w:t>
            </w:r>
            <w:r w:rsidRPr="00252C72">
              <w:rPr>
                <w:rFonts w:ascii="Palatino Linotype" w:eastAsia="Palatino Linotype" w:hAnsi="Palatino Linotype" w:cs="Palatino Linotype"/>
                <w:i/>
                <w:sz w:val="20"/>
                <w:szCs w:val="20"/>
              </w:rPr>
              <w:t xml:space="preserve">” (Sic) </w:t>
            </w:r>
          </w:p>
        </w:tc>
      </w:tr>
      <w:tr w:rsidR="00252C72" w:rsidRPr="00252C72">
        <w:tc>
          <w:tcPr>
            <w:tcW w:w="4460" w:type="dxa"/>
          </w:tcPr>
          <w:p w:rsidR="002C445A" w:rsidRPr="00252C72" w:rsidRDefault="00064134">
            <w:pPr>
              <w:spacing w:before="240" w:after="240"/>
              <w:jc w:val="center"/>
              <w:rPr>
                <w:rFonts w:ascii="Palatino Linotype" w:eastAsia="Palatino Linotype" w:hAnsi="Palatino Linotype" w:cs="Palatino Linotype"/>
                <w:b/>
              </w:rPr>
            </w:pPr>
            <w:r w:rsidRPr="00252C72">
              <w:rPr>
                <w:rFonts w:ascii="Palatino Linotype" w:eastAsia="Palatino Linotype" w:hAnsi="Palatino Linotype" w:cs="Palatino Linotype"/>
                <w:b/>
                <w:sz w:val="20"/>
                <w:szCs w:val="20"/>
              </w:rPr>
              <w:lastRenderedPageBreak/>
              <w:t xml:space="preserve">03506/METEPEC/IP/2022, </w:t>
            </w:r>
            <w:r w:rsidRPr="00252C72">
              <w:rPr>
                <w:rFonts w:ascii="Palatino Linotype" w:eastAsia="Palatino Linotype" w:hAnsi="Palatino Linotype" w:cs="Palatino Linotype"/>
                <w:sz w:val="20"/>
                <w:szCs w:val="20"/>
              </w:rPr>
              <w:t>correspondiente al Recurso de Revisión</w:t>
            </w:r>
            <w:r w:rsidRPr="00252C72">
              <w:rPr>
                <w:rFonts w:ascii="Palatino Linotype" w:eastAsia="Palatino Linotype" w:hAnsi="Palatino Linotype" w:cs="Palatino Linotype"/>
                <w:b/>
                <w:sz w:val="20"/>
                <w:szCs w:val="20"/>
              </w:rPr>
              <w:t xml:space="preserve"> 12406/INFOEM/IP/RR/2022</w:t>
            </w:r>
          </w:p>
        </w:tc>
        <w:tc>
          <w:tcPr>
            <w:tcW w:w="4461" w:type="dxa"/>
          </w:tcPr>
          <w:p w:rsidR="002C445A" w:rsidRPr="00252C72" w:rsidRDefault="00064134">
            <w:pPr>
              <w:spacing w:before="240" w:after="240"/>
              <w:jc w:val="both"/>
              <w:rPr>
                <w:rFonts w:ascii="Palatino Linotype" w:eastAsia="Palatino Linotype" w:hAnsi="Palatino Linotype" w:cs="Palatino Linotype"/>
                <w:i/>
                <w:sz w:val="20"/>
                <w:szCs w:val="20"/>
              </w:rPr>
            </w:pPr>
            <w:r w:rsidRPr="00252C72">
              <w:rPr>
                <w:rFonts w:ascii="Palatino Linotype" w:eastAsia="Palatino Linotype" w:hAnsi="Palatino Linotype" w:cs="Palatino Linotype"/>
                <w:i/>
                <w:sz w:val="20"/>
                <w:szCs w:val="20"/>
              </w:rPr>
              <w:t xml:space="preserve">“Con fundamento en la ley de transparencia y acceso a la información, solicitamos </w:t>
            </w:r>
            <w:r w:rsidRPr="00252C72">
              <w:rPr>
                <w:rFonts w:ascii="Palatino Linotype" w:eastAsia="Palatino Linotype" w:hAnsi="Palatino Linotype" w:cs="Palatino Linotype"/>
                <w:b/>
                <w:i/>
                <w:sz w:val="20"/>
                <w:szCs w:val="20"/>
              </w:rPr>
              <w:t>EN VERSIÓN PUBLICA, todos y cada uno de los oficios, escritos, notas informativas, informes, ELABORADOS Y RECIBIDOS, en la coordinación general, del instituto municipal de cultura física y deporte de Metepec, EN EL PERIODO COMPRENDIDO DEL 01 DE FEBRERO AL 30 DE MAYO DE 2014.</w:t>
            </w:r>
            <w:r w:rsidRPr="00252C72">
              <w:rPr>
                <w:rFonts w:ascii="Palatino Linotype" w:eastAsia="Palatino Linotype" w:hAnsi="Palatino Linotype" w:cs="Palatino Linotype"/>
                <w:i/>
                <w:sz w:val="20"/>
                <w:szCs w:val="20"/>
              </w:rPr>
              <w:t xml:space="preserve">” (Sic) </w:t>
            </w:r>
          </w:p>
        </w:tc>
      </w:tr>
      <w:tr w:rsidR="00252C72" w:rsidRPr="00252C72">
        <w:tc>
          <w:tcPr>
            <w:tcW w:w="4460" w:type="dxa"/>
          </w:tcPr>
          <w:p w:rsidR="002C445A" w:rsidRPr="00252C72" w:rsidRDefault="00064134">
            <w:pPr>
              <w:spacing w:before="240" w:after="240"/>
              <w:jc w:val="center"/>
              <w:rPr>
                <w:rFonts w:ascii="Palatino Linotype" w:eastAsia="Palatino Linotype" w:hAnsi="Palatino Linotype" w:cs="Palatino Linotype"/>
                <w:b/>
              </w:rPr>
            </w:pPr>
            <w:r w:rsidRPr="00252C72">
              <w:rPr>
                <w:rFonts w:ascii="Palatino Linotype" w:eastAsia="Palatino Linotype" w:hAnsi="Palatino Linotype" w:cs="Palatino Linotype"/>
                <w:b/>
                <w:sz w:val="20"/>
                <w:szCs w:val="20"/>
              </w:rPr>
              <w:t xml:space="preserve">03509/METEPEC/IP/2022, </w:t>
            </w:r>
            <w:r w:rsidRPr="00252C72">
              <w:rPr>
                <w:rFonts w:ascii="Palatino Linotype" w:eastAsia="Palatino Linotype" w:hAnsi="Palatino Linotype" w:cs="Palatino Linotype"/>
                <w:sz w:val="20"/>
                <w:szCs w:val="20"/>
              </w:rPr>
              <w:t>correspondiente al Recurso de Revisión</w:t>
            </w:r>
            <w:r w:rsidRPr="00252C72">
              <w:rPr>
                <w:rFonts w:ascii="Palatino Linotype" w:eastAsia="Palatino Linotype" w:hAnsi="Palatino Linotype" w:cs="Palatino Linotype"/>
                <w:b/>
                <w:sz w:val="20"/>
                <w:szCs w:val="20"/>
              </w:rPr>
              <w:t xml:space="preserve"> 12408/INFOEM/IP/RR/2022</w:t>
            </w:r>
          </w:p>
        </w:tc>
        <w:tc>
          <w:tcPr>
            <w:tcW w:w="4461" w:type="dxa"/>
          </w:tcPr>
          <w:p w:rsidR="002C445A" w:rsidRPr="00252C72" w:rsidRDefault="00064134">
            <w:pPr>
              <w:spacing w:before="240" w:after="240"/>
              <w:jc w:val="both"/>
              <w:rPr>
                <w:rFonts w:ascii="Palatino Linotype" w:eastAsia="Palatino Linotype" w:hAnsi="Palatino Linotype" w:cs="Palatino Linotype"/>
                <w:i/>
                <w:sz w:val="20"/>
                <w:szCs w:val="20"/>
              </w:rPr>
            </w:pPr>
            <w:r w:rsidRPr="00252C72">
              <w:rPr>
                <w:rFonts w:ascii="Palatino Linotype" w:eastAsia="Palatino Linotype" w:hAnsi="Palatino Linotype" w:cs="Palatino Linotype"/>
                <w:i/>
                <w:sz w:val="20"/>
                <w:szCs w:val="20"/>
              </w:rPr>
              <w:t xml:space="preserve">“Con fundamento en la ley de transparencia y acceso a la información, solicitamos </w:t>
            </w:r>
            <w:r w:rsidRPr="00252C72">
              <w:rPr>
                <w:rFonts w:ascii="Palatino Linotype" w:eastAsia="Palatino Linotype" w:hAnsi="Palatino Linotype" w:cs="Palatino Linotype"/>
                <w:b/>
                <w:i/>
                <w:sz w:val="20"/>
                <w:szCs w:val="20"/>
              </w:rPr>
              <w:t>EN VERSIÓN PUBLICA, todos y cada uno de los oficios, escritos, notas informativas, informes, ELABORADOS Y RECIBIDOS, en la coordinación general, del instituto municipal de cultura física y deporte de Metepec, EN EL PERIODO COMPRENDIDO DEL 01 DE JULIO AL 30 DE OCTUBRE DE 2013</w:t>
            </w:r>
            <w:r w:rsidRPr="00252C72">
              <w:rPr>
                <w:rFonts w:ascii="Palatino Linotype" w:eastAsia="Palatino Linotype" w:hAnsi="Palatino Linotype" w:cs="Palatino Linotype"/>
                <w:i/>
                <w:sz w:val="20"/>
                <w:szCs w:val="20"/>
              </w:rPr>
              <w:t>.” (Sic)</w:t>
            </w:r>
          </w:p>
        </w:tc>
      </w:tr>
    </w:tbl>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Modalidad elegida para la entrega de la información: </w:t>
      </w:r>
      <w:r w:rsidRPr="00252C72">
        <w:rPr>
          <w:rFonts w:ascii="Palatino Linotype" w:eastAsia="Palatino Linotype" w:hAnsi="Palatino Linotype" w:cs="Palatino Linotype"/>
        </w:rPr>
        <w:t xml:space="preserve">a través del </w:t>
      </w:r>
      <w:r w:rsidRPr="00252C72">
        <w:rPr>
          <w:rFonts w:ascii="Palatino Linotype" w:eastAsia="Palatino Linotype" w:hAnsi="Palatino Linotype" w:cs="Palatino Linotype"/>
          <w:b/>
        </w:rPr>
        <w:t>SAIMEX</w:t>
      </w:r>
      <w:r w:rsidRPr="00252C72">
        <w:rPr>
          <w:rFonts w:ascii="Palatino Linotype" w:eastAsia="Palatino Linotype" w:hAnsi="Palatino Linotype" w:cs="Palatino Linotype"/>
        </w:rPr>
        <w:t>.</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2. Prórrogas. </w:t>
      </w:r>
      <w:r w:rsidRPr="00252C72">
        <w:rPr>
          <w:rFonts w:ascii="Palatino Linotype" w:eastAsia="Palatino Linotype" w:hAnsi="Palatino Linotype" w:cs="Palatino Linotype"/>
        </w:rPr>
        <w:t xml:space="preserve">El </w:t>
      </w:r>
      <w:r w:rsidRPr="00252C72">
        <w:rPr>
          <w:rFonts w:ascii="Palatino Linotype" w:eastAsia="Palatino Linotype" w:hAnsi="Palatino Linotype" w:cs="Palatino Linotype"/>
          <w:b/>
        </w:rPr>
        <w:t>catorce de junio de dos mil veintidós</w:t>
      </w:r>
      <w:r w:rsidRPr="00252C72">
        <w:rPr>
          <w:rFonts w:ascii="Palatino Linotype" w:eastAsia="Palatino Linotype" w:hAnsi="Palatino Linotype" w:cs="Palatino Linotype"/>
        </w:rPr>
        <w:t>, el</w:t>
      </w:r>
      <w:r w:rsidRPr="00252C72">
        <w:rPr>
          <w:rFonts w:ascii="Palatino Linotype" w:eastAsia="Palatino Linotype" w:hAnsi="Palatino Linotype" w:cs="Palatino Linotype"/>
          <w:b/>
        </w:rPr>
        <w:t xml:space="preserve"> Sujeto Obligado </w:t>
      </w:r>
      <w:r w:rsidRPr="00252C72">
        <w:rPr>
          <w:rFonts w:ascii="Palatino Linotype" w:eastAsia="Palatino Linotype" w:hAnsi="Palatino Linotype" w:cs="Palatino Linotype"/>
        </w:rPr>
        <w:t xml:space="preserve">notificó al particular las prórrogas para atender sus solicitudes de información, medularmente en los siguientes términos: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lastRenderedPageBreak/>
        <w:t>METEPEC, ESTADO DE MEXICO, MAYO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26 de mayo de 2022 Por lo anterior, se adjunta el acta del comité No CT/MET/EXT-05//2022. Sin más por el momento quedo a sus órdenes. ATENTAMENTE L.F.B. GERARDO ARTURO OZUNA MARTÍNEZ TITULAR DE LA UNIDAD DE TRANSPARENCIA</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Lic. Gerardo Arturo Ozuna Martínez</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Responsable de la Unidad de Transparencia” (Sic)</w:t>
      </w:r>
    </w:p>
    <w:p w:rsidR="002C445A" w:rsidRPr="00252C72" w:rsidRDefault="00064134">
      <w:pPr>
        <w:spacing w:before="240" w:after="240" w:line="360" w:lineRule="auto"/>
        <w:ind w:left="567"/>
        <w:jc w:val="both"/>
        <w:rPr>
          <w:rFonts w:ascii="Palatino Linotype" w:eastAsia="Palatino Linotype" w:hAnsi="Palatino Linotype" w:cs="Palatino Linotype"/>
          <w:b/>
        </w:rPr>
      </w:pPr>
      <w:r w:rsidRPr="00252C72">
        <w:rPr>
          <w:rFonts w:ascii="Palatino Linotype" w:eastAsia="Palatino Linotype" w:hAnsi="Palatino Linotype" w:cs="Palatino Linotype"/>
          <w:b/>
        </w:rPr>
        <w:t xml:space="preserve">Archivos adjuntos: </w:t>
      </w:r>
    </w:p>
    <w:p w:rsidR="002C445A" w:rsidRPr="00252C72" w:rsidRDefault="00064134">
      <w:pPr>
        <w:spacing w:before="240" w:after="240" w:line="360" w:lineRule="auto"/>
        <w:ind w:left="567" w:right="900"/>
        <w:jc w:val="both"/>
        <w:rPr>
          <w:rFonts w:ascii="Palatino Linotype" w:eastAsia="Palatino Linotype" w:hAnsi="Palatino Linotype" w:cs="Palatino Linotype"/>
        </w:rPr>
      </w:pPr>
      <w:r w:rsidRPr="00252C72">
        <w:rPr>
          <w:rFonts w:ascii="Palatino Linotype" w:eastAsia="Palatino Linotype" w:hAnsi="Palatino Linotype" w:cs="Palatino Linotype"/>
          <w:b/>
          <w:i/>
        </w:rPr>
        <w:t xml:space="preserve">“Acta 05-EXT-2022.PDF”: </w:t>
      </w:r>
      <w:r w:rsidRPr="00252C72">
        <w:rPr>
          <w:rFonts w:ascii="Palatino Linotype" w:eastAsia="Palatino Linotype" w:hAnsi="Palatino Linotype" w:cs="Palatino Linotype"/>
        </w:rPr>
        <w:t>Acta de la Quinta Sesión Extraordinaria del Comité de Transparencia del H. Ayuntamiento de Metepec, celebrada el veintiséis de mayo de dos mil veintidós, por la cual se aprobó la ampliación por siete días hábiles de las solicitudes de información a las que recayeron los recursos de revisión que se resuelven.</w:t>
      </w:r>
    </w:p>
    <w:p w:rsidR="002C445A" w:rsidRPr="00252C72" w:rsidRDefault="00064134">
      <w:pPr>
        <w:spacing w:before="240" w:after="240" w:line="360" w:lineRule="auto"/>
        <w:ind w:left="567" w:right="900"/>
        <w:jc w:val="both"/>
        <w:rPr>
          <w:rFonts w:ascii="Palatino Linotype" w:eastAsia="Palatino Linotype" w:hAnsi="Palatino Linotype" w:cs="Palatino Linotype"/>
        </w:rPr>
      </w:pPr>
      <w:r w:rsidRPr="00252C72">
        <w:rPr>
          <w:rFonts w:ascii="Palatino Linotype" w:eastAsia="Palatino Linotype" w:hAnsi="Palatino Linotype" w:cs="Palatino Linotype"/>
          <w:noProof/>
          <w:lang w:val="es-MX"/>
        </w:rPr>
        <w:lastRenderedPageBreak/>
        <w:drawing>
          <wp:inline distT="0" distB="0" distL="0" distR="0">
            <wp:extent cx="5068007" cy="7059010"/>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068007" cy="7059010"/>
                    </a:xfrm>
                    <a:prstGeom prst="rect">
                      <a:avLst/>
                    </a:prstGeom>
                    <a:ln/>
                  </pic:spPr>
                </pic:pic>
              </a:graphicData>
            </a:graphic>
          </wp:inline>
        </w:drawing>
      </w:r>
    </w:p>
    <w:p w:rsidR="002C445A" w:rsidRPr="00252C72" w:rsidRDefault="00064134">
      <w:pPr>
        <w:spacing w:before="240" w:after="240" w:line="360" w:lineRule="auto"/>
        <w:ind w:left="567" w:right="900"/>
        <w:jc w:val="both"/>
        <w:rPr>
          <w:rFonts w:ascii="Palatino Linotype" w:eastAsia="Palatino Linotype" w:hAnsi="Palatino Linotype" w:cs="Palatino Linotype"/>
        </w:rPr>
      </w:pPr>
      <w:r w:rsidRPr="00252C72">
        <w:rPr>
          <w:rFonts w:ascii="Palatino Linotype" w:eastAsia="Palatino Linotype" w:hAnsi="Palatino Linotype" w:cs="Palatino Linotype"/>
          <w:noProof/>
          <w:lang w:val="es-MX"/>
        </w:rPr>
        <w:drawing>
          <wp:inline distT="0" distB="0" distL="0" distR="0">
            <wp:extent cx="5154020" cy="7107640"/>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154020" cy="7107640"/>
                    </a:xfrm>
                    <a:prstGeom prst="rect">
                      <a:avLst/>
                    </a:prstGeom>
                    <a:ln/>
                  </pic:spPr>
                </pic:pic>
              </a:graphicData>
            </a:graphic>
          </wp:inline>
        </w:drawing>
      </w:r>
    </w:p>
    <w:p w:rsidR="002C445A" w:rsidRPr="00252C72" w:rsidRDefault="00064134">
      <w:pPr>
        <w:spacing w:before="240" w:after="240" w:line="360" w:lineRule="auto"/>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rPr>
        <w:t xml:space="preserve">3. Respuestas. </w:t>
      </w:r>
      <w:r w:rsidRPr="00252C72">
        <w:rPr>
          <w:rFonts w:ascii="Palatino Linotype" w:eastAsia="Palatino Linotype" w:hAnsi="Palatino Linotype" w:cs="Palatino Linotype"/>
        </w:rPr>
        <w:t xml:space="preserve"> Los días </w:t>
      </w:r>
      <w:r w:rsidRPr="00252C72">
        <w:rPr>
          <w:rFonts w:ascii="Palatino Linotype" w:eastAsia="Palatino Linotype" w:hAnsi="Palatino Linotype" w:cs="Palatino Linotype"/>
          <w:b/>
        </w:rPr>
        <w:t>quince y veintitrés</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de junio</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de dos mil veintidós</w:t>
      </w:r>
      <w:r w:rsidRPr="00252C72">
        <w:rPr>
          <w:rFonts w:ascii="Palatino Linotype" w:eastAsia="Palatino Linotype" w:hAnsi="Palatino Linotype" w:cs="Palatino Linotype"/>
        </w:rPr>
        <w:t xml:space="preserve">,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notificó al</w:t>
      </w:r>
      <w:r w:rsidRPr="00252C72">
        <w:rPr>
          <w:rFonts w:ascii="Palatino Linotype" w:eastAsia="Palatino Linotype" w:hAnsi="Palatino Linotype" w:cs="Palatino Linotype"/>
          <w:b/>
        </w:rPr>
        <w:t xml:space="preserve"> Recurrente</w:t>
      </w:r>
      <w:r w:rsidRPr="00252C72">
        <w:rPr>
          <w:rFonts w:ascii="Palatino Linotype" w:eastAsia="Palatino Linotype" w:hAnsi="Palatino Linotype" w:cs="Palatino Linotype"/>
        </w:rPr>
        <w:t xml:space="preserve"> en los expedientes que nos ocupan, las respuestas a sus solicitudes en los términos siguientes: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ATENTAMENTE</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Lic. Gerardo Arturo Ozuna Martínez” (Sic)</w:t>
      </w:r>
    </w:p>
    <w:p w:rsidR="002C445A" w:rsidRPr="00252C72" w:rsidRDefault="002C445A">
      <w:pPr>
        <w:spacing w:before="240" w:after="240" w:line="276" w:lineRule="auto"/>
        <w:ind w:left="567" w:right="900"/>
        <w:jc w:val="both"/>
        <w:rPr>
          <w:rFonts w:ascii="Palatino Linotype" w:eastAsia="Palatino Linotype" w:hAnsi="Palatino Linotype" w:cs="Palatino Linotype"/>
          <w:b/>
          <w:sz w:val="22"/>
          <w:szCs w:val="22"/>
        </w:rPr>
      </w:pPr>
    </w:p>
    <w:p w:rsidR="002C445A" w:rsidRPr="00252C72" w:rsidRDefault="002C445A">
      <w:pPr>
        <w:spacing w:before="240" w:after="240" w:line="276" w:lineRule="auto"/>
        <w:ind w:left="567" w:right="900"/>
        <w:jc w:val="both"/>
        <w:rPr>
          <w:rFonts w:ascii="Palatino Linotype" w:eastAsia="Palatino Linotype" w:hAnsi="Palatino Linotype" w:cs="Palatino Linotype"/>
          <w:b/>
          <w:sz w:val="22"/>
          <w:szCs w:val="22"/>
        </w:rPr>
      </w:pPr>
    </w:p>
    <w:p w:rsidR="002C445A" w:rsidRPr="00252C72" w:rsidRDefault="00064134">
      <w:pPr>
        <w:spacing w:before="240" w:after="240" w:line="276" w:lineRule="auto"/>
        <w:ind w:left="567"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Archivos adjuntos: </w:t>
      </w:r>
    </w:p>
    <w:p w:rsidR="002C445A" w:rsidRPr="00252C72" w:rsidRDefault="00064134">
      <w:pPr>
        <w:spacing w:before="240" w:after="240" w:line="276" w:lineRule="auto"/>
        <w:ind w:left="567"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03508/METEPEC/IP/2022, </w:t>
      </w:r>
      <w:r w:rsidRPr="00252C72">
        <w:rPr>
          <w:rFonts w:ascii="Palatino Linotype" w:eastAsia="Palatino Linotype" w:hAnsi="Palatino Linotype" w:cs="Palatino Linotype"/>
          <w:sz w:val="22"/>
          <w:szCs w:val="22"/>
        </w:rPr>
        <w:t>correspondiente al Recurso de Revisión</w:t>
      </w:r>
      <w:r w:rsidRPr="00252C72">
        <w:rPr>
          <w:rFonts w:ascii="Palatino Linotype" w:eastAsia="Palatino Linotype" w:hAnsi="Palatino Linotype" w:cs="Palatino Linotype"/>
          <w:b/>
          <w:sz w:val="22"/>
          <w:szCs w:val="22"/>
        </w:rPr>
        <w:t xml:space="preserve"> 11934/INFOEM/IP/RR/2022: </w:t>
      </w:r>
    </w:p>
    <w:p w:rsidR="002C445A" w:rsidRPr="00252C72" w:rsidRDefault="00064134">
      <w:pPr>
        <w:spacing w:before="240" w:after="240" w:line="276" w:lineRule="auto"/>
        <w:ind w:left="567" w:right="900"/>
        <w:jc w:val="both"/>
        <w:rPr>
          <w:rFonts w:ascii="Palatino Linotype" w:eastAsia="Palatino Linotype" w:hAnsi="Palatino Linotype" w:cs="Palatino Linotype"/>
        </w:rPr>
      </w:pPr>
      <w:r w:rsidRPr="00252C72">
        <w:rPr>
          <w:rFonts w:ascii="Palatino Linotype" w:eastAsia="Palatino Linotype" w:hAnsi="Palatino Linotype" w:cs="Palatino Linotype"/>
          <w:b/>
          <w:i/>
          <w:sz w:val="22"/>
          <w:szCs w:val="22"/>
        </w:rPr>
        <w:t xml:space="preserve">“imcufidem3508.PDF”: </w:t>
      </w:r>
      <w:r w:rsidRPr="00252C72">
        <w:rPr>
          <w:rFonts w:ascii="Palatino Linotype" w:eastAsia="Palatino Linotype" w:hAnsi="Palatino Linotype" w:cs="Palatino Linotype"/>
        </w:rPr>
        <w:t xml:space="preserve"> Oficio signado por el Coordinador General del Instituto Municipal de Cultura Física y Deporte en Metepec, en el que medularmente informa que no se encontró información referente a los oficios, escritos, notas informativas, informes elaborados y recibidos en la Coordinación General del IMCUFIDEM del 1 de febrero al 30 de mayo de 2014. </w:t>
      </w:r>
    </w:p>
    <w:p w:rsidR="002C445A" w:rsidRPr="00252C72" w:rsidRDefault="00064134">
      <w:pPr>
        <w:spacing w:before="240" w:after="240" w:line="276" w:lineRule="auto"/>
        <w:ind w:left="567" w:right="900"/>
        <w:jc w:val="center"/>
        <w:rPr>
          <w:rFonts w:ascii="Palatino Linotype" w:eastAsia="Palatino Linotype" w:hAnsi="Palatino Linotype" w:cs="Palatino Linotype"/>
          <w:sz w:val="22"/>
          <w:szCs w:val="22"/>
        </w:rPr>
      </w:pPr>
      <w:r w:rsidRPr="00252C72">
        <w:rPr>
          <w:rFonts w:ascii="Palatino Linotype" w:eastAsia="Palatino Linotype" w:hAnsi="Palatino Linotype" w:cs="Palatino Linotype"/>
          <w:noProof/>
          <w:sz w:val="22"/>
          <w:szCs w:val="22"/>
          <w:lang w:val="es-MX"/>
        </w:rPr>
        <w:drawing>
          <wp:inline distT="0" distB="0" distL="0" distR="0">
            <wp:extent cx="4884697" cy="4881051"/>
            <wp:effectExtent l="0" t="0" r="0" b="0"/>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884697" cy="4881051"/>
                    </a:xfrm>
                    <a:prstGeom prst="rect">
                      <a:avLst/>
                    </a:prstGeom>
                    <a:ln/>
                  </pic:spPr>
                </pic:pic>
              </a:graphicData>
            </a:graphic>
          </wp:inline>
        </w:drawing>
      </w:r>
    </w:p>
    <w:p w:rsidR="002C445A" w:rsidRPr="00252C72" w:rsidRDefault="00064134">
      <w:pPr>
        <w:spacing w:before="240" w:after="240" w:line="276" w:lineRule="auto"/>
        <w:ind w:left="567"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03506/METEPEC/IP/2022, </w:t>
      </w:r>
      <w:r w:rsidRPr="00252C72">
        <w:rPr>
          <w:rFonts w:ascii="Palatino Linotype" w:eastAsia="Palatino Linotype" w:hAnsi="Palatino Linotype" w:cs="Palatino Linotype"/>
          <w:sz w:val="22"/>
          <w:szCs w:val="22"/>
        </w:rPr>
        <w:t>correspondiente al Recurso de Revisión</w:t>
      </w:r>
      <w:r w:rsidRPr="00252C72">
        <w:rPr>
          <w:rFonts w:ascii="Palatino Linotype" w:eastAsia="Palatino Linotype" w:hAnsi="Palatino Linotype" w:cs="Palatino Linotype"/>
          <w:b/>
          <w:sz w:val="22"/>
          <w:szCs w:val="22"/>
        </w:rPr>
        <w:t xml:space="preserve"> 12406/INFOEM/IP/RR/2022:  </w:t>
      </w:r>
    </w:p>
    <w:p w:rsidR="002C445A" w:rsidRPr="00252C72" w:rsidRDefault="00064134">
      <w:pPr>
        <w:spacing w:before="240" w:after="240" w:line="276" w:lineRule="auto"/>
        <w:ind w:left="567" w:right="900"/>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 xml:space="preserve">“respuesta 3506.PDF”: </w:t>
      </w:r>
      <w:r w:rsidRPr="00252C72">
        <w:rPr>
          <w:rFonts w:ascii="Palatino Linotype" w:eastAsia="Palatino Linotype" w:hAnsi="Palatino Linotype" w:cs="Palatino Linotype"/>
        </w:rPr>
        <w:t>Oficio signado por el Coordinador General del Instituto Municipal de Cultura Física y Deporte en Metepec, en el que medularmente informa que no se encontró información referente a los oficios, escritos, notas informativas, informes elaborados y recibidos en la Coordinación General del IMCUFIDEM del 1 de febrero al 30 de mayo de 2014.</w:t>
      </w:r>
    </w:p>
    <w:p w:rsidR="002C445A" w:rsidRPr="00252C72" w:rsidRDefault="00064134">
      <w:pPr>
        <w:spacing w:before="240" w:after="240" w:line="276" w:lineRule="auto"/>
        <w:ind w:left="567" w:right="900"/>
        <w:jc w:val="center"/>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noProof/>
          <w:sz w:val="22"/>
          <w:szCs w:val="22"/>
          <w:lang w:val="es-MX"/>
        </w:rPr>
        <w:drawing>
          <wp:inline distT="0" distB="0" distL="0" distR="0">
            <wp:extent cx="4553931" cy="5165876"/>
            <wp:effectExtent l="0" t="0" r="0" b="0"/>
            <wp:docPr id="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553931" cy="5165876"/>
                    </a:xfrm>
                    <a:prstGeom prst="rect">
                      <a:avLst/>
                    </a:prstGeom>
                    <a:ln/>
                  </pic:spPr>
                </pic:pic>
              </a:graphicData>
            </a:graphic>
          </wp:inline>
        </w:drawing>
      </w:r>
    </w:p>
    <w:p w:rsidR="002C445A" w:rsidRPr="00252C72" w:rsidRDefault="00064134">
      <w:pPr>
        <w:spacing w:before="240" w:after="240" w:line="276" w:lineRule="auto"/>
        <w:ind w:left="567"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03509/METEPEC/IP/2022, correspondiente al Recurso de Revisión 12408/INFOEM/IP/RR/2022: </w:t>
      </w:r>
    </w:p>
    <w:p w:rsidR="002C445A" w:rsidRPr="00252C72" w:rsidRDefault="00064134">
      <w:pPr>
        <w:spacing w:before="240" w:after="240" w:line="276" w:lineRule="auto"/>
        <w:ind w:left="567" w:right="900"/>
        <w:jc w:val="both"/>
        <w:rPr>
          <w:rFonts w:ascii="Palatino Linotype" w:eastAsia="Palatino Linotype" w:hAnsi="Palatino Linotype" w:cs="Palatino Linotype"/>
        </w:rPr>
      </w:pPr>
      <w:r w:rsidRPr="00252C72">
        <w:rPr>
          <w:rFonts w:ascii="Palatino Linotype" w:eastAsia="Palatino Linotype" w:hAnsi="Palatino Linotype" w:cs="Palatino Linotype"/>
          <w:b/>
          <w:i/>
          <w:sz w:val="22"/>
          <w:szCs w:val="22"/>
        </w:rPr>
        <w:t xml:space="preserve">“respuesta 3509.PDF”: </w:t>
      </w:r>
      <w:r w:rsidRPr="00252C72">
        <w:rPr>
          <w:rFonts w:ascii="Palatino Linotype" w:eastAsia="Palatino Linotype" w:hAnsi="Palatino Linotype" w:cs="Palatino Linotype"/>
        </w:rPr>
        <w:t xml:space="preserve">Oficio signado por el Coordinador General del Instituto Municipal de Cultura Física y Deporte en Metepec, en el que medularmente informa que no se encontró información referente a los oficios, escritos, notas informativas, informes elaborados y recibidos en la Coordinación General del IMCUFIDEM del 1 de julio al 30 de octubre de 2013. </w:t>
      </w:r>
    </w:p>
    <w:p w:rsidR="002C445A" w:rsidRPr="00252C72" w:rsidRDefault="00064134">
      <w:pPr>
        <w:spacing w:before="240" w:after="240" w:line="276" w:lineRule="auto"/>
        <w:ind w:left="567" w:right="900"/>
        <w:jc w:val="center"/>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noProof/>
          <w:sz w:val="22"/>
          <w:szCs w:val="22"/>
          <w:lang w:val="es-MX"/>
        </w:rPr>
        <w:drawing>
          <wp:inline distT="0" distB="0" distL="0" distR="0">
            <wp:extent cx="3424804" cy="4828912"/>
            <wp:effectExtent l="0" t="0" r="0" b="0"/>
            <wp:docPr id="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424804" cy="4828912"/>
                    </a:xfrm>
                    <a:prstGeom prst="rect">
                      <a:avLst/>
                    </a:prstGeom>
                    <a:ln/>
                  </pic:spPr>
                </pic:pic>
              </a:graphicData>
            </a:graphic>
          </wp:inline>
        </w:drawing>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4. Interposición de los recursos de revisión.  </w:t>
      </w:r>
      <w:r w:rsidRPr="00252C72">
        <w:rPr>
          <w:rFonts w:ascii="Palatino Linotype" w:eastAsia="Palatino Linotype" w:hAnsi="Palatino Linotype" w:cs="Palatino Linotype"/>
        </w:rPr>
        <w:t xml:space="preserve">Los días </w:t>
      </w:r>
      <w:r w:rsidRPr="00252C72">
        <w:rPr>
          <w:rFonts w:ascii="Palatino Linotype" w:eastAsia="Palatino Linotype" w:hAnsi="Palatino Linotype" w:cs="Palatino Linotype"/>
          <w:b/>
        </w:rPr>
        <w:t>veintiuno</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de junio y cinco de julio</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 xml:space="preserve">de dos mil veintidós, el Recurrente, </w:t>
      </w:r>
      <w:r w:rsidRPr="00252C72">
        <w:rPr>
          <w:rFonts w:ascii="Palatino Linotype" w:eastAsia="Palatino Linotype" w:hAnsi="Palatino Linotype" w:cs="Palatino Linotype"/>
        </w:rPr>
        <w:t>inconforme con las respuestas, interpuso los recursos de revisión que nos ocupan, expresando las siguientes manifestaciones:</w:t>
      </w:r>
    </w:p>
    <w:p w:rsidR="002C445A" w:rsidRPr="00252C72" w:rsidRDefault="00064134">
      <w:pPr>
        <w:spacing w:before="240" w:after="240" w:line="276" w:lineRule="auto"/>
        <w:ind w:left="567"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Recurso de Revisión 11934/INFOEM/IP/RR/2022: </w:t>
      </w:r>
    </w:p>
    <w:p w:rsidR="002C445A" w:rsidRPr="00252C72" w:rsidRDefault="00064134">
      <w:pPr>
        <w:spacing w:line="360" w:lineRule="auto"/>
        <w:ind w:left="567"/>
        <w:rPr>
          <w:rFonts w:ascii="Palatino Linotype" w:eastAsia="Palatino Linotype" w:hAnsi="Palatino Linotype" w:cs="Palatino Linotype"/>
          <w:b/>
        </w:rPr>
      </w:pPr>
      <w:r w:rsidRPr="00252C72">
        <w:rPr>
          <w:rFonts w:ascii="Palatino Linotype" w:eastAsia="Palatino Linotype" w:hAnsi="Palatino Linotype" w:cs="Palatino Linotype"/>
          <w:b/>
        </w:rPr>
        <w:t>a) Acto impugnado:</w:t>
      </w:r>
    </w:p>
    <w:p w:rsidR="002C445A" w:rsidRPr="00252C72" w:rsidRDefault="00064134">
      <w:pPr>
        <w:spacing w:line="360" w:lineRule="auto"/>
        <w:ind w:left="567"/>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“se impugna el acto” (Sic)</w:t>
      </w:r>
    </w:p>
    <w:p w:rsidR="002C445A" w:rsidRPr="00252C72" w:rsidRDefault="00064134">
      <w:pPr>
        <w:spacing w:line="360" w:lineRule="auto"/>
        <w:ind w:left="567"/>
        <w:jc w:val="both"/>
        <w:rPr>
          <w:rFonts w:ascii="Palatino Linotype" w:eastAsia="Palatino Linotype" w:hAnsi="Palatino Linotype" w:cs="Palatino Linotype"/>
          <w:b/>
        </w:rPr>
      </w:pPr>
      <w:r w:rsidRPr="00252C72">
        <w:rPr>
          <w:rFonts w:ascii="Palatino Linotype" w:eastAsia="Palatino Linotype" w:hAnsi="Palatino Linotype" w:cs="Palatino Linotype"/>
          <w:b/>
        </w:rPr>
        <w:t>b) Motivos de inconformidad:</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 las autoridades del instituto "IMCUFIDEM" NO LES GUSTA LA TRANSPARENCIA Y RENDICIÓN DE CUENTAS , solo argumentan evasivas. Que demuestren con documentación debidamente fundada y motivada, presentada ante autoridad competente, que las administraciones anteriores NO ENTREGARON LA DOCUMENTACIÓN O ARCHIVOS DE LOS AÑOS SOLICITADOS. DEBE CONSTAR EN LAS CORRESPONDIENTES ACTAS DE ENTREGA RECEPCIÓN U OBSERVACIONES REALIZADAS EN TIEMPO Y FORMA ....NO EN UN SIMPLE DICHO DEL COORDINADOR.... PLENO DEL INFOEM POR FAVOR ACTUAR EN CONSECUENCIA” (Sic)</w:t>
      </w:r>
    </w:p>
    <w:p w:rsidR="002C445A" w:rsidRPr="00252C72" w:rsidRDefault="00064134">
      <w:pPr>
        <w:spacing w:before="240" w:after="240" w:line="276" w:lineRule="auto"/>
        <w:ind w:left="567"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Recurso de Revisión 12406/INFOEM/IP/RR/2022: </w:t>
      </w:r>
    </w:p>
    <w:p w:rsidR="002C445A" w:rsidRPr="00252C72" w:rsidRDefault="00064134">
      <w:pPr>
        <w:spacing w:line="360" w:lineRule="auto"/>
        <w:ind w:left="567"/>
        <w:rPr>
          <w:rFonts w:ascii="Palatino Linotype" w:eastAsia="Palatino Linotype" w:hAnsi="Palatino Linotype" w:cs="Palatino Linotype"/>
          <w:b/>
        </w:rPr>
      </w:pPr>
      <w:r w:rsidRPr="00252C72">
        <w:rPr>
          <w:rFonts w:ascii="Palatino Linotype" w:eastAsia="Palatino Linotype" w:hAnsi="Palatino Linotype" w:cs="Palatino Linotype"/>
          <w:b/>
        </w:rPr>
        <w:t>a) Acto impugnado:</w:t>
      </w:r>
    </w:p>
    <w:p w:rsidR="002C445A" w:rsidRPr="00252C72" w:rsidRDefault="00064134">
      <w:pPr>
        <w:spacing w:line="360" w:lineRule="auto"/>
        <w:ind w:left="567"/>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“SE IMPUGNA EL ACTO” (Sic)</w:t>
      </w:r>
    </w:p>
    <w:p w:rsidR="002C445A" w:rsidRPr="00252C72" w:rsidRDefault="00064134">
      <w:pPr>
        <w:spacing w:line="360" w:lineRule="auto"/>
        <w:ind w:left="567"/>
        <w:jc w:val="both"/>
        <w:rPr>
          <w:rFonts w:ascii="Palatino Linotype" w:eastAsia="Palatino Linotype" w:hAnsi="Palatino Linotype" w:cs="Palatino Linotype"/>
          <w:b/>
        </w:rPr>
      </w:pPr>
      <w:r w:rsidRPr="00252C72">
        <w:rPr>
          <w:rFonts w:ascii="Palatino Linotype" w:eastAsia="Palatino Linotype" w:hAnsi="Palatino Linotype" w:cs="Palatino Linotype"/>
          <w:b/>
        </w:rPr>
        <w:t>b) Motivos de inconformidad:</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 LOS DIRECTIVOS NO LES GUSTA LA RENDICIÓN DE CUENTAS SE BURLAN DEL INFOEM Y USUARIOS (Sic)</w:t>
      </w:r>
    </w:p>
    <w:p w:rsidR="002C445A" w:rsidRPr="00252C72" w:rsidRDefault="002C445A">
      <w:pPr>
        <w:spacing w:before="240" w:after="240" w:line="276" w:lineRule="auto"/>
        <w:ind w:left="567" w:right="900"/>
        <w:jc w:val="both"/>
        <w:rPr>
          <w:rFonts w:ascii="Palatino Linotype" w:eastAsia="Palatino Linotype" w:hAnsi="Palatino Linotype" w:cs="Palatino Linotype"/>
          <w:b/>
          <w:sz w:val="22"/>
          <w:szCs w:val="22"/>
        </w:rPr>
      </w:pPr>
    </w:p>
    <w:p w:rsidR="002C445A" w:rsidRPr="00252C72" w:rsidRDefault="00064134">
      <w:pPr>
        <w:spacing w:before="240" w:after="240" w:line="276" w:lineRule="auto"/>
        <w:ind w:left="567"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Recurso de Revisión 12408/INFOEM/IP/RR/2022: </w:t>
      </w:r>
    </w:p>
    <w:p w:rsidR="002C445A" w:rsidRPr="00252C72" w:rsidRDefault="00064134">
      <w:pPr>
        <w:spacing w:line="360" w:lineRule="auto"/>
        <w:ind w:left="567"/>
        <w:rPr>
          <w:rFonts w:ascii="Palatino Linotype" w:eastAsia="Palatino Linotype" w:hAnsi="Palatino Linotype" w:cs="Palatino Linotype"/>
          <w:b/>
        </w:rPr>
      </w:pP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a) Acto impugnado:</w:t>
      </w:r>
    </w:p>
    <w:p w:rsidR="002C445A" w:rsidRPr="00252C72" w:rsidRDefault="00064134">
      <w:pPr>
        <w:spacing w:line="360" w:lineRule="auto"/>
        <w:ind w:left="567"/>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“SE IMPUGNA EL ACTO” (Sic)</w:t>
      </w:r>
    </w:p>
    <w:p w:rsidR="002C445A" w:rsidRPr="00252C72" w:rsidRDefault="00064134">
      <w:pPr>
        <w:spacing w:line="360" w:lineRule="auto"/>
        <w:ind w:left="567"/>
        <w:jc w:val="both"/>
        <w:rPr>
          <w:rFonts w:ascii="Palatino Linotype" w:eastAsia="Palatino Linotype" w:hAnsi="Palatino Linotype" w:cs="Palatino Linotype"/>
          <w:b/>
        </w:rPr>
      </w:pPr>
      <w:r w:rsidRPr="00252C72">
        <w:rPr>
          <w:rFonts w:ascii="Palatino Linotype" w:eastAsia="Palatino Linotype" w:hAnsi="Palatino Linotype" w:cs="Palatino Linotype"/>
          <w:b/>
        </w:rPr>
        <w:t xml:space="preserve"> b) Motivos de inconformidad:</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 LOS DIRECTIVOS NO LES GUSTA LA RENDICIÓN DE CUENTAS SE BURLAN DEL INFOEM Y USUARIOS” (Sic)</w:t>
      </w:r>
    </w:p>
    <w:p w:rsidR="002C445A" w:rsidRPr="00252C72" w:rsidRDefault="002C445A">
      <w:pPr>
        <w:spacing w:line="360" w:lineRule="auto"/>
        <w:jc w:val="both"/>
        <w:rPr>
          <w:rFonts w:ascii="Palatino Linotype" w:eastAsia="Palatino Linotype" w:hAnsi="Palatino Linotype" w:cs="Palatino Linotype"/>
          <w:sz w:val="2"/>
          <w:szCs w:val="2"/>
        </w:rPr>
      </w:pPr>
    </w:p>
    <w:p w:rsidR="002C445A" w:rsidRPr="00252C72" w:rsidRDefault="002C445A">
      <w:pPr>
        <w:spacing w:line="360" w:lineRule="auto"/>
        <w:jc w:val="both"/>
        <w:rPr>
          <w:rFonts w:ascii="Palatino Linotype" w:eastAsia="Palatino Linotype" w:hAnsi="Palatino Linotype" w:cs="Palatino Linotype"/>
          <w:sz w:val="2"/>
          <w:szCs w:val="2"/>
        </w:rPr>
      </w:pP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5. Turno. </w:t>
      </w:r>
      <w:r w:rsidRPr="00252C72">
        <w:rPr>
          <w:rFonts w:ascii="Palatino Linotype" w:eastAsia="Palatino Linotype" w:hAnsi="Palatino Linotype" w:cs="Palatino Linotype"/>
        </w:rPr>
        <w:t>De conformidad con el artículo 185 fracción I de la Ley Transparencia y Acceso a la Información Pública, los recursos de revisión fueron</w:t>
      </w:r>
      <w:r w:rsidRPr="00252C72">
        <w:rPr>
          <w:rFonts w:ascii="Palatino Linotype" w:eastAsia="Palatino Linotype" w:hAnsi="Palatino Linotype" w:cs="Palatino Linotype"/>
          <w:b/>
        </w:rPr>
        <w:t xml:space="preserve"> </w:t>
      </w:r>
      <w:r w:rsidRPr="00252C72">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c"/>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52C72" w:rsidRPr="00252C72">
        <w:tc>
          <w:tcPr>
            <w:tcW w:w="4460" w:type="dxa"/>
            <w:shd w:val="clear" w:color="auto" w:fill="DBE5F1"/>
          </w:tcPr>
          <w:p w:rsidR="002C445A" w:rsidRPr="00252C72" w:rsidRDefault="00064134">
            <w:pPr>
              <w:spacing w:before="240" w:after="240" w:line="360"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rPr>
              <w:t>Recurso de Revisión</w:t>
            </w:r>
          </w:p>
        </w:tc>
        <w:tc>
          <w:tcPr>
            <w:tcW w:w="4461" w:type="dxa"/>
            <w:shd w:val="clear" w:color="auto" w:fill="DBE5F1"/>
          </w:tcPr>
          <w:p w:rsidR="002C445A" w:rsidRPr="00252C72" w:rsidRDefault="00064134">
            <w:pPr>
              <w:spacing w:before="240" w:after="240" w:line="360"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rPr>
              <w:t>Comisionada/o</w:t>
            </w:r>
          </w:p>
        </w:tc>
      </w:tr>
      <w:tr w:rsidR="00252C72" w:rsidRPr="00252C72">
        <w:tc>
          <w:tcPr>
            <w:tcW w:w="4460" w:type="dxa"/>
          </w:tcPr>
          <w:p w:rsidR="002C445A" w:rsidRPr="00252C72" w:rsidRDefault="00064134">
            <w:pPr>
              <w:spacing w:before="240" w:after="240" w:line="276"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sz w:val="20"/>
                <w:szCs w:val="20"/>
              </w:rPr>
              <w:t>11934/INFOEM/IP/RR/2022</w:t>
            </w:r>
          </w:p>
        </w:tc>
        <w:tc>
          <w:tcPr>
            <w:tcW w:w="4461" w:type="dxa"/>
          </w:tcPr>
          <w:p w:rsidR="002C445A" w:rsidRPr="00252C72" w:rsidRDefault="00064134">
            <w:pPr>
              <w:spacing w:before="240" w:after="240"/>
              <w:jc w:val="center"/>
              <w:rPr>
                <w:rFonts w:ascii="Palatino Linotype" w:eastAsia="Palatino Linotype" w:hAnsi="Palatino Linotype" w:cs="Palatino Linotype"/>
                <w:b/>
                <w:sz w:val="20"/>
                <w:szCs w:val="20"/>
              </w:rPr>
            </w:pPr>
            <w:r w:rsidRPr="00252C72">
              <w:rPr>
                <w:rFonts w:ascii="Palatino Linotype" w:eastAsia="Palatino Linotype" w:hAnsi="Palatino Linotype" w:cs="Palatino Linotype"/>
                <w:b/>
                <w:sz w:val="20"/>
                <w:szCs w:val="20"/>
              </w:rPr>
              <w:t>Comisionada Guadalupe Ramírez Peña</w:t>
            </w:r>
          </w:p>
        </w:tc>
      </w:tr>
      <w:tr w:rsidR="00252C72" w:rsidRPr="00252C72">
        <w:tc>
          <w:tcPr>
            <w:tcW w:w="4460" w:type="dxa"/>
          </w:tcPr>
          <w:p w:rsidR="002C445A" w:rsidRPr="00252C72" w:rsidRDefault="00064134">
            <w:pPr>
              <w:spacing w:before="240" w:after="240" w:line="276" w:lineRule="auto"/>
              <w:jc w:val="center"/>
              <w:rPr>
                <w:rFonts w:ascii="Palatino Linotype" w:eastAsia="Palatino Linotype" w:hAnsi="Palatino Linotype" w:cs="Palatino Linotype"/>
                <w:b/>
                <w:sz w:val="20"/>
                <w:szCs w:val="20"/>
              </w:rPr>
            </w:pPr>
            <w:r w:rsidRPr="00252C72">
              <w:rPr>
                <w:rFonts w:ascii="Palatino Linotype" w:eastAsia="Palatino Linotype" w:hAnsi="Palatino Linotype" w:cs="Palatino Linotype"/>
                <w:b/>
                <w:sz w:val="20"/>
                <w:szCs w:val="20"/>
              </w:rPr>
              <w:t>12406/INFOEM/IP/RR/2022</w:t>
            </w:r>
          </w:p>
        </w:tc>
        <w:tc>
          <w:tcPr>
            <w:tcW w:w="4461" w:type="dxa"/>
          </w:tcPr>
          <w:p w:rsidR="002C445A" w:rsidRPr="00252C72" w:rsidRDefault="00064134">
            <w:pPr>
              <w:spacing w:before="240" w:after="240"/>
              <w:jc w:val="center"/>
              <w:rPr>
                <w:rFonts w:ascii="Palatino Linotype" w:eastAsia="Palatino Linotype" w:hAnsi="Palatino Linotype" w:cs="Palatino Linotype"/>
                <w:b/>
                <w:sz w:val="20"/>
                <w:szCs w:val="20"/>
              </w:rPr>
            </w:pPr>
            <w:r w:rsidRPr="00252C72">
              <w:rPr>
                <w:rFonts w:ascii="Palatino Linotype" w:eastAsia="Palatino Linotype" w:hAnsi="Palatino Linotype" w:cs="Palatino Linotype"/>
                <w:b/>
                <w:sz w:val="20"/>
                <w:szCs w:val="20"/>
              </w:rPr>
              <w:t>Comisionado Luis Gustavo Parra Noriega</w:t>
            </w:r>
          </w:p>
        </w:tc>
      </w:tr>
      <w:tr w:rsidR="00252C72" w:rsidRPr="00252C72">
        <w:tc>
          <w:tcPr>
            <w:tcW w:w="4460" w:type="dxa"/>
          </w:tcPr>
          <w:p w:rsidR="002C445A" w:rsidRPr="00252C72" w:rsidRDefault="00064134">
            <w:pPr>
              <w:spacing w:before="240" w:after="240" w:line="276" w:lineRule="auto"/>
              <w:jc w:val="center"/>
              <w:rPr>
                <w:rFonts w:ascii="Palatino Linotype" w:eastAsia="Palatino Linotype" w:hAnsi="Palatino Linotype" w:cs="Palatino Linotype"/>
                <w:b/>
                <w:sz w:val="20"/>
                <w:szCs w:val="20"/>
              </w:rPr>
            </w:pPr>
            <w:r w:rsidRPr="00252C72">
              <w:rPr>
                <w:rFonts w:ascii="Palatino Linotype" w:eastAsia="Palatino Linotype" w:hAnsi="Palatino Linotype" w:cs="Palatino Linotype"/>
                <w:b/>
                <w:sz w:val="20"/>
                <w:szCs w:val="20"/>
              </w:rPr>
              <w:t>12408/INFOEM/IP/RR/2022</w:t>
            </w:r>
          </w:p>
        </w:tc>
        <w:tc>
          <w:tcPr>
            <w:tcW w:w="4461" w:type="dxa"/>
          </w:tcPr>
          <w:p w:rsidR="002C445A" w:rsidRPr="00252C72" w:rsidRDefault="00064134">
            <w:pPr>
              <w:spacing w:before="240" w:after="240"/>
              <w:jc w:val="center"/>
              <w:rPr>
                <w:rFonts w:ascii="Palatino Linotype" w:eastAsia="Palatino Linotype" w:hAnsi="Palatino Linotype" w:cs="Palatino Linotype"/>
                <w:b/>
                <w:sz w:val="20"/>
                <w:szCs w:val="20"/>
              </w:rPr>
            </w:pPr>
            <w:r w:rsidRPr="00252C72">
              <w:rPr>
                <w:rFonts w:ascii="Palatino Linotype" w:eastAsia="Palatino Linotype" w:hAnsi="Palatino Linotype" w:cs="Palatino Linotype"/>
                <w:b/>
                <w:sz w:val="20"/>
                <w:szCs w:val="20"/>
              </w:rPr>
              <w:t>Comisionada María del Rosario Mejía Ayala</w:t>
            </w:r>
          </w:p>
        </w:tc>
      </w:tr>
    </w:tbl>
    <w:p w:rsidR="002C445A" w:rsidRPr="00252C72" w:rsidRDefault="00064134">
      <w:pPr>
        <w:spacing w:before="240" w:after="240" w:line="360" w:lineRule="auto"/>
        <w:jc w:val="both"/>
        <w:rPr>
          <w:rFonts w:ascii="Palatino Linotype" w:eastAsia="Palatino Linotype" w:hAnsi="Palatino Linotype" w:cs="Palatino Linotype"/>
          <w:b/>
        </w:rPr>
      </w:pPr>
      <w:r w:rsidRPr="00252C72">
        <w:rPr>
          <w:rFonts w:ascii="Palatino Linotype" w:eastAsia="Palatino Linotype" w:hAnsi="Palatino Linotype" w:cs="Palatino Linotype"/>
          <w:b/>
        </w:rPr>
        <w:t xml:space="preserve">6. Admisiones. </w:t>
      </w:r>
      <w:r w:rsidRPr="00252C72">
        <w:rPr>
          <w:rFonts w:ascii="Palatino Linotype" w:eastAsia="Palatino Linotype" w:hAnsi="Palatino Linotype" w:cs="Palatino Linotype"/>
        </w:rPr>
        <w:t xml:space="preserve">Los días </w:t>
      </w:r>
      <w:r w:rsidRPr="00252C72">
        <w:rPr>
          <w:rFonts w:ascii="Palatino Linotype" w:eastAsia="Palatino Linotype" w:hAnsi="Palatino Linotype" w:cs="Palatino Linotype"/>
          <w:b/>
        </w:rPr>
        <w:t>veinticuatro de junio</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seis y once de julio de dos mil veintidós,</w:t>
      </w:r>
      <w:r w:rsidRPr="00252C72">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 dando un plazo máximo de siete días hábiles para que las partes manifestaran lo que a su derecho resultara conveniente, ofrecieran pruebas, formularan alegatos y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presentara su informe justificado.</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7. Acumulación. </w:t>
      </w:r>
      <w:r w:rsidRPr="00252C72">
        <w:rPr>
          <w:rFonts w:ascii="Palatino Linotype" w:eastAsia="Palatino Linotype" w:hAnsi="Palatino Linotype" w:cs="Palatino Linotype"/>
        </w:rPr>
        <w:t xml:space="preserve">En la </w:t>
      </w:r>
      <w:r w:rsidRPr="00252C72">
        <w:rPr>
          <w:rFonts w:ascii="Palatino Linotype" w:eastAsia="Palatino Linotype" w:hAnsi="Palatino Linotype" w:cs="Palatino Linotype"/>
          <w:b/>
        </w:rPr>
        <w:t>Vigésima Sexta Sesión Ordinaria</w:t>
      </w:r>
      <w:r w:rsidRPr="00252C72">
        <w:rPr>
          <w:rFonts w:ascii="Palatino Linotype" w:eastAsia="Palatino Linotype" w:hAnsi="Palatino Linotype" w:cs="Palatino Linotype"/>
        </w:rPr>
        <w:t xml:space="preserve"> celebrada el </w:t>
      </w:r>
      <w:r w:rsidRPr="00252C72">
        <w:rPr>
          <w:rFonts w:ascii="Palatino Linotype" w:eastAsia="Palatino Linotype" w:hAnsi="Palatino Linotype" w:cs="Palatino Linotype"/>
          <w:b/>
        </w:rPr>
        <w:t>trece de julio de dos mil veintidós</w:t>
      </w:r>
      <w:r w:rsidRPr="00252C72">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252C72">
        <w:rPr>
          <w:rFonts w:ascii="Palatino Linotype" w:eastAsia="Palatino Linotype" w:hAnsi="Palatino Linotype" w:cs="Palatino Linotype"/>
          <w:b/>
        </w:rPr>
        <w:t>Comisionada</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Guadalupe Ramírez Peña</w:t>
      </w:r>
      <w:r w:rsidRPr="00252C72">
        <w:rPr>
          <w:rFonts w:ascii="Palatino Linotype" w:eastAsia="Palatino Linotype" w:hAnsi="Palatino Linotype" w:cs="Palatino Linotype"/>
        </w:rPr>
        <w:t>.</w:t>
      </w:r>
    </w:p>
    <w:p w:rsidR="002C445A" w:rsidRPr="00252C72" w:rsidRDefault="00064134">
      <w:pPr>
        <w:widowControl w:val="0"/>
        <w:spacing w:before="240" w:after="240"/>
        <w:ind w:left="851" w:right="902"/>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Código de Procedimientos Administrativos del Estado de México</w:t>
      </w:r>
    </w:p>
    <w:p w:rsidR="002C445A" w:rsidRPr="00252C72" w:rsidRDefault="00064134">
      <w:pPr>
        <w:widowControl w:val="0"/>
        <w:spacing w:before="120" w:after="120"/>
        <w:ind w:left="851"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18.-</w:t>
      </w:r>
      <w:r w:rsidRPr="00252C72">
        <w:rPr>
          <w:rFonts w:ascii="Palatino Linotype" w:eastAsia="Palatino Linotype" w:hAnsi="Palatino Linotype" w:cs="Palatino Linotype"/>
          <w:i/>
          <w:sz w:val="22"/>
          <w:szCs w:val="22"/>
        </w:rPr>
        <w:t xml:space="preserve"> </w:t>
      </w:r>
      <w:r w:rsidRPr="00252C72">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252C72">
        <w:rPr>
          <w:rFonts w:ascii="Palatino Linotype" w:eastAsia="Palatino Linotype" w:hAnsi="Palatino Linotype" w:cs="Palatino Linotype"/>
          <w:i/>
          <w:sz w:val="22"/>
          <w:szCs w:val="22"/>
        </w:rPr>
        <w:t xml:space="preserve"> o a petición de parte, </w:t>
      </w:r>
      <w:r w:rsidRPr="00252C72">
        <w:rPr>
          <w:rFonts w:ascii="Palatino Linotype" w:eastAsia="Palatino Linotype" w:hAnsi="Palatino Linotype" w:cs="Palatino Linotype"/>
          <w:b/>
          <w:i/>
          <w:sz w:val="22"/>
          <w:szCs w:val="22"/>
        </w:rPr>
        <w:t>cuando las partes</w:t>
      </w:r>
      <w:r w:rsidRPr="00252C72">
        <w:rPr>
          <w:rFonts w:ascii="Palatino Linotype" w:eastAsia="Palatino Linotype" w:hAnsi="Palatino Linotype" w:cs="Palatino Linotype"/>
          <w:i/>
          <w:sz w:val="22"/>
          <w:szCs w:val="22"/>
        </w:rPr>
        <w:t xml:space="preserve"> o los actos administrativos sean iguales, se trate de actos conexos o </w:t>
      </w:r>
      <w:r w:rsidRPr="00252C72">
        <w:rPr>
          <w:rFonts w:ascii="Palatino Linotype" w:eastAsia="Palatino Linotype" w:hAnsi="Palatino Linotype" w:cs="Palatino Linotype"/>
          <w:b/>
          <w:i/>
          <w:sz w:val="22"/>
          <w:szCs w:val="22"/>
        </w:rPr>
        <w:t>resulte conveniente el trámite unificado de los asuntos, para evitar la emisión de resoluciones contradictorias</w:t>
      </w:r>
      <w:r w:rsidRPr="00252C72">
        <w:rPr>
          <w:rFonts w:ascii="Palatino Linotype" w:eastAsia="Palatino Linotype" w:hAnsi="Palatino Linotype" w:cs="Palatino Linotype"/>
          <w:i/>
          <w:sz w:val="22"/>
          <w:szCs w:val="22"/>
        </w:rPr>
        <w:t>. La misma regla se aplicará, en lo conducente, para la separación de los expedientes.”</w:t>
      </w:r>
    </w:p>
    <w:p w:rsidR="002C445A" w:rsidRPr="00252C72" w:rsidRDefault="00064134">
      <w:pPr>
        <w:widowControl w:val="0"/>
        <w:spacing w:before="120" w:after="120"/>
        <w:ind w:left="851" w:right="902"/>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Ley de Transparencia y Acceso a la Información Pública del Estado de México y Municipios</w:t>
      </w:r>
    </w:p>
    <w:p w:rsidR="002C445A" w:rsidRPr="00252C72" w:rsidRDefault="00064134">
      <w:pPr>
        <w:widowControl w:val="0"/>
        <w:spacing w:before="120" w:after="120"/>
        <w:ind w:left="851"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195.-</w:t>
      </w:r>
      <w:r w:rsidRPr="00252C72">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8. Manifestaciones. </w:t>
      </w:r>
      <w:r w:rsidRPr="00252C72">
        <w:rPr>
          <w:rFonts w:ascii="Palatino Linotype" w:eastAsia="Palatino Linotype" w:hAnsi="Palatino Linotype" w:cs="Palatino Linotype"/>
        </w:rPr>
        <w:t xml:space="preserve">De las constancias que obran en los expedientes electrónicos del SAIMEX se desprende que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rindió sus informes justificados, los días </w:t>
      </w:r>
      <w:r w:rsidRPr="00252C72">
        <w:rPr>
          <w:rFonts w:ascii="Palatino Linotype" w:eastAsia="Palatino Linotype" w:hAnsi="Palatino Linotype" w:cs="Palatino Linotype"/>
          <w:b/>
        </w:rPr>
        <w:t>once de julio y ocho de septiembre de la presente anualidad</w:t>
      </w:r>
      <w:r w:rsidRPr="00252C72">
        <w:rPr>
          <w:rFonts w:ascii="Palatino Linotype" w:eastAsia="Palatino Linotype" w:hAnsi="Palatino Linotype" w:cs="Palatino Linotype"/>
        </w:rPr>
        <w:t xml:space="preserve">, remitiendo de nueva cuenta los archivos con los que otorgó respuesta inicialmente, mismos que se pusieron a disposición del particular mediante acuerdo emitido por la Comisionada Ponente el </w:t>
      </w:r>
      <w:r w:rsidRPr="00252C72">
        <w:rPr>
          <w:rFonts w:ascii="Palatino Linotype" w:eastAsia="Palatino Linotype" w:hAnsi="Palatino Linotype" w:cs="Palatino Linotype"/>
          <w:b/>
        </w:rPr>
        <w:t>tres de noviembre de dos mil veintidós</w:t>
      </w:r>
      <w:r w:rsidRPr="00252C72">
        <w:rPr>
          <w:rFonts w:ascii="Palatino Linotype" w:eastAsia="Palatino Linotype" w:hAnsi="Palatino Linotype" w:cs="Palatino Linotype"/>
        </w:rPr>
        <w:t xml:space="preserve">, asimismo resulta pertinente apuntar que por su parte, </w:t>
      </w:r>
      <w:r w:rsidRPr="00252C72">
        <w:rPr>
          <w:rFonts w:ascii="Palatino Linotype" w:eastAsia="Palatino Linotype" w:hAnsi="Palatino Linotype" w:cs="Palatino Linotype"/>
          <w:b/>
        </w:rPr>
        <w:t xml:space="preserve">el Recurrente </w:t>
      </w:r>
      <w:r w:rsidRPr="00252C72">
        <w:rPr>
          <w:rFonts w:ascii="Palatino Linotype" w:eastAsia="Palatino Linotype" w:hAnsi="Palatino Linotype" w:cs="Palatino Linotype"/>
        </w:rPr>
        <w:t xml:space="preserve">omitió realizar manifestaciones, formular alegatos y ofrecer algún medio de prueba. </w:t>
      </w:r>
    </w:p>
    <w:p w:rsidR="002C445A" w:rsidRPr="00252C72" w:rsidRDefault="00064134">
      <w:pPr>
        <w:spacing w:before="240" w:after="240" w:line="360" w:lineRule="auto"/>
        <w:jc w:val="both"/>
        <w:rPr>
          <w:rFonts w:ascii="Palatino Linotype" w:eastAsia="Palatino Linotype" w:hAnsi="Palatino Linotype" w:cs="Palatino Linotype"/>
          <w:b/>
        </w:rPr>
      </w:pPr>
      <w:r w:rsidRPr="00252C72">
        <w:rPr>
          <w:rFonts w:ascii="Palatino Linotype" w:eastAsia="Palatino Linotype" w:hAnsi="Palatino Linotype" w:cs="Palatino Linotype"/>
          <w:b/>
          <w:noProof/>
          <w:lang w:val="es-MX"/>
        </w:rPr>
        <w:drawing>
          <wp:inline distT="0" distB="0" distL="0" distR="0">
            <wp:extent cx="5612130" cy="1863090"/>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1863090"/>
                    </a:xfrm>
                    <a:prstGeom prst="rect">
                      <a:avLst/>
                    </a:prstGeom>
                    <a:ln/>
                  </pic:spPr>
                </pic:pic>
              </a:graphicData>
            </a:graphic>
          </wp:inline>
        </w:drawing>
      </w:r>
    </w:p>
    <w:p w:rsidR="002C445A" w:rsidRPr="00252C72" w:rsidRDefault="00064134">
      <w:pPr>
        <w:spacing w:before="240" w:after="240" w:line="360" w:lineRule="auto"/>
        <w:jc w:val="both"/>
        <w:rPr>
          <w:rFonts w:ascii="Palatino Linotype" w:eastAsia="Palatino Linotype" w:hAnsi="Palatino Linotype" w:cs="Palatino Linotype"/>
          <w:b/>
        </w:rPr>
      </w:pPr>
      <w:r w:rsidRPr="00252C72">
        <w:rPr>
          <w:rFonts w:ascii="Palatino Linotype" w:eastAsia="Palatino Linotype" w:hAnsi="Palatino Linotype" w:cs="Palatino Linotype"/>
          <w:b/>
          <w:noProof/>
          <w:lang w:val="es-MX"/>
        </w:rPr>
        <w:drawing>
          <wp:inline distT="0" distB="0" distL="0" distR="0">
            <wp:extent cx="5612130" cy="1892300"/>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2130" cy="1892300"/>
                    </a:xfrm>
                    <a:prstGeom prst="rect">
                      <a:avLst/>
                    </a:prstGeom>
                    <a:ln/>
                  </pic:spPr>
                </pic:pic>
              </a:graphicData>
            </a:graphic>
          </wp:inline>
        </w:drawing>
      </w:r>
    </w:p>
    <w:p w:rsidR="002C445A" w:rsidRPr="00252C72" w:rsidRDefault="00064134">
      <w:pPr>
        <w:spacing w:before="240" w:after="240" w:line="360" w:lineRule="auto"/>
        <w:jc w:val="both"/>
        <w:rPr>
          <w:rFonts w:ascii="Palatino Linotype" w:eastAsia="Palatino Linotype" w:hAnsi="Palatino Linotype" w:cs="Palatino Linotype"/>
          <w:b/>
        </w:rPr>
      </w:pPr>
      <w:r w:rsidRPr="00252C72">
        <w:rPr>
          <w:rFonts w:ascii="Palatino Linotype" w:eastAsia="Palatino Linotype" w:hAnsi="Palatino Linotype" w:cs="Palatino Linotype"/>
          <w:b/>
          <w:noProof/>
          <w:lang w:val="es-MX"/>
        </w:rPr>
        <w:drawing>
          <wp:inline distT="0" distB="0" distL="0" distR="0">
            <wp:extent cx="5612130" cy="1896745"/>
            <wp:effectExtent l="0" t="0" r="0" b="0"/>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612130" cy="1896745"/>
                    </a:xfrm>
                    <a:prstGeom prst="rect">
                      <a:avLst/>
                    </a:prstGeom>
                    <a:ln/>
                  </pic:spPr>
                </pic:pic>
              </a:graphicData>
            </a:graphic>
          </wp:inline>
        </w:drawing>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9. Ampliaciones del plazo para emitir resolución.</w:t>
      </w:r>
      <w:r w:rsidRPr="00252C72">
        <w:rPr>
          <w:rFonts w:ascii="Palatino Linotype" w:eastAsia="Palatino Linotype" w:hAnsi="Palatino Linotype" w:cs="Palatino Linotype"/>
        </w:rPr>
        <w:t xml:space="preserve"> El </w:t>
      </w:r>
      <w:r w:rsidRPr="00252C72">
        <w:rPr>
          <w:rFonts w:ascii="Palatino Linotype" w:eastAsia="Palatino Linotype" w:hAnsi="Palatino Linotype" w:cs="Palatino Linotype"/>
          <w:b/>
        </w:rPr>
        <w:t>tres de noviembre de dos mil veintidós</w:t>
      </w:r>
      <w:r w:rsidRPr="00252C72">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2C445A" w:rsidRPr="00252C72" w:rsidRDefault="00064134">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rPr>
      </w:pPr>
      <w:r w:rsidRPr="00252C72">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rsidR="002C445A" w:rsidRPr="00252C72" w:rsidRDefault="00064134">
      <w:pPr>
        <w:numPr>
          <w:ilvl w:val="0"/>
          <w:numId w:val="1"/>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52C72">
        <w:rPr>
          <w:rFonts w:ascii="Palatino Linotype" w:eastAsia="Palatino Linotype" w:hAnsi="Palatino Linotype" w:cs="Palatino Linotype"/>
        </w:rPr>
        <w:t>Actividad Procesal del interesado. Acciones u omisiones del interesado.</w:t>
      </w:r>
    </w:p>
    <w:p w:rsidR="002C445A" w:rsidRPr="00252C72" w:rsidRDefault="00064134">
      <w:pPr>
        <w:numPr>
          <w:ilvl w:val="0"/>
          <w:numId w:val="1"/>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52C72">
        <w:rPr>
          <w:rFonts w:ascii="Palatino Linotype" w:eastAsia="Palatino Linotype" w:hAnsi="Palatino Linotype" w:cs="Palatino Linotype"/>
        </w:rPr>
        <w:t>Conducta de la Autoridad: Las Acciones u omisiones realizadas en el procedimiento. Así como si la autoridad actuó con la debida diligencia.</w:t>
      </w:r>
    </w:p>
    <w:p w:rsidR="002C445A" w:rsidRPr="00252C72" w:rsidRDefault="00064134">
      <w:pPr>
        <w:numPr>
          <w:ilvl w:val="0"/>
          <w:numId w:val="1"/>
        </w:numPr>
        <w:pBdr>
          <w:top w:val="nil"/>
          <w:left w:val="nil"/>
          <w:bottom w:val="nil"/>
          <w:right w:val="nil"/>
          <w:between w:val="nil"/>
        </w:pBdr>
        <w:spacing w:after="240" w:line="360" w:lineRule="auto"/>
        <w:ind w:right="900"/>
        <w:jc w:val="both"/>
        <w:rPr>
          <w:rFonts w:ascii="Palatino Linotype" w:eastAsia="Palatino Linotype" w:hAnsi="Palatino Linotype" w:cs="Palatino Linotype"/>
        </w:rPr>
      </w:pPr>
      <w:r w:rsidRPr="00252C72">
        <w:rPr>
          <w:rFonts w:ascii="Palatino Linotype" w:eastAsia="Palatino Linotype" w:hAnsi="Palatino Linotype" w:cs="Palatino Linotype"/>
        </w:rPr>
        <w:t>La afectación generada en la situación jurídica de la persona involucrada en el proceso: Violación a sus derechos humanos.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Argumento que encuentra sustento en la jurisprudencia P./J. 32/92 emitida por el Pleno de la Suprema Corte de Justicia de la Nación de rubro</w:t>
      </w:r>
      <w:r w:rsidRPr="00252C7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52C72">
        <w:rPr>
          <w:rFonts w:ascii="Palatino Linotype" w:eastAsia="Palatino Linotype" w:hAnsi="Palatino Linotype" w:cs="Palatino Linotype"/>
        </w:rPr>
        <w:t>, visible en la Gaceta del Seminario Judicial de la Federación con el registro digital 205635.</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w:t>
      </w:r>
      <w:r w:rsidRPr="00252C72">
        <w:rPr>
          <w:rFonts w:ascii="Palatino Linotype" w:eastAsia="Palatino Linotype" w:hAnsi="Palatino Linotype" w:cs="Palatino Linotype"/>
          <w:i/>
        </w:rPr>
        <w:t>“PLAZO RAZONABLE PARA RESOLVER. DIMENSIÓN Y EFECTOS DE ESTE CONCEPTO CUANDO SE ADUCE EXCESIVA CARGA DE TRABAJO.”</w:t>
      </w:r>
      <w:r w:rsidRPr="00252C72">
        <w:rPr>
          <w:rFonts w:ascii="Palatino Linotype" w:eastAsia="Palatino Linotype" w:hAnsi="Palatino Linotype" w:cs="Palatino Linotype"/>
        </w:rPr>
        <w:t xml:space="preserve"> consultable en el Seminario Judicial de la Federación y su gaceta, con el registro digital 2002351.</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i/>
        </w:rPr>
        <w:t>“PLAZO RAZONABLE PARA RESOLVER. CONCEPTO Y ELEMENTOS QUE LO INTEGRAN A LA LUZ DEL DERECHO INTERNACIONAL DE LOS DERECHOS HUMANOS.”</w:t>
      </w:r>
      <w:r w:rsidRPr="00252C72">
        <w:rPr>
          <w:rFonts w:ascii="Palatino Linotype" w:eastAsia="Palatino Linotype" w:hAnsi="Palatino Linotype" w:cs="Palatino Linotype"/>
        </w:rPr>
        <w:t>, visible en el Seminario Judicial de la Federación y su gaceta, con el registro digital 2002350.</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10. Cierres de instrucción. </w:t>
      </w:r>
      <w:r w:rsidRPr="00252C72">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252C72">
        <w:rPr>
          <w:rFonts w:ascii="Palatino Linotype" w:eastAsia="Palatino Linotype" w:hAnsi="Palatino Linotype" w:cs="Palatino Linotype"/>
          <w:b/>
        </w:rPr>
        <w:t>diecisiete de noviembre de dos mil veintidós</w:t>
      </w:r>
      <w:r w:rsidRPr="00252C72">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rsidR="002C445A" w:rsidRPr="00252C72" w:rsidRDefault="00064134">
      <w:pPr>
        <w:widowControl w:val="0"/>
        <w:spacing w:before="240" w:after="240" w:line="360"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rPr>
        <w:t>II. C O N S I D E R A N D O</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Primero. Competencia.</w:t>
      </w:r>
      <w:r w:rsidRPr="00252C7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252C72">
        <w:rPr>
          <w:rFonts w:ascii="Palatino Linotype" w:eastAsia="Palatino Linotype" w:hAnsi="Palatino Linotype" w:cs="Palatino Linotype"/>
          <w:b/>
        </w:rPr>
        <w:t>el Recurrente</w:t>
      </w:r>
      <w:r w:rsidRPr="00252C72">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C445A" w:rsidRPr="00252C72" w:rsidRDefault="00064134">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252C72">
        <w:rPr>
          <w:rFonts w:ascii="Palatino Linotype" w:eastAsia="Palatino Linotype" w:hAnsi="Palatino Linotype" w:cs="Palatino Linotype"/>
          <w:b/>
        </w:rPr>
        <w:t>Segundo. Oportunidad y Procedibilidad de los Recursos de Revisión</w:t>
      </w:r>
      <w:r w:rsidRPr="00252C72">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respondió a las solicitudes de información los días </w:t>
      </w:r>
      <w:r w:rsidRPr="00252C72">
        <w:rPr>
          <w:rFonts w:ascii="Palatino Linotype" w:eastAsia="Palatino Linotype" w:hAnsi="Palatino Linotype" w:cs="Palatino Linotype"/>
          <w:b/>
        </w:rPr>
        <w:t>quince y veintitrés de junio de dos mil veintidós</w:t>
      </w:r>
      <w:r w:rsidRPr="00252C72">
        <w:rPr>
          <w:rFonts w:ascii="Palatino Linotype" w:eastAsia="Palatino Linotype" w:hAnsi="Palatino Linotype" w:cs="Palatino Linotype"/>
        </w:rPr>
        <w:t xml:space="preserve">, sin embargo, los recursos de revisión se interpusieron los días </w:t>
      </w:r>
      <w:r w:rsidRPr="00252C72">
        <w:rPr>
          <w:rFonts w:ascii="Palatino Linotype" w:eastAsia="Palatino Linotype" w:hAnsi="Palatino Linotype" w:cs="Palatino Linotype"/>
          <w:b/>
        </w:rPr>
        <w:t>veintiuno de junio y cinco de julio de dos mil veintidós</w:t>
      </w:r>
      <w:r w:rsidRPr="00252C72">
        <w:rPr>
          <w:rFonts w:ascii="Palatino Linotype" w:eastAsia="Palatino Linotype" w:hAnsi="Palatino Linotype" w:cs="Palatino Linotype"/>
        </w:rPr>
        <w:t xml:space="preserve">, estos son al </w:t>
      </w:r>
      <w:r w:rsidRPr="00252C72">
        <w:rPr>
          <w:rFonts w:ascii="Palatino Linotype" w:eastAsia="Palatino Linotype" w:hAnsi="Palatino Linotype" w:cs="Palatino Linotype"/>
          <w:b/>
        </w:rPr>
        <w:t>cuarto y</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octavo</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días hábiles después de conocerse las respuestas</w:t>
      </w:r>
      <w:r w:rsidRPr="00252C72">
        <w:rPr>
          <w:rFonts w:ascii="Palatino Linotype" w:eastAsia="Palatino Linotype" w:hAnsi="Palatino Linotype" w:cs="Palatino Linotype"/>
        </w:rPr>
        <w:t xml:space="preserve"> por lo que se encuentran dentro de los márgenes temporales establecidos por la Ley en la materia.</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Finalmente, se advierte que resulta procedente la interposición de los recursos, según lo manifestado por </w:t>
      </w:r>
      <w:r w:rsidRPr="00252C72">
        <w:rPr>
          <w:rFonts w:ascii="Palatino Linotype" w:eastAsia="Palatino Linotype" w:hAnsi="Palatino Linotype" w:cs="Palatino Linotype"/>
          <w:b/>
        </w:rPr>
        <w:t>el Recurrente</w:t>
      </w:r>
      <w:r w:rsidRPr="00252C72">
        <w:rPr>
          <w:rFonts w:ascii="Palatino Linotype" w:eastAsia="Palatino Linotype" w:hAnsi="Palatino Linotype" w:cs="Palatino Linotype"/>
        </w:rPr>
        <w:t xml:space="preserve"> en sus motivos de inconformidad, de acuerdo al artículo 179, fracción I del ordenamiento legal citado, que a la letra dice: </w:t>
      </w:r>
    </w:p>
    <w:p w:rsidR="002C445A" w:rsidRPr="00252C72" w:rsidRDefault="00064134">
      <w:pPr>
        <w:tabs>
          <w:tab w:val="left" w:pos="7088"/>
        </w:tabs>
        <w:spacing w:before="120" w:after="120"/>
        <w:ind w:left="851"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179.</w:t>
      </w:r>
      <w:r w:rsidRPr="00252C7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2C445A" w:rsidRPr="00252C72" w:rsidRDefault="00064134">
      <w:pPr>
        <w:tabs>
          <w:tab w:val="left" w:pos="7088"/>
        </w:tabs>
        <w:spacing w:before="120" w:after="120"/>
        <w:ind w:left="851" w:right="616"/>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I. La negativa a la información solicitada;</w:t>
      </w:r>
    </w:p>
    <w:p w:rsidR="002C445A" w:rsidRPr="00252C72" w:rsidRDefault="00064134">
      <w:pPr>
        <w:tabs>
          <w:tab w:val="left" w:pos="7088"/>
        </w:tabs>
        <w:spacing w:before="120" w:after="120"/>
        <w:ind w:left="851"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tabs>
          <w:tab w:val="left" w:pos="7088"/>
        </w:tabs>
        <w:spacing w:before="120" w:after="120"/>
        <w:ind w:left="851"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(Énfasis añadido)</w:t>
      </w:r>
    </w:p>
    <w:p w:rsidR="002C445A" w:rsidRPr="00252C72" w:rsidRDefault="00064134">
      <w:pPr>
        <w:spacing w:before="280" w:after="28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Tercero. Materia de la revisión. </w:t>
      </w:r>
      <w:r w:rsidRPr="00252C72">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252C72">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252C72">
        <w:rPr>
          <w:rFonts w:ascii="Palatino Linotype" w:eastAsia="Palatino Linotype" w:hAnsi="Palatino Linotype" w:cs="Palatino Linotype"/>
        </w:rPr>
        <w:t xml:space="preserve">de </w:t>
      </w:r>
      <w:r w:rsidRPr="00252C72">
        <w:rPr>
          <w:rFonts w:ascii="Palatino Linotype" w:eastAsia="Palatino Linotype" w:hAnsi="Palatino Linotype" w:cs="Palatino Linotype"/>
          <w:b/>
        </w:rPr>
        <w:t>la parte</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Recurrente</w:t>
      </w:r>
      <w:r w:rsidRPr="00252C72">
        <w:rPr>
          <w:rFonts w:ascii="Palatino Linotype" w:eastAsia="Palatino Linotype" w:hAnsi="Palatino Linotype" w:cs="Palatino Linotype"/>
        </w:rPr>
        <w:t>, o en su defecto, en caso de ser procedente, ordenar la entrega de información.</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Cuarto. Estudio del asunto. </w:t>
      </w:r>
      <w:r w:rsidRPr="00252C72">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2C445A" w:rsidRPr="00252C72" w:rsidRDefault="00064134">
      <w:pPr>
        <w:tabs>
          <w:tab w:val="left" w:pos="709"/>
        </w:tabs>
        <w:ind w:left="851" w:right="85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52C7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2C445A" w:rsidRPr="00252C72" w:rsidRDefault="00064134">
      <w:pPr>
        <w:tabs>
          <w:tab w:val="left" w:pos="709"/>
        </w:tabs>
        <w:ind w:left="851" w:right="85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2C445A" w:rsidRPr="00252C72" w:rsidRDefault="00064134">
      <w:pPr>
        <w:tabs>
          <w:tab w:val="left" w:pos="709"/>
        </w:tabs>
        <w:ind w:left="851" w:right="85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52C7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2C445A" w:rsidRPr="00252C72" w:rsidRDefault="00064134">
      <w:pPr>
        <w:tabs>
          <w:tab w:val="left" w:pos="709"/>
        </w:tabs>
        <w:ind w:left="851" w:right="85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ind w:left="851" w:right="90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6o.</w:t>
      </w:r>
    </w:p>
    <w:p w:rsidR="002C445A" w:rsidRPr="00252C72" w:rsidRDefault="00064134">
      <w:pPr>
        <w:ind w:left="851" w:right="90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A. Para el ejercicio del derecho de acceso a la información, la Federación y </w:t>
      </w:r>
      <w:r w:rsidRPr="00252C72">
        <w:rPr>
          <w:rFonts w:ascii="Palatino Linotype" w:eastAsia="Palatino Linotype" w:hAnsi="Palatino Linotype" w:cs="Palatino Linotype"/>
          <w:b/>
          <w:i/>
          <w:sz w:val="22"/>
          <w:szCs w:val="22"/>
          <w:u w:val="single"/>
        </w:rPr>
        <w:t>las entidades federativas</w:t>
      </w:r>
      <w:r w:rsidRPr="00252C72">
        <w:rPr>
          <w:rFonts w:ascii="Palatino Linotype" w:eastAsia="Palatino Linotype" w:hAnsi="Palatino Linotype" w:cs="Palatino Linotype"/>
          <w:b/>
          <w:i/>
          <w:sz w:val="22"/>
          <w:szCs w:val="22"/>
        </w:rPr>
        <w:t>,</w:t>
      </w:r>
      <w:r w:rsidRPr="00252C72">
        <w:rPr>
          <w:rFonts w:ascii="Palatino Linotype" w:eastAsia="Palatino Linotype" w:hAnsi="Palatino Linotype" w:cs="Palatino Linotype"/>
          <w:i/>
          <w:sz w:val="22"/>
          <w:szCs w:val="22"/>
        </w:rPr>
        <w:t xml:space="preserve"> en el ámbito de sus respectivas competencias, se regirán por los siguientes principios y bases:</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I. </w:t>
      </w:r>
      <w:r w:rsidRPr="00252C7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52C72">
        <w:rPr>
          <w:rFonts w:ascii="Palatino Linotype" w:eastAsia="Palatino Linotype" w:hAnsi="Palatino Linotype" w:cs="Palatino Linotype"/>
          <w:i/>
          <w:sz w:val="22"/>
          <w:szCs w:val="22"/>
        </w:rPr>
        <w:t xml:space="preserve"> Ejecutivo, Legislativo </w:t>
      </w:r>
      <w:r w:rsidRPr="00252C72">
        <w:rPr>
          <w:rFonts w:ascii="Palatino Linotype" w:eastAsia="Palatino Linotype" w:hAnsi="Palatino Linotype" w:cs="Palatino Linotype"/>
          <w:b/>
          <w:i/>
          <w:sz w:val="22"/>
          <w:szCs w:val="22"/>
          <w:u w:val="single"/>
        </w:rPr>
        <w:t>y Judicial</w:t>
      </w:r>
      <w:r w:rsidRPr="00252C7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52C72">
        <w:rPr>
          <w:rFonts w:ascii="Palatino Linotype" w:eastAsia="Palatino Linotype" w:hAnsi="Palatino Linotype" w:cs="Palatino Linotype"/>
          <w:b/>
          <w:i/>
          <w:sz w:val="22"/>
          <w:szCs w:val="22"/>
        </w:rPr>
        <w:t>es pública y sólo podrá ser reservada temporalmente por razones de interés público y seguridad nacional,</w:t>
      </w:r>
      <w:r w:rsidRPr="00252C7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w:t>
      </w:r>
    </w:p>
    <w:p w:rsidR="002C445A" w:rsidRPr="00252C72" w:rsidRDefault="00064134">
      <w:pPr>
        <w:ind w:left="851" w:right="851"/>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III. </w:t>
      </w:r>
      <w:r w:rsidRPr="00252C7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52C72">
        <w:rPr>
          <w:rFonts w:ascii="Palatino Linotype" w:eastAsia="Palatino Linotype" w:hAnsi="Palatino Linotype" w:cs="Palatino Linotype"/>
          <w:i/>
          <w:sz w:val="22"/>
          <w:szCs w:val="22"/>
        </w:rPr>
        <w:t xml:space="preserve"> a sus datos personales o a la rectificación de éstos.</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IV. </w:t>
      </w:r>
      <w:r w:rsidRPr="00252C7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2C445A" w:rsidRPr="00252C72" w:rsidRDefault="002C445A">
      <w:pPr>
        <w:ind w:left="851" w:right="851"/>
        <w:jc w:val="both"/>
        <w:rPr>
          <w:rFonts w:ascii="Palatino Linotype" w:eastAsia="Palatino Linotype" w:hAnsi="Palatino Linotype" w:cs="Palatino Linotype"/>
          <w:i/>
          <w:sz w:val="22"/>
          <w:szCs w:val="22"/>
        </w:rPr>
      </w:pP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V. </w:t>
      </w:r>
      <w:r w:rsidRPr="00252C7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VI. </w:t>
      </w:r>
      <w:r w:rsidRPr="00252C7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VII. </w:t>
      </w:r>
      <w:r w:rsidRPr="00252C7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2C445A" w:rsidRPr="00252C72" w:rsidRDefault="002C445A">
      <w:pPr>
        <w:ind w:right="851"/>
        <w:jc w:val="both"/>
        <w:rPr>
          <w:rFonts w:ascii="Palatino Linotype" w:eastAsia="Palatino Linotype" w:hAnsi="Palatino Linotype" w:cs="Palatino Linotype"/>
          <w:i/>
          <w:sz w:val="22"/>
          <w:szCs w:val="22"/>
        </w:rPr>
      </w:pPr>
    </w:p>
    <w:p w:rsidR="002C445A" w:rsidRPr="00252C72" w:rsidRDefault="00064134">
      <w:pPr>
        <w:tabs>
          <w:tab w:val="left" w:pos="709"/>
        </w:tabs>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debe cumplir con dichos dispositivos legales.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C445A" w:rsidRPr="00252C72" w:rsidRDefault="00064134">
      <w:pPr>
        <w:spacing w:before="240"/>
        <w:ind w:left="709" w:right="76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4</w:t>
      </w:r>
      <w:r w:rsidRPr="00252C7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C445A" w:rsidRPr="00252C72" w:rsidRDefault="00064134">
      <w:pPr>
        <w:ind w:left="709" w:right="76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C445A" w:rsidRPr="00252C72" w:rsidRDefault="00064134">
      <w:pPr>
        <w:ind w:left="709" w:right="76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252C72">
        <w:rPr>
          <w:rFonts w:ascii="Palatino Linotype" w:eastAsia="Palatino Linotype" w:hAnsi="Palatino Linotype" w:cs="Palatino Linotype"/>
          <w:b/>
        </w:rPr>
        <w:t>artículo 12</w:t>
      </w:r>
      <w:r w:rsidRPr="00252C72">
        <w:rPr>
          <w:rFonts w:ascii="Palatino Linotype" w:eastAsia="Palatino Linotype" w:hAnsi="Palatino Linotype" w:cs="Palatino Linotype"/>
        </w:rPr>
        <w:t xml:space="preserve"> de la Ley de Transparencia y Acceso a la Información Pública del Estado de México y Municipios, el cual a la letra dice:</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12</w:t>
      </w:r>
      <w:r w:rsidRPr="00252C7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C445A" w:rsidRPr="00252C72" w:rsidRDefault="002C445A">
      <w:pPr>
        <w:ind w:left="851" w:right="851"/>
        <w:jc w:val="both"/>
        <w:rPr>
          <w:rFonts w:ascii="Palatino Linotype" w:eastAsia="Palatino Linotype" w:hAnsi="Palatino Linotype" w:cs="Palatino Linotype"/>
          <w:i/>
          <w:sz w:val="22"/>
          <w:szCs w:val="22"/>
        </w:rPr>
      </w:pP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52C72">
        <w:rPr>
          <w:rFonts w:ascii="Palatino Linotype" w:eastAsia="Palatino Linotype" w:hAnsi="Palatino Linotype" w:cs="Palatino Linotype"/>
          <w:b/>
        </w:rPr>
        <w:t xml:space="preserve"> </w:t>
      </w:r>
      <w:r w:rsidRPr="00252C7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52C72">
        <w:rPr>
          <w:rFonts w:ascii="Palatino Linotype" w:eastAsia="Palatino Linotype" w:hAnsi="Palatino Linotype" w:cs="Palatino Linotype"/>
          <w:i/>
        </w:rPr>
        <w:t>ad hoc</w:t>
      </w:r>
      <w:r w:rsidRPr="00252C72">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2C445A" w:rsidRPr="00252C72" w:rsidRDefault="002C445A">
      <w:pPr>
        <w:ind w:left="851" w:right="851"/>
        <w:jc w:val="both"/>
        <w:rPr>
          <w:rFonts w:ascii="Palatino Linotype" w:eastAsia="Palatino Linotype" w:hAnsi="Palatino Linotype" w:cs="Palatino Linotype"/>
          <w:b/>
          <w:i/>
          <w:sz w:val="22"/>
          <w:szCs w:val="22"/>
        </w:rPr>
      </w:pPr>
    </w:p>
    <w:p w:rsidR="002C445A" w:rsidRPr="00252C72" w:rsidRDefault="00064134">
      <w:pPr>
        <w:ind w:left="851" w:right="851"/>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03/17</w:t>
      </w:r>
    </w:p>
    <w:p w:rsidR="002C445A" w:rsidRPr="00252C72" w:rsidRDefault="00064134">
      <w:pPr>
        <w:ind w:left="851" w:right="851"/>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“NO EXISTE OBLIGACIÓN DE ELABORAR DOCUMENTOS AD HOC PARA ATENDER LAS SOLICITUDES DE ACCESO A LA INFORM ACIÓN.</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Por otra parte, conviene mencionar que la Ley de Transparencia vigente en el Estado de México refiere: </w:t>
      </w: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18.</w:t>
      </w:r>
      <w:r w:rsidRPr="00252C72">
        <w:rPr>
          <w:rFonts w:ascii="Palatino Linotype" w:eastAsia="Palatino Linotype" w:hAnsi="Palatino Linotype" w:cs="Palatino Linotype"/>
          <w:i/>
          <w:sz w:val="22"/>
          <w:szCs w:val="22"/>
        </w:rPr>
        <w:t xml:space="preserve"> </w:t>
      </w:r>
      <w:r w:rsidRPr="00252C72">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52C72">
        <w:rPr>
          <w:rFonts w:ascii="Palatino Linotype" w:eastAsia="Palatino Linotype" w:hAnsi="Palatino Linotype" w:cs="Palatino Linotype"/>
          <w:i/>
          <w:sz w:val="22"/>
          <w:szCs w:val="22"/>
        </w:rPr>
        <w:t xml:space="preserve"> y reutilización de la información que generen.</w:t>
      </w:r>
    </w:p>
    <w:p w:rsidR="002C445A" w:rsidRPr="00252C72" w:rsidRDefault="002C445A">
      <w:pPr>
        <w:ind w:left="851" w:right="851"/>
        <w:jc w:val="both"/>
        <w:rPr>
          <w:rFonts w:ascii="Palatino Linotype" w:eastAsia="Palatino Linotype" w:hAnsi="Palatino Linotype" w:cs="Palatino Linotype"/>
          <w:b/>
          <w:i/>
          <w:sz w:val="22"/>
          <w:szCs w:val="22"/>
        </w:rPr>
      </w:pP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Artículo 19. </w:t>
      </w:r>
      <w:r w:rsidRPr="00252C72">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52C72">
        <w:rPr>
          <w:rFonts w:ascii="Palatino Linotype" w:eastAsia="Palatino Linotype" w:hAnsi="Palatino Linotype" w:cs="Palatino Linotype"/>
          <w:i/>
          <w:sz w:val="22"/>
          <w:szCs w:val="22"/>
        </w:rPr>
        <w:t>.</w:t>
      </w:r>
    </w:p>
    <w:p w:rsidR="002C445A" w:rsidRPr="00252C72" w:rsidRDefault="002C445A">
      <w:pPr>
        <w:ind w:left="851" w:right="851"/>
        <w:jc w:val="both"/>
        <w:rPr>
          <w:rFonts w:ascii="Palatino Linotype" w:eastAsia="Palatino Linotype" w:hAnsi="Palatino Linotype" w:cs="Palatino Linotype"/>
          <w:i/>
          <w:sz w:val="22"/>
          <w:szCs w:val="22"/>
        </w:rPr>
      </w:pP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2C445A" w:rsidRPr="00252C72" w:rsidRDefault="002C445A">
      <w:pPr>
        <w:ind w:left="851" w:right="851"/>
        <w:jc w:val="both"/>
        <w:rPr>
          <w:rFonts w:ascii="Palatino Linotype" w:eastAsia="Palatino Linotype" w:hAnsi="Palatino Linotype" w:cs="Palatino Linotype"/>
          <w:i/>
          <w:sz w:val="22"/>
          <w:szCs w:val="22"/>
        </w:rPr>
      </w:pP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C445A" w:rsidRPr="00252C72" w:rsidRDefault="002C445A">
      <w:pPr>
        <w:ind w:left="851" w:right="851"/>
        <w:jc w:val="both"/>
        <w:rPr>
          <w:rFonts w:ascii="Palatino Linotype" w:eastAsia="Palatino Linotype" w:hAnsi="Palatino Linotype" w:cs="Palatino Linotype"/>
          <w:i/>
          <w:sz w:val="22"/>
          <w:szCs w:val="22"/>
        </w:rPr>
      </w:pPr>
    </w:p>
    <w:p w:rsidR="002C445A" w:rsidRPr="00252C72" w:rsidRDefault="00064134">
      <w:pPr>
        <w:ind w:left="851" w:right="851"/>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(Énfasis añadido)</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252C72">
        <w:rPr>
          <w:rFonts w:ascii="Palatino Linotype" w:eastAsia="Palatino Linotype" w:hAnsi="Palatino Linotype" w:cs="Palatino Linotype"/>
          <w:b/>
        </w:rPr>
        <w:t>cualquier otro registro que documente el ejercicio de las facultades, funciones, obligaciones y competencias de los Sujetos Obligados</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los que, podrán estar en cualquier medio</w:t>
      </w:r>
      <w:r w:rsidRPr="00252C72">
        <w:rPr>
          <w:rFonts w:ascii="Palatino Linotype" w:eastAsia="Palatino Linotype" w:hAnsi="Palatino Linotype" w:cs="Palatino Linotype"/>
        </w:rPr>
        <w:t xml:space="preserve">, sea escrito, impreso, sonoro, visual, </w:t>
      </w:r>
      <w:r w:rsidRPr="00252C72">
        <w:rPr>
          <w:rFonts w:ascii="Palatino Linotype" w:eastAsia="Palatino Linotype" w:hAnsi="Palatino Linotype" w:cs="Palatino Linotype"/>
          <w:b/>
        </w:rPr>
        <w:t>electrónico</w:t>
      </w:r>
      <w:r w:rsidRPr="00252C72">
        <w:rPr>
          <w:rFonts w:ascii="Palatino Linotype" w:eastAsia="Palatino Linotype" w:hAnsi="Palatino Linotype" w:cs="Palatino Linotype"/>
        </w:rPr>
        <w:t xml:space="preserve">, informático u holográfico, esto es, </w:t>
      </w:r>
      <w:r w:rsidRPr="00252C72">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C445A" w:rsidRPr="00252C72" w:rsidRDefault="00064134">
      <w:pPr>
        <w:spacing w:before="280" w:after="28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De ahí que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52C72">
        <w:rPr>
          <w:rFonts w:ascii="Palatino Linotype" w:eastAsia="Palatino Linotype" w:hAnsi="Palatino Linotype" w:cs="Palatino Linotype"/>
          <w:vertAlign w:val="superscript"/>
        </w:rPr>
        <w:footnoteReference w:id="1"/>
      </w:r>
      <w:r w:rsidRPr="00252C7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52C72">
        <w:rPr>
          <w:rFonts w:ascii="Palatino Linotype" w:eastAsia="Palatino Linotype" w:hAnsi="Palatino Linotype" w:cs="Palatino Linotype"/>
          <w:vertAlign w:val="superscript"/>
        </w:rPr>
        <w:footnoteReference w:id="2"/>
      </w:r>
      <w:r w:rsidRPr="00252C72">
        <w:rPr>
          <w:rFonts w:ascii="Palatino Linotype" w:eastAsia="Palatino Linotype" w:hAnsi="Palatino Linotype" w:cs="Palatino Linotype"/>
        </w:rPr>
        <w:t>, como pudiera tratarse de aquella relacionada con las obligaciones de trasparencia señaladas en los artículos 92 y 100 de la Ley de la Materia.</w:t>
      </w:r>
    </w:p>
    <w:p w:rsidR="002C445A" w:rsidRPr="00252C72" w:rsidRDefault="00064134">
      <w:pPr>
        <w:tabs>
          <w:tab w:val="left" w:pos="709"/>
        </w:tabs>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En este sentido, cabe reiterar que el particular solicitó al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w:t>
      </w:r>
      <w:r w:rsidRPr="00252C72">
        <w:rPr>
          <w:rFonts w:ascii="Palatino Linotype" w:eastAsia="Palatino Linotype" w:hAnsi="Palatino Linotype" w:cs="Palatino Linotype"/>
          <w:b/>
        </w:rPr>
        <w:t xml:space="preserve"> </w:t>
      </w:r>
      <w:r w:rsidRPr="00252C72">
        <w:rPr>
          <w:rFonts w:ascii="Palatino Linotype" w:eastAsia="Palatino Linotype" w:hAnsi="Palatino Linotype" w:cs="Palatino Linotype"/>
        </w:rPr>
        <w:t xml:space="preserve">lo siguiente: </w:t>
      </w:r>
    </w:p>
    <w:p w:rsidR="002C445A" w:rsidRPr="00252C72" w:rsidRDefault="00064134">
      <w:pPr>
        <w:numPr>
          <w:ilvl w:val="0"/>
          <w:numId w:val="3"/>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 xml:space="preserve">En versión pública, todos y cada uno de los oficios, escritos, notas informativas, informes, elaborados y recibidos, en la coordinación general, del instituto municipal de cultura física y deporte de Metepec, en los siguientes periodos: </w:t>
      </w:r>
    </w:p>
    <w:p w:rsidR="002C445A" w:rsidRPr="00252C72" w:rsidRDefault="00064134">
      <w:pPr>
        <w:numPr>
          <w:ilvl w:val="0"/>
          <w:numId w:val="5"/>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1 de julio al 30 de octubre de 2013</w:t>
      </w:r>
    </w:p>
    <w:p w:rsidR="002C445A" w:rsidRPr="00252C72" w:rsidRDefault="00064134">
      <w:pPr>
        <w:numPr>
          <w:ilvl w:val="0"/>
          <w:numId w:val="5"/>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rPr>
      </w:pPr>
      <w:r w:rsidRPr="00252C72">
        <w:rPr>
          <w:rFonts w:ascii="Palatino Linotype" w:eastAsia="Palatino Linotype" w:hAnsi="Palatino Linotype" w:cs="Palatino Linotype"/>
          <w:b/>
          <w:sz w:val="22"/>
          <w:szCs w:val="22"/>
        </w:rPr>
        <w:t>1 de febrero al 30 de mayo de 2014</w:t>
      </w:r>
    </w:p>
    <w:p w:rsidR="002C445A" w:rsidRPr="00252C72" w:rsidRDefault="002C445A">
      <w:pPr>
        <w:tabs>
          <w:tab w:val="left" w:pos="709"/>
        </w:tabs>
        <w:spacing w:line="360" w:lineRule="auto"/>
        <w:jc w:val="both"/>
        <w:rPr>
          <w:rFonts w:ascii="Palatino Linotype" w:eastAsia="Palatino Linotype" w:hAnsi="Palatino Linotype" w:cs="Palatino Linotype"/>
          <w:b/>
          <w:sz w:val="22"/>
          <w:szCs w:val="22"/>
        </w:rPr>
      </w:pPr>
    </w:p>
    <w:p w:rsidR="002C445A" w:rsidRPr="00252C72" w:rsidRDefault="00064134">
      <w:pPr>
        <w:tabs>
          <w:tab w:val="left" w:pos="709"/>
        </w:tabs>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En respuesta, se pronunció el Coordinador General del Instituto Municipal de Cultura Física y Deporte en Metepec, quien refirió en la totalidad de las solicitudes que no se encontró información referente a los oficios, escritos, notas informativas, informes elaborados y recibidos en la Coordinación General del IMCUFIDEM. Asimismo, señaló que de conformidad con los criterios 12/10 y 04/19 emitidos por el Instituto Nacional de Transparencia, Acceso a la Información Pública y Protección de Datos Personales, se buscó la información en la Coordinación General, dicha búsqueda se realizó en las actas de entrega-recepción, así como en los archivos físicos que obran en las gavetas y archiveros del área referida y no se localizó información relativa a los oficios, escritos, notas informativas, informes, elaborados y recibidos, en la coordinación general, del instituto municipal de cultura física y deporte de Metepec, en los siguientes periodos: </w:t>
      </w:r>
    </w:p>
    <w:p w:rsidR="002C445A" w:rsidRPr="00252C72" w:rsidRDefault="002C445A">
      <w:pPr>
        <w:tabs>
          <w:tab w:val="left" w:pos="709"/>
        </w:tabs>
        <w:spacing w:line="360" w:lineRule="auto"/>
        <w:jc w:val="both"/>
        <w:rPr>
          <w:rFonts w:ascii="Palatino Linotype" w:eastAsia="Palatino Linotype" w:hAnsi="Palatino Linotype" w:cs="Palatino Linotype"/>
        </w:rPr>
      </w:pPr>
    </w:p>
    <w:p w:rsidR="002C445A" w:rsidRPr="00252C72" w:rsidRDefault="00064134">
      <w:pPr>
        <w:tabs>
          <w:tab w:val="left" w:pos="709"/>
        </w:tabs>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a) 1 de julio al 30 de octubre de 2013</w:t>
      </w:r>
    </w:p>
    <w:p w:rsidR="002C445A" w:rsidRPr="00252C72" w:rsidRDefault="00064134">
      <w:pPr>
        <w:tabs>
          <w:tab w:val="left" w:pos="709"/>
        </w:tabs>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b) 1 de febrero al 30 de mayo de 2014</w:t>
      </w:r>
    </w:p>
    <w:p w:rsidR="002C445A" w:rsidRPr="00252C72" w:rsidRDefault="002C445A">
      <w:pPr>
        <w:tabs>
          <w:tab w:val="left" w:pos="709"/>
        </w:tabs>
        <w:spacing w:line="360" w:lineRule="auto"/>
        <w:jc w:val="both"/>
        <w:rPr>
          <w:rFonts w:ascii="Palatino Linotype" w:eastAsia="Palatino Linotype" w:hAnsi="Palatino Linotype" w:cs="Palatino Linotype"/>
        </w:rPr>
      </w:pP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Conocidos estos pronunciamientos del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el particular interpuso los recursos de revisión que nos ocupan, expresando en su acto impugnado, lo siguiente: </w:t>
      </w:r>
      <w:r w:rsidRPr="00252C72">
        <w:rPr>
          <w:rFonts w:ascii="Palatino Linotype" w:eastAsia="Palatino Linotype" w:hAnsi="Palatino Linotype" w:cs="Palatino Linotype"/>
          <w:i/>
        </w:rPr>
        <w:t xml:space="preserve">“se impugna el acto” (Sic), </w:t>
      </w:r>
      <w:r w:rsidRPr="00252C72">
        <w:rPr>
          <w:rFonts w:ascii="Palatino Linotype" w:eastAsia="Palatino Linotype" w:hAnsi="Palatino Linotype" w:cs="Palatino Linotype"/>
        </w:rPr>
        <w:t xml:space="preserve">entendiendo así que se inconforma por el acto emitido por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es decir, por su respuesta. </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Posteriormente, este organismo garante determinó la admisión de los medios de impugnación para efecto de integrar los expedientes electrónicos y se les concedió a las partes un plazo de siete días para remitir sus informes justificados, manifestaciones o cualquier argumento que a su derecho convenga, es de resaltar que transcurridos estos días,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ratificó los términos de su respuesta inicial, asimismo por cuanto hace al </w:t>
      </w:r>
      <w:r w:rsidRPr="00252C72">
        <w:rPr>
          <w:rFonts w:ascii="Palatino Linotype" w:eastAsia="Palatino Linotype" w:hAnsi="Palatino Linotype" w:cs="Palatino Linotype"/>
          <w:b/>
        </w:rPr>
        <w:t>Recurrente</w:t>
      </w:r>
      <w:r w:rsidRPr="00252C72">
        <w:rPr>
          <w:rFonts w:ascii="Palatino Linotype" w:eastAsia="Palatino Linotype" w:hAnsi="Palatino Linotype" w:cs="Palatino Linotype"/>
        </w:rPr>
        <w:t>, se advierte que no emitió pronunciamiento alguno, por lo tanto, se tiene por precluido su derecho para tal efecto.</w:t>
      </w:r>
    </w:p>
    <w:p w:rsidR="002C445A" w:rsidRPr="00252C72" w:rsidRDefault="00064134">
      <w:pPr>
        <w:shd w:val="clear" w:color="auto" w:fill="FFFFFF"/>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Determinadas las posturas de las partes, conviene iniciar señalando que del análisis a las solicitudes, se advierte que como se precisó en líneas anteriores, el acceso a la información pública versa sobre documentos, en este caso, sobre oficios, por lo tanto, sirve citar por analogía los </w:t>
      </w:r>
      <w:r w:rsidRPr="00252C72">
        <w:rPr>
          <w:rFonts w:ascii="Palatino Linotype" w:eastAsia="Palatino Linotype" w:hAnsi="Palatino Linotype" w:cs="Palatino Linotype"/>
          <w:b/>
        </w:rPr>
        <w:t>Lineamientos para el trámite de la correspondencia de las unidades orgánicas del Poder Ejecutivo</w:t>
      </w:r>
      <w:r w:rsidRPr="00252C72">
        <w:rPr>
          <w:rFonts w:ascii="Palatino Linotype" w:eastAsia="Palatino Linotype" w:hAnsi="Palatino Linotype" w:cs="Palatino Linotype"/>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2C445A" w:rsidRPr="00252C72" w:rsidRDefault="00064134">
      <w:pPr>
        <w:shd w:val="clear" w:color="auto" w:fill="FFFFFF"/>
        <w:spacing w:after="120" w:line="276" w:lineRule="auto"/>
        <w:ind w:left="851" w:right="851"/>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0"/>
          <w:szCs w:val="20"/>
        </w:rPr>
        <w:t>“</w:t>
      </w:r>
      <w:r w:rsidRPr="00252C72">
        <w:rPr>
          <w:rFonts w:ascii="Palatino Linotype" w:eastAsia="Palatino Linotype" w:hAnsi="Palatino Linotype" w:cs="Palatino Linotype"/>
          <w:b/>
          <w:i/>
          <w:sz w:val="22"/>
          <w:szCs w:val="22"/>
        </w:rPr>
        <w:t>2. Objetivo</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2. Objetivo</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252C72">
        <w:rPr>
          <w:rFonts w:ascii="Palatino Linotype" w:eastAsia="Palatino Linotype" w:hAnsi="Palatino Linotype" w:cs="Palatino Linotype"/>
          <w:i/>
          <w:sz w:val="22"/>
          <w:szCs w:val="22"/>
        </w:rPr>
        <w:t>, un instrumento técnico que les permita homogeneizar y </w:t>
      </w:r>
      <w:r w:rsidRPr="00252C72">
        <w:rPr>
          <w:rFonts w:ascii="Palatino Linotype" w:eastAsia="Palatino Linotype" w:hAnsi="Palatino Linotype" w:cs="Palatino Linotype"/>
          <w:b/>
          <w:i/>
          <w:sz w:val="22"/>
          <w:szCs w:val="22"/>
          <w:u w:val="single"/>
        </w:rPr>
        <w:t>eficientar los servicios de correspondencia, a fin de agilizar la comunicación formal así como coadyuvar a la oportuna toma de decisiones por parte de los servidores públicos</w:t>
      </w: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 </w:t>
      </w:r>
      <w:r w:rsidRPr="00252C72">
        <w:rPr>
          <w:rFonts w:ascii="Palatino Linotype" w:eastAsia="Palatino Linotype" w:hAnsi="Palatino Linotype" w:cs="Palatino Linotype"/>
          <w:b/>
          <w:i/>
          <w:sz w:val="22"/>
          <w:szCs w:val="22"/>
        </w:rPr>
        <w:t>Administración de documentos:</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u w:val="single"/>
        </w:rPr>
        <w:t>Conjunto de actividades vinculadas con la</w:t>
      </w:r>
      <w:r w:rsidRPr="00252C72">
        <w:rPr>
          <w:rFonts w:ascii="Palatino Linotype" w:eastAsia="Palatino Linotype" w:hAnsi="Palatino Linotype" w:cs="Palatino Linotype"/>
          <w:i/>
          <w:sz w:val="22"/>
          <w:szCs w:val="22"/>
        </w:rPr>
        <w:t> generación, adquisición</w:t>
      </w:r>
      <w:r w:rsidRPr="00252C72">
        <w:rPr>
          <w:rFonts w:ascii="Palatino Linotype" w:eastAsia="Palatino Linotype" w:hAnsi="Palatino Linotype" w:cs="Palatino Linotype"/>
          <w:b/>
          <w:i/>
          <w:sz w:val="22"/>
          <w:szCs w:val="22"/>
          <w:u w:val="single"/>
        </w:rPr>
        <w:t>, recepción</w:t>
      </w:r>
      <w:r w:rsidRPr="00252C72">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252C72">
        <w:rPr>
          <w:rFonts w:ascii="Palatino Linotype" w:eastAsia="Palatino Linotype" w:hAnsi="Palatino Linotype" w:cs="Palatino Linotype"/>
          <w:b/>
          <w:i/>
          <w:sz w:val="22"/>
          <w:szCs w:val="22"/>
        </w:rPr>
        <w:t>, </w:t>
      </w:r>
      <w:r w:rsidRPr="00252C72">
        <w:rPr>
          <w:rFonts w:ascii="Palatino Linotype" w:eastAsia="Palatino Linotype" w:hAnsi="Palatino Linotype" w:cs="Palatino Linotype"/>
          <w:b/>
          <w:i/>
          <w:sz w:val="22"/>
          <w:szCs w:val="22"/>
          <w:u w:val="single"/>
        </w:rPr>
        <w:t>uso y divulgación de los documentos.</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 </w:t>
      </w:r>
      <w:r w:rsidRPr="00252C72">
        <w:rPr>
          <w:rFonts w:ascii="Palatino Linotype" w:eastAsia="Palatino Linotype" w:hAnsi="Palatino Linotype" w:cs="Palatino Linotype"/>
          <w:b/>
          <w:i/>
          <w:sz w:val="22"/>
          <w:szCs w:val="22"/>
        </w:rPr>
        <w:t>Circulación documental:</w:t>
      </w:r>
    </w:p>
    <w:p w:rsidR="002C445A" w:rsidRPr="00252C72" w:rsidRDefault="00064134">
      <w:pPr>
        <w:shd w:val="clear" w:color="auto" w:fill="FFFFFF"/>
        <w:spacing w:after="120" w:line="276" w:lineRule="auto"/>
        <w:ind w:left="851" w:right="851"/>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 </w:t>
      </w:r>
      <w:r w:rsidRPr="00252C72">
        <w:rPr>
          <w:rFonts w:ascii="Palatino Linotype" w:eastAsia="Palatino Linotype" w:hAnsi="Palatino Linotype" w:cs="Palatino Linotype"/>
          <w:i/>
          <w:sz w:val="22"/>
          <w:szCs w:val="22"/>
        </w:rPr>
        <w:t>Tratamiento que se da al documento desde su generación hasta la conclusión del trámite y la determinación de su destino final.</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 3. Conceptualización básica</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Circular:</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 </w:t>
      </w:r>
      <w:r w:rsidRPr="00252C72">
        <w:rPr>
          <w:rFonts w:ascii="Palatino Linotype" w:eastAsia="Palatino Linotype" w:hAnsi="Palatino Linotype" w:cs="Palatino Linotype"/>
          <w:b/>
          <w:i/>
          <w:sz w:val="22"/>
          <w:szCs w:val="22"/>
        </w:rPr>
        <w:t>Control de correspondencia:</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Proceso mediante el cual se registran los documentos a través de sistemas manuales o automatizados, para garantizar su destino y dar continuidad a la tramitación de asuntos.</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Correspondencia oficial:</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Comunicaciones escritas que se producen, circulan y controlan entre las unidades orgánicas del Poder Ejecutivo Estatal.</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Documentación en trámite:</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Documento:</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Memorándum:</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 </w:t>
      </w:r>
      <w:r w:rsidRPr="00252C72">
        <w:rPr>
          <w:rFonts w:ascii="Palatino Linotype" w:eastAsia="Palatino Linotype" w:hAnsi="Palatino Linotype" w:cs="Palatino Linotype"/>
          <w:b/>
          <w:i/>
          <w:sz w:val="22"/>
          <w:szCs w:val="22"/>
        </w:rPr>
        <w:t>Oficio:</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Producción de documentos:</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b/>
          <w:i/>
          <w:sz w:val="22"/>
          <w:szCs w:val="22"/>
        </w:rPr>
        <w:t>Es la generación de los documentos con el objeto de cumplir un trámite determinado, en el desarrollo de toda gestión, a partir del razonamiento de que su producción es necesaria y útil</w:t>
      </w: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 </w:t>
      </w:r>
      <w:r w:rsidRPr="00252C72">
        <w:rPr>
          <w:rFonts w:ascii="Palatino Linotype" w:eastAsia="Palatino Linotype" w:hAnsi="Palatino Linotype" w:cs="Palatino Linotype"/>
          <w:b/>
          <w:i/>
          <w:sz w:val="22"/>
          <w:szCs w:val="22"/>
        </w:rPr>
        <w:t>Recepción de documentos:</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 </w:t>
      </w:r>
      <w:r w:rsidRPr="00252C72">
        <w:rPr>
          <w:rFonts w:ascii="Palatino Linotype" w:eastAsia="Palatino Linotype" w:hAnsi="Palatino Linotype" w:cs="Palatino Linotype"/>
          <w:b/>
          <w:i/>
          <w:sz w:val="22"/>
          <w:szCs w:val="22"/>
          <w:u w:val="single"/>
        </w:rPr>
        <w:t>Acción de recibir e ingresar los documentos </w:t>
      </w:r>
      <w:r w:rsidRPr="00252C72">
        <w:rPr>
          <w:rFonts w:ascii="Palatino Linotype" w:eastAsia="Palatino Linotype" w:hAnsi="Palatino Linotype" w:cs="Palatino Linotype"/>
          <w:i/>
          <w:sz w:val="22"/>
          <w:szCs w:val="22"/>
        </w:rPr>
        <w:t>a las unidades orgánicas del Poder Ejecutivo Estatal </w:t>
      </w:r>
      <w:r w:rsidRPr="00252C72">
        <w:rPr>
          <w:rFonts w:ascii="Palatino Linotype" w:eastAsia="Palatino Linotype" w:hAnsi="Palatino Linotype" w:cs="Palatino Linotype"/>
          <w:b/>
          <w:i/>
          <w:sz w:val="22"/>
          <w:szCs w:val="22"/>
          <w:u w:val="single"/>
        </w:rPr>
        <w:t>para su atención, custodia o circulación</w:t>
      </w: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 </w:t>
      </w:r>
      <w:r w:rsidRPr="00252C72">
        <w:rPr>
          <w:rFonts w:ascii="Palatino Linotype" w:eastAsia="Palatino Linotype" w:hAnsi="Palatino Linotype" w:cs="Palatino Linotype"/>
          <w:b/>
          <w:i/>
          <w:sz w:val="22"/>
          <w:szCs w:val="22"/>
        </w:rPr>
        <w:t>4. Lineamientos generales</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2"/>
          <w:szCs w:val="22"/>
        </w:rPr>
      </w:pPr>
      <w:r w:rsidRPr="00252C72">
        <w:rPr>
          <w:rFonts w:ascii="Palatino Linotype" w:eastAsia="Palatino Linotype" w:hAnsi="Palatino Linotype" w:cs="Palatino Linotype"/>
          <w:i/>
          <w:sz w:val="22"/>
          <w:szCs w:val="22"/>
        </w:rPr>
        <w:t>…</w:t>
      </w:r>
    </w:p>
    <w:p w:rsidR="002C445A" w:rsidRPr="00252C72" w:rsidRDefault="00064134">
      <w:pPr>
        <w:shd w:val="clear" w:color="auto" w:fill="FFFFFF"/>
        <w:spacing w:after="120" w:line="276" w:lineRule="auto"/>
        <w:ind w:left="851" w:right="851"/>
        <w:jc w:val="both"/>
        <w:rPr>
          <w:rFonts w:ascii="Palatino Linotype" w:eastAsia="Palatino Linotype" w:hAnsi="Palatino Linotype" w:cs="Palatino Linotype"/>
          <w:sz w:val="20"/>
          <w:szCs w:val="20"/>
        </w:rPr>
      </w:pPr>
      <w:r w:rsidRPr="00252C72">
        <w:rPr>
          <w:rFonts w:ascii="Palatino Linotype" w:eastAsia="Palatino Linotype" w:hAnsi="Palatino Linotype" w:cs="Palatino Linotype"/>
          <w:i/>
          <w:sz w:val="22"/>
          <w:szCs w:val="22"/>
        </w:rPr>
        <w:t>4.2 </w:t>
      </w:r>
      <w:r w:rsidRPr="00252C72">
        <w:rPr>
          <w:rFonts w:ascii="Palatino Linotype" w:eastAsia="Palatino Linotype" w:hAnsi="Palatino Linotype" w:cs="Palatino Linotype"/>
          <w:b/>
          <w:i/>
          <w:sz w:val="22"/>
          <w:szCs w:val="22"/>
        </w:rPr>
        <w:t>Las disposiciones establecidas en los presentes lineamientos son de </w:t>
      </w:r>
      <w:r w:rsidRPr="00252C72">
        <w:rPr>
          <w:rFonts w:ascii="Palatino Linotype" w:eastAsia="Palatino Linotype" w:hAnsi="Palatino Linotype" w:cs="Palatino Linotype"/>
          <w:b/>
          <w:i/>
          <w:sz w:val="22"/>
          <w:szCs w:val="22"/>
          <w:u w:val="single"/>
        </w:rPr>
        <w:t>observancia obligatoria para las unidades orgánicas del Poder Ejecutivo Estatal</w:t>
      </w:r>
      <w:r w:rsidRPr="00252C72">
        <w:rPr>
          <w:rFonts w:ascii="Palatino Linotype" w:eastAsia="Palatino Linotype" w:hAnsi="Palatino Linotype" w:cs="Palatino Linotype"/>
          <w:i/>
          <w:sz w:val="22"/>
          <w:szCs w:val="22"/>
          <w:u w:val="single"/>
        </w:rPr>
        <w:t>.</w:t>
      </w:r>
      <w:r w:rsidRPr="00252C72">
        <w:rPr>
          <w:rFonts w:ascii="Palatino Linotype" w:eastAsia="Palatino Linotype" w:hAnsi="Palatino Linotype" w:cs="Palatino Linotype"/>
          <w:sz w:val="22"/>
          <w:szCs w:val="22"/>
        </w:rPr>
        <w:t>…</w:t>
      </w:r>
      <w:r w:rsidRPr="00252C72">
        <w:rPr>
          <w:rFonts w:ascii="Palatino Linotype" w:eastAsia="Palatino Linotype" w:hAnsi="Palatino Linotype" w:cs="Palatino Linotype"/>
          <w:sz w:val="20"/>
          <w:szCs w:val="20"/>
        </w:rPr>
        <w:t>”</w:t>
      </w:r>
    </w:p>
    <w:p w:rsidR="002C445A" w:rsidRPr="00252C72" w:rsidRDefault="00064134">
      <w:pPr>
        <w:shd w:val="clear" w:color="auto" w:fill="FFFFFF"/>
        <w:spacing w:before="240" w:after="240" w:line="360" w:lineRule="auto"/>
        <w:jc w:val="both"/>
        <w:rPr>
          <w:rFonts w:ascii="Palatino Linotype" w:eastAsia="Palatino Linotype" w:hAnsi="Palatino Linotype" w:cs="Palatino Linotype"/>
          <w:b/>
        </w:rPr>
      </w:pPr>
      <w:r w:rsidRPr="00252C72">
        <w:rPr>
          <w:rFonts w:ascii="Palatino Linotype" w:eastAsia="Palatino Linotype" w:hAnsi="Palatino Linotype" w:cs="Palatino Linotype"/>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252C72">
        <w:rPr>
          <w:rFonts w:ascii="Palatino Linotype" w:eastAsia="Palatino Linotype" w:hAnsi="Palatino Linotype" w:cs="Palatino Linotype"/>
          <w:b/>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Ahora bien, por cuanto hace a los informes, resulta importante señalar que la Ley que crea el Organismo Público Descentralizado Denominado Instituto Municipal de Cultura Física y Deporte de Metepec, México, define a este ente público como un organismo público descentralizado, consecuentemente la Ley de Fiscalización Superior del Estado de México, prevé que el Instituto Municipal de Cultura Física y Deporte en Metepec es una entidad fiscalizable que se encuentra constreñido a la presentación de informes, tal como se desprende de las siguientes citas: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1.- Se crea el Organismo denominado “Instituto Municipal de Cultura Física y Deporte de Metepec”, como un organismo público descentralizado</w:t>
      </w:r>
      <w:r w:rsidRPr="00252C72">
        <w:rPr>
          <w:rFonts w:ascii="Palatino Linotype" w:eastAsia="Palatino Linotype" w:hAnsi="Palatino Linotype" w:cs="Palatino Linotype"/>
          <w:i/>
          <w:sz w:val="22"/>
          <w:szCs w:val="22"/>
        </w:rPr>
        <w:t xml:space="preserve"> sectorizado a la Dirección de Educación y Cultura del Ayuntamiento Constitucional de Metepec, Estado de México.</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Artículo 2. Para los efectos de la presente Ley, se entenderá por:</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V. Entidades Fiscalizables:</w:t>
      </w:r>
      <w:r w:rsidRPr="00252C72">
        <w:rPr>
          <w:rFonts w:ascii="Palatino Linotype" w:eastAsia="Palatino Linotype" w:hAnsi="Palatino Linotype" w:cs="Palatino Linotype"/>
          <w:i/>
          <w:sz w:val="22"/>
          <w:szCs w:val="22"/>
        </w:rPr>
        <w:t xml:space="preserve"> A los Poderes Públicos, Municipios, organismos autónomos, </w:t>
      </w:r>
      <w:r w:rsidRPr="00252C72">
        <w:rPr>
          <w:rFonts w:ascii="Palatino Linotype" w:eastAsia="Palatino Linotype" w:hAnsi="Palatino Linotype" w:cs="Palatino Linotype"/>
          <w:b/>
          <w:i/>
          <w:sz w:val="22"/>
          <w:szCs w:val="22"/>
        </w:rPr>
        <w:t>organismos auxiliares</w:t>
      </w:r>
      <w:r w:rsidRPr="00252C72">
        <w:rPr>
          <w:rFonts w:ascii="Palatino Linotype" w:eastAsia="Palatino Linotype" w:hAnsi="Palatino Linotype" w:cs="Palatino Linotype"/>
          <w:i/>
          <w:sz w:val="22"/>
          <w:szCs w:val="22"/>
        </w:rPr>
        <w:t>, fideicomisos públicos asimilados y simples,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VII. Organismos Auxiliares: A </w:t>
      </w:r>
      <w:r w:rsidRPr="00252C72">
        <w:rPr>
          <w:rFonts w:ascii="Palatino Linotype" w:eastAsia="Palatino Linotype" w:hAnsi="Palatino Linotype" w:cs="Palatino Linotype"/>
          <w:b/>
          <w:i/>
          <w:sz w:val="22"/>
          <w:szCs w:val="22"/>
          <w:u w:val="single"/>
        </w:rPr>
        <w:t>los organismos públicos descentralizados</w:t>
      </w:r>
      <w:r w:rsidRPr="00252C72">
        <w:rPr>
          <w:rFonts w:ascii="Palatino Linotype" w:eastAsia="Palatino Linotype" w:hAnsi="Palatino Linotype" w:cs="Palatino Linotype"/>
          <w:b/>
          <w:i/>
          <w:sz w:val="22"/>
          <w:szCs w:val="22"/>
        </w:rPr>
        <w:t xml:space="preserve">, </w:t>
      </w:r>
      <w:r w:rsidRPr="00252C72">
        <w:rPr>
          <w:rFonts w:ascii="Palatino Linotype" w:eastAsia="Palatino Linotype" w:hAnsi="Palatino Linotype" w:cs="Palatino Linotype"/>
          <w:i/>
          <w:sz w:val="22"/>
          <w:szCs w:val="22"/>
        </w:rPr>
        <w:t>empresas de participación estatal y fideicomisos públicos asimilados de la administración pública estatal y municipal.” (Sic) (Énfasis añadido)</w:t>
      </w: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En mérito de lo expuesto con antelación es de vital importancia señalar que la obligación de la presentación de los informes ante el Órgano Superior de Fiscalización del Estado de México, se originó a partir de la expedición de la Ley de Fiscalización Superior del Estado de México, la cual obra en el decreto número 69 del 26 de agosto de 2004, por lo tanto, durante las anualidades 2013 y 2014, ya obraba algún precepto que impusiera al Ayuntamiento de Metepec el remitir los informes correspondientes a este Órgano de Fiscalización, pues se insiste que dicho requerimiento se consideró exigible a las entidades públicas a partir de la expedición de dicho ordenamiento legal, tal como se ilustra en las siguientes capturas de pantalla: </w:t>
      </w:r>
    </w:p>
    <w:p w:rsidR="002C445A" w:rsidRPr="00252C72" w:rsidRDefault="00064134">
      <w:pPr>
        <w:spacing w:before="240" w:after="240" w:line="360" w:lineRule="auto"/>
        <w:ind w:right="51"/>
        <w:jc w:val="both"/>
        <w:rPr>
          <w:rFonts w:ascii="Palatino Linotype" w:eastAsia="Palatino Linotype" w:hAnsi="Palatino Linotype" w:cs="Palatino Linotype"/>
        </w:rPr>
      </w:pPr>
      <w:r w:rsidRPr="00252C72">
        <w:rPr>
          <w:rFonts w:ascii="Palatino Linotype" w:eastAsia="Palatino Linotype" w:hAnsi="Palatino Linotype" w:cs="Palatino Linotype"/>
          <w:noProof/>
          <w:lang w:val="es-MX"/>
        </w:rPr>
        <w:drawing>
          <wp:inline distT="0" distB="0" distL="0" distR="0">
            <wp:extent cx="5495925" cy="3571875"/>
            <wp:effectExtent l="0" t="0" r="0" b="0"/>
            <wp:docPr id="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495925" cy="3571875"/>
                    </a:xfrm>
                    <a:prstGeom prst="rect">
                      <a:avLst/>
                    </a:prstGeom>
                    <a:ln/>
                  </pic:spPr>
                </pic:pic>
              </a:graphicData>
            </a:graphic>
          </wp:inline>
        </w:drawing>
      </w:r>
      <w:r w:rsidRPr="00252C72">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2895600</wp:posOffset>
                </wp:positionH>
                <wp:positionV relativeFrom="paragraph">
                  <wp:posOffset>2603500</wp:posOffset>
                </wp:positionV>
                <wp:extent cx="2524125" cy="600075"/>
                <wp:effectExtent l="0" t="0" r="0" b="0"/>
                <wp:wrapNone/>
                <wp:docPr id="76" name="Rectángulo 76"/>
                <wp:cNvGraphicFramePr/>
                <a:graphic xmlns:a="http://schemas.openxmlformats.org/drawingml/2006/main">
                  <a:graphicData uri="http://schemas.microsoft.com/office/word/2010/wordprocessingShape">
                    <wps:wsp>
                      <wps:cNvSpPr/>
                      <wps:spPr>
                        <a:xfrm>
                          <a:off x="4112513" y="3508538"/>
                          <a:ext cx="2466975" cy="542925"/>
                        </a:xfrm>
                        <a:prstGeom prst="rect">
                          <a:avLst/>
                        </a:prstGeom>
                        <a:noFill/>
                        <a:ln w="28575" cap="flat" cmpd="sng">
                          <a:solidFill>
                            <a:srgbClr val="002060"/>
                          </a:solidFill>
                          <a:prstDash val="solid"/>
                          <a:round/>
                          <a:headEnd type="none" w="sm" len="sm"/>
                          <a:tailEnd type="none" w="sm" len="sm"/>
                        </a:ln>
                      </wps:spPr>
                      <wps:txbx>
                        <w:txbxContent>
                          <w:p w:rsidR="002C445A" w:rsidRDefault="002C445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2895600</wp:posOffset>
                </wp:positionH>
                <wp:positionV relativeFrom="paragraph">
                  <wp:posOffset>2603500</wp:posOffset>
                </wp:positionV>
                <wp:extent cx="2524125" cy="600075"/>
                <wp:effectExtent b="0" l="0" r="0" t="0"/>
                <wp:wrapNone/>
                <wp:docPr id="76"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2524125" cy="600075"/>
                        </a:xfrm>
                        <a:prstGeom prst="rect"/>
                        <a:ln/>
                      </pic:spPr>
                    </pic:pic>
                  </a:graphicData>
                </a:graphic>
              </wp:anchor>
            </w:drawing>
          </mc:Fallback>
        </mc:AlternateContent>
      </w:r>
      <w:r w:rsidRPr="00252C72">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3530600</wp:posOffset>
                </wp:positionH>
                <wp:positionV relativeFrom="paragraph">
                  <wp:posOffset>1320800</wp:posOffset>
                </wp:positionV>
                <wp:extent cx="1980044" cy="273857"/>
                <wp:effectExtent l="0" t="0" r="0" b="0"/>
                <wp:wrapNone/>
                <wp:docPr id="74" name="Rectángulo 74"/>
                <wp:cNvGraphicFramePr/>
                <a:graphic xmlns:a="http://schemas.openxmlformats.org/drawingml/2006/main">
                  <a:graphicData uri="http://schemas.microsoft.com/office/word/2010/wordprocessingShape">
                    <wps:wsp>
                      <wps:cNvSpPr/>
                      <wps:spPr>
                        <a:xfrm>
                          <a:off x="4384553" y="3671647"/>
                          <a:ext cx="1922894" cy="216707"/>
                        </a:xfrm>
                        <a:prstGeom prst="rect">
                          <a:avLst/>
                        </a:prstGeom>
                        <a:noFill/>
                        <a:ln w="28575" cap="flat" cmpd="sng">
                          <a:solidFill>
                            <a:srgbClr val="002060"/>
                          </a:solidFill>
                          <a:prstDash val="solid"/>
                          <a:round/>
                          <a:headEnd type="none" w="sm" len="sm"/>
                          <a:tailEnd type="none" w="sm" len="sm"/>
                        </a:ln>
                      </wps:spPr>
                      <wps:txbx>
                        <w:txbxContent>
                          <w:p w:rsidR="002C445A" w:rsidRDefault="002C445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3530600</wp:posOffset>
                </wp:positionH>
                <wp:positionV relativeFrom="paragraph">
                  <wp:posOffset>1320800</wp:posOffset>
                </wp:positionV>
                <wp:extent cx="1980044" cy="273857"/>
                <wp:effectExtent b="0" l="0" r="0" t="0"/>
                <wp:wrapNone/>
                <wp:docPr id="74"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1980044" cy="273857"/>
                        </a:xfrm>
                        <a:prstGeom prst="rect"/>
                        <a:ln/>
                      </pic:spPr>
                    </pic:pic>
                  </a:graphicData>
                </a:graphic>
              </wp:anchor>
            </w:drawing>
          </mc:Fallback>
        </mc:AlternateContent>
      </w: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noProof/>
          <w:lang w:val="es-MX"/>
        </w:rPr>
        <w:drawing>
          <wp:inline distT="0" distB="0" distL="0" distR="0">
            <wp:extent cx="5610225" cy="2514600"/>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10225" cy="2514600"/>
                    </a:xfrm>
                    <a:prstGeom prst="rect">
                      <a:avLst/>
                    </a:prstGeom>
                    <a:ln/>
                  </pic:spPr>
                </pic:pic>
              </a:graphicData>
            </a:graphic>
          </wp:inline>
        </w:drawing>
      </w:r>
      <w:r w:rsidRPr="00252C72">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419100</wp:posOffset>
                </wp:positionH>
                <wp:positionV relativeFrom="paragraph">
                  <wp:posOffset>1193800</wp:posOffset>
                </wp:positionV>
                <wp:extent cx="5105400" cy="771525"/>
                <wp:effectExtent l="0" t="0" r="0" b="0"/>
                <wp:wrapNone/>
                <wp:docPr id="75" name="Rectángulo 75"/>
                <wp:cNvGraphicFramePr/>
                <a:graphic xmlns:a="http://schemas.openxmlformats.org/drawingml/2006/main">
                  <a:graphicData uri="http://schemas.microsoft.com/office/word/2010/wordprocessingShape">
                    <wps:wsp>
                      <wps:cNvSpPr/>
                      <wps:spPr>
                        <a:xfrm>
                          <a:off x="2807588" y="3408525"/>
                          <a:ext cx="5076825" cy="742950"/>
                        </a:xfrm>
                        <a:prstGeom prst="rect">
                          <a:avLst/>
                        </a:prstGeom>
                        <a:noFill/>
                        <a:ln w="28575" cap="flat" cmpd="sng">
                          <a:solidFill>
                            <a:srgbClr val="002060"/>
                          </a:solidFill>
                          <a:prstDash val="solid"/>
                          <a:round/>
                          <a:headEnd type="none" w="sm" len="sm"/>
                          <a:tailEnd type="none" w="sm" len="sm"/>
                        </a:ln>
                      </wps:spPr>
                      <wps:txbx>
                        <w:txbxContent>
                          <w:p w:rsidR="002C445A" w:rsidRDefault="002C445A">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419100</wp:posOffset>
                </wp:positionH>
                <wp:positionV relativeFrom="paragraph">
                  <wp:posOffset>1193800</wp:posOffset>
                </wp:positionV>
                <wp:extent cx="5105400" cy="771525"/>
                <wp:effectExtent b="0" l="0" r="0" t="0"/>
                <wp:wrapNone/>
                <wp:docPr id="75"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5105400" cy="771525"/>
                        </a:xfrm>
                        <a:prstGeom prst="rect"/>
                        <a:ln/>
                      </pic:spPr>
                    </pic:pic>
                  </a:graphicData>
                </a:graphic>
              </wp:anchor>
            </w:drawing>
          </mc:Fallback>
        </mc:AlternateConten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2C445A">
      <w:pPr>
        <w:spacing w:line="360" w:lineRule="auto"/>
        <w:rPr>
          <w:rFonts w:ascii="Palatino Linotype" w:eastAsia="Palatino Linotype" w:hAnsi="Palatino Linotype" w:cs="Palatino Linotype"/>
        </w:rPr>
      </w:pP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Teniendo esto en cuenta, los Lineamientos para la integración y entrega del Informe Trimestral Municipal, señalan que se consideran como obligaciones de las entidades fiscalizables, las siguientes: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“OBLIGACIONES PERIÓDICAS DE LAS ENTIDADES FISCALIZABLES ANTE EL OSFEM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 Presupuesto de Egresos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II. Cuenta Pública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III. Informes Trimestrales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IV. Informe de la ejecución del Plan de Desarrollo Estatal y Municipales, así como del avance de los programas.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V. Informe de los programas alineados la Agenda Digital y uso de recursos financieros en materia de tecnologías de la información y comunicación.</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 VI. Informe de la gestión administrativa que rindan las Presidentas de los Sistemas Municipales para el Desarrollo Integral de la Familia.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VII. Informe de investigaciones y procedimientos administrativos substanciados y resueltos ante el Órgano de Control Municipal” </w:t>
      </w:r>
      <w:r w:rsidRPr="00252C72">
        <w:rPr>
          <w:rFonts w:ascii="Palatino Linotype" w:eastAsia="Palatino Linotype" w:hAnsi="Palatino Linotype" w:cs="Palatino Linotype"/>
          <w:i/>
          <w:sz w:val="22"/>
          <w:szCs w:val="22"/>
        </w:rPr>
        <w:t>(Sic) (Énfasis añadido)</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Acotado lo anterior, se advierte que en efecto, el Instituto Municipal de Cultura Física y Deporte en Metepec debe generar informes por mandato de ley y estos mismos son susceptibles de considerarse como parte de la información pública de oficio, de conformidad con la entonces vigente, Ley de Transparencia y Acceso a la Información Pública del Estado de México y Municipios:</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“Artículo 7.- Son sujetos obligados: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IV. Los Ayuntamientos y las dependencias y entidades de la administración pública municipal;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Artículo 12.- Los Sujetos Obligados deberán tener disponible en medio impreso o electrónico, de manera permanente y actualizada, de forma sencilla, precisa y entendible para los particulares, la información siguiente:</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XXII. Informes y estadísticas que tengan que realizar en términos del Código Administrativo del Estado de México.” (Sic) (Énfasis añadido)</w:t>
      </w:r>
    </w:p>
    <w:p w:rsidR="002C445A" w:rsidRPr="00252C72" w:rsidRDefault="00064134">
      <w:pPr>
        <w:spacing w:before="240" w:after="240" w:line="360" w:lineRule="auto"/>
        <w:ind w:right="49"/>
        <w:jc w:val="both"/>
        <w:rPr>
          <w:rFonts w:ascii="Palatino Linotype" w:eastAsia="Palatino Linotype" w:hAnsi="Palatino Linotype" w:cs="Palatino Linotype"/>
        </w:rPr>
      </w:pPr>
      <w:bookmarkStart w:id="3" w:name="_heading=h.1fob9te" w:colFirst="0" w:colLast="0"/>
      <w:bookmarkEnd w:id="3"/>
      <w:r w:rsidRPr="00252C72">
        <w:rPr>
          <w:rFonts w:ascii="Palatino Linotype" w:eastAsia="Palatino Linotype" w:hAnsi="Palatino Linotype" w:cs="Palatino Linotype"/>
        </w:rPr>
        <w:t xml:space="preserve">Bajo otro orden de ideas, en los recursos de revisión que nos ocupan, se vislumbra que se pronunció respectivamente el Coordinador General del Instituto Municipal de Cultura Física y Deporte en Metepec, el cual de conformidad con la Ley que crea el Organismo Público Descentralizado denominado Instituto Municipal de Cultura Física y Deporte de Metepec, México, cuenta con las siguientes atribuciones: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23.- Son facultades y obligaciones del Coordinador General las siguientes</w:t>
      </w:r>
      <w:r w:rsidRPr="00252C72">
        <w:rPr>
          <w:rFonts w:ascii="Palatino Linotype" w:eastAsia="Palatino Linotype" w:hAnsi="Palatino Linotype" w:cs="Palatino Linotype"/>
          <w:i/>
          <w:sz w:val="22"/>
          <w:szCs w:val="22"/>
        </w:rPr>
        <w:t xml:space="preserve">: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 Representar al Instituto Municipal de Cultura Física y Deporte de Metepec;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II. Dar cumplimiento a los acuerdos del Consejo Municipal;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III. Vigilar el cumplimiento de los objetivos y programas del Instituto;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IV. Celebrar acuerdos, convenios y contratos de coordinación para el cumplimiento de los planes y proyectos del Instituto previa autorización del Consejo Municipal;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V. Presentar ante el Consejo Municipal para su aprobación, el proyecto del programa operativo del Instituto;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VI. Presentar ante el Consejo Municipal el proyecto anual del presupuesto de ingresos y egresos;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VII. Adquirir conforme a las normas y previa autorización del Consejo Municipal los bienes necesarios para el mejor cumplimiento de sus objetivos;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VIII. Prever lo necesario para el debido cumplimiento de los programas y el logro de los objetivos; y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IX. Las demás que le confieran la presente Ley, el Reglamento Interno y Consejo Municipal.”</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Teniendo estas premisas en cuenta, resulta importante señalar que sobre este requerimiento de información, únicamente se pronunció el Coordinador General del Instituto Municipal de Cultura Física y Deporte en Metepec, lo cual no satisfizo el derecho de acceso el derecho de acceso a la información del ahora </w:t>
      </w:r>
      <w:r w:rsidRPr="00252C72">
        <w:rPr>
          <w:rFonts w:ascii="Palatino Linotype" w:eastAsia="Palatino Linotype" w:hAnsi="Palatino Linotype" w:cs="Palatino Linotype"/>
          <w:b/>
        </w:rPr>
        <w:t>Recurrente</w:t>
      </w:r>
      <w:r w:rsidRPr="00252C72">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En este orden de ideas,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Secretaría del Ayuntamiento, en virtud de que conforme a lo previsto por el Código Reglamentario de Metepec, le compete el desarrollo de las siguientes atribuciones y facultades: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“Artículo 3.41. Al titular de la Secretaría del Ayuntamiento le corresponde además de las atribuciones, facultades y obligaciones que expresamente le confiere la Ley Orgánica, y demás disposiciones legales aplicables, los siguientes asuntos:</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XX. Supervisar que las técnicas administrativas para el manejo y control del Archivo de Concentración sean indicadas;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u w:val="single"/>
        </w:rPr>
      </w:pPr>
      <w:r w:rsidRPr="00252C72">
        <w:rPr>
          <w:rFonts w:ascii="Palatino Linotype" w:eastAsia="Palatino Linotype" w:hAnsi="Palatino Linotype" w:cs="Palatino Linotype"/>
          <w:b/>
          <w:i/>
          <w:sz w:val="22"/>
          <w:szCs w:val="22"/>
        </w:rPr>
        <w:t>XXI. Dotar al área encargada del Archivo Municipal e Histórico del Ayuntamiento, cuente con los implementos necesarios para la clasificación, ordenación y mantenimiento del acervo documental;</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8.286. El Archivo General Municipal, es la dependencia administrativa de la Secretaría del Ayuntamiento encargada de resguardar, administrar y difundir el acervo documental existente en el Municipio</w:t>
      </w:r>
      <w:r w:rsidRPr="00252C72">
        <w:rPr>
          <w:rFonts w:ascii="Palatino Linotype" w:eastAsia="Palatino Linotype" w:hAnsi="Palatino Linotype" w:cs="Palatino Linotype"/>
          <w:i/>
          <w:sz w:val="22"/>
          <w:szCs w:val="22"/>
        </w:rPr>
        <w:t>, la adquisición y el resguardo de documentos que se constituyan como antecedentes o evidencias que por su naturaleza deben considerarse como parte del patrimonio cultural histórico del Municipio.</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Artículo 8.293. Los documentos generados por la Administración Pública Municipal, a través de sus diversas dependencias, quedarán sujetos al uso y valoración desde la perspectiva del ciclo vital siguiente: la fase administrativa, la fase de guarda precautoria y finalmente la fase de guarda permanente o histórica; por lo tanto, dichos documentos una vez generados y archivados de manera formal en archivos administrativos o generales de área; y ya no siendo útiles administrativamente a la dependencia generadora, tendrán que ser transferidos al Archivo Histórico Municipal, quien se hará responsable del depósito de los mismos y facilitará las consultas internas posteriores.</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Artículo 8.294. El Archivo General Municipal estará integrado por tres secciones documentales: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u w:val="single"/>
        </w:rPr>
      </w:pPr>
      <w:r w:rsidRPr="00252C72">
        <w:rPr>
          <w:rFonts w:ascii="Palatino Linotype" w:eastAsia="Palatino Linotype" w:hAnsi="Palatino Linotype" w:cs="Palatino Linotype"/>
          <w:b/>
          <w:i/>
          <w:sz w:val="22"/>
          <w:szCs w:val="22"/>
          <w:u w:val="single"/>
        </w:rPr>
        <w:t xml:space="preserve">I. Sección de Archivo de Trámite: Se integra por aquellos documentos generados por las diferentes dependencias de la Administración Pública Municipal, durante su periodo de funciones. Se puede depurar a partir del segundo año de su creación;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u w:val="single"/>
        </w:rPr>
        <w:t>II. Sección de Archivo de Concentración: Se constituye por documentos de trámite concluido en trienios pasados, mismos que por ley se conservarán por el periodo de veinte años, sin depurar los expedientes;</w:t>
      </w:r>
      <w:r w:rsidRPr="00252C72">
        <w:rPr>
          <w:rFonts w:ascii="Palatino Linotype" w:eastAsia="Palatino Linotype" w:hAnsi="Palatino Linotype" w:cs="Palatino Linotype"/>
          <w:b/>
          <w:i/>
          <w:sz w:val="22"/>
          <w:szCs w:val="22"/>
        </w:rPr>
        <w:t xml:space="preserve"> y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III. Sección de Archivo Histórico: Se conforma por los documentos cuyo contenido es de valor e importancia general o específica para el ejercicio de un derecho, para el conocimiento e investigación de la realidad histórica, política, económica, jurídica, social y cultural del Municipio, el Estado de México y sus habitantes.</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 xml:space="preserve"> Artículo 8.300. El Archivo de Concentración Municipal, se encuentra bajo la administración y resguardo de un encargado, quien será designado por el Secretario del Ayuntamiento.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Artículo 8.302. La o el encargado del Archivo de Concentración Municipal, tendrá el resguardo e inventario del acervo documental a su cargo y contará con las siguientes facultades y atribuciones: </w:t>
      </w:r>
    </w:p>
    <w:p w:rsidR="002C445A" w:rsidRPr="00252C72" w:rsidRDefault="00064134">
      <w:pPr>
        <w:spacing w:before="240" w:after="240" w:line="276" w:lineRule="auto"/>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 Dirigir técnica y administrativamente el Archivo de Concentración Municipal;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u w:val="single"/>
        </w:rPr>
      </w:pPr>
      <w:r w:rsidRPr="00252C72">
        <w:rPr>
          <w:rFonts w:ascii="Palatino Linotype" w:eastAsia="Palatino Linotype" w:hAnsi="Palatino Linotype" w:cs="Palatino Linotype"/>
          <w:i/>
          <w:sz w:val="22"/>
          <w:szCs w:val="22"/>
        </w:rPr>
        <w:t xml:space="preserve">II. Orientar a las y los responsables de los Archivos de Trámite de cada una de las dependencias de la administración pública municipal, sobre la integración de los expedientes para su remisión al archivo de concentración; </w:t>
      </w:r>
      <w:r w:rsidRPr="00252C72">
        <w:rPr>
          <w:rFonts w:ascii="Palatino Linotype" w:eastAsia="Palatino Linotype" w:hAnsi="Palatino Linotype" w:cs="Palatino Linotype"/>
          <w:b/>
          <w:i/>
          <w:sz w:val="22"/>
          <w:szCs w:val="22"/>
          <w:u w:val="single"/>
        </w:rPr>
        <w:t>Recibir y controlar los expedientes y documentos enviados por las dependencias del Ayuntamiento;</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u w:val="single"/>
        </w:rPr>
      </w:pPr>
      <w:r w:rsidRPr="00252C72">
        <w:rPr>
          <w:rFonts w:ascii="Palatino Linotype" w:eastAsia="Palatino Linotype" w:hAnsi="Palatino Linotype" w:cs="Palatino Linotype"/>
          <w:b/>
          <w:i/>
          <w:sz w:val="22"/>
          <w:szCs w:val="22"/>
          <w:u w:val="single"/>
        </w:rPr>
        <w:t xml:space="preserve"> III. Clasificar, catalogar e inventariar el acervo documental existente, a fin de que se proporcione el servicio de consulta con la debida oportunidad y eficiencia; </w:t>
      </w:r>
    </w:p>
    <w:p w:rsidR="002C445A" w:rsidRPr="00252C72" w:rsidRDefault="00064134">
      <w:pPr>
        <w:spacing w:before="240" w:after="240" w:line="276" w:lineRule="auto"/>
        <w:ind w:left="567" w:right="900"/>
        <w:jc w:val="both"/>
        <w:rPr>
          <w:rFonts w:ascii="Palatino Linotype" w:eastAsia="Palatino Linotype" w:hAnsi="Palatino Linotype" w:cs="Palatino Linotype"/>
          <w:b/>
          <w:i/>
          <w:sz w:val="22"/>
          <w:szCs w:val="22"/>
          <w:u w:val="single"/>
        </w:rPr>
      </w:pPr>
      <w:r w:rsidRPr="00252C72">
        <w:rPr>
          <w:rFonts w:ascii="Palatino Linotype" w:eastAsia="Palatino Linotype" w:hAnsi="Palatino Linotype" w:cs="Palatino Linotype"/>
          <w:b/>
          <w:i/>
          <w:sz w:val="22"/>
          <w:szCs w:val="22"/>
          <w:u w:val="single"/>
        </w:rPr>
        <w:t>IV. Procurar integrar el archivo con documentos históricos originales, evitando en lo posible, la guarda de documentos ilegibles e impresos de poca duración”</w:t>
      </w:r>
      <w:r w:rsidRPr="00252C72">
        <w:rPr>
          <w:rFonts w:ascii="Palatino Linotype" w:eastAsia="Palatino Linotype" w:hAnsi="Palatino Linotype" w:cs="Palatino Linotype"/>
          <w:i/>
          <w:sz w:val="22"/>
          <w:szCs w:val="22"/>
        </w:rPr>
        <w:t xml:space="preserve"> (Sic) (Énfasis añadido)</w:t>
      </w:r>
    </w:p>
    <w:p w:rsidR="002C445A" w:rsidRPr="00252C72" w:rsidRDefault="00064134">
      <w:pPr>
        <w:spacing w:after="8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De los preceptos legales anteriormente citados, se advierte que en efecto, la Secretaría del Ayuntamiento se encuentra encargada del Archivo General Municipal, área que se encarga de resguardar, administrar y difundir el acervo documental existente en el Municipio, para esto se auxiliará de tres secciones documentales, sin embargo para el presente asunto, reviste interés la sección de Archivo de Concentración, la cual se constituye por documentos de trámite concluido en trienios pasados, mismos que por ley se conservarán por el periodo de veinte años, sin depurar los expedientes, por lo que se estima pertinente que la solicitud de información se turne a esta unidad administrativa para efecto de que emita el pronunciamiento correspondiente, no obstante, para el caso en el que derivado de la temporalidad de la información, es susceptible de encontrarse bajo el supuesto de baja documental.</w:t>
      </w:r>
    </w:p>
    <w:p w:rsidR="002C445A" w:rsidRPr="00252C72" w:rsidRDefault="00064134">
      <w:pPr>
        <w:spacing w:before="8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“Cuarto.</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2C445A" w:rsidRPr="00252C72" w:rsidRDefault="002C445A">
      <w:pPr>
        <w:spacing w:before="240" w:after="240"/>
        <w:ind w:left="567" w:right="616"/>
        <w:jc w:val="both"/>
        <w:rPr>
          <w:rFonts w:ascii="Palatino Linotype" w:eastAsia="Palatino Linotype" w:hAnsi="Palatino Linotype" w:cs="Palatino Linotype"/>
          <w:i/>
          <w:sz w:val="22"/>
          <w:szCs w:val="22"/>
        </w:rPr>
      </w:pP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rsidR="002C445A" w:rsidRPr="00252C72" w:rsidRDefault="00064134">
      <w:pPr>
        <w:spacing w:before="240" w:after="240"/>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20.</w:t>
      </w:r>
      <w:r w:rsidRPr="00252C72">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Artículo 27.- Las Unidades Administrativas al realizar la transferencia de los expedientes de trámite concluido, señalarán en el Inventario correspondiente los plazos de conservación precaucional de éstos en el Archivo de Concentración.</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Para determinar el plazo de conservación precaucional deberán considerar el marco legal o administrativo bajo el cual se produjeron o recibieron los documentos y los siguientes períodos:</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 6 años para expedientes con información administrativa;</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II. 6 años como mínimo para expedientes con información fiscal y presupuestal contable;</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III. 12 años como mínimo para expedientes con información jurídico-legal, obra pública y activo fijo; y</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rsidR="002C445A" w:rsidRPr="00252C72" w:rsidRDefault="00064134">
      <w:pPr>
        <w:spacing w:before="240" w:after="240"/>
        <w:ind w:left="567" w:right="616"/>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V. Cuando las Unidades Administrativas no indique el plazo de conservación precaucional de sus expedientes en el Inventario correspondiente, los Archivos de Concentración podrán rechazar la transferencia de los expedientes.”</w:t>
      </w:r>
    </w:p>
    <w:p w:rsidR="002C445A" w:rsidRPr="00252C72" w:rsidRDefault="00064134">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252C72">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 por lo que al no contar con evidencia de la baja documental practicada, es procedente la declaratoria de inexistencia en términos de los artículos 49, fracciones II y XIII, 169 y 170 de la Ley de Transparencia y Acceso a la Información Pública del Estado de México y Municipios.</w:t>
      </w: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47.</w:t>
      </w:r>
      <w:r w:rsidRPr="00252C72">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252C72">
        <w:rPr>
          <w:rFonts w:ascii="Palatino Linotype" w:eastAsia="Palatino Linotype" w:hAnsi="Palatino Linotype" w:cs="Palatino Linotype"/>
          <w:i/>
          <w:sz w:val="22"/>
          <w:szCs w:val="22"/>
          <w:u w:val="single"/>
        </w:rPr>
        <w:t>inexistencia</w:t>
      </w:r>
      <w:r w:rsidRPr="00252C72">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49.</w:t>
      </w:r>
      <w:r w:rsidRPr="00252C72">
        <w:rPr>
          <w:rFonts w:ascii="Palatino Linotype" w:eastAsia="Palatino Linotype" w:hAnsi="Palatino Linotype" w:cs="Palatino Linotype"/>
          <w:i/>
          <w:sz w:val="22"/>
          <w:szCs w:val="22"/>
        </w:rPr>
        <w:t xml:space="preserve"> Los Comités de Transparencia tendrán las siguientes atribuciones:</w:t>
      </w: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252C72">
        <w:rPr>
          <w:rFonts w:ascii="Palatino Linotype" w:eastAsia="Palatino Linotype" w:hAnsi="Palatino Linotype" w:cs="Palatino Linotype"/>
          <w:i/>
          <w:sz w:val="22"/>
          <w:szCs w:val="22"/>
          <w:u w:val="single"/>
        </w:rPr>
        <w:t xml:space="preserve">declaración de inexistencia </w:t>
      </w:r>
      <w:r w:rsidRPr="00252C72">
        <w:rPr>
          <w:rFonts w:ascii="Palatino Linotype" w:eastAsia="Palatino Linotype" w:hAnsi="Palatino Linotype" w:cs="Palatino Linotype"/>
          <w:i/>
          <w:sz w:val="22"/>
          <w:szCs w:val="22"/>
        </w:rPr>
        <w:t>o de incompetencia realicen los titulares de las áreas de los sujetos obligados;</w:t>
      </w: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ind w:left="567" w:right="567"/>
        <w:jc w:val="both"/>
        <w:rPr>
          <w:rFonts w:ascii="Palatino Linotype" w:eastAsia="Palatino Linotype" w:hAnsi="Palatino Linotype" w:cs="Palatino Linotype"/>
          <w:i/>
        </w:rPr>
      </w:pPr>
      <w:r w:rsidRPr="00252C72">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2C445A" w:rsidRPr="00252C72" w:rsidRDefault="002C445A">
      <w:pPr>
        <w:spacing w:line="360" w:lineRule="auto"/>
        <w:jc w:val="both"/>
        <w:rPr>
          <w:rFonts w:ascii="Palatino Linotype" w:eastAsia="Palatino Linotype" w:hAnsi="Palatino Linotype" w:cs="Palatino Linotype"/>
          <w:i/>
        </w:rPr>
      </w:pP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169.</w:t>
      </w:r>
      <w:r w:rsidRPr="00252C72">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 Analizará el caso y tomará las medidas necesarias para localizar la información;</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II. Expedirá una resolución que confirme la inexistencia del documento;</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252C72">
        <w:rPr>
          <w:rFonts w:ascii="Palatino Linotype" w:eastAsia="Palatino Linotype" w:hAnsi="Palatino Linotype" w:cs="Palatino Linotype"/>
          <w:i/>
          <w:sz w:val="22"/>
          <w:szCs w:val="22"/>
        </w:rPr>
        <w:t>.</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2C445A" w:rsidRPr="00252C72" w:rsidRDefault="002C445A">
      <w:pPr>
        <w:ind w:left="567" w:right="567"/>
        <w:jc w:val="both"/>
        <w:rPr>
          <w:rFonts w:ascii="Palatino Linotype" w:eastAsia="Palatino Linotype" w:hAnsi="Palatino Linotype" w:cs="Palatino Linotype"/>
          <w:i/>
          <w:sz w:val="22"/>
          <w:szCs w:val="22"/>
        </w:rPr>
      </w:pPr>
    </w:p>
    <w:p w:rsidR="002C445A" w:rsidRPr="00252C72" w:rsidRDefault="00064134">
      <w:pPr>
        <w:ind w:left="567" w:right="567"/>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170.</w:t>
      </w:r>
      <w:r w:rsidRPr="00252C72">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2C445A" w:rsidRPr="00252C72" w:rsidRDefault="002C445A">
      <w:pPr>
        <w:ind w:left="567" w:right="567"/>
        <w:jc w:val="both"/>
        <w:rPr>
          <w:rFonts w:ascii="Palatino Linotype" w:eastAsia="Palatino Linotype" w:hAnsi="Palatino Linotype" w:cs="Palatino Linotype"/>
        </w:rPr>
      </w:pPr>
    </w:p>
    <w:p w:rsidR="002C445A" w:rsidRPr="00252C72" w:rsidRDefault="00064134">
      <w:pPr>
        <w:spacing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2C445A" w:rsidRPr="00252C72" w:rsidRDefault="002C445A">
      <w:pPr>
        <w:spacing w:line="360" w:lineRule="auto"/>
        <w:jc w:val="both"/>
        <w:rPr>
          <w:rFonts w:ascii="Palatino Linotype" w:eastAsia="Palatino Linotype" w:hAnsi="Palatino Linotype" w:cs="Palatino Linotype"/>
        </w:rPr>
      </w:pP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En ese contexto, de conformidad con los </w:t>
      </w:r>
      <w:r w:rsidRPr="00252C72">
        <w:rPr>
          <w:rFonts w:ascii="Palatino Linotype" w:eastAsia="Palatino Linotype" w:hAnsi="Palatino Linotype" w:cs="Palatino Linotype"/>
          <w:b/>
        </w:rPr>
        <w:t>criterios 12/10 y 04/19</w:t>
      </w:r>
      <w:r w:rsidRPr="00252C72">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2C445A" w:rsidRPr="00252C72" w:rsidRDefault="00064134">
      <w:pPr>
        <w:numPr>
          <w:ilvl w:val="0"/>
          <w:numId w:val="4"/>
        </w:num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Motivación por las que se buscó la información, en determinadas unidades administrativas;</w:t>
      </w:r>
    </w:p>
    <w:p w:rsidR="002C445A" w:rsidRPr="00252C72" w:rsidRDefault="00064134">
      <w:pPr>
        <w:numPr>
          <w:ilvl w:val="0"/>
          <w:numId w:val="4"/>
        </w:num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Los criterios de búsqueda utilizados, y</w:t>
      </w:r>
    </w:p>
    <w:p w:rsidR="002C445A" w:rsidRPr="00252C72" w:rsidRDefault="00064134">
      <w:pPr>
        <w:numPr>
          <w:ilvl w:val="0"/>
          <w:numId w:val="4"/>
        </w:num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Las circunstancias que fueron tomadas en cuenta.</w:t>
      </w:r>
    </w:p>
    <w:p w:rsidR="002C445A" w:rsidRPr="00252C72" w:rsidRDefault="002C445A">
      <w:pPr>
        <w:pBdr>
          <w:top w:val="nil"/>
          <w:left w:val="nil"/>
          <w:bottom w:val="nil"/>
          <w:right w:val="nil"/>
          <w:between w:val="nil"/>
        </w:pBdr>
      </w:pPr>
    </w:p>
    <w:p w:rsidR="002C445A" w:rsidRPr="00252C72" w:rsidRDefault="00064134">
      <w:p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2C445A" w:rsidRPr="00252C72" w:rsidRDefault="00064134">
      <w:pPr>
        <w:numPr>
          <w:ilvl w:val="0"/>
          <w:numId w:val="2"/>
        </w:num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Las áreas donde se buscó la información;</w:t>
      </w:r>
    </w:p>
    <w:p w:rsidR="002C445A" w:rsidRPr="00252C72" w:rsidRDefault="00064134">
      <w:pPr>
        <w:numPr>
          <w:ilvl w:val="0"/>
          <w:numId w:val="2"/>
        </w:num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Tipo de archivos buscados (físicos o electrónicos);</w:t>
      </w:r>
    </w:p>
    <w:p w:rsidR="002C445A" w:rsidRPr="00252C72" w:rsidRDefault="00064134">
      <w:pPr>
        <w:numPr>
          <w:ilvl w:val="0"/>
          <w:numId w:val="2"/>
        </w:num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Los criterios de búsqueda utilizados, y </w:t>
      </w:r>
    </w:p>
    <w:p w:rsidR="002C445A" w:rsidRPr="00252C72" w:rsidRDefault="00064134">
      <w:pPr>
        <w:numPr>
          <w:ilvl w:val="0"/>
          <w:numId w:val="2"/>
        </w:numPr>
        <w:spacing w:after="16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Las circunstancias que fueron tomadas en cuenta.</w:t>
      </w:r>
    </w:p>
    <w:p w:rsidR="002C445A" w:rsidRPr="00252C72" w:rsidRDefault="00064134">
      <w:pPr>
        <w:spacing w:before="240" w:after="240" w:line="360" w:lineRule="auto"/>
        <w:ind w:right="49"/>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Quinto. Versión Pública. </w:t>
      </w:r>
      <w:r w:rsidRPr="00252C72">
        <w:rPr>
          <w:rFonts w:ascii="Palatino Linotype" w:eastAsia="Palatino Linotype" w:hAnsi="Palatino Linotype" w:cs="Palatino Linotype"/>
        </w:rPr>
        <w:t xml:space="preserve">Finalmente para la entrega de los soportes documentales que en todo caso deberá proporcionar el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2C445A" w:rsidRPr="00252C72" w:rsidRDefault="00064134">
      <w:pPr>
        <w:spacing w:before="240" w:after="240" w:line="360" w:lineRule="auto"/>
        <w:ind w:right="50"/>
        <w:jc w:val="both"/>
        <w:rPr>
          <w:rFonts w:ascii="Palatino Linotype" w:eastAsia="Palatino Linotype" w:hAnsi="Palatino Linotype" w:cs="Palatino Linotype"/>
        </w:rPr>
      </w:pPr>
      <w:r w:rsidRPr="00252C72">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Artículo 3</w:t>
      </w:r>
      <w:r w:rsidRPr="00252C72">
        <w:rPr>
          <w:rFonts w:ascii="Palatino Linotype" w:eastAsia="Palatino Linotype" w:hAnsi="Palatino Linotype" w:cs="Palatino Linotype"/>
          <w:i/>
          <w:sz w:val="22"/>
          <w:szCs w:val="22"/>
        </w:rPr>
        <w:t>. Para los efectos de la presente Ley se entenderá por:</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IX. Datos personales:</w:t>
      </w:r>
      <w:r w:rsidRPr="00252C7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XX. Información clasificada</w:t>
      </w:r>
      <w:r w:rsidRPr="00252C72">
        <w:rPr>
          <w:rFonts w:ascii="Palatino Linotype" w:eastAsia="Palatino Linotype" w:hAnsi="Palatino Linotype" w:cs="Palatino Linotype"/>
          <w:i/>
          <w:sz w:val="22"/>
          <w:szCs w:val="22"/>
        </w:rPr>
        <w:t>: Aquella considerada por la presente Ley como reservada o confidencial;</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XXI. Información confidencial:</w:t>
      </w:r>
      <w:r w:rsidRPr="00252C7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XLV. Versión pública:</w:t>
      </w:r>
      <w:r w:rsidRPr="00252C7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Artículo 91. </w:t>
      </w:r>
      <w:r w:rsidRPr="00252C7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 xml:space="preserve">Artículo 132. </w:t>
      </w:r>
      <w:r w:rsidRPr="00252C72">
        <w:rPr>
          <w:rFonts w:ascii="Palatino Linotype" w:eastAsia="Palatino Linotype" w:hAnsi="Palatino Linotype" w:cs="Palatino Linotype"/>
          <w:i/>
          <w:sz w:val="22"/>
          <w:szCs w:val="22"/>
        </w:rPr>
        <w:t>La clasificación de la información se llevará a cabo en el momento en que:</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w:t>
      </w:r>
      <w:r w:rsidRPr="00252C72">
        <w:rPr>
          <w:rFonts w:ascii="Palatino Linotype" w:eastAsia="Palatino Linotype" w:hAnsi="Palatino Linotype" w:cs="Palatino Linotype"/>
          <w:i/>
          <w:sz w:val="22"/>
          <w:szCs w:val="22"/>
        </w:rPr>
        <w:t>. Se reciba una solicitud de acceso a la información;</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II</w:t>
      </w:r>
      <w:r w:rsidRPr="00252C72">
        <w:rPr>
          <w:rFonts w:ascii="Palatino Linotype" w:eastAsia="Palatino Linotype" w:hAnsi="Palatino Linotype" w:cs="Palatino Linotype"/>
          <w:i/>
          <w:sz w:val="22"/>
          <w:szCs w:val="22"/>
        </w:rPr>
        <w:t>. Se determine mediante resolución de autoridad competente; o</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III</w:t>
      </w:r>
      <w:r w:rsidRPr="00252C72">
        <w:rPr>
          <w:rFonts w:ascii="Palatino Linotype" w:eastAsia="Palatino Linotype" w:hAnsi="Palatino Linotype" w:cs="Palatino Linotype"/>
          <w:i/>
          <w:sz w:val="22"/>
          <w:szCs w:val="22"/>
        </w:rPr>
        <w:t>. Se generen versiones públicas para dar cumplimiento a las obligaciones de transparencia previstas en esta Ley.</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Artículo 143</w:t>
      </w:r>
      <w:r w:rsidRPr="00252C7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w:t>
      </w:r>
      <w:r w:rsidRPr="00252C7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II.</w:t>
      </w:r>
      <w:r w:rsidRPr="00252C7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III</w:t>
      </w:r>
      <w:r w:rsidRPr="00252C7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w:t>
      </w:r>
      <w:r w:rsidRPr="00252C72">
        <w:rPr>
          <w:rFonts w:ascii="Palatino Linotype" w:eastAsia="Palatino Linotype" w:hAnsi="Palatino Linotype" w:cs="Palatino Linotype"/>
          <w:b/>
          <w:i/>
          <w:sz w:val="22"/>
          <w:szCs w:val="22"/>
        </w:rPr>
        <w:t>Quincuagésimo sexto</w:t>
      </w:r>
      <w:r w:rsidRPr="00252C72">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Quincuagésimo séptimo</w:t>
      </w:r>
      <w:r w:rsidRPr="00252C7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w:t>
      </w:r>
      <w:r w:rsidRPr="00252C7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II.</w:t>
      </w:r>
      <w:r w:rsidRPr="00252C7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III.</w:t>
      </w:r>
      <w:r w:rsidRPr="00252C7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2C445A" w:rsidRPr="00252C72" w:rsidRDefault="00064134">
      <w:pPr>
        <w:spacing w:before="120" w:after="120"/>
        <w:ind w:left="567" w:right="902"/>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b/>
          <w:i/>
          <w:sz w:val="22"/>
          <w:szCs w:val="22"/>
        </w:rPr>
        <w:t>Quincuagésimo octavo</w:t>
      </w:r>
      <w:r w:rsidRPr="00252C7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52C72">
        <w:rPr>
          <w:rFonts w:ascii="Palatino Linotype" w:eastAsia="Palatino Linotype" w:hAnsi="Palatino Linotype" w:cs="Palatino Linotype"/>
          <w:b/>
        </w:rPr>
        <w:t>Sujeto Obligado</w:t>
      </w:r>
      <w:r w:rsidRPr="00252C7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d"/>
        <w:tblW w:w="8828" w:type="dxa"/>
        <w:tblInd w:w="-1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252C72" w:rsidRPr="00252C72">
        <w:tc>
          <w:tcPr>
            <w:tcW w:w="4253" w:type="dxa"/>
            <w:gridSpan w:val="2"/>
            <w:tcBorders>
              <w:top w:val="nil"/>
              <w:left w:val="nil"/>
              <w:right w:val="nil"/>
            </w:tcBorders>
          </w:tcPr>
          <w:p w:rsidR="002C445A" w:rsidRPr="00252C72" w:rsidRDefault="00064134">
            <w:pPr>
              <w:jc w:val="center"/>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rsidR="002C445A" w:rsidRPr="00252C72" w:rsidRDefault="00064134">
            <w:pPr>
              <w:jc w:val="center"/>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Total</w:t>
            </w:r>
          </w:p>
        </w:tc>
      </w:tr>
      <w:tr w:rsidR="00252C72" w:rsidRPr="00252C72">
        <w:tc>
          <w:tcPr>
            <w:tcW w:w="1134" w:type="dxa"/>
          </w:tcPr>
          <w:p w:rsidR="002C445A" w:rsidRPr="00252C72" w:rsidRDefault="00064134">
            <w:pPr>
              <w:jc w:val="center"/>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Concepto</w:t>
            </w:r>
          </w:p>
        </w:tc>
        <w:tc>
          <w:tcPr>
            <w:tcW w:w="3119" w:type="dxa"/>
          </w:tcPr>
          <w:p w:rsidR="002C445A" w:rsidRPr="00252C72" w:rsidRDefault="00064134">
            <w:pPr>
              <w:jc w:val="center"/>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Dónde</w:t>
            </w:r>
          </w:p>
        </w:tc>
        <w:tc>
          <w:tcPr>
            <w:tcW w:w="1129" w:type="dxa"/>
          </w:tcPr>
          <w:p w:rsidR="002C445A" w:rsidRPr="00252C72" w:rsidRDefault="00064134">
            <w:pPr>
              <w:jc w:val="center"/>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Concepto</w:t>
            </w:r>
          </w:p>
        </w:tc>
        <w:tc>
          <w:tcPr>
            <w:tcW w:w="3446" w:type="dxa"/>
          </w:tcPr>
          <w:p w:rsidR="002C445A" w:rsidRPr="00252C72" w:rsidRDefault="00064134">
            <w:pPr>
              <w:jc w:val="center"/>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Dónde</w:t>
            </w:r>
          </w:p>
        </w:tc>
      </w:tr>
      <w:tr w:rsidR="00252C72" w:rsidRPr="00252C72">
        <w:tc>
          <w:tcPr>
            <w:tcW w:w="8828" w:type="dxa"/>
            <w:gridSpan w:val="4"/>
          </w:tcPr>
          <w:p w:rsidR="002C445A" w:rsidRPr="00252C72" w:rsidRDefault="00064134">
            <w:pPr>
              <w:jc w:val="center"/>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Sello oficial o logotipo del sujeto obligado</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Fecha de clasificación</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Fecha de clasificación</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Área</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señalará el nombre del área del cual es titular quien clasifica.</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Área</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señalará el nombre del área de la cual es el titular quien clasifica.</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Información reservada</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Reservado</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Leyenda de información RESERVADA.</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Fundamento legal</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Periodo de reserva</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Ampliación del periodo de reserva</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Fundamento legal</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Confidencial</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Ampliación del periodo de reserva</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Fundamento legal</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Confidencial</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Leyenda de información CONFIDENCIAL.</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Rúbrica del titular del área</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Rúbrica autógrafa de quien clasifica.</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Fundamento legal</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Fecha de desclasificación</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anotará la fecha en que se desclasifica el documento.</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Rúbrica del titular del área</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Rúbrica autógrafa de quien clasifica.</w:t>
            </w:r>
          </w:p>
        </w:tc>
      </w:tr>
      <w:tr w:rsidR="00252C72" w:rsidRPr="00252C72">
        <w:tc>
          <w:tcPr>
            <w:tcW w:w="1134"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sz w:val="12"/>
                <w:szCs w:val="12"/>
              </w:rPr>
              <w:t>Rúbrica y cargo del servidor público</w:t>
            </w:r>
          </w:p>
        </w:tc>
        <w:tc>
          <w:tcPr>
            <w:tcW w:w="3119"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Rúbrica autógrafa de quien desclasifica.</w:t>
            </w: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Fecha de desclasificación</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Se anotará la fecha en que se desclasifica.</w:t>
            </w:r>
          </w:p>
        </w:tc>
      </w:tr>
      <w:tr w:rsidR="00252C72" w:rsidRPr="00252C72">
        <w:tc>
          <w:tcPr>
            <w:tcW w:w="1134" w:type="dxa"/>
          </w:tcPr>
          <w:p w:rsidR="002C445A" w:rsidRPr="00252C72" w:rsidRDefault="002C445A">
            <w:pPr>
              <w:jc w:val="both"/>
              <w:rPr>
                <w:rFonts w:ascii="Palatino Linotype" w:eastAsia="Palatino Linotype" w:hAnsi="Palatino Linotype" w:cs="Palatino Linotype"/>
                <w:b/>
                <w:sz w:val="12"/>
                <w:szCs w:val="12"/>
              </w:rPr>
            </w:pPr>
          </w:p>
        </w:tc>
        <w:tc>
          <w:tcPr>
            <w:tcW w:w="3119" w:type="dxa"/>
          </w:tcPr>
          <w:p w:rsidR="002C445A" w:rsidRPr="00252C72" w:rsidRDefault="002C445A">
            <w:pPr>
              <w:jc w:val="both"/>
              <w:rPr>
                <w:rFonts w:ascii="Palatino Linotype" w:eastAsia="Palatino Linotype" w:hAnsi="Palatino Linotype" w:cs="Palatino Linotype"/>
                <w:sz w:val="12"/>
                <w:szCs w:val="12"/>
              </w:rPr>
            </w:pP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Partes o secciones reservadas o confidenciales</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252C72" w:rsidRPr="00252C72">
        <w:tc>
          <w:tcPr>
            <w:tcW w:w="1134" w:type="dxa"/>
          </w:tcPr>
          <w:p w:rsidR="002C445A" w:rsidRPr="00252C72" w:rsidRDefault="002C445A">
            <w:pPr>
              <w:jc w:val="both"/>
              <w:rPr>
                <w:rFonts w:ascii="Palatino Linotype" w:eastAsia="Palatino Linotype" w:hAnsi="Palatino Linotype" w:cs="Palatino Linotype"/>
                <w:b/>
                <w:sz w:val="12"/>
                <w:szCs w:val="12"/>
              </w:rPr>
            </w:pPr>
          </w:p>
        </w:tc>
        <w:tc>
          <w:tcPr>
            <w:tcW w:w="3119" w:type="dxa"/>
          </w:tcPr>
          <w:p w:rsidR="002C445A" w:rsidRPr="00252C72" w:rsidRDefault="002C445A">
            <w:pPr>
              <w:jc w:val="both"/>
              <w:rPr>
                <w:rFonts w:ascii="Palatino Linotype" w:eastAsia="Palatino Linotype" w:hAnsi="Palatino Linotype" w:cs="Palatino Linotype"/>
                <w:sz w:val="12"/>
                <w:szCs w:val="12"/>
              </w:rPr>
            </w:pPr>
          </w:p>
        </w:tc>
        <w:tc>
          <w:tcPr>
            <w:tcW w:w="1129" w:type="dxa"/>
          </w:tcPr>
          <w:p w:rsidR="002C445A" w:rsidRPr="00252C72" w:rsidRDefault="00064134">
            <w:pPr>
              <w:jc w:val="both"/>
              <w:rPr>
                <w:rFonts w:ascii="Palatino Linotype" w:eastAsia="Palatino Linotype" w:hAnsi="Palatino Linotype" w:cs="Palatino Linotype"/>
                <w:b/>
                <w:sz w:val="12"/>
                <w:szCs w:val="12"/>
              </w:rPr>
            </w:pPr>
            <w:r w:rsidRPr="00252C72">
              <w:rPr>
                <w:rFonts w:ascii="Palatino Linotype" w:eastAsia="Palatino Linotype" w:hAnsi="Palatino Linotype" w:cs="Palatino Linotype"/>
                <w:b/>
                <w:sz w:val="12"/>
                <w:szCs w:val="12"/>
              </w:rPr>
              <w:t>Rúbrica y cargo del servidor público</w:t>
            </w:r>
          </w:p>
        </w:tc>
        <w:tc>
          <w:tcPr>
            <w:tcW w:w="3446" w:type="dxa"/>
          </w:tcPr>
          <w:p w:rsidR="002C445A" w:rsidRPr="00252C72" w:rsidRDefault="00064134">
            <w:pPr>
              <w:jc w:val="both"/>
              <w:rPr>
                <w:rFonts w:ascii="Palatino Linotype" w:eastAsia="Palatino Linotype" w:hAnsi="Palatino Linotype" w:cs="Palatino Linotype"/>
                <w:sz w:val="12"/>
                <w:szCs w:val="12"/>
              </w:rPr>
            </w:pPr>
            <w:r w:rsidRPr="00252C72">
              <w:rPr>
                <w:rFonts w:ascii="Palatino Linotype" w:eastAsia="Palatino Linotype" w:hAnsi="Palatino Linotype" w:cs="Palatino Linotype"/>
                <w:sz w:val="12"/>
                <w:szCs w:val="12"/>
              </w:rPr>
              <w:t>Rúbrica autógrafa de quien desclasifica.</w:t>
            </w:r>
          </w:p>
        </w:tc>
      </w:tr>
    </w:tbl>
    <w:p w:rsidR="002C445A" w:rsidRPr="00252C72" w:rsidRDefault="002C445A">
      <w:pPr>
        <w:spacing w:before="240" w:after="240" w:line="360" w:lineRule="auto"/>
        <w:jc w:val="both"/>
        <w:rPr>
          <w:rFonts w:ascii="Palatino Linotype" w:eastAsia="Palatino Linotype" w:hAnsi="Palatino Linotype" w:cs="Palatino Linotype"/>
        </w:rPr>
      </w:pP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2C445A" w:rsidRPr="00252C72" w:rsidRDefault="00064134">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52C72">
        <w:rPr>
          <w:rFonts w:ascii="Palatino Linotype" w:eastAsia="Palatino Linotype" w:hAnsi="Palatino Linotype" w:cs="Palatino Linotype"/>
          <w:b/>
        </w:rPr>
        <w:t>R E S U E L V E:</w:t>
      </w:r>
    </w:p>
    <w:p w:rsidR="002C445A" w:rsidRPr="00252C72" w:rsidRDefault="00064134">
      <w:pPr>
        <w:spacing w:before="240" w:after="240" w:line="360" w:lineRule="auto"/>
        <w:jc w:val="both"/>
        <w:rPr>
          <w:rFonts w:ascii="Palatino Linotype" w:eastAsia="Palatino Linotype" w:hAnsi="Palatino Linotype" w:cs="Palatino Linotype"/>
          <w:b/>
        </w:rPr>
      </w:pPr>
      <w:r w:rsidRPr="00252C72">
        <w:rPr>
          <w:rFonts w:ascii="Palatino Linotype" w:eastAsia="Palatino Linotype" w:hAnsi="Palatino Linotype" w:cs="Palatino Linotype"/>
          <w:b/>
        </w:rPr>
        <w:t xml:space="preserve">Primero. Resultan parcialmente fundados </w:t>
      </w:r>
      <w:r w:rsidRPr="00252C72">
        <w:rPr>
          <w:rFonts w:ascii="Palatino Linotype" w:eastAsia="Palatino Linotype" w:hAnsi="Palatino Linotype" w:cs="Palatino Linotype"/>
        </w:rPr>
        <w:t xml:space="preserve">los motivos de inconformidad hechos valer por </w:t>
      </w:r>
      <w:r w:rsidRPr="00252C72">
        <w:rPr>
          <w:rFonts w:ascii="Palatino Linotype" w:eastAsia="Palatino Linotype" w:hAnsi="Palatino Linotype" w:cs="Palatino Linotype"/>
          <w:b/>
        </w:rPr>
        <w:t>el Recurrente</w:t>
      </w:r>
      <w:r w:rsidRPr="00252C72">
        <w:rPr>
          <w:rFonts w:ascii="Palatino Linotype" w:eastAsia="Palatino Linotype" w:hAnsi="Palatino Linotype" w:cs="Palatino Linotype"/>
        </w:rPr>
        <w:t xml:space="preserve"> en los Recursos de Revisión</w:t>
      </w:r>
      <w:r w:rsidRPr="00252C72">
        <w:rPr>
          <w:rFonts w:ascii="Palatino Linotype" w:eastAsia="Palatino Linotype" w:hAnsi="Palatino Linotype" w:cs="Palatino Linotype"/>
          <w:b/>
        </w:rPr>
        <w:t xml:space="preserve"> 11934/INFOEM/IP/RR/2022, 12406/INFOEM/IP/RR/2022 y 12408/INFOEM/IP/RR/2022 acumulados, </w:t>
      </w:r>
      <w:r w:rsidRPr="00252C72">
        <w:rPr>
          <w:rFonts w:ascii="Palatino Linotype" w:eastAsia="Palatino Linotype" w:hAnsi="Palatino Linotype" w:cs="Palatino Linotype"/>
        </w:rPr>
        <w:t>por lo que</w:t>
      </w:r>
      <w:r w:rsidRPr="00252C72">
        <w:rPr>
          <w:rFonts w:ascii="Palatino Linotype" w:eastAsia="Palatino Linotype" w:hAnsi="Palatino Linotype" w:cs="Palatino Linotype"/>
          <w:b/>
        </w:rPr>
        <w:t xml:space="preserve">, en términos del Considerando Cuarto </w:t>
      </w:r>
      <w:r w:rsidRPr="00252C72">
        <w:rPr>
          <w:rFonts w:ascii="Palatino Linotype" w:eastAsia="Palatino Linotype" w:hAnsi="Palatino Linotype" w:cs="Palatino Linotype"/>
        </w:rPr>
        <w:t>de la presente resolución</w:t>
      </w:r>
      <w:r w:rsidRPr="00252C72">
        <w:rPr>
          <w:rFonts w:ascii="Palatino Linotype" w:eastAsia="Palatino Linotype" w:hAnsi="Palatino Linotype" w:cs="Palatino Linotype"/>
          <w:b/>
        </w:rPr>
        <w:t>, se MODIFICAN las respuestas</w:t>
      </w:r>
      <w:r w:rsidRPr="00252C72">
        <w:rPr>
          <w:rFonts w:ascii="Palatino Linotype" w:eastAsia="Palatino Linotype" w:hAnsi="Palatino Linotype" w:cs="Palatino Linotype"/>
        </w:rPr>
        <w:t xml:space="preserve"> del</w:t>
      </w:r>
      <w:r w:rsidRPr="00252C72">
        <w:rPr>
          <w:rFonts w:ascii="Palatino Linotype" w:eastAsia="Palatino Linotype" w:hAnsi="Palatino Linotype" w:cs="Palatino Linotype"/>
          <w:b/>
        </w:rPr>
        <w:t xml:space="preserve"> Sujeto Obligado.</w:t>
      </w:r>
    </w:p>
    <w:p w:rsidR="002C445A" w:rsidRPr="00252C72" w:rsidRDefault="00064134">
      <w:pPr>
        <w:spacing w:before="240" w:after="240" w:line="360" w:lineRule="auto"/>
        <w:jc w:val="both"/>
        <w:rPr>
          <w:rFonts w:ascii="Palatino Linotype" w:eastAsia="Palatino Linotype" w:hAnsi="Palatino Linotype" w:cs="Palatino Linotype"/>
          <w:b/>
        </w:rPr>
      </w:pPr>
      <w:r w:rsidRPr="00252C72">
        <w:rPr>
          <w:rFonts w:ascii="Palatino Linotype" w:eastAsia="Palatino Linotype" w:hAnsi="Palatino Linotype" w:cs="Palatino Linotype"/>
          <w:b/>
        </w:rPr>
        <w:t xml:space="preserve">Segundo. Se Ordena al Sujeto Obligado </w:t>
      </w:r>
      <w:r w:rsidRPr="00252C72">
        <w:rPr>
          <w:rFonts w:ascii="Palatino Linotype" w:eastAsia="Palatino Linotype" w:hAnsi="Palatino Linotype" w:cs="Palatino Linotype"/>
        </w:rPr>
        <w:t>que en términos del</w:t>
      </w:r>
      <w:r w:rsidRPr="00252C72">
        <w:rPr>
          <w:rFonts w:ascii="Palatino Linotype" w:eastAsia="Palatino Linotype" w:hAnsi="Palatino Linotype" w:cs="Palatino Linotype"/>
          <w:b/>
        </w:rPr>
        <w:t xml:space="preserve"> Considerando Cuarto </w:t>
      </w:r>
      <w:r w:rsidRPr="00252C72">
        <w:rPr>
          <w:rFonts w:ascii="Palatino Linotype" w:eastAsia="Palatino Linotype" w:hAnsi="Palatino Linotype" w:cs="Palatino Linotype"/>
        </w:rPr>
        <w:t>de esta resolución haga entrega</w:t>
      </w:r>
      <w:r w:rsidRPr="00252C72">
        <w:rPr>
          <w:rFonts w:ascii="Palatino Linotype" w:eastAsia="Palatino Linotype" w:hAnsi="Palatino Linotype" w:cs="Palatino Linotype"/>
          <w:b/>
        </w:rPr>
        <w:t>, previa búsqueda exhaustiva y razonable</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en versión pública de ser procedente</w:t>
      </w:r>
      <w:r w:rsidRPr="00252C72">
        <w:rPr>
          <w:rFonts w:ascii="Palatino Linotype" w:eastAsia="Palatino Linotype" w:hAnsi="Palatino Linotype" w:cs="Palatino Linotype"/>
        </w:rPr>
        <w:t>, al</w:t>
      </w:r>
      <w:r w:rsidRPr="00252C72">
        <w:rPr>
          <w:rFonts w:ascii="Palatino Linotype" w:eastAsia="Palatino Linotype" w:hAnsi="Palatino Linotype" w:cs="Palatino Linotype"/>
          <w:b/>
        </w:rPr>
        <w:t xml:space="preserve"> Recurrente a través del SAIMEX, de lo siguiente:</w:t>
      </w:r>
    </w:p>
    <w:p w:rsidR="002C445A" w:rsidRPr="00252C72" w:rsidRDefault="00064134">
      <w:pPr>
        <w:numPr>
          <w:ilvl w:val="0"/>
          <w:numId w:val="3"/>
        </w:numPr>
        <w:tabs>
          <w:tab w:val="left" w:pos="7938"/>
        </w:tabs>
        <w:spacing w:after="120"/>
        <w:ind w:left="567" w:right="900" w:hanging="141"/>
        <w:jc w:val="both"/>
        <w:rPr>
          <w:rFonts w:ascii="Palatino Linotype" w:eastAsia="Palatino Linotype" w:hAnsi="Palatino Linotype" w:cs="Palatino Linotype"/>
          <w:b/>
          <w:i/>
          <w:sz w:val="22"/>
          <w:szCs w:val="22"/>
        </w:rPr>
      </w:pPr>
      <w:r w:rsidRPr="00252C72">
        <w:rPr>
          <w:rFonts w:ascii="Palatino Linotype" w:eastAsia="Palatino Linotype" w:hAnsi="Palatino Linotype" w:cs="Palatino Linotype"/>
          <w:b/>
          <w:i/>
          <w:sz w:val="22"/>
          <w:szCs w:val="22"/>
        </w:rPr>
        <w:t>Oficios, escritos, notas informativas, informes, elaborados y recibidos, en la coordinación general del instituto municipal de cultura física y deporte de Metepec, generados del 1 de julio al 30 de octubre de 2013 y del 1 de febrero al 30 de mayo de 2014.</w:t>
      </w:r>
    </w:p>
    <w:p w:rsidR="002C445A" w:rsidRPr="00252C72" w:rsidRDefault="00064134">
      <w:pPr>
        <w:tabs>
          <w:tab w:val="left" w:pos="7938"/>
        </w:tabs>
        <w:spacing w:after="120"/>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252C72">
        <w:rPr>
          <w:rFonts w:ascii="Palatino Linotype" w:eastAsia="Palatino Linotype" w:hAnsi="Palatino Linotype" w:cs="Palatino Linotype"/>
          <w:b/>
          <w:i/>
          <w:sz w:val="22"/>
          <w:szCs w:val="22"/>
        </w:rPr>
        <w:t>Recurrente</w:t>
      </w:r>
      <w:r w:rsidRPr="00252C72">
        <w:rPr>
          <w:rFonts w:ascii="Palatino Linotype" w:eastAsia="Palatino Linotype" w:hAnsi="Palatino Linotype" w:cs="Palatino Linotype"/>
          <w:i/>
          <w:sz w:val="22"/>
          <w:szCs w:val="22"/>
        </w:rPr>
        <w:t>.</w:t>
      </w:r>
    </w:p>
    <w:p w:rsidR="002C445A" w:rsidRPr="00252C72" w:rsidRDefault="00064134">
      <w:pPr>
        <w:spacing w:before="240" w:after="240"/>
        <w:ind w:left="567" w:right="900"/>
        <w:jc w:val="both"/>
        <w:rPr>
          <w:rFonts w:ascii="Palatino Linotype" w:eastAsia="Palatino Linotype" w:hAnsi="Palatino Linotype" w:cs="Palatino Linotype"/>
          <w:i/>
          <w:sz w:val="22"/>
          <w:szCs w:val="22"/>
        </w:rPr>
      </w:pPr>
      <w:r w:rsidRPr="00252C72">
        <w:rPr>
          <w:rFonts w:ascii="Palatino Linotype" w:eastAsia="Palatino Linotype" w:hAnsi="Palatino Linotype" w:cs="Palatino Linotype"/>
          <w:i/>
          <w:sz w:val="22"/>
          <w:szCs w:val="22"/>
        </w:rPr>
        <w:t xml:space="preserve">En el caso que derivado de la búsqueda exhaustiva y razonable, no se localice la información que se ordena, el </w:t>
      </w:r>
      <w:r w:rsidRPr="00252C72">
        <w:rPr>
          <w:rFonts w:ascii="Palatino Linotype" w:eastAsia="Palatino Linotype" w:hAnsi="Palatino Linotype" w:cs="Palatino Linotype"/>
          <w:b/>
          <w:i/>
          <w:sz w:val="22"/>
          <w:szCs w:val="22"/>
        </w:rPr>
        <w:t>Sujeto Obligado</w:t>
      </w:r>
      <w:r w:rsidRPr="00252C72">
        <w:rPr>
          <w:rFonts w:ascii="Palatino Linotype" w:eastAsia="Palatino Linotype" w:hAnsi="Palatino Linotype" w:cs="Palatino Linotype"/>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Tercero.</w:t>
      </w:r>
      <w:r w:rsidRPr="00252C72">
        <w:rPr>
          <w:rFonts w:ascii="Palatino Linotype" w:eastAsia="Palatino Linotype" w:hAnsi="Palatino Linotype" w:cs="Palatino Linotype"/>
          <w:b/>
          <w:sz w:val="28"/>
          <w:szCs w:val="28"/>
        </w:rPr>
        <w:t xml:space="preserve">  </w:t>
      </w:r>
      <w:r w:rsidRPr="00252C72">
        <w:rPr>
          <w:rFonts w:ascii="Palatino Linotype" w:eastAsia="Palatino Linotype" w:hAnsi="Palatino Linotype" w:cs="Palatino Linotype"/>
          <w:b/>
        </w:rPr>
        <w:t>Notifíquese vía Sistema de Acceso a la Información Mexiquense (SAIMEX),</w:t>
      </w:r>
      <w:r w:rsidRPr="00252C72">
        <w:rPr>
          <w:rFonts w:ascii="Palatino Linotype" w:eastAsia="Palatino Linotype" w:hAnsi="Palatino Linotype" w:cs="Palatino Linotype"/>
          <w:b/>
          <w:sz w:val="28"/>
          <w:szCs w:val="28"/>
        </w:rPr>
        <w:t xml:space="preserve"> </w:t>
      </w:r>
      <w:r w:rsidRPr="00252C72">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C445A" w:rsidRPr="00252C72" w:rsidRDefault="00064134">
      <w:pPr>
        <w:spacing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Cuarto.</w:t>
      </w:r>
      <w:r w:rsidRPr="00252C72">
        <w:rPr>
          <w:rFonts w:ascii="Palatino Linotype" w:eastAsia="Palatino Linotype" w:hAnsi="Palatino Linotype" w:cs="Palatino Linotype"/>
          <w:b/>
          <w:sz w:val="28"/>
          <w:szCs w:val="28"/>
        </w:rPr>
        <w:t xml:space="preserve"> </w:t>
      </w:r>
      <w:r w:rsidRPr="00252C7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C445A" w:rsidRPr="00252C72" w:rsidRDefault="00064134">
      <w:pPr>
        <w:spacing w:before="240" w:after="240" w:line="360" w:lineRule="auto"/>
        <w:jc w:val="both"/>
        <w:rPr>
          <w:rFonts w:ascii="Palatino Linotype" w:eastAsia="Palatino Linotype" w:hAnsi="Palatino Linotype" w:cs="Palatino Linotype"/>
        </w:rPr>
      </w:pPr>
      <w:r w:rsidRPr="00252C72">
        <w:rPr>
          <w:rFonts w:ascii="Palatino Linotype" w:eastAsia="Palatino Linotype" w:hAnsi="Palatino Linotype" w:cs="Palatino Linotype"/>
          <w:b/>
        </w:rPr>
        <w:t xml:space="preserve">Quinto. Notifíquese, </w:t>
      </w:r>
      <w:r w:rsidRPr="00252C72">
        <w:rPr>
          <w:rFonts w:ascii="Palatino Linotype" w:eastAsia="Palatino Linotype" w:hAnsi="Palatino Linotype" w:cs="Palatino Linotype"/>
        </w:rPr>
        <w:t>a</w:t>
      </w:r>
      <w:r w:rsidRPr="00252C72">
        <w:rPr>
          <w:rFonts w:ascii="Palatino Linotype" w:eastAsia="Palatino Linotype" w:hAnsi="Palatino Linotype" w:cs="Palatino Linotype"/>
          <w:b/>
        </w:rPr>
        <w:t>l Recurrente</w:t>
      </w:r>
      <w:r w:rsidRPr="00252C72">
        <w:rPr>
          <w:rFonts w:ascii="Palatino Linotype" w:eastAsia="Palatino Linotype" w:hAnsi="Palatino Linotype" w:cs="Palatino Linotype"/>
        </w:rPr>
        <w:t xml:space="preserve"> </w:t>
      </w:r>
      <w:r w:rsidRPr="00252C72">
        <w:rPr>
          <w:rFonts w:ascii="Palatino Linotype" w:eastAsia="Palatino Linotype" w:hAnsi="Palatino Linotype" w:cs="Palatino Linotype"/>
          <w:b/>
        </w:rPr>
        <w:t xml:space="preserve">vía SAIMEX </w:t>
      </w:r>
      <w:r w:rsidRPr="00252C72">
        <w:rPr>
          <w:rFonts w:ascii="Palatino Linotype" w:eastAsia="Palatino Linotype" w:hAnsi="Palatino Linotype" w:cs="Palatino Linotype"/>
        </w:rPr>
        <w:t xml:space="preserve">la presente resolución, así como que podrá impugnarla vía </w:t>
      </w:r>
      <w:r w:rsidRPr="00252C72">
        <w:rPr>
          <w:rFonts w:ascii="Palatino Linotype" w:eastAsia="Palatino Linotype" w:hAnsi="Palatino Linotype" w:cs="Palatino Linotype"/>
          <w:b/>
        </w:rPr>
        <w:t>Juicio de Amparo</w:t>
      </w:r>
      <w:r w:rsidRPr="00252C72">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rsidR="002C445A" w:rsidRPr="00252C72" w:rsidRDefault="00064134">
      <w:pPr>
        <w:spacing w:before="240" w:after="240" w:line="360" w:lineRule="auto"/>
        <w:jc w:val="both"/>
        <w:rPr>
          <w:rFonts w:ascii="Palatino Linotype" w:eastAsia="Palatino Linotype" w:hAnsi="Palatino Linotype" w:cs="Palatino Linotype"/>
          <w:sz w:val="20"/>
          <w:szCs w:val="20"/>
        </w:rPr>
        <w:sectPr w:rsidR="002C445A" w:rsidRPr="00252C72">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pPr>
      <w:r w:rsidRPr="00252C7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 DOS MIL VEINTIDÓS, ANTE EL </w:t>
      </w:r>
      <w:r w:rsidRPr="00252C72">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simplePos x="0" y="0"/>
                <wp:positionH relativeFrom="column">
                  <wp:posOffset>34289</wp:posOffset>
                </wp:positionH>
                <wp:positionV relativeFrom="paragraph">
                  <wp:posOffset>1457960</wp:posOffset>
                </wp:positionV>
                <wp:extent cx="5419725" cy="628650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419725" cy="6286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64FCEF"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114.8pt" to="429.45pt,6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" strokecolor="black [3200]" strokeweight="2pt">
                <v:shadow on="t" color="black" opacity="24903f" origin=",.5" offset="0,.55556mm"/>
              </v:line>
            </w:pict>
          </mc:Fallback>
        </mc:AlternateContent>
      </w:r>
      <w:r w:rsidRPr="00252C72">
        <w:rPr>
          <w:rFonts w:ascii="Palatino Linotype" w:eastAsia="Palatino Linotype" w:hAnsi="Palatino Linotype" w:cs="Palatino Linotype"/>
        </w:rPr>
        <w:t>SECRETARIO TÉCNICO DEL PLENO, ALEXIS TAPIA RAMÍREZ.</w:t>
      </w:r>
    </w:p>
    <w:p w:rsidR="002C445A" w:rsidRPr="00252C72" w:rsidRDefault="002C445A">
      <w:pPr>
        <w:spacing w:before="240" w:after="240"/>
        <w:jc w:val="both"/>
        <w:rPr>
          <w:rFonts w:ascii="Palatino Linotype" w:eastAsia="Palatino Linotype" w:hAnsi="Palatino Linotype" w:cs="Palatino Linotype"/>
          <w:sz w:val="20"/>
          <w:szCs w:val="20"/>
        </w:rPr>
      </w:pPr>
    </w:p>
    <w:p w:rsidR="002C445A" w:rsidRPr="00252C72" w:rsidRDefault="002C445A">
      <w:pPr>
        <w:spacing w:before="240" w:after="240"/>
        <w:jc w:val="both"/>
        <w:rPr>
          <w:rFonts w:ascii="Palatino Linotype" w:eastAsia="Palatino Linotype" w:hAnsi="Palatino Linotype" w:cs="Palatino Linotype"/>
          <w:sz w:val="20"/>
          <w:szCs w:val="20"/>
        </w:rPr>
      </w:pPr>
    </w:p>
    <w:sectPr w:rsidR="002C445A" w:rsidRPr="00252C72">
      <w:headerReference w:type="first" r:id="rId2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DF" w:rsidRDefault="00BE61DF">
      <w:r>
        <w:separator/>
      </w:r>
    </w:p>
  </w:endnote>
  <w:endnote w:type="continuationSeparator" w:id="0">
    <w:p w:rsidR="00BE61DF" w:rsidRDefault="00BE6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altName w:val="Arial"/>
    <w:charset w:val="00"/>
    <w:family w:val="swiss"/>
    <w:pitch w:val="variable"/>
    <w:sig w:usb0="00000001"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5A" w:rsidRDefault="0006413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7FD3">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7FD3">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2C445A" w:rsidRDefault="002C445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5A" w:rsidRDefault="0006413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B7FD3">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B7FD3">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2C445A" w:rsidRDefault="002C445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DF" w:rsidRDefault="00BE61DF">
      <w:r>
        <w:separator/>
      </w:r>
    </w:p>
  </w:footnote>
  <w:footnote w:type="continuationSeparator" w:id="0">
    <w:p w:rsidR="00BE61DF" w:rsidRDefault="00BE61DF">
      <w:r>
        <w:continuationSeparator/>
      </w:r>
    </w:p>
  </w:footnote>
  <w:footnote w:id="1">
    <w:p w:rsidR="002C445A" w:rsidRDefault="0006413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2C445A" w:rsidRDefault="0006413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5A" w:rsidRDefault="0006413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-1012823</wp:posOffset>
          </wp:positionH>
          <wp:positionV relativeFrom="paragraph">
            <wp:posOffset>-253363</wp:posOffset>
          </wp:positionV>
          <wp:extent cx="7809865" cy="10165715"/>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5873" w:type="dxa"/>
      <w:tblInd w:w="3261" w:type="dxa"/>
      <w:tblLayout w:type="fixed"/>
      <w:tblLook w:val="0400" w:firstRow="0" w:lastRow="0" w:firstColumn="0" w:lastColumn="0" w:noHBand="0" w:noVBand="1"/>
    </w:tblPr>
    <w:tblGrid>
      <w:gridCol w:w="2409"/>
      <w:gridCol w:w="3464"/>
    </w:tblGrid>
    <w:tr w:rsidR="002C445A">
      <w:tc>
        <w:tcPr>
          <w:tcW w:w="2409" w:type="dxa"/>
          <w:shd w:val="clear" w:color="auto" w:fill="auto"/>
        </w:tcPr>
        <w:p w:rsidR="002C445A" w:rsidRDefault="0006413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2C445A" w:rsidRDefault="00064134">
          <w:pPr>
            <w:ind w:right="175"/>
            <w:jc w:val="both"/>
            <w:rPr>
              <w:rFonts w:ascii="Palatino Linotype" w:eastAsia="Palatino Linotype" w:hAnsi="Palatino Linotype" w:cs="Palatino Linotype"/>
              <w:b/>
            </w:rPr>
          </w:pPr>
          <w:r>
            <w:rPr>
              <w:rFonts w:ascii="Palatino Linotype" w:eastAsia="Palatino Linotype" w:hAnsi="Palatino Linotype" w:cs="Palatino Linotype"/>
              <w:b/>
            </w:rPr>
            <w:t>11934/INFOEM/IP/RR/2022 y acumulados</w:t>
          </w:r>
        </w:p>
      </w:tc>
    </w:tr>
    <w:tr w:rsidR="002C445A">
      <w:trPr>
        <w:trHeight w:val="228"/>
      </w:trPr>
      <w:tc>
        <w:tcPr>
          <w:tcW w:w="2409" w:type="dxa"/>
          <w:shd w:val="clear" w:color="auto" w:fill="auto"/>
          <w:vAlign w:val="center"/>
        </w:tcPr>
        <w:p w:rsidR="002C445A" w:rsidRDefault="0006413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2C445A" w:rsidRDefault="00064134">
          <w:pPr>
            <w:ind w:left="-45" w:right="-479"/>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2C445A">
      <w:tc>
        <w:tcPr>
          <w:tcW w:w="2409" w:type="dxa"/>
          <w:shd w:val="clear" w:color="auto" w:fill="auto"/>
          <w:vAlign w:val="center"/>
        </w:tcPr>
        <w:p w:rsidR="002C445A" w:rsidRDefault="0006413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2C445A" w:rsidRDefault="0006413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2C445A" w:rsidRDefault="0006413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5A" w:rsidRDefault="0006413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-945512</wp:posOffset>
          </wp:positionH>
          <wp:positionV relativeFrom="paragraph">
            <wp:posOffset>-161288</wp:posOffset>
          </wp:positionV>
          <wp:extent cx="7809865" cy="1016571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e"/>
      <w:tblW w:w="5953" w:type="dxa"/>
      <w:tblInd w:w="3261" w:type="dxa"/>
      <w:tblLayout w:type="fixed"/>
      <w:tblLook w:val="0400" w:firstRow="0" w:lastRow="0" w:firstColumn="0" w:lastColumn="0" w:noHBand="0" w:noVBand="1"/>
    </w:tblPr>
    <w:tblGrid>
      <w:gridCol w:w="2551"/>
      <w:gridCol w:w="3402"/>
    </w:tblGrid>
    <w:tr w:rsidR="002C445A">
      <w:tc>
        <w:tcPr>
          <w:tcW w:w="2551" w:type="dxa"/>
          <w:shd w:val="clear" w:color="auto" w:fill="auto"/>
          <w:vAlign w:val="center"/>
        </w:tcPr>
        <w:p w:rsidR="002C445A" w:rsidRDefault="0006413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2C445A" w:rsidRDefault="00064134">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11934/INFOEM/IP/RR/2022 y acumulados</w:t>
          </w:r>
        </w:p>
      </w:tc>
    </w:tr>
    <w:tr w:rsidR="002C445A">
      <w:trPr>
        <w:trHeight w:val="130"/>
      </w:trPr>
      <w:tc>
        <w:tcPr>
          <w:tcW w:w="2551" w:type="dxa"/>
          <w:shd w:val="clear" w:color="auto" w:fill="auto"/>
          <w:vAlign w:val="center"/>
        </w:tcPr>
        <w:p w:rsidR="002C445A" w:rsidRDefault="0006413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2C445A" w:rsidRDefault="00AB7FD3" w:rsidP="00AB7FD3">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 XXXX XXXXXXX XXXXX</w:t>
          </w:r>
        </w:p>
      </w:tc>
    </w:tr>
    <w:tr w:rsidR="002C445A">
      <w:trPr>
        <w:trHeight w:val="228"/>
      </w:trPr>
      <w:tc>
        <w:tcPr>
          <w:tcW w:w="2551" w:type="dxa"/>
          <w:shd w:val="clear" w:color="auto" w:fill="auto"/>
          <w:vAlign w:val="center"/>
        </w:tcPr>
        <w:p w:rsidR="002C445A" w:rsidRDefault="0006413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2C445A" w:rsidRDefault="00064134">
          <w:pPr>
            <w:ind w:left="-45" w:right="168"/>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2C445A">
      <w:tc>
        <w:tcPr>
          <w:tcW w:w="2551" w:type="dxa"/>
          <w:shd w:val="clear" w:color="auto" w:fill="auto"/>
          <w:vAlign w:val="center"/>
        </w:tcPr>
        <w:p w:rsidR="002C445A" w:rsidRDefault="0006413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2C445A" w:rsidRDefault="0006413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2C445A" w:rsidRDefault="002C445A">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5A" w:rsidRDefault="002C445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9F8"/>
    <w:multiLevelType w:val="multilevel"/>
    <w:tmpl w:val="CE5E84D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195CBA"/>
    <w:multiLevelType w:val="multilevel"/>
    <w:tmpl w:val="26B09AE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8BF1320"/>
    <w:multiLevelType w:val="multilevel"/>
    <w:tmpl w:val="AE9646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7CB49B4"/>
    <w:multiLevelType w:val="multilevel"/>
    <w:tmpl w:val="82126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4CF2999"/>
    <w:multiLevelType w:val="multilevel"/>
    <w:tmpl w:val="F4C8458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nsid w:val="71AF1E13"/>
    <w:multiLevelType w:val="multilevel"/>
    <w:tmpl w:val="E6748BC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5A"/>
    <w:rsid w:val="00064134"/>
    <w:rsid w:val="001752E3"/>
    <w:rsid w:val="00252C72"/>
    <w:rsid w:val="002C445A"/>
    <w:rsid w:val="007047F9"/>
    <w:rsid w:val="00AB7FD3"/>
    <w:rsid w:val="00BE61DF"/>
    <w:rsid w:val="00C14159"/>
    <w:rsid w:val="00C73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9685A-342F-4C3A-856C-F2F1F903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240"/>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15" w:type="dxa"/>
        <w:bottom w:w="0" w:type="dxa"/>
        <w:right w:w="115" w:type="dxa"/>
      </w:tblCellMar>
    </w:tblPr>
  </w:style>
  <w:style w:type="table" w:customStyle="1" w:styleId="a7">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3"/>
    <w:tblPr>
      <w:tblStyleRowBandSize w:val="1"/>
      <w:tblStyleColBandSize w:val="1"/>
      <w:tblCellMar>
        <w:top w:w="0" w:type="dxa"/>
        <w:left w:w="115" w:type="dxa"/>
        <w:bottom w:w="0" w:type="dxa"/>
        <w:right w:w="115" w:type="dxa"/>
      </w:tblCellMar>
    </w:tblPr>
  </w:style>
  <w:style w:type="table" w:customStyle="1" w:styleId="ab">
    <w:basedOn w:val="TableNormal3"/>
    <w:tblPr>
      <w:tblStyleRowBandSize w:val="1"/>
      <w:tblStyleColBandSize w:val="1"/>
      <w:tblCellMar>
        <w:top w:w="0" w:type="dxa"/>
        <w:left w:w="115" w:type="dxa"/>
        <w:bottom w:w="0" w:type="dxa"/>
        <w:right w:w="115" w:type="dxa"/>
      </w:tblCellMar>
    </w:tblPr>
  </w:style>
  <w:style w:type="table" w:customStyle="1" w:styleId="ac">
    <w:basedOn w:val="TableNormal3"/>
    <w:tblPr>
      <w:tblStyleRowBandSize w:val="1"/>
      <w:tblStyleColBandSize w:val="1"/>
      <w:tblCellMar>
        <w:top w:w="0" w:type="dxa"/>
        <w:left w:w="115" w:type="dxa"/>
        <w:bottom w:w="0" w:type="dxa"/>
        <w:right w:w="115" w:type="dxa"/>
      </w:tblCellMar>
    </w:tblPr>
  </w:style>
  <w:style w:type="table" w:customStyle="1" w:styleId="ad">
    <w:basedOn w:val="TableNormal3"/>
    <w:tblPr>
      <w:tblStyleRowBandSize w:val="1"/>
      <w:tblStyleColBandSize w:val="1"/>
      <w:tblCellMar>
        <w:top w:w="0" w:type="dxa"/>
        <w:left w:w="115" w:type="dxa"/>
        <w:bottom w:w="0" w:type="dxa"/>
        <w:right w:w="115" w:type="dxa"/>
      </w:tblCellMar>
    </w:tblPr>
  </w:style>
  <w:style w:type="table" w:customStyle="1" w:styleId="ae">
    <w:basedOn w:val="TableNormal3"/>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b">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c">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e+1BXJ9FlcZ0vfq4NYxzHG2wrw==">AMUW2mXv7mLPqRfO3l+A64q3QI4E0nwo0FubQ9MiGWRizg74InMiPA3A64m1HcuGRkisGY5CJ1mZGeFau3eJlQOPg19wG3U2nI20ZBkETUNU38GY5YMdVj7hTrg08W6h5ZV5PKDoWjdNZZ72nRU1CAJ+y6HAeJPDSg0NGBmIbrp16+pxeb35iKA=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DEB0A8-D1BE-4C86-8FFB-BE12EEEA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12188</Words>
  <Characters>67040</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2022-12-02T17:31:00Z</cp:lastPrinted>
  <dcterms:created xsi:type="dcterms:W3CDTF">2022-12-07T17:46:00Z</dcterms:created>
  <dcterms:modified xsi:type="dcterms:W3CDTF">2022-12-07T17:46:00Z</dcterms:modified>
</cp:coreProperties>
</file>