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42A2FD5F" w:rsidR="00662C69" w:rsidRPr="00515F6C" w:rsidRDefault="009B11D6" w:rsidP="00B31E90">
      <w:pPr>
        <w:tabs>
          <w:tab w:val="left" w:pos="3465"/>
        </w:tabs>
        <w:spacing w:line="360" w:lineRule="auto"/>
        <w:jc w:val="both"/>
        <w:rPr>
          <w:rFonts w:ascii="Palatino Linotype" w:hAnsi="Palatino Linotype"/>
          <w:color w:val="000000" w:themeColor="text1"/>
        </w:rPr>
      </w:pPr>
      <w:r w:rsidRPr="00515F6C">
        <w:rPr>
          <w:rFonts w:ascii="Palatino Linotype" w:hAnsi="Palatino Linotype"/>
          <w:color w:val="000000" w:themeColor="text1"/>
        </w:rPr>
        <w:t>R</w:t>
      </w:r>
      <w:r w:rsidR="00662C69" w:rsidRPr="00515F6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15F6C">
        <w:rPr>
          <w:rFonts w:ascii="Palatino Linotype" w:hAnsi="Palatino Linotype"/>
          <w:color w:val="000000" w:themeColor="text1"/>
        </w:rPr>
        <w:t>icipios, con</w:t>
      </w:r>
      <w:r w:rsidR="00662C69" w:rsidRPr="00515F6C">
        <w:rPr>
          <w:rFonts w:ascii="Palatino Linotype" w:hAnsi="Palatino Linotype"/>
          <w:color w:val="000000" w:themeColor="text1"/>
        </w:rPr>
        <w:t xml:space="preserve"> </w:t>
      </w:r>
      <w:r w:rsidR="00485DB6" w:rsidRPr="00515F6C">
        <w:rPr>
          <w:rFonts w:ascii="Palatino Linotype" w:hAnsi="Palatino Linotype"/>
          <w:color w:val="000000" w:themeColor="text1"/>
        </w:rPr>
        <w:t xml:space="preserve">domicilio </w:t>
      </w:r>
      <w:r w:rsidR="00662C69" w:rsidRPr="00515F6C">
        <w:rPr>
          <w:rFonts w:ascii="Palatino Linotype" w:hAnsi="Palatino Linotype"/>
          <w:color w:val="000000" w:themeColor="text1"/>
        </w:rPr>
        <w:t xml:space="preserve">en Metepec, Estado de México; de </w:t>
      </w:r>
      <w:r w:rsidR="00644EFD" w:rsidRPr="00515F6C">
        <w:rPr>
          <w:rFonts w:ascii="Palatino Linotype" w:hAnsi="Palatino Linotype"/>
          <w:color w:val="000000" w:themeColor="text1"/>
        </w:rPr>
        <w:t>ocho</w:t>
      </w:r>
      <w:r w:rsidR="007076C5" w:rsidRPr="00515F6C">
        <w:rPr>
          <w:rFonts w:ascii="Palatino Linotype" w:hAnsi="Palatino Linotype"/>
          <w:color w:val="000000" w:themeColor="text1"/>
        </w:rPr>
        <w:t xml:space="preserve"> (</w:t>
      </w:r>
      <w:r w:rsidR="00644EFD" w:rsidRPr="00515F6C">
        <w:rPr>
          <w:rFonts w:ascii="Palatino Linotype" w:hAnsi="Palatino Linotype"/>
          <w:color w:val="000000" w:themeColor="text1"/>
        </w:rPr>
        <w:t>8</w:t>
      </w:r>
      <w:r w:rsidR="007076C5" w:rsidRPr="00515F6C">
        <w:rPr>
          <w:rFonts w:ascii="Palatino Linotype" w:hAnsi="Palatino Linotype"/>
          <w:color w:val="000000" w:themeColor="text1"/>
        </w:rPr>
        <w:t xml:space="preserve">) de </w:t>
      </w:r>
      <w:r w:rsidR="00644EFD" w:rsidRPr="00515F6C">
        <w:rPr>
          <w:rFonts w:ascii="Palatino Linotype" w:hAnsi="Palatino Linotype"/>
          <w:color w:val="000000" w:themeColor="text1"/>
        </w:rPr>
        <w:t>junio</w:t>
      </w:r>
      <w:r w:rsidR="002D1AA7" w:rsidRPr="00515F6C">
        <w:rPr>
          <w:rFonts w:ascii="Palatino Linotype" w:hAnsi="Palatino Linotype"/>
          <w:color w:val="000000" w:themeColor="text1"/>
        </w:rPr>
        <w:t xml:space="preserve"> de dos mil veinti</w:t>
      </w:r>
      <w:r w:rsidR="00384F2B" w:rsidRPr="00515F6C">
        <w:rPr>
          <w:rFonts w:ascii="Palatino Linotype" w:hAnsi="Palatino Linotype"/>
          <w:color w:val="000000" w:themeColor="text1"/>
        </w:rPr>
        <w:t>dós</w:t>
      </w:r>
      <w:r w:rsidR="00662C69" w:rsidRPr="00515F6C">
        <w:rPr>
          <w:rFonts w:ascii="Palatino Linotype" w:hAnsi="Palatino Linotype"/>
          <w:color w:val="000000" w:themeColor="text1"/>
        </w:rPr>
        <w:t>.</w:t>
      </w:r>
    </w:p>
    <w:p w14:paraId="1181C59D" w14:textId="77777777" w:rsidR="00B31E90" w:rsidRPr="00515F6C" w:rsidRDefault="00B31E90" w:rsidP="00B31E90">
      <w:pPr>
        <w:tabs>
          <w:tab w:val="left" w:pos="3465"/>
        </w:tabs>
        <w:spacing w:line="360" w:lineRule="auto"/>
        <w:jc w:val="both"/>
        <w:rPr>
          <w:rFonts w:ascii="Palatino Linotype" w:hAnsi="Palatino Linotype"/>
          <w:color w:val="000000" w:themeColor="text1"/>
        </w:rPr>
      </w:pPr>
    </w:p>
    <w:p w14:paraId="04F87235" w14:textId="398F959F" w:rsidR="005F0007" w:rsidRPr="00515F6C" w:rsidRDefault="00662C69" w:rsidP="00B31E90">
      <w:pPr>
        <w:spacing w:line="360" w:lineRule="auto"/>
        <w:jc w:val="both"/>
        <w:rPr>
          <w:rFonts w:ascii="Palatino Linotype" w:eastAsia="Times New Roman" w:hAnsi="Palatino Linotype" w:cs="Times New Roman"/>
          <w:color w:val="000000" w:themeColor="text1"/>
        </w:rPr>
      </w:pPr>
      <w:r w:rsidRPr="00515F6C">
        <w:rPr>
          <w:rFonts w:ascii="Palatino Linotype" w:hAnsi="Palatino Linotype"/>
          <w:b/>
          <w:color w:val="000000" w:themeColor="text1"/>
        </w:rPr>
        <w:t>VISTO</w:t>
      </w:r>
      <w:r w:rsidRPr="00515F6C">
        <w:rPr>
          <w:rFonts w:ascii="Palatino Linotype" w:hAnsi="Palatino Linotype"/>
          <w:color w:val="000000" w:themeColor="text1"/>
        </w:rPr>
        <w:t xml:space="preserve"> el expediente electrónico for</w:t>
      </w:r>
      <w:r w:rsidR="00D37494" w:rsidRPr="00515F6C">
        <w:rPr>
          <w:rFonts w:ascii="Palatino Linotype" w:hAnsi="Palatino Linotype"/>
          <w:color w:val="000000" w:themeColor="text1"/>
        </w:rPr>
        <w:t>mado con motivo del</w:t>
      </w:r>
      <w:r w:rsidRPr="00515F6C">
        <w:rPr>
          <w:rFonts w:ascii="Palatino Linotype" w:hAnsi="Palatino Linotype"/>
          <w:color w:val="000000" w:themeColor="text1"/>
        </w:rPr>
        <w:t xml:space="preserve"> recurso de revisión </w:t>
      </w:r>
      <w:r w:rsidR="00D9393D" w:rsidRPr="00515F6C">
        <w:rPr>
          <w:rFonts w:ascii="Palatino Linotype" w:hAnsi="Palatino Linotype"/>
          <w:b/>
        </w:rPr>
        <w:t>03923/INFOEM/IP/RR/2022</w:t>
      </w:r>
      <w:r w:rsidR="005F1362" w:rsidRPr="00515F6C">
        <w:rPr>
          <w:rFonts w:ascii="Palatino Linotype" w:eastAsia="Times New Roman" w:hAnsi="Palatino Linotype" w:cs="Arial"/>
          <w:bCs/>
          <w:color w:val="000000" w:themeColor="text1"/>
        </w:rPr>
        <w:t xml:space="preserve">, </w:t>
      </w:r>
      <w:r w:rsidR="006B31E7" w:rsidRPr="00515F6C">
        <w:rPr>
          <w:rFonts w:ascii="Palatino Linotype" w:eastAsia="Times New Roman" w:hAnsi="Palatino Linotype" w:cs="Times New Roman"/>
          <w:color w:val="000000" w:themeColor="text1"/>
        </w:rPr>
        <w:t>interpuesto por</w:t>
      </w:r>
      <w:r w:rsidR="0078249C" w:rsidRPr="00515F6C">
        <w:rPr>
          <w:rFonts w:ascii="Palatino Linotype" w:eastAsia="Times New Roman" w:hAnsi="Palatino Linotype" w:cs="Times New Roman"/>
          <w:color w:val="000000" w:themeColor="text1"/>
        </w:rPr>
        <w:t xml:space="preserve"> </w:t>
      </w:r>
      <w:r w:rsidR="009A5297">
        <w:rPr>
          <w:rFonts w:ascii="Palatino Linotype" w:hAnsi="Palatino Linotype"/>
          <w:b/>
          <w:sz w:val="22"/>
          <w:szCs w:val="22"/>
        </w:rPr>
        <w:t>XXXXXXX XXXX XXXXX XXXXXXX</w:t>
      </w:r>
      <w:bookmarkStart w:id="0" w:name="_GoBack"/>
      <w:bookmarkEnd w:id="0"/>
      <w:r w:rsidR="00DC6944" w:rsidRPr="00515F6C">
        <w:rPr>
          <w:rFonts w:ascii="Palatino Linotype" w:eastAsia="Times New Roman" w:hAnsi="Palatino Linotype" w:cs="Times New Roman"/>
          <w:color w:val="000000" w:themeColor="text1"/>
        </w:rPr>
        <w:t>,</w:t>
      </w:r>
      <w:r w:rsidR="00D0377B" w:rsidRPr="00515F6C">
        <w:rPr>
          <w:rFonts w:ascii="Palatino Linotype" w:eastAsia="Times New Roman" w:hAnsi="Palatino Linotype" w:cs="Times New Roman"/>
          <w:color w:val="000000" w:themeColor="text1"/>
        </w:rPr>
        <w:t xml:space="preserve"> </w:t>
      </w:r>
      <w:r w:rsidR="007076C5" w:rsidRPr="00515F6C">
        <w:rPr>
          <w:rFonts w:ascii="Palatino Linotype" w:eastAsia="Times New Roman" w:hAnsi="Palatino Linotype" w:cs="Times New Roman"/>
          <w:color w:val="000000" w:themeColor="text1"/>
        </w:rPr>
        <w:t>en adelante la</w:t>
      </w:r>
      <w:r w:rsidR="00E92215" w:rsidRPr="00515F6C">
        <w:rPr>
          <w:rFonts w:ascii="Palatino Linotype" w:eastAsia="Times New Roman" w:hAnsi="Palatino Linotype" w:cs="Times New Roman"/>
          <w:color w:val="000000" w:themeColor="text1"/>
        </w:rPr>
        <w:t xml:space="preserve"> </w:t>
      </w:r>
      <w:r w:rsidR="006B31E7" w:rsidRPr="00515F6C">
        <w:rPr>
          <w:rFonts w:ascii="Palatino Linotype" w:eastAsia="Times New Roman" w:hAnsi="Palatino Linotype" w:cs="Times New Roman"/>
          <w:b/>
          <w:bCs/>
          <w:color w:val="000000" w:themeColor="text1"/>
        </w:rPr>
        <w:t>RECURRENTE</w:t>
      </w:r>
      <w:r w:rsidR="00E647FF" w:rsidRPr="00515F6C">
        <w:rPr>
          <w:rFonts w:ascii="Palatino Linotype" w:eastAsia="Times New Roman" w:hAnsi="Palatino Linotype" w:cs="Arial"/>
          <w:color w:val="000000" w:themeColor="text1"/>
        </w:rPr>
        <w:t>;</w:t>
      </w:r>
      <w:r w:rsidR="005F1362" w:rsidRPr="00515F6C">
        <w:rPr>
          <w:rFonts w:ascii="Palatino Linotype" w:eastAsia="Times New Roman" w:hAnsi="Palatino Linotype" w:cs="Arial"/>
          <w:color w:val="000000" w:themeColor="text1"/>
        </w:rPr>
        <w:t xml:space="preserve"> en contra de la respuesta del</w:t>
      </w:r>
      <w:r w:rsidR="002C1007" w:rsidRPr="00515F6C">
        <w:rPr>
          <w:rFonts w:ascii="Palatino Linotype" w:eastAsia="Times New Roman" w:hAnsi="Palatino Linotype" w:cs="Arial"/>
          <w:color w:val="000000" w:themeColor="text1"/>
        </w:rPr>
        <w:t xml:space="preserve"> </w:t>
      </w:r>
      <w:r w:rsidR="00D9393D" w:rsidRPr="00515F6C">
        <w:rPr>
          <w:rFonts w:ascii="Palatino Linotype" w:hAnsi="Palatino Linotype"/>
          <w:b/>
          <w:bCs/>
          <w:color w:val="000000"/>
          <w:szCs w:val="20"/>
        </w:rPr>
        <w:t>Ayuntamiento de Atizapán de Zaragoza</w:t>
      </w:r>
      <w:r w:rsidR="009572EE" w:rsidRPr="00515F6C">
        <w:rPr>
          <w:rFonts w:ascii="Palatino Linotype" w:eastAsia="Calibri" w:hAnsi="Palatino Linotype" w:cs="Arial"/>
          <w:color w:val="000000" w:themeColor="text1"/>
          <w:lang w:val="es-ES"/>
        </w:rPr>
        <w:t>,</w:t>
      </w:r>
      <w:r w:rsidR="005F1362" w:rsidRPr="00515F6C">
        <w:rPr>
          <w:rFonts w:ascii="Palatino Linotype" w:eastAsia="Calibri" w:hAnsi="Palatino Linotype" w:cs="Arial"/>
          <w:color w:val="000000" w:themeColor="text1"/>
          <w:lang w:val="es-ES"/>
        </w:rPr>
        <w:t xml:space="preserve"> </w:t>
      </w:r>
      <w:r w:rsidR="005F1362" w:rsidRPr="00515F6C">
        <w:rPr>
          <w:rFonts w:ascii="Palatino Linotype" w:eastAsia="Times New Roman" w:hAnsi="Palatino Linotype" w:cs="Times New Roman"/>
          <w:color w:val="000000" w:themeColor="text1"/>
        </w:rPr>
        <w:t>en lo sucesivo el</w:t>
      </w:r>
      <w:r w:rsidR="005F1362" w:rsidRPr="00515F6C">
        <w:rPr>
          <w:rFonts w:ascii="Palatino Linotype" w:eastAsia="Times New Roman" w:hAnsi="Palatino Linotype" w:cs="Times New Roman"/>
          <w:b/>
          <w:color w:val="000000" w:themeColor="text1"/>
        </w:rPr>
        <w:t xml:space="preserve"> SUJETO OBLIGADO, </w:t>
      </w:r>
      <w:r w:rsidR="005F1362" w:rsidRPr="00515F6C">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515F6C" w:rsidRDefault="00662C69" w:rsidP="00B31E90">
      <w:pPr>
        <w:pStyle w:val="Ttulo1"/>
        <w:spacing w:before="0" w:line="360" w:lineRule="auto"/>
        <w:jc w:val="center"/>
        <w:rPr>
          <w:b/>
          <w:color w:val="000000" w:themeColor="text1"/>
          <w:lang w:val="pt-BR"/>
        </w:rPr>
      </w:pPr>
      <w:bookmarkStart w:id="1" w:name="_Toc461555884"/>
      <w:bookmarkStart w:id="2" w:name="_Toc466371847"/>
      <w:bookmarkStart w:id="3" w:name="_Toc87456484"/>
      <w:r w:rsidRPr="00515F6C">
        <w:rPr>
          <w:b/>
          <w:color w:val="000000" w:themeColor="text1"/>
          <w:lang w:val="pt-BR"/>
        </w:rPr>
        <w:t>A</w:t>
      </w:r>
      <w:r w:rsidR="00C967DD" w:rsidRPr="00515F6C">
        <w:rPr>
          <w:b/>
          <w:color w:val="000000" w:themeColor="text1"/>
          <w:lang w:val="pt-BR"/>
        </w:rPr>
        <w:t xml:space="preserve"> </w:t>
      </w:r>
      <w:r w:rsidRPr="00515F6C">
        <w:rPr>
          <w:b/>
          <w:color w:val="000000" w:themeColor="text1"/>
          <w:lang w:val="pt-BR"/>
        </w:rPr>
        <w:t>N</w:t>
      </w:r>
      <w:r w:rsidR="00C967DD" w:rsidRPr="00515F6C">
        <w:rPr>
          <w:b/>
          <w:color w:val="000000" w:themeColor="text1"/>
          <w:lang w:val="pt-BR"/>
        </w:rPr>
        <w:t xml:space="preserve"> </w:t>
      </w:r>
      <w:r w:rsidRPr="00515F6C">
        <w:rPr>
          <w:b/>
          <w:color w:val="000000" w:themeColor="text1"/>
          <w:lang w:val="pt-BR"/>
        </w:rPr>
        <w:t>T</w:t>
      </w:r>
      <w:r w:rsidR="00C967DD" w:rsidRPr="00515F6C">
        <w:rPr>
          <w:b/>
          <w:color w:val="000000" w:themeColor="text1"/>
          <w:lang w:val="pt-BR"/>
        </w:rPr>
        <w:t xml:space="preserve"> </w:t>
      </w:r>
      <w:r w:rsidRPr="00515F6C">
        <w:rPr>
          <w:b/>
          <w:color w:val="000000" w:themeColor="text1"/>
          <w:lang w:val="pt-BR"/>
        </w:rPr>
        <w:t>E</w:t>
      </w:r>
      <w:r w:rsidR="00C967DD" w:rsidRPr="00515F6C">
        <w:rPr>
          <w:b/>
          <w:color w:val="000000" w:themeColor="text1"/>
          <w:lang w:val="pt-BR"/>
        </w:rPr>
        <w:t xml:space="preserve"> </w:t>
      </w:r>
      <w:r w:rsidRPr="00515F6C">
        <w:rPr>
          <w:b/>
          <w:color w:val="000000" w:themeColor="text1"/>
          <w:lang w:val="pt-BR"/>
        </w:rPr>
        <w:t>C</w:t>
      </w:r>
      <w:r w:rsidR="00C967DD" w:rsidRPr="00515F6C">
        <w:rPr>
          <w:b/>
          <w:color w:val="000000" w:themeColor="text1"/>
          <w:lang w:val="pt-BR"/>
        </w:rPr>
        <w:t xml:space="preserve"> </w:t>
      </w:r>
      <w:r w:rsidRPr="00515F6C">
        <w:rPr>
          <w:b/>
          <w:color w:val="000000" w:themeColor="text1"/>
          <w:lang w:val="pt-BR"/>
        </w:rPr>
        <w:t>E</w:t>
      </w:r>
      <w:r w:rsidR="00C967DD" w:rsidRPr="00515F6C">
        <w:rPr>
          <w:b/>
          <w:color w:val="000000" w:themeColor="text1"/>
          <w:lang w:val="pt-BR"/>
        </w:rPr>
        <w:t xml:space="preserve"> </w:t>
      </w:r>
      <w:r w:rsidRPr="00515F6C">
        <w:rPr>
          <w:b/>
          <w:color w:val="000000" w:themeColor="text1"/>
          <w:lang w:val="pt-BR"/>
        </w:rPr>
        <w:t>D</w:t>
      </w:r>
      <w:r w:rsidR="00C967DD" w:rsidRPr="00515F6C">
        <w:rPr>
          <w:b/>
          <w:color w:val="000000" w:themeColor="text1"/>
          <w:lang w:val="pt-BR"/>
        </w:rPr>
        <w:t xml:space="preserve"> </w:t>
      </w:r>
      <w:r w:rsidRPr="00515F6C">
        <w:rPr>
          <w:b/>
          <w:color w:val="000000" w:themeColor="text1"/>
          <w:lang w:val="pt-BR"/>
        </w:rPr>
        <w:t>E</w:t>
      </w:r>
      <w:r w:rsidR="00C967DD" w:rsidRPr="00515F6C">
        <w:rPr>
          <w:b/>
          <w:color w:val="000000" w:themeColor="text1"/>
          <w:lang w:val="pt-BR"/>
        </w:rPr>
        <w:t xml:space="preserve"> </w:t>
      </w:r>
      <w:r w:rsidRPr="00515F6C">
        <w:rPr>
          <w:b/>
          <w:color w:val="000000" w:themeColor="text1"/>
          <w:lang w:val="pt-BR"/>
        </w:rPr>
        <w:t>N</w:t>
      </w:r>
      <w:r w:rsidR="00C967DD" w:rsidRPr="00515F6C">
        <w:rPr>
          <w:b/>
          <w:color w:val="000000" w:themeColor="text1"/>
          <w:lang w:val="pt-BR"/>
        </w:rPr>
        <w:t xml:space="preserve"> </w:t>
      </w:r>
      <w:r w:rsidRPr="00515F6C">
        <w:rPr>
          <w:b/>
          <w:color w:val="000000" w:themeColor="text1"/>
          <w:lang w:val="pt-BR"/>
        </w:rPr>
        <w:t>T</w:t>
      </w:r>
      <w:r w:rsidR="00C967DD" w:rsidRPr="00515F6C">
        <w:rPr>
          <w:b/>
          <w:color w:val="000000" w:themeColor="text1"/>
          <w:lang w:val="pt-BR"/>
        </w:rPr>
        <w:t xml:space="preserve"> </w:t>
      </w:r>
      <w:r w:rsidRPr="00515F6C">
        <w:rPr>
          <w:b/>
          <w:color w:val="000000" w:themeColor="text1"/>
          <w:lang w:val="pt-BR"/>
        </w:rPr>
        <w:t>E</w:t>
      </w:r>
      <w:r w:rsidR="00C967DD" w:rsidRPr="00515F6C">
        <w:rPr>
          <w:b/>
          <w:color w:val="000000" w:themeColor="text1"/>
          <w:lang w:val="pt-BR"/>
        </w:rPr>
        <w:t xml:space="preserve"> </w:t>
      </w:r>
      <w:r w:rsidRPr="00515F6C">
        <w:rPr>
          <w:b/>
          <w:color w:val="000000" w:themeColor="text1"/>
          <w:lang w:val="pt-BR"/>
        </w:rPr>
        <w:t>S</w:t>
      </w:r>
      <w:bookmarkEnd w:id="1"/>
      <w:bookmarkEnd w:id="2"/>
      <w:bookmarkEnd w:id="3"/>
    </w:p>
    <w:p w14:paraId="402A4C0A" w14:textId="64CB6233" w:rsidR="00D9392E" w:rsidRPr="00515F6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15F6C">
        <w:rPr>
          <w:rFonts w:ascii="Palatino Linotype" w:eastAsia="Calibri" w:hAnsi="Palatino Linotype" w:cs="Arial"/>
          <w:color w:val="000000" w:themeColor="text1"/>
          <w:lang w:val="es-ES"/>
        </w:rPr>
        <w:t>El</w:t>
      </w:r>
      <w:r w:rsidR="00D9392E" w:rsidRPr="00515F6C">
        <w:rPr>
          <w:rFonts w:ascii="Palatino Linotype" w:eastAsia="Calibri" w:hAnsi="Palatino Linotype" w:cs="Arial"/>
          <w:color w:val="000000" w:themeColor="text1"/>
          <w:lang w:val="es-ES"/>
        </w:rPr>
        <w:t xml:space="preserve"> </w:t>
      </w:r>
      <w:r w:rsidR="004130AB" w:rsidRPr="00515F6C">
        <w:rPr>
          <w:rFonts w:ascii="Palatino Linotype" w:eastAsia="Calibri" w:hAnsi="Palatino Linotype" w:cs="Arial"/>
          <w:color w:val="000000" w:themeColor="text1"/>
          <w:lang w:val="es-ES"/>
        </w:rPr>
        <w:t>uno</w:t>
      </w:r>
      <w:r w:rsidR="00304056" w:rsidRPr="00515F6C">
        <w:rPr>
          <w:rFonts w:ascii="Palatino Linotype" w:eastAsia="Calibri" w:hAnsi="Palatino Linotype" w:cs="Arial"/>
          <w:color w:val="000000" w:themeColor="text1"/>
          <w:lang w:val="es-ES"/>
        </w:rPr>
        <w:t xml:space="preserve"> </w:t>
      </w:r>
      <w:r w:rsidR="007076C5" w:rsidRPr="00515F6C">
        <w:rPr>
          <w:rFonts w:ascii="Palatino Linotype" w:eastAsia="Calibri" w:hAnsi="Palatino Linotype" w:cs="Arial"/>
          <w:color w:val="000000" w:themeColor="text1"/>
          <w:lang w:val="es-ES"/>
        </w:rPr>
        <w:t>(</w:t>
      </w:r>
      <w:r w:rsidR="004130AB" w:rsidRPr="00515F6C">
        <w:rPr>
          <w:rFonts w:ascii="Palatino Linotype" w:eastAsia="Calibri" w:hAnsi="Palatino Linotype" w:cs="Arial"/>
          <w:color w:val="000000" w:themeColor="text1"/>
          <w:lang w:val="es-ES"/>
        </w:rPr>
        <w:t>1</w:t>
      </w:r>
      <w:r w:rsidR="007076C5" w:rsidRPr="00515F6C">
        <w:rPr>
          <w:rFonts w:ascii="Palatino Linotype" w:eastAsia="Calibri" w:hAnsi="Palatino Linotype" w:cs="Arial"/>
          <w:color w:val="000000" w:themeColor="text1"/>
          <w:lang w:val="es-ES"/>
        </w:rPr>
        <w:t xml:space="preserve">) de </w:t>
      </w:r>
      <w:r w:rsidR="00644EFD" w:rsidRPr="00515F6C">
        <w:rPr>
          <w:rFonts w:ascii="Palatino Linotype" w:eastAsia="Calibri" w:hAnsi="Palatino Linotype" w:cs="Arial"/>
          <w:color w:val="000000" w:themeColor="text1"/>
          <w:lang w:val="es-ES"/>
        </w:rPr>
        <w:t>febrero</w:t>
      </w:r>
      <w:r w:rsidR="00B31E90" w:rsidRPr="00515F6C">
        <w:rPr>
          <w:rFonts w:ascii="Palatino Linotype" w:eastAsia="Calibri" w:hAnsi="Palatino Linotype" w:cs="Arial"/>
          <w:color w:val="000000" w:themeColor="text1"/>
          <w:lang w:val="es-ES"/>
        </w:rPr>
        <w:t xml:space="preserve"> de dos mil veinti</w:t>
      </w:r>
      <w:r w:rsidR="00DC6944" w:rsidRPr="00515F6C">
        <w:rPr>
          <w:rFonts w:ascii="Palatino Linotype" w:eastAsia="Calibri" w:hAnsi="Palatino Linotype" w:cs="Arial"/>
          <w:color w:val="000000" w:themeColor="text1"/>
          <w:lang w:val="es-ES"/>
        </w:rPr>
        <w:t>dós</w:t>
      </w:r>
      <w:r w:rsidR="005F1362" w:rsidRPr="00515F6C">
        <w:rPr>
          <w:rFonts w:ascii="Palatino Linotype" w:eastAsia="Calibri" w:hAnsi="Palatino Linotype" w:cs="Arial"/>
          <w:color w:val="000000" w:themeColor="text1"/>
          <w:lang w:val="es-ES"/>
        </w:rPr>
        <w:t xml:space="preserve">, </w:t>
      </w:r>
      <w:r w:rsidR="004E197E" w:rsidRPr="00515F6C">
        <w:rPr>
          <w:rFonts w:ascii="Palatino Linotype" w:eastAsia="Calibri" w:hAnsi="Palatino Linotype" w:cs="Arial"/>
          <w:color w:val="000000" w:themeColor="text1"/>
          <w:lang w:val="es-ES"/>
        </w:rPr>
        <w:t>el</w:t>
      </w:r>
      <w:r w:rsidR="00B31E90" w:rsidRPr="00515F6C">
        <w:rPr>
          <w:rFonts w:ascii="Palatino Linotype" w:hAnsi="Palatino Linotype"/>
          <w:color w:val="000000" w:themeColor="text1"/>
        </w:rPr>
        <w:t xml:space="preserve"> particular</w:t>
      </w:r>
      <w:r w:rsidR="005F1362" w:rsidRPr="00515F6C">
        <w:rPr>
          <w:rFonts w:ascii="Palatino Linotype" w:hAnsi="Palatino Linotype"/>
          <w:color w:val="000000" w:themeColor="text1"/>
        </w:rPr>
        <w:t xml:space="preserve"> presentó</w:t>
      </w:r>
      <w:r w:rsidR="005F1362" w:rsidRPr="00515F6C">
        <w:rPr>
          <w:rFonts w:ascii="Palatino Linotype" w:hAnsi="Palatino Linotype"/>
          <w:b/>
          <w:color w:val="000000" w:themeColor="text1"/>
        </w:rPr>
        <w:t xml:space="preserve"> </w:t>
      </w:r>
      <w:r w:rsidR="00127E68" w:rsidRPr="00515F6C">
        <w:rPr>
          <w:rFonts w:ascii="Palatino Linotype" w:hAnsi="Palatino Linotype"/>
          <w:bCs/>
          <w:color w:val="000000" w:themeColor="text1"/>
        </w:rPr>
        <w:t xml:space="preserve">a través </w:t>
      </w:r>
      <w:r w:rsidR="00DE4F75" w:rsidRPr="00515F6C">
        <w:rPr>
          <w:rFonts w:ascii="Palatino Linotype" w:hAnsi="Palatino Linotype"/>
          <w:bCs/>
          <w:color w:val="000000" w:themeColor="text1"/>
        </w:rPr>
        <w:t>del</w:t>
      </w:r>
      <w:r w:rsidR="004863BC" w:rsidRPr="00515F6C">
        <w:rPr>
          <w:rFonts w:ascii="Palatino Linotype" w:hAnsi="Palatino Linotype"/>
          <w:bCs/>
          <w:color w:val="000000" w:themeColor="text1"/>
        </w:rPr>
        <w:t xml:space="preserve"> </w:t>
      </w:r>
      <w:r w:rsidR="005F1362" w:rsidRPr="00515F6C">
        <w:rPr>
          <w:rFonts w:ascii="Palatino Linotype" w:eastAsia="Calibri" w:hAnsi="Palatino Linotype" w:cs="Arial"/>
          <w:color w:val="000000" w:themeColor="text1"/>
          <w:lang w:val="es-ES"/>
        </w:rPr>
        <w:t xml:space="preserve">Sistema de Acceso a la Información Mexiquense </w:t>
      </w:r>
      <w:r w:rsidR="005F1362" w:rsidRPr="00515F6C">
        <w:rPr>
          <w:rFonts w:ascii="Palatino Linotype" w:eastAsia="Calibri" w:hAnsi="Palatino Linotype" w:cs="Arial"/>
          <w:bCs/>
          <w:color w:val="000000" w:themeColor="text1"/>
          <w:lang w:val="es-ES"/>
        </w:rPr>
        <w:t>(SAIMEX)</w:t>
      </w:r>
      <w:r w:rsidR="005F1362" w:rsidRPr="00515F6C">
        <w:rPr>
          <w:rFonts w:ascii="Palatino Linotype" w:eastAsia="Calibri" w:hAnsi="Palatino Linotype" w:cs="Arial"/>
          <w:color w:val="000000" w:themeColor="text1"/>
          <w:lang w:val="es-ES"/>
        </w:rPr>
        <w:t>, la solicitud de información pública registrada con el número</w:t>
      </w:r>
      <w:r w:rsidR="005F1362" w:rsidRPr="00515F6C">
        <w:rPr>
          <w:rFonts w:ascii="Palatino Linotype" w:hAnsi="Palatino Linotype"/>
          <w:b/>
          <w:bCs/>
          <w:color w:val="000000" w:themeColor="text1"/>
        </w:rPr>
        <w:t xml:space="preserve"> </w:t>
      </w:r>
      <w:r w:rsidR="000544CE" w:rsidRPr="00515F6C">
        <w:rPr>
          <w:rFonts w:ascii="Palatino Linotype" w:hAnsi="Palatino Linotype"/>
          <w:b/>
          <w:bCs/>
          <w:color w:val="000000" w:themeColor="text1"/>
        </w:rPr>
        <w:t>00</w:t>
      </w:r>
      <w:r w:rsidR="00B17AEB" w:rsidRPr="00515F6C">
        <w:rPr>
          <w:rFonts w:ascii="Palatino Linotype" w:hAnsi="Palatino Linotype"/>
          <w:b/>
          <w:bCs/>
          <w:color w:val="000000" w:themeColor="text1"/>
        </w:rPr>
        <w:t>0</w:t>
      </w:r>
      <w:r w:rsidR="00505DB4" w:rsidRPr="00515F6C">
        <w:rPr>
          <w:rFonts w:ascii="Palatino Linotype" w:hAnsi="Palatino Linotype"/>
          <w:b/>
          <w:bCs/>
          <w:color w:val="000000" w:themeColor="text1"/>
        </w:rPr>
        <w:t>71</w:t>
      </w:r>
      <w:r w:rsidR="00304056" w:rsidRPr="00515F6C">
        <w:rPr>
          <w:rFonts w:ascii="Palatino Linotype" w:hAnsi="Palatino Linotype"/>
          <w:b/>
          <w:bCs/>
          <w:color w:val="000000" w:themeColor="text1"/>
        </w:rPr>
        <w:t>/</w:t>
      </w:r>
      <w:r w:rsidR="00505DB4" w:rsidRPr="00515F6C">
        <w:rPr>
          <w:rFonts w:ascii="Palatino Linotype" w:hAnsi="Palatino Linotype"/>
          <w:b/>
          <w:bCs/>
          <w:color w:val="000000" w:themeColor="text1"/>
        </w:rPr>
        <w:t>ATIZARA</w:t>
      </w:r>
      <w:r w:rsidR="007B50DF" w:rsidRPr="00515F6C">
        <w:rPr>
          <w:rFonts w:ascii="Palatino Linotype" w:hAnsi="Palatino Linotype"/>
          <w:b/>
          <w:bCs/>
          <w:color w:val="000000" w:themeColor="text1"/>
        </w:rPr>
        <w:t>/IP/202</w:t>
      </w:r>
      <w:r w:rsidR="000544CE" w:rsidRPr="00515F6C">
        <w:rPr>
          <w:rFonts w:ascii="Palatino Linotype" w:hAnsi="Palatino Linotype"/>
          <w:b/>
          <w:bCs/>
          <w:color w:val="000000" w:themeColor="text1"/>
        </w:rPr>
        <w:t>2</w:t>
      </w:r>
      <w:r w:rsidR="005F1362" w:rsidRPr="00515F6C">
        <w:rPr>
          <w:rFonts w:ascii="Palatino Linotype" w:hAnsi="Palatino Linotype"/>
          <w:b/>
          <w:bCs/>
          <w:color w:val="000000" w:themeColor="text1"/>
        </w:rPr>
        <w:t>,</w:t>
      </w:r>
      <w:r w:rsidR="005F1362" w:rsidRPr="00515F6C">
        <w:rPr>
          <w:rFonts w:ascii="Palatino Linotype" w:eastAsia="Calibri" w:hAnsi="Palatino Linotype" w:cs="Arial"/>
          <w:color w:val="000000" w:themeColor="text1"/>
          <w:lang w:val="es-ES"/>
        </w:rPr>
        <w:t xml:space="preserve"> mediante la cual requirió</w:t>
      </w:r>
      <w:r w:rsidR="00022D89" w:rsidRPr="00515F6C">
        <w:rPr>
          <w:rFonts w:ascii="Palatino Linotype" w:eastAsia="Calibri" w:hAnsi="Palatino Linotype" w:cs="Arial"/>
          <w:color w:val="000000" w:themeColor="text1"/>
          <w:lang w:val="es-ES"/>
        </w:rPr>
        <w:t xml:space="preserve"> lo siguiente</w:t>
      </w:r>
      <w:r w:rsidR="005F1362" w:rsidRPr="00515F6C">
        <w:rPr>
          <w:rFonts w:ascii="Palatino Linotype" w:eastAsia="Calibri" w:hAnsi="Palatino Linotype" w:cs="Arial"/>
          <w:color w:val="000000" w:themeColor="text1"/>
          <w:lang w:val="es-ES"/>
        </w:rPr>
        <w:t>:</w:t>
      </w:r>
    </w:p>
    <w:p w14:paraId="76EB7490" w14:textId="77777777" w:rsidR="00B31E90" w:rsidRPr="00515F6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84C0402" w:rsidR="0097210F" w:rsidRPr="00515F6C" w:rsidRDefault="005F1362" w:rsidP="00644EFD">
      <w:pPr>
        <w:pStyle w:val="Prrafodelista"/>
        <w:spacing w:line="276" w:lineRule="auto"/>
        <w:ind w:left="567" w:right="567"/>
        <w:jc w:val="both"/>
        <w:rPr>
          <w:rFonts w:ascii="Palatino Linotype" w:hAnsi="Palatino Linotype"/>
          <w:i/>
          <w:color w:val="000000" w:themeColor="text1"/>
          <w:sz w:val="22"/>
          <w:szCs w:val="22"/>
        </w:rPr>
      </w:pPr>
      <w:r w:rsidRPr="00515F6C">
        <w:rPr>
          <w:rFonts w:ascii="Palatino Linotype" w:hAnsi="Palatino Linotype"/>
          <w:i/>
          <w:color w:val="000000" w:themeColor="text1"/>
          <w:sz w:val="22"/>
          <w:szCs w:val="22"/>
        </w:rPr>
        <w:t>“</w:t>
      </w:r>
      <w:r w:rsidR="00505DB4" w:rsidRPr="00515F6C">
        <w:rPr>
          <w:rFonts w:ascii="Palatino Linotype" w:hAnsi="Palatino Linotype"/>
          <w:bCs/>
          <w:i/>
          <w:color w:val="000000"/>
          <w:sz w:val="22"/>
          <w:szCs w:val="22"/>
        </w:rPr>
        <w:t xml:space="preserve">Solicito respetuosamente al Municipio de Atizapán de Zaragoza, una copia simple en versión pública (sin los nombres de los ciudadanos, pero que sí contengan la dirección y fraccionamiento del predio) de los CAMBIOS DE USO DE SUELO, de densidad, del coeficiente de utilización y de altura de edificaciones de un lote o predio, OTORGADOS durante la gestión de la presidenta C. Ruth Olvera Nieto o sea durante los años 2019 al 2021 y que fueran otorgados ya sea por vía de su Dirección de Desarrollo Territorial o su Tesorería, a raíz de que el cabildo facultó al C. Tesorero Fernando Reyna a llevar a cabo esas funciones mediante acuerdo por el que el Honorable Ayuntamiento Constitucional delega facultades al titular de la Tesorería Municipal (Fernando Reyna) para otorgar la autorización de cambio de uso de suelo , de densidad, del coeficiente de utilización y de altura de edificaciones de un lote o predio en términos de lo establecido en la ley en la materia el 16 de abril del 2020 como consta en el Acta de Cabildo durante </w:t>
      </w:r>
      <w:r w:rsidR="00505DB4" w:rsidRPr="00515F6C">
        <w:rPr>
          <w:rFonts w:ascii="Palatino Linotype" w:hAnsi="Palatino Linotype"/>
          <w:bCs/>
          <w:i/>
          <w:color w:val="000000"/>
          <w:sz w:val="22"/>
          <w:szCs w:val="22"/>
        </w:rPr>
        <w:lastRenderedPageBreak/>
        <w:t>la décima séptima sesión extraordinaria del Cabildo de la Administración Municipal 2019-2021 como punto 4.1 de su Orden del Día. Cabe señalar que cada cambio de uso de suelo, densidad, altura y coeficiente de utilización viene acompañado de un estudio minucioso, del cual TAMBIÉN solicito copia simple.</w:t>
      </w:r>
      <w:r w:rsidRPr="00515F6C">
        <w:rPr>
          <w:rFonts w:ascii="Palatino Linotype" w:hAnsi="Palatino Linotype"/>
          <w:i/>
          <w:color w:val="000000" w:themeColor="text1"/>
          <w:sz w:val="22"/>
          <w:szCs w:val="22"/>
        </w:rPr>
        <w:t>” (Sic).</w:t>
      </w:r>
    </w:p>
    <w:p w14:paraId="010F49EF" w14:textId="4293FA51" w:rsidR="004E197E" w:rsidRPr="00515F6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74C2B05" w:rsidR="0039142B" w:rsidRPr="00515F6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15F6C">
        <w:rPr>
          <w:rFonts w:ascii="Palatino Linotype" w:hAnsi="Palatino Linotype" w:cs="Arial"/>
          <w:color w:val="000000" w:themeColor="text1"/>
        </w:rPr>
        <w:t>Modalidad de entrega: A través d</w:t>
      </w:r>
      <w:r w:rsidR="009C0215" w:rsidRPr="00515F6C">
        <w:rPr>
          <w:rFonts w:ascii="Palatino Linotype" w:hAnsi="Palatino Linotype" w:cs="Arial"/>
          <w:color w:val="000000" w:themeColor="text1"/>
        </w:rPr>
        <w:t>e</w:t>
      </w:r>
      <w:r w:rsidR="00644EFD" w:rsidRPr="00515F6C">
        <w:rPr>
          <w:rFonts w:ascii="Palatino Linotype" w:hAnsi="Palatino Linotype" w:cs="Arial"/>
          <w:color w:val="000000" w:themeColor="text1"/>
        </w:rPr>
        <w:t>l SAIMEX</w:t>
      </w:r>
      <w:r w:rsidR="00DA50D4" w:rsidRPr="00515F6C">
        <w:rPr>
          <w:rFonts w:ascii="Palatino Linotype" w:hAnsi="Palatino Linotype" w:cs="Arial"/>
          <w:color w:val="000000" w:themeColor="text1"/>
        </w:rPr>
        <w:t>.</w:t>
      </w:r>
      <w:r w:rsidR="009E6A7E" w:rsidRPr="00515F6C">
        <w:rPr>
          <w:rFonts w:ascii="Palatino Linotype" w:hAnsi="Palatino Linotype" w:cs="Arial"/>
          <w:color w:val="000000" w:themeColor="text1"/>
        </w:rPr>
        <w:t xml:space="preserve"> </w:t>
      </w:r>
    </w:p>
    <w:p w14:paraId="35BA18A9" w14:textId="77777777" w:rsidR="0039142B" w:rsidRPr="00515F6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5437F8A" w14:textId="43A7235A" w:rsidR="00644EFD" w:rsidRPr="00515F6C" w:rsidRDefault="00B31E90" w:rsidP="00505DB4">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15F6C">
        <w:rPr>
          <w:rFonts w:ascii="Palatino Linotype" w:eastAsia="MS Mincho" w:hAnsi="Palatino Linotype" w:cs="Times New Roman"/>
          <w:color w:val="000000" w:themeColor="text1"/>
        </w:rPr>
        <w:t xml:space="preserve">El </w:t>
      </w:r>
      <w:r w:rsidR="00505DB4" w:rsidRPr="00515F6C">
        <w:rPr>
          <w:rFonts w:ascii="Palatino Linotype" w:eastAsia="MS Mincho" w:hAnsi="Palatino Linotype" w:cs="Times New Roman"/>
          <w:color w:val="000000" w:themeColor="text1"/>
        </w:rPr>
        <w:t>veintitrés</w:t>
      </w:r>
      <w:r w:rsidR="00D0377B" w:rsidRPr="00515F6C">
        <w:rPr>
          <w:rFonts w:ascii="Palatino Linotype" w:eastAsia="MS Mincho" w:hAnsi="Palatino Linotype" w:cs="Times New Roman"/>
          <w:color w:val="000000" w:themeColor="text1"/>
        </w:rPr>
        <w:t xml:space="preserve"> </w:t>
      </w:r>
      <w:r w:rsidR="007076C5" w:rsidRPr="00515F6C">
        <w:rPr>
          <w:rFonts w:ascii="Palatino Linotype" w:eastAsia="MS Mincho" w:hAnsi="Palatino Linotype" w:cs="Times New Roman"/>
          <w:color w:val="000000" w:themeColor="text1"/>
        </w:rPr>
        <w:t>(</w:t>
      </w:r>
      <w:r w:rsidR="00505DB4" w:rsidRPr="00515F6C">
        <w:rPr>
          <w:rFonts w:ascii="Palatino Linotype" w:eastAsia="MS Mincho" w:hAnsi="Palatino Linotype" w:cs="Times New Roman"/>
          <w:color w:val="000000" w:themeColor="text1"/>
        </w:rPr>
        <w:t>23</w:t>
      </w:r>
      <w:r w:rsidR="007076C5" w:rsidRPr="00515F6C">
        <w:rPr>
          <w:rFonts w:ascii="Palatino Linotype" w:eastAsia="MS Mincho" w:hAnsi="Palatino Linotype" w:cs="Times New Roman"/>
          <w:color w:val="000000" w:themeColor="text1"/>
        </w:rPr>
        <w:t xml:space="preserve">) de </w:t>
      </w:r>
      <w:r w:rsidR="00644EFD" w:rsidRPr="00515F6C">
        <w:rPr>
          <w:rFonts w:ascii="Palatino Linotype" w:eastAsia="MS Mincho" w:hAnsi="Palatino Linotype" w:cs="Times New Roman"/>
          <w:color w:val="000000" w:themeColor="text1"/>
        </w:rPr>
        <w:t xml:space="preserve">febrero, el Sujeto Obligado dio respuesta a la solicitud, adjuntando los documentos electrónicos denominados </w:t>
      </w:r>
      <w:r w:rsidR="00505DB4" w:rsidRPr="00515F6C">
        <w:rPr>
          <w:rFonts w:ascii="Palatino Linotype" w:eastAsia="MS Mincho" w:hAnsi="Palatino Linotype" w:cs="Times New Roman"/>
          <w:b/>
          <w:i/>
          <w:color w:val="000000" w:themeColor="text1"/>
          <w:sz w:val="22"/>
        </w:rPr>
        <w:t>SOL. 00071-OFICIO.pdf; 00071-533-2022.pdf; DECLARATORIA INEXISTENCIA 71 CDI.II.01.09.02.2022.pdf; TEXTADA ACTA ADM.CIRC. INGRESOS DIVERSOS.pdf; CIC-II-01-09-02-2022.pdf; y, Nueva carpeta.zip</w:t>
      </w:r>
      <w:r w:rsidR="00505DB4" w:rsidRPr="00515F6C">
        <w:rPr>
          <w:rFonts w:ascii="Palatino Linotype" w:eastAsia="MS Mincho" w:hAnsi="Palatino Linotype" w:cs="Times New Roman"/>
          <w:i/>
          <w:color w:val="000000" w:themeColor="text1"/>
          <w:sz w:val="22"/>
        </w:rPr>
        <w:t xml:space="preserve"> </w:t>
      </w:r>
      <w:r w:rsidR="00644EFD" w:rsidRPr="00515F6C">
        <w:rPr>
          <w:rFonts w:ascii="Palatino Linotype" w:eastAsia="MS Mincho" w:hAnsi="Palatino Linotype" w:cs="Times New Roman"/>
          <w:color w:val="000000" w:themeColor="text1"/>
        </w:rPr>
        <w:t>y, en los siguientes términos:</w:t>
      </w:r>
    </w:p>
    <w:p w14:paraId="442F720A" w14:textId="77777777" w:rsidR="00644EFD" w:rsidRPr="00515F6C" w:rsidRDefault="00644EFD" w:rsidP="00644EFD">
      <w:pPr>
        <w:pStyle w:val="Prrafodelista"/>
        <w:rPr>
          <w:rFonts w:ascii="Palatino Linotype" w:eastAsia="MS Mincho" w:hAnsi="Palatino Linotype" w:cs="Times New Roman"/>
          <w:i/>
          <w:color w:val="000000" w:themeColor="text1"/>
          <w:sz w:val="22"/>
        </w:rPr>
      </w:pPr>
    </w:p>
    <w:p w14:paraId="71C094DB" w14:textId="77777777" w:rsidR="00505DB4" w:rsidRPr="00515F6C" w:rsidRDefault="00644EFD" w:rsidP="00505DB4">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515F6C">
        <w:rPr>
          <w:rFonts w:ascii="Palatino Linotype" w:eastAsia="MS Mincho" w:hAnsi="Palatino Linotype" w:cs="Times New Roman"/>
          <w:i/>
          <w:color w:val="000000" w:themeColor="text1"/>
          <w:sz w:val="22"/>
        </w:rPr>
        <w:t xml:space="preserve"> </w:t>
      </w:r>
      <w:r w:rsidR="007A5BFC" w:rsidRPr="00515F6C">
        <w:rPr>
          <w:rFonts w:ascii="Palatino Linotype" w:eastAsia="MS Mincho" w:hAnsi="Palatino Linotype" w:cs="Times New Roman"/>
          <w:i/>
          <w:color w:val="000000" w:themeColor="text1"/>
          <w:sz w:val="22"/>
        </w:rPr>
        <w:t>“</w:t>
      </w:r>
      <w:r w:rsidR="00505DB4" w:rsidRPr="00515F6C">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1B8940" w14:textId="77777777" w:rsidR="00505DB4" w:rsidRPr="00515F6C" w:rsidRDefault="00505DB4" w:rsidP="00505DB4">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515F6C">
        <w:rPr>
          <w:rFonts w:ascii="Palatino Linotype" w:eastAsia="MS Mincho" w:hAnsi="Palatino Linotype" w:cs="Times New Roman"/>
          <w:i/>
          <w:color w:val="000000" w:themeColor="text1"/>
          <w:sz w:val="22"/>
        </w:rPr>
        <w:t xml:space="preserve">En atención a su la solicitud número de folio 00071/ATIZARA/IP/2022, al respecto me permito informar a usted que, se realizó una búsqueda en los archivos que obran en esta Dirección General de Ordenamiento Territorial y Desarrollo Urbano, de la cual se desprende que, durante la administración 2019-2021, no fue otorgada ninguna autorización de Cambio de Uso del Suelo por la entonces Dirección General de Desarrollo Territorial, además de que a partir del día dieciséis de abril del año dos mil veinte, mediante acuerdo tomado durante el desahogo del punto 4.1 de la Décima Séptima Sesión Extraordinaria de Cabildo de la Administración Municipal 2019 – 2021, el Pleno del H. Ayuntamiento de Atizapán de Zaragoza delegó facultades al Titular de la Tesorería Municipal, para otorgar la autorización de Cambio de Uso del Suelo, de densidad, del coeficiente de ocupación, del coeficiente de utilización y de </w:t>
      </w:r>
      <w:r w:rsidRPr="00515F6C">
        <w:rPr>
          <w:rFonts w:ascii="Palatino Linotype" w:eastAsia="MS Mincho" w:hAnsi="Palatino Linotype" w:cs="Times New Roman"/>
          <w:i/>
          <w:color w:val="000000" w:themeColor="text1"/>
          <w:sz w:val="22"/>
        </w:rPr>
        <w:lastRenderedPageBreak/>
        <w:t>altura de edificaciones de un lote o predio, mientras que la entonces Dirección General de Desarrollo Territorial, únicamente emitía Opinión Técnica, la cual era entregada a la Tesorería Municipal, a efecto de que se anexará al expediente del cambio de uso del suelo, siendo parte integral del mismo, motivo por cual respetuosamente le sugiero que dirija su solicitud a la Tesorería Municipal de este Ayuntamiento. Sin más por el momento, me reitero de usted. A T E N T A M E N T E MTRO. JOSÉ RAMÓN JARQUÍN RODRÍGUEZ DIRECTOR GENERAL DE ORDENAMIENTO TERRITORIAL Y DESARROLLO URBANO En atención a su solicitud número de folio 00071/ATIZARA/IP/2022, al respecto me permito informar a usted que, se realizó una búsqueda en los archivos que obran en esta Dirección General de Ordenamiento Territorial y Desarrollo Urbano, de la cual se desprende que, durante la administración 2019-2021, no fue otorgada ninguna autorización de Cambio de Uso del Suelo por la entonces Dirección General de Desarrollo Territorial, además de que a partir del día dieciséis de abril del año dos mil veinte, mediante acuerdo tomado durante el desahogo del punto 4.1 de la Décima Séptima Sesión Extraordinaria de Cabildo de la Administración Municipal 2019 – 2021, el Pleno del H. Ayuntamiento de Atizapán de Zaragoza delegó facultades al Titular de la Tesorería Municipal, para otorgar la autorización de Cambio de Uso del Suelo, de densidad, del coeficiente de ocupación, del coeficiente de utilización y de altura de edificaciones de un lote o predio, mientras que la entonces Dirección General de Desarrollo Territorial, únicamente emitía Opinión Técnica, la cual era entregada a la Tesorería Municipal, a efecto de que se anexará al expediente del cambio de uso del suelo, siendo parte integral del mismo, motivo por cual respetuosamente le sugiero que dirija su solicitud a la Tesorería Municipal de este Ayuntamiento. Sin más por el momento, me reitero de usted. A T E N T A M E N T E MTRO. JOSÉ RAMÓN JARQUÍN RODRÍGUEZ DIRECTOR GENERAL DE ORDENAMIENTO TERRITORIAL Y DESARROLLO URBANO</w:t>
      </w:r>
    </w:p>
    <w:p w14:paraId="2F6D211C" w14:textId="77777777" w:rsidR="00505DB4" w:rsidRPr="00515F6C" w:rsidRDefault="00505DB4" w:rsidP="00505DB4">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515F6C">
        <w:rPr>
          <w:rFonts w:ascii="Palatino Linotype" w:eastAsia="MS Mincho" w:hAnsi="Palatino Linotype" w:cs="Times New Roman"/>
          <w:i/>
          <w:color w:val="000000" w:themeColor="text1"/>
          <w:sz w:val="22"/>
        </w:rPr>
        <w:t>ATENTAMENTE</w:t>
      </w:r>
    </w:p>
    <w:p w14:paraId="5853F5BC" w14:textId="089C063E" w:rsidR="007A5BFC" w:rsidRPr="00515F6C" w:rsidRDefault="00505DB4" w:rsidP="00505DB4">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515F6C">
        <w:rPr>
          <w:rFonts w:ascii="Palatino Linotype" w:eastAsia="MS Mincho" w:hAnsi="Palatino Linotype" w:cs="Times New Roman"/>
          <w:i/>
          <w:color w:val="000000" w:themeColor="text1"/>
          <w:sz w:val="22"/>
        </w:rPr>
        <w:lastRenderedPageBreak/>
        <w:t>ING. KARLA IVONNE ROMERO SAUCEDO</w:t>
      </w:r>
      <w:r w:rsidR="007A5BFC" w:rsidRPr="00515F6C">
        <w:rPr>
          <w:rFonts w:ascii="Palatino Linotype" w:eastAsia="MS Mincho" w:hAnsi="Palatino Linotype" w:cs="Times New Roman"/>
          <w:i/>
          <w:color w:val="000000" w:themeColor="text1"/>
          <w:sz w:val="22"/>
        </w:rPr>
        <w:t>” (sic)</w:t>
      </w:r>
    </w:p>
    <w:p w14:paraId="060FF7FE" w14:textId="77777777" w:rsidR="007A5BFC" w:rsidRPr="00515F6C" w:rsidRDefault="007A5BFC" w:rsidP="007A5BF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92AC795" w14:textId="04F35BCB" w:rsidR="0035066B" w:rsidRPr="00515F6C"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15F6C">
        <w:rPr>
          <w:rFonts w:ascii="Palatino Linotype" w:hAnsi="Palatino Linotype"/>
          <w:color w:val="000000" w:themeColor="text1"/>
          <w:szCs w:val="22"/>
        </w:rPr>
        <w:t>El Sujeto Obligado acompañó la respuesta de</w:t>
      </w:r>
      <w:r w:rsidR="007A5BFC" w:rsidRPr="00515F6C">
        <w:rPr>
          <w:rFonts w:ascii="Palatino Linotype" w:hAnsi="Palatino Linotype"/>
          <w:color w:val="000000" w:themeColor="text1"/>
          <w:szCs w:val="22"/>
        </w:rPr>
        <w:t xml:space="preserve"> </w:t>
      </w:r>
      <w:r w:rsidRPr="00515F6C">
        <w:rPr>
          <w:rFonts w:ascii="Palatino Linotype" w:hAnsi="Palatino Linotype"/>
          <w:color w:val="000000" w:themeColor="text1"/>
          <w:szCs w:val="22"/>
        </w:rPr>
        <w:t>l</w:t>
      </w:r>
      <w:r w:rsidR="007A5BFC" w:rsidRPr="00515F6C">
        <w:rPr>
          <w:rFonts w:ascii="Palatino Linotype" w:hAnsi="Palatino Linotype"/>
          <w:color w:val="000000" w:themeColor="text1"/>
          <w:szCs w:val="22"/>
        </w:rPr>
        <w:t>os</w:t>
      </w:r>
      <w:r w:rsidRPr="00515F6C">
        <w:rPr>
          <w:rFonts w:ascii="Palatino Linotype" w:hAnsi="Palatino Linotype"/>
          <w:color w:val="000000" w:themeColor="text1"/>
          <w:szCs w:val="22"/>
        </w:rPr>
        <w:t xml:space="preserve"> documento</w:t>
      </w:r>
      <w:r w:rsidR="007A5BFC" w:rsidRPr="00515F6C">
        <w:rPr>
          <w:rFonts w:ascii="Palatino Linotype" w:hAnsi="Palatino Linotype"/>
          <w:color w:val="000000" w:themeColor="text1"/>
          <w:szCs w:val="22"/>
        </w:rPr>
        <w:t>s</w:t>
      </w:r>
      <w:r w:rsidRPr="00515F6C">
        <w:rPr>
          <w:rFonts w:ascii="Palatino Linotype" w:hAnsi="Palatino Linotype"/>
          <w:color w:val="000000" w:themeColor="text1"/>
          <w:szCs w:val="22"/>
        </w:rPr>
        <w:t xml:space="preserve"> electrónico</w:t>
      </w:r>
      <w:r w:rsidR="007A5BFC" w:rsidRPr="00515F6C">
        <w:rPr>
          <w:rFonts w:ascii="Palatino Linotype" w:hAnsi="Palatino Linotype"/>
          <w:color w:val="000000" w:themeColor="text1"/>
          <w:szCs w:val="22"/>
        </w:rPr>
        <w:t>s</w:t>
      </w:r>
      <w:r w:rsidR="00DC6944" w:rsidRPr="00515F6C">
        <w:rPr>
          <w:rFonts w:ascii="Palatino Linotype" w:hAnsi="Palatino Linotype"/>
          <w:color w:val="000000" w:themeColor="text1"/>
          <w:szCs w:val="22"/>
        </w:rPr>
        <w:t xml:space="preserve"> siguiente</w:t>
      </w:r>
      <w:r w:rsidR="007A5BFC" w:rsidRPr="00515F6C">
        <w:rPr>
          <w:rFonts w:ascii="Palatino Linotype" w:hAnsi="Palatino Linotype"/>
          <w:color w:val="000000" w:themeColor="text1"/>
          <w:szCs w:val="22"/>
        </w:rPr>
        <w:t>s</w:t>
      </w:r>
      <w:r w:rsidR="00DC6944" w:rsidRPr="00515F6C">
        <w:rPr>
          <w:rFonts w:ascii="Palatino Linotype" w:hAnsi="Palatino Linotype"/>
          <w:color w:val="000000" w:themeColor="text1"/>
          <w:szCs w:val="22"/>
        </w:rPr>
        <w:t>:</w:t>
      </w:r>
    </w:p>
    <w:p w14:paraId="2504A73B" w14:textId="04FE4469" w:rsidR="00505DB4" w:rsidRPr="00515F6C" w:rsidRDefault="00505DB4" w:rsidP="00505DB4">
      <w:pPr>
        <w:pStyle w:val="Prrafodelista"/>
        <w:numPr>
          <w:ilvl w:val="0"/>
          <w:numId w:val="6"/>
        </w:numPr>
        <w:tabs>
          <w:tab w:val="left" w:pos="284"/>
          <w:tab w:val="left" w:pos="426"/>
        </w:tabs>
        <w:spacing w:line="360" w:lineRule="auto"/>
        <w:jc w:val="both"/>
        <w:rPr>
          <w:rFonts w:ascii="Palatino Linotype" w:hAnsi="Palatino Linotype"/>
          <w:color w:val="000000" w:themeColor="text1"/>
          <w:szCs w:val="22"/>
        </w:rPr>
      </w:pPr>
      <w:r w:rsidRPr="00515F6C">
        <w:rPr>
          <w:rFonts w:ascii="Palatino Linotype" w:hAnsi="Palatino Linotype"/>
          <w:b/>
          <w:color w:val="000000" w:themeColor="text1"/>
          <w:szCs w:val="22"/>
        </w:rPr>
        <w:t>SOL. 00071-OFICIO.pdf:</w:t>
      </w:r>
      <w:r w:rsidRPr="00515F6C">
        <w:rPr>
          <w:rFonts w:ascii="Palatino Linotype" w:hAnsi="Palatino Linotype"/>
          <w:color w:val="000000" w:themeColor="text1"/>
          <w:szCs w:val="22"/>
        </w:rPr>
        <w:t xml:space="preserve"> Oficio DGOTyDU/EJ/412/2022 de fecha 16 de febrero de dos mil veintidós, suscrito por el Director General de Ordenamiento Territorial y Desarrollo Urbano mediante el cual refiere que, no se expidió ninguna licencia de cambio de uso de suelo por la Dirección General de Ordenamiento Territorial en los años 2019-2021 y, el 16 de abril de 2020 por acuerdo del Cabildo, delegó facultades a la Tesorería para otorgar la autorización por cambio de uso de suelo y, la Dirección General de Desarrollo Territorial únicamente emite la Opinión Técnica que es entregada a la Tesorería.</w:t>
      </w:r>
    </w:p>
    <w:p w14:paraId="2BC16540" w14:textId="77777777" w:rsidR="00505DB4" w:rsidRPr="00515F6C" w:rsidRDefault="00505DB4" w:rsidP="00505DB4">
      <w:pPr>
        <w:tabs>
          <w:tab w:val="left" w:pos="284"/>
          <w:tab w:val="left" w:pos="426"/>
        </w:tabs>
        <w:spacing w:line="360" w:lineRule="auto"/>
        <w:jc w:val="both"/>
        <w:rPr>
          <w:rFonts w:ascii="Palatino Linotype" w:hAnsi="Palatino Linotype"/>
          <w:color w:val="000000" w:themeColor="text1"/>
          <w:szCs w:val="22"/>
        </w:rPr>
      </w:pPr>
    </w:p>
    <w:p w14:paraId="3E903CE1" w14:textId="62440D3B" w:rsidR="00505DB4" w:rsidRPr="00515F6C" w:rsidRDefault="00505DB4" w:rsidP="00505DB4">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00071-533-2022.pdf</w:t>
      </w:r>
      <w:r w:rsidR="00920D03" w:rsidRPr="00515F6C">
        <w:rPr>
          <w:rFonts w:ascii="Palatino Linotype" w:hAnsi="Palatino Linotype"/>
          <w:b/>
          <w:color w:val="000000" w:themeColor="text1"/>
          <w:szCs w:val="22"/>
        </w:rPr>
        <w:t xml:space="preserve">: </w:t>
      </w:r>
      <w:r w:rsidR="00920D03" w:rsidRPr="00515F6C">
        <w:rPr>
          <w:rFonts w:ascii="Palatino Linotype" w:hAnsi="Palatino Linotype"/>
          <w:color w:val="000000" w:themeColor="text1"/>
          <w:szCs w:val="22"/>
        </w:rPr>
        <w:t xml:space="preserve">Oficio TM/533/2022 suscrito por el Tesorero Municipal, mediante el cual indica que, </w:t>
      </w:r>
      <w:r w:rsidR="0007666A" w:rsidRPr="00515F6C">
        <w:rPr>
          <w:rFonts w:ascii="Palatino Linotype" w:hAnsi="Palatino Linotype"/>
          <w:color w:val="000000" w:themeColor="text1"/>
          <w:szCs w:val="22"/>
        </w:rPr>
        <w:t>se anexan archivos en versión pública con sustento en el acuerdo CIC/II/01/09/2022 emitido por el Comité de Transparencia; asimismo, se anexa el acta administrativa circunstanciada con número AZCM/AC-071/2021 acuerdo de inexistencia ya que los expedientes TM/URUM/001/2020 al TM/URUM/059/2021 de cambio de uso de suelo no obran en la Tesorería Municipal por la pérdida total de los expedientes.</w:t>
      </w:r>
    </w:p>
    <w:p w14:paraId="09D3F2EF" w14:textId="77777777" w:rsidR="0007666A" w:rsidRPr="00515F6C" w:rsidRDefault="0007666A" w:rsidP="0007666A">
      <w:pPr>
        <w:pStyle w:val="Prrafodelista"/>
        <w:rPr>
          <w:rFonts w:ascii="Palatino Linotype" w:hAnsi="Palatino Linotype"/>
          <w:b/>
          <w:color w:val="000000" w:themeColor="text1"/>
          <w:szCs w:val="22"/>
        </w:rPr>
      </w:pPr>
    </w:p>
    <w:p w14:paraId="3E7C514A" w14:textId="53FAE8FF" w:rsidR="00505DB4" w:rsidRPr="00515F6C" w:rsidRDefault="00505DB4" w:rsidP="00505DB4">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DECLARATORIA INEXISTENCIA 71 CDI.II.01.09.02.2022.pdf</w:t>
      </w:r>
      <w:r w:rsidR="0007666A" w:rsidRPr="00515F6C">
        <w:rPr>
          <w:rFonts w:ascii="Palatino Linotype" w:hAnsi="Palatino Linotype"/>
          <w:b/>
          <w:color w:val="000000" w:themeColor="text1"/>
          <w:szCs w:val="22"/>
        </w:rPr>
        <w:t xml:space="preserve">: </w:t>
      </w:r>
      <w:r w:rsidR="0007666A" w:rsidRPr="00515F6C">
        <w:rPr>
          <w:rFonts w:ascii="Palatino Linotype" w:hAnsi="Palatino Linotype"/>
          <w:color w:val="000000" w:themeColor="text1"/>
          <w:szCs w:val="22"/>
        </w:rPr>
        <w:t xml:space="preserve">Acuerdo CDI/II/01/09/02/2022 del Comité de Transparencia del H. Ayuntamiento de solicitud de confirmación de declaratoria de inexistencia de información, </w:t>
      </w:r>
      <w:r w:rsidR="0007666A" w:rsidRPr="00515F6C">
        <w:rPr>
          <w:rFonts w:ascii="Palatino Linotype" w:hAnsi="Palatino Linotype"/>
          <w:color w:val="000000" w:themeColor="text1"/>
          <w:szCs w:val="22"/>
        </w:rPr>
        <w:lastRenderedPageBreak/>
        <w:t>como punto 09 de la segunda sesión ordinaria de fecha 09 de febrero de 2022. Se declara la inexistencia de la información de los expedientes</w:t>
      </w:r>
      <w:r w:rsidR="0007666A" w:rsidRPr="00515F6C">
        <w:rPr>
          <w:rFonts w:ascii="Palatino Linotype" w:hAnsi="Palatino Linotype"/>
          <w:b/>
          <w:color w:val="000000" w:themeColor="text1"/>
          <w:szCs w:val="22"/>
        </w:rPr>
        <w:t xml:space="preserve"> </w:t>
      </w:r>
      <w:r w:rsidR="0007666A" w:rsidRPr="00515F6C">
        <w:rPr>
          <w:rFonts w:ascii="Palatino Linotype" w:hAnsi="Palatino Linotype"/>
          <w:color w:val="000000" w:themeColor="text1"/>
          <w:szCs w:val="22"/>
        </w:rPr>
        <w:t>TM/URUM/001/2020 al TM/URUM/059/2021derivado de que por las fuertes lluvias, se derivó la inundación del Palacio Municipal, evento que suscitó el 5 de julio de 2021, ocasionando la pérdida de bienes muebles y expedientes.</w:t>
      </w:r>
    </w:p>
    <w:p w14:paraId="7EB87CB3" w14:textId="77777777" w:rsidR="0007666A" w:rsidRPr="00515F6C" w:rsidRDefault="0007666A" w:rsidP="0007666A">
      <w:pPr>
        <w:pStyle w:val="Prrafodelista"/>
        <w:rPr>
          <w:rFonts w:ascii="Palatino Linotype" w:hAnsi="Palatino Linotype"/>
          <w:b/>
          <w:color w:val="000000" w:themeColor="text1"/>
          <w:szCs w:val="22"/>
        </w:rPr>
      </w:pPr>
    </w:p>
    <w:p w14:paraId="29EF6C58" w14:textId="09CC8548" w:rsidR="00C85816" w:rsidRPr="00515F6C" w:rsidRDefault="00505DB4" w:rsidP="000F6E4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TEXTADA ACTA ADM.CIRC. INGRESOS DIVERSOS.pdf</w:t>
      </w:r>
      <w:r w:rsidR="0007666A" w:rsidRPr="00515F6C">
        <w:rPr>
          <w:rFonts w:ascii="Palatino Linotype" w:hAnsi="Palatino Linotype"/>
          <w:b/>
          <w:color w:val="000000" w:themeColor="text1"/>
          <w:szCs w:val="22"/>
        </w:rPr>
        <w:t>:</w:t>
      </w:r>
      <w:r w:rsidR="00C85816" w:rsidRPr="00515F6C">
        <w:rPr>
          <w:rFonts w:ascii="Palatino Linotype" w:hAnsi="Palatino Linotype"/>
          <w:b/>
          <w:color w:val="000000" w:themeColor="text1"/>
          <w:szCs w:val="22"/>
        </w:rPr>
        <w:t xml:space="preserve"> </w:t>
      </w:r>
      <w:r w:rsidR="00C85816" w:rsidRPr="00515F6C">
        <w:rPr>
          <w:rFonts w:ascii="Palatino Linotype" w:hAnsi="Palatino Linotype"/>
          <w:color w:val="000000" w:themeColor="text1"/>
          <w:szCs w:val="22"/>
        </w:rPr>
        <w:t>Acta Administrativa Circunstanciada AZCM/AC-071/2021 en versión pública, mediante el cual indican que derivado de una inundación de aguas negras, se llevó a cabo la verificación exhaustiva de la documentación que se encontraba mojada detallando lo dañado, entre la que se encuentra dos cajas las cuales contienen 59 expedientes de trámites de cambio de uso de suelo, del expediente TM/URUM/001/2020 al TM/URUM/059/2021.</w:t>
      </w:r>
    </w:p>
    <w:p w14:paraId="09FC2A4C" w14:textId="77777777" w:rsidR="00C85816" w:rsidRPr="00515F6C" w:rsidRDefault="00C85816" w:rsidP="00C85816">
      <w:pPr>
        <w:pStyle w:val="Prrafodelista"/>
        <w:tabs>
          <w:tab w:val="left" w:pos="284"/>
          <w:tab w:val="left" w:pos="426"/>
        </w:tabs>
        <w:spacing w:line="360" w:lineRule="auto"/>
        <w:jc w:val="both"/>
        <w:rPr>
          <w:rFonts w:ascii="Palatino Linotype" w:hAnsi="Palatino Linotype"/>
          <w:b/>
          <w:color w:val="000000" w:themeColor="text1"/>
          <w:szCs w:val="22"/>
        </w:rPr>
      </w:pPr>
    </w:p>
    <w:p w14:paraId="46E07402" w14:textId="633D22DB" w:rsidR="00505DB4" w:rsidRPr="00515F6C" w:rsidRDefault="00505DB4" w:rsidP="00505DB4">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CIC-II-01-09-02-2022.pdf</w:t>
      </w:r>
      <w:r w:rsidR="00C85816" w:rsidRPr="00515F6C">
        <w:rPr>
          <w:rFonts w:ascii="Palatino Linotype" w:hAnsi="Palatino Linotype"/>
          <w:b/>
          <w:color w:val="000000" w:themeColor="text1"/>
          <w:szCs w:val="22"/>
        </w:rPr>
        <w:t xml:space="preserve">: </w:t>
      </w:r>
      <w:r w:rsidR="00C85816" w:rsidRPr="00515F6C">
        <w:rPr>
          <w:rFonts w:ascii="Palatino Linotype" w:hAnsi="Palatino Linotype"/>
          <w:color w:val="000000" w:themeColor="text1"/>
          <w:szCs w:val="22"/>
        </w:rPr>
        <w:t>Acuerdo del Comité de Transparencia del Sujeto Obligado mediante el cual se confirmó la clasificación como</w:t>
      </w:r>
      <w:r w:rsidR="00D55DEB" w:rsidRPr="00515F6C">
        <w:rPr>
          <w:rFonts w:ascii="Palatino Linotype" w:hAnsi="Palatino Linotype"/>
          <w:color w:val="000000" w:themeColor="text1"/>
          <w:szCs w:val="22"/>
        </w:rPr>
        <w:t xml:space="preserve"> información confidencial nombre</w:t>
      </w:r>
      <w:r w:rsidR="00C85816" w:rsidRPr="00515F6C">
        <w:rPr>
          <w:rFonts w:ascii="Palatino Linotype" w:hAnsi="Palatino Linotype"/>
          <w:color w:val="000000" w:themeColor="text1"/>
          <w:szCs w:val="22"/>
        </w:rPr>
        <w:t xml:space="preserve"> propio, dirección, manzana, lote, super</w:t>
      </w:r>
      <w:r w:rsidR="00F54373" w:rsidRPr="00515F6C">
        <w:rPr>
          <w:rFonts w:ascii="Palatino Linotype" w:hAnsi="Palatino Linotype"/>
          <w:color w:val="000000" w:themeColor="text1"/>
          <w:szCs w:val="22"/>
        </w:rPr>
        <w:t>ficie, M2, clave catastral, número de identificación, números de escritura o instrumentos notariales.</w:t>
      </w:r>
    </w:p>
    <w:p w14:paraId="7CC2A2CE" w14:textId="77777777" w:rsidR="00F54373" w:rsidRPr="00515F6C" w:rsidRDefault="00F54373" w:rsidP="00F54373">
      <w:pPr>
        <w:pStyle w:val="Prrafodelista"/>
        <w:rPr>
          <w:rFonts w:ascii="Palatino Linotype" w:hAnsi="Palatino Linotype"/>
          <w:b/>
          <w:color w:val="000000" w:themeColor="text1"/>
          <w:szCs w:val="22"/>
        </w:rPr>
      </w:pPr>
    </w:p>
    <w:p w14:paraId="230E8947" w14:textId="49742389" w:rsidR="00505DB4" w:rsidRPr="00515F6C" w:rsidRDefault="00505DB4" w:rsidP="00505DB4">
      <w:pPr>
        <w:pStyle w:val="Prrafodelista"/>
        <w:numPr>
          <w:ilvl w:val="0"/>
          <w:numId w:val="6"/>
        </w:numPr>
        <w:tabs>
          <w:tab w:val="left" w:pos="284"/>
          <w:tab w:val="left" w:pos="426"/>
        </w:tabs>
        <w:spacing w:line="360" w:lineRule="auto"/>
        <w:jc w:val="both"/>
        <w:rPr>
          <w:rFonts w:ascii="Palatino Linotype" w:hAnsi="Palatino Linotype"/>
          <w:color w:val="000000" w:themeColor="text1"/>
          <w:szCs w:val="22"/>
        </w:rPr>
      </w:pPr>
      <w:r w:rsidRPr="00515F6C">
        <w:rPr>
          <w:rFonts w:ascii="Palatino Linotype" w:hAnsi="Palatino Linotype"/>
          <w:b/>
          <w:color w:val="000000" w:themeColor="text1"/>
          <w:szCs w:val="22"/>
        </w:rPr>
        <w:t>Nueva carpeta.zip:</w:t>
      </w:r>
      <w:r w:rsidRPr="00515F6C">
        <w:rPr>
          <w:rFonts w:ascii="Palatino Linotype" w:hAnsi="Palatino Linotype"/>
          <w:color w:val="000000" w:themeColor="text1"/>
          <w:szCs w:val="22"/>
        </w:rPr>
        <w:t xml:space="preserve"> Versión Pública de las licencias de cambio de uso de suelo.</w:t>
      </w:r>
    </w:p>
    <w:p w14:paraId="32AB99CF" w14:textId="77777777" w:rsidR="00644EFD" w:rsidRPr="00515F6C" w:rsidRDefault="00644EFD" w:rsidP="00644EFD">
      <w:pPr>
        <w:pStyle w:val="Prrafodelista"/>
        <w:tabs>
          <w:tab w:val="left" w:pos="284"/>
          <w:tab w:val="left" w:pos="426"/>
        </w:tabs>
        <w:spacing w:line="360" w:lineRule="auto"/>
        <w:jc w:val="both"/>
        <w:rPr>
          <w:rFonts w:ascii="Palatino Linotype" w:hAnsi="Palatino Linotype"/>
          <w:color w:val="000000" w:themeColor="text1"/>
          <w:szCs w:val="22"/>
        </w:rPr>
      </w:pPr>
    </w:p>
    <w:p w14:paraId="272B63B3" w14:textId="7E3031AD" w:rsidR="000D5A1D" w:rsidRPr="00515F6C" w:rsidRDefault="00FD7996" w:rsidP="00644EF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15F6C">
        <w:rPr>
          <w:rFonts w:ascii="Palatino Linotype" w:eastAsia="Times New Roman" w:hAnsi="Palatino Linotype" w:cs="Arial"/>
          <w:color w:val="000000" w:themeColor="text1"/>
          <w:lang w:val="es-ES"/>
        </w:rPr>
        <w:lastRenderedPageBreak/>
        <w:t>D</w:t>
      </w:r>
      <w:r w:rsidR="00561ED1" w:rsidRPr="00515F6C">
        <w:rPr>
          <w:rFonts w:ascii="Palatino Linotype" w:eastAsia="Times New Roman" w:hAnsi="Palatino Linotype" w:cs="Arial"/>
          <w:color w:val="000000" w:themeColor="text1"/>
          <w:lang w:val="es-ES"/>
        </w:rPr>
        <w:t xml:space="preserve">erivado de la respuesta emitida por el </w:t>
      </w:r>
      <w:r w:rsidR="00561ED1" w:rsidRPr="00515F6C">
        <w:rPr>
          <w:rFonts w:ascii="Palatino Linotype" w:eastAsia="Times New Roman" w:hAnsi="Palatino Linotype" w:cs="Arial"/>
          <w:b/>
          <w:color w:val="000000" w:themeColor="text1"/>
          <w:lang w:val="es-ES"/>
        </w:rPr>
        <w:t>SUJETO OBLIGADO</w:t>
      </w:r>
      <w:r w:rsidR="00561ED1" w:rsidRPr="00515F6C">
        <w:rPr>
          <w:rFonts w:ascii="Palatino Linotype" w:eastAsia="Times New Roman" w:hAnsi="Palatino Linotype" w:cs="Arial"/>
          <w:color w:val="000000" w:themeColor="text1"/>
          <w:lang w:val="es-ES"/>
        </w:rPr>
        <w:t>, e</w:t>
      </w:r>
      <w:r w:rsidR="00FA1F9B" w:rsidRPr="00515F6C">
        <w:rPr>
          <w:rFonts w:ascii="Palatino Linotype" w:eastAsia="Times New Roman" w:hAnsi="Palatino Linotype" w:cs="Arial"/>
          <w:color w:val="000000" w:themeColor="text1"/>
          <w:lang w:val="es-ES"/>
        </w:rPr>
        <w:t xml:space="preserve">l </w:t>
      </w:r>
      <w:r w:rsidR="009F7F85" w:rsidRPr="00515F6C">
        <w:rPr>
          <w:rFonts w:ascii="Palatino Linotype" w:eastAsia="Times New Roman" w:hAnsi="Palatino Linotype" w:cs="Arial"/>
          <w:color w:val="000000" w:themeColor="text1"/>
          <w:lang w:val="es-ES"/>
        </w:rPr>
        <w:t>catorce</w:t>
      </w:r>
      <w:r w:rsidR="002D6CF5" w:rsidRPr="00515F6C">
        <w:rPr>
          <w:rFonts w:ascii="Palatino Linotype" w:eastAsia="Times New Roman" w:hAnsi="Palatino Linotype" w:cs="Arial"/>
          <w:color w:val="000000" w:themeColor="text1"/>
          <w:lang w:val="es-ES"/>
        </w:rPr>
        <w:t xml:space="preserve"> (</w:t>
      </w:r>
      <w:r w:rsidR="009F7F85" w:rsidRPr="00515F6C">
        <w:rPr>
          <w:rFonts w:ascii="Palatino Linotype" w:eastAsia="Times New Roman" w:hAnsi="Palatino Linotype" w:cs="Arial"/>
          <w:color w:val="000000" w:themeColor="text1"/>
          <w:lang w:val="es-ES"/>
        </w:rPr>
        <w:t>14</w:t>
      </w:r>
      <w:r w:rsidR="007A078A" w:rsidRPr="00515F6C">
        <w:rPr>
          <w:rFonts w:ascii="Palatino Linotype" w:eastAsia="Times New Roman" w:hAnsi="Palatino Linotype" w:cs="Arial"/>
          <w:color w:val="000000" w:themeColor="text1"/>
          <w:lang w:val="es-ES"/>
        </w:rPr>
        <w:t xml:space="preserve">) de </w:t>
      </w:r>
      <w:r w:rsidR="00FA1F9B" w:rsidRPr="00515F6C">
        <w:rPr>
          <w:rFonts w:ascii="Palatino Linotype" w:eastAsia="Times New Roman" w:hAnsi="Palatino Linotype" w:cs="Arial"/>
          <w:color w:val="000000" w:themeColor="text1"/>
          <w:lang w:val="es-ES"/>
        </w:rPr>
        <w:t>marzo</w:t>
      </w:r>
      <w:r w:rsidR="008965EF" w:rsidRPr="00515F6C">
        <w:rPr>
          <w:rFonts w:ascii="Palatino Linotype" w:eastAsia="Times New Roman" w:hAnsi="Palatino Linotype" w:cs="Arial"/>
          <w:color w:val="000000" w:themeColor="text1"/>
          <w:lang w:val="es-ES"/>
        </w:rPr>
        <w:t xml:space="preserve"> </w:t>
      </w:r>
      <w:r w:rsidR="00613655" w:rsidRPr="00515F6C">
        <w:rPr>
          <w:rFonts w:ascii="Palatino Linotype" w:eastAsia="Times New Roman" w:hAnsi="Palatino Linotype" w:cs="Arial"/>
          <w:color w:val="000000" w:themeColor="text1"/>
          <w:lang w:val="es-ES"/>
        </w:rPr>
        <w:t>de dos mil veinti</w:t>
      </w:r>
      <w:r w:rsidR="00751F6F" w:rsidRPr="00515F6C">
        <w:rPr>
          <w:rFonts w:ascii="Palatino Linotype" w:eastAsia="Times New Roman" w:hAnsi="Palatino Linotype" w:cs="Arial"/>
          <w:color w:val="000000" w:themeColor="text1"/>
          <w:lang w:val="es-ES"/>
        </w:rPr>
        <w:t>dós</w:t>
      </w:r>
      <w:r w:rsidR="00FE49E3" w:rsidRPr="00515F6C">
        <w:rPr>
          <w:rFonts w:ascii="Palatino Linotype" w:eastAsia="Times New Roman" w:hAnsi="Palatino Linotype" w:cs="Arial"/>
          <w:color w:val="000000" w:themeColor="text1"/>
          <w:lang w:val="es-ES"/>
        </w:rPr>
        <w:t xml:space="preserve">, </w:t>
      </w:r>
      <w:r w:rsidR="007A078A" w:rsidRPr="00515F6C">
        <w:rPr>
          <w:rFonts w:ascii="Palatino Linotype" w:eastAsia="Times New Roman" w:hAnsi="Palatino Linotype" w:cs="Arial"/>
          <w:color w:val="000000" w:themeColor="text1"/>
          <w:lang w:val="es-ES"/>
        </w:rPr>
        <w:t>la</w:t>
      </w:r>
      <w:r w:rsidR="005F1362" w:rsidRPr="00515F6C">
        <w:rPr>
          <w:rFonts w:ascii="Palatino Linotype" w:eastAsia="Times New Roman" w:hAnsi="Palatino Linotype" w:cs="Arial"/>
          <w:color w:val="000000" w:themeColor="text1"/>
          <w:lang w:val="es-ES"/>
        </w:rPr>
        <w:t xml:space="preserve"> particular</w:t>
      </w:r>
      <w:r w:rsidR="00DB4BEF" w:rsidRPr="00515F6C">
        <w:rPr>
          <w:rFonts w:ascii="Palatino Linotype" w:eastAsia="Times New Roman" w:hAnsi="Palatino Linotype" w:cs="Arial"/>
          <w:color w:val="000000" w:themeColor="text1"/>
          <w:lang w:val="es-ES"/>
        </w:rPr>
        <w:t xml:space="preserve"> interpuso</w:t>
      </w:r>
      <w:r w:rsidR="009316E9" w:rsidRPr="00515F6C">
        <w:rPr>
          <w:rFonts w:ascii="Palatino Linotype" w:eastAsia="Times New Roman" w:hAnsi="Palatino Linotype" w:cs="Arial"/>
          <w:color w:val="000000" w:themeColor="text1"/>
          <w:lang w:val="es-ES"/>
        </w:rPr>
        <w:t xml:space="preserve"> </w:t>
      </w:r>
      <w:r w:rsidR="00102D65" w:rsidRPr="00515F6C">
        <w:rPr>
          <w:rFonts w:ascii="Palatino Linotype" w:eastAsia="Times New Roman" w:hAnsi="Palatino Linotype" w:cs="Arial"/>
          <w:color w:val="000000" w:themeColor="text1"/>
          <w:lang w:val="es-ES"/>
        </w:rPr>
        <w:t>el</w:t>
      </w:r>
      <w:r w:rsidR="004D68F8" w:rsidRPr="00515F6C">
        <w:rPr>
          <w:rFonts w:ascii="Palatino Linotype" w:eastAsia="Times New Roman" w:hAnsi="Palatino Linotype" w:cs="Arial"/>
          <w:color w:val="000000" w:themeColor="text1"/>
          <w:lang w:val="es-ES"/>
        </w:rPr>
        <w:t xml:space="preserve"> recurso de revisión </w:t>
      </w:r>
      <w:r w:rsidR="00D9393D" w:rsidRPr="00515F6C">
        <w:rPr>
          <w:rFonts w:ascii="Palatino Linotype" w:hAnsi="Palatino Linotype"/>
          <w:b/>
        </w:rPr>
        <w:t>03923/INFOEM/IP/RR/2022</w:t>
      </w:r>
      <w:r w:rsidR="009A0461" w:rsidRPr="00515F6C">
        <w:rPr>
          <w:rFonts w:ascii="Palatino Linotype" w:eastAsia="Calibri" w:hAnsi="Palatino Linotype" w:cs="Arial"/>
          <w:b/>
          <w:color w:val="000000" w:themeColor="text1"/>
          <w:lang w:val="es-ES"/>
        </w:rPr>
        <w:t>;</w:t>
      </w:r>
      <w:r w:rsidR="00102D65" w:rsidRPr="00515F6C">
        <w:rPr>
          <w:rFonts w:ascii="Palatino Linotype" w:eastAsia="Times New Roman" w:hAnsi="Palatino Linotype" w:cs="Arial"/>
          <w:color w:val="000000" w:themeColor="text1"/>
          <w:lang w:val="es-ES"/>
        </w:rPr>
        <w:t xml:space="preserve"> impugnación</w:t>
      </w:r>
      <w:r w:rsidR="004D68F8" w:rsidRPr="00515F6C">
        <w:rPr>
          <w:rFonts w:ascii="Palatino Linotype" w:eastAsia="Times New Roman" w:hAnsi="Palatino Linotype" w:cs="Arial"/>
          <w:color w:val="000000" w:themeColor="text1"/>
          <w:lang w:val="es-ES"/>
        </w:rPr>
        <w:t xml:space="preserve"> </w:t>
      </w:r>
      <w:r w:rsidR="00A45546" w:rsidRPr="00515F6C">
        <w:rPr>
          <w:rFonts w:ascii="Palatino Linotype" w:eastAsia="Times New Roman" w:hAnsi="Palatino Linotype" w:cs="Arial"/>
          <w:color w:val="000000" w:themeColor="text1"/>
          <w:lang w:val="es-ES"/>
        </w:rPr>
        <w:t xml:space="preserve">en </w:t>
      </w:r>
      <w:r w:rsidR="00977D37" w:rsidRPr="00515F6C">
        <w:rPr>
          <w:rFonts w:ascii="Palatino Linotype" w:eastAsia="Times New Roman" w:hAnsi="Palatino Linotype" w:cs="Arial"/>
          <w:color w:val="000000" w:themeColor="text1"/>
          <w:lang w:val="es-ES"/>
        </w:rPr>
        <w:t>la</w:t>
      </w:r>
      <w:r w:rsidR="00A45546" w:rsidRPr="00515F6C">
        <w:rPr>
          <w:rFonts w:ascii="Palatino Linotype" w:eastAsia="Times New Roman" w:hAnsi="Palatino Linotype" w:cs="Arial"/>
          <w:color w:val="000000" w:themeColor="text1"/>
          <w:lang w:val="es-ES"/>
        </w:rPr>
        <w:t xml:space="preserve"> que refirió </w:t>
      </w:r>
      <w:r w:rsidR="004D68F8" w:rsidRPr="00515F6C">
        <w:rPr>
          <w:rFonts w:ascii="Palatino Linotype" w:eastAsia="Times New Roman" w:hAnsi="Palatino Linotype" w:cs="Arial"/>
          <w:color w:val="000000" w:themeColor="text1"/>
          <w:lang w:val="es-ES"/>
        </w:rPr>
        <w:t>lo siguiente:</w:t>
      </w:r>
    </w:p>
    <w:p w14:paraId="054906C6" w14:textId="77777777" w:rsidR="00E34622" w:rsidRPr="00515F6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50003F9" w:rsidR="00E34622" w:rsidRPr="00515F6C" w:rsidRDefault="00E34622" w:rsidP="00F5437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15F6C">
        <w:rPr>
          <w:rFonts w:ascii="Palatino Linotype" w:eastAsia="Times New Roman" w:hAnsi="Palatino Linotype" w:cs="Arial"/>
          <w:b/>
          <w:color w:val="000000" w:themeColor="text1"/>
          <w:lang w:val="es-ES"/>
        </w:rPr>
        <w:t>Acto impugnado:</w:t>
      </w:r>
      <w:r w:rsidRPr="00515F6C">
        <w:rPr>
          <w:rFonts w:ascii="Palatino Linotype" w:eastAsia="Times New Roman" w:hAnsi="Palatino Linotype" w:cs="Arial"/>
          <w:color w:val="000000" w:themeColor="text1"/>
          <w:lang w:val="es-ES"/>
        </w:rPr>
        <w:t xml:space="preserve"> “</w:t>
      </w:r>
      <w:r w:rsidR="00F54373" w:rsidRPr="00515F6C">
        <w:rPr>
          <w:rFonts w:ascii="Palatino Linotype" w:eastAsia="Times New Roman" w:hAnsi="Palatino Linotype" w:cs="Arial"/>
          <w:i/>
          <w:color w:val="000000" w:themeColor="text1"/>
          <w:lang w:val="es-ES"/>
        </w:rPr>
        <w:t>La respuesta a mi solicitud de información pública 071/ATIZARA/IP/2022 ya que es incompleta, demasiado redactada, no se entiende y no me da la información que necesito para mi investigación.</w:t>
      </w:r>
      <w:r w:rsidRPr="00515F6C">
        <w:rPr>
          <w:rFonts w:ascii="Palatino Linotype" w:eastAsia="Times New Roman" w:hAnsi="Palatino Linotype" w:cs="Arial"/>
          <w:i/>
          <w:color w:val="000000" w:themeColor="text1"/>
          <w:lang w:val="es-ES"/>
        </w:rPr>
        <w:t>”</w:t>
      </w:r>
      <w:r w:rsidRPr="00515F6C">
        <w:rPr>
          <w:rFonts w:ascii="Palatino Linotype" w:eastAsia="Times New Roman" w:hAnsi="Palatino Linotype" w:cs="Arial"/>
          <w:color w:val="000000" w:themeColor="text1"/>
          <w:lang w:val="es-ES"/>
        </w:rPr>
        <w:t xml:space="preserve"> (Sic).</w:t>
      </w:r>
    </w:p>
    <w:p w14:paraId="17F94CC8" w14:textId="166D1C69" w:rsidR="00991FD9" w:rsidRPr="00515F6C" w:rsidRDefault="00901BB1" w:rsidP="00F54373">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515F6C">
        <w:rPr>
          <w:rFonts w:ascii="Palatino Linotype" w:eastAsia="Times New Roman" w:hAnsi="Palatino Linotype" w:cs="Arial"/>
          <w:b/>
          <w:color w:val="000000" w:themeColor="text1"/>
          <w:lang w:val="es-ES"/>
        </w:rPr>
        <w:t>Motivos o razones de inconformidad:</w:t>
      </w:r>
      <w:r w:rsidRPr="00515F6C">
        <w:rPr>
          <w:rFonts w:ascii="Palatino Linotype" w:eastAsia="Times New Roman" w:hAnsi="Palatino Linotype" w:cs="Arial"/>
          <w:color w:val="000000" w:themeColor="text1"/>
          <w:lang w:val="es-ES"/>
        </w:rPr>
        <w:t xml:space="preserve"> </w:t>
      </w:r>
      <w:r w:rsidR="00991FD9" w:rsidRPr="00515F6C">
        <w:rPr>
          <w:rFonts w:ascii="Palatino Linotype" w:eastAsia="Times New Roman" w:hAnsi="Palatino Linotype" w:cs="Arial"/>
          <w:i/>
          <w:color w:val="000000" w:themeColor="text1"/>
          <w:sz w:val="22"/>
          <w:lang w:val="es-ES"/>
        </w:rPr>
        <w:t>“</w:t>
      </w:r>
      <w:r w:rsidR="00F54373" w:rsidRPr="00515F6C">
        <w:rPr>
          <w:rFonts w:ascii="Palatino Linotype" w:eastAsia="Times New Roman" w:hAnsi="Palatino Linotype" w:cs="Arial"/>
          <w:i/>
          <w:color w:val="000000" w:themeColor="text1"/>
          <w:sz w:val="22"/>
          <w:lang w:val="es-ES"/>
        </w:rPr>
        <w:t xml:space="preserve">De acuerdo con la Ley de transparencia del Edomex, debería haber en el portal del municipio información oportuna y disponible sobre diversos temas como el Plan de Desarrollo estatal y municipal, el listado de expropiaciones, etc, de acuerdo con el Art. 94, del Capítulo III que cita las obligaciones de transparencia específicas de los sujetos obligados, qy entre ellos , que deben estar disponibles los usos de suelo, las licencias de construcción e información detallada de los planes y DESGRACIADAMENTE en Atizapán de Zaragoza, por esta omisión de las autoridades, no la tenemos o es insuficiente e incompleta y por ello debemos solicitarla. IMPUGNO la respuesta obtenida por parte de las autoridades municipales a mi solicitud 071/ATIZARA/IP/2022 que dice: “Solicito respetuosamente al Municipio de Atizapán de Zaragoza, una copia simple en versión pública (sin los nombres de los ciudadanos, pero que sí contengan la dirección y fraccionamiento del predio) de los CAMBIOS DE USO DE SUELO, de densidad, del coeficiente de utilización y de altura de edificaciones de un lote o predio, OTORGADOS durante la gestión de la presidenta C. Ruth Olvera Nieto o sea durante los años 2019 al 2021 y que fueran otorgados ya sea por vía de su Dirección de Desarrollo Territorial o su Tesorería, a raíz de que el cabildo facultó al C. Tesorero Fernando Reyna a llevar a cabo esas funciones mediante acuerdo por el que el Honorable Ayuntamiento Constitucional delega facultades al titular de la Tesorería Municipal (Fernando Reyna) para otorgar la autorización de cambio de uso de suelo , de densidad, </w:t>
      </w:r>
      <w:r w:rsidR="00F54373" w:rsidRPr="00515F6C">
        <w:rPr>
          <w:rFonts w:ascii="Palatino Linotype" w:eastAsia="Times New Roman" w:hAnsi="Palatino Linotype" w:cs="Arial"/>
          <w:i/>
          <w:color w:val="000000" w:themeColor="text1"/>
          <w:sz w:val="22"/>
          <w:lang w:val="es-ES"/>
        </w:rPr>
        <w:lastRenderedPageBreak/>
        <w:t xml:space="preserve">del coeficiente de utilización y de altura de edificaciones de un lote o predio en términos de lo establecido en la ley en la materia el 16 de abril del 2020 como consta en el Acta de Cabildo durante la décima séptima sesión extraordinaria del Cabildo de la Administración Municipal 2019-2021 como punto 4.1 de su Orden del Día. Cabe señalar que cada cambio de uso de suelo, densidad, altura y coeficiente de utilización viene acompañado de un estudio minucioso, del cual TAMBIÉN solicito copia simple.” PORQUE en la respuesta que entregaron, el material es ilegible e incomprensible ya que burdamente han cubierto la mayoría de la información con cuadros negros mal ubicados y que además cubre información que no deberían cubrir. Dan a pensar que están ocultando algo. La lectura resulta imposible. La investigación que estoy realizando pretende ubicar los cambios de uso de suelo otorgados por la anterior administración municipal (haya sido por parte de la Tesorería o la dirección de Desarrollo Territorial) para poder dar tranquilidad y certeza jurídica a un importante grupo de ciudadanos. Al no saber en qué colonia se encuentra el cambio otorgado ni de qué uso de suelo cambió a qué otro, ni los metros afectados, no podemos verificar que efectivamente sea de acuerdo ni al plan ni al uso de suelo vigente de la zona, porque tampoco se entienden los cambios de altura y densidad, solicitados. Solicité conocer de cada cambio otorgado, que fueron muchos, porque en las cédulas que preparan (el estudio minucioso que solicité también) es importante verificar los datos del uso general permitido del suelo, el uso específico, el coeficiente de ocupación del suelo, el coeficiente de utilización, el área libre de construcción, la altura máxima de la edificación y los estacionamientos para saber si se viola o no el uso del suelo de la colonia afectada. La información que solicito ni daña al dueño del predio ni lo discrimina. Si protegen su nombre, su RFC, su teléfono y su clave catastral, es suficiente cumplimiento de la ley. Es indispensable saber los demás datos para conocer la ubicación del predio y qué uso le permiten, porque esos datos que solicito no son ni confidenciales, ni deben ser reservados. Deberían de estar publicados en la página del municipio y no lo están. Solicito que revisen otros archivos en otras computadoras de la tesorería y la dirección de desarrollo territorial, </w:t>
      </w:r>
      <w:r w:rsidR="00F54373" w:rsidRPr="00515F6C">
        <w:rPr>
          <w:rFonts w:ascii="Palatino Linotype" w:eastAsia="Times New Roman" w:hAnsi="Palatino Linotype" w:cs="Arial"/>
          <w:i/>
          <w:color w:val="000000" w:themeColor="text1"/>
          <w:sz w:val="22"/>
          <w:lang w:val="es-ES"/>
        </w:rPr>
        <w:lastRenderedPageBreak/>
        <w:t xml:space="preserve">porque a pesar del acta circunstanciad que me dan, es probable que puedan consultar otras fuentes de archivo del municipio, ya que las autoridades también deben respaldar la información que guardan, ya que no me pueden entregar la información completa. Agradeceré la intervención del INFOEM para revisar este caso, ya que la manera en la que la entregaron es completamente inservible para mi investigación. De acuerdo con la Ley de transparencia del Edomex, debería haber en el portal del municipio información oportuna y disponible sobre diversos temas como el Plan de Desarrollo estatal y municipal, el listado de expropiaciones, etc, según el Art. 94, del Capítulo III que cita las obligaciones de transparencia específicas de los sujetos obligados, cita el inciso F que deben estar disponibles los usos de suelo, las licencias de construcción e información detallada de los planes y DESGRACIADAMENTE en Atizapán de Zaragoza, por esta omisión de las autoridades, no la tenemos y por ello debemos solicitarla. IMPUGNO la respuesta obtenida por parte de las autoridades municipales a mi solicitud 071/ATIZARA/IP/2022 que dice: “Solicito respetuosamente al Municipio de Atizapán de Zaragoza, una copia simple en versión pública (sin los nombres de los ciudadanos, pero que sí contengan la dirección y fraccionamiento del predio) de los CAMBIOS DE USO DE SUELO, de densidad, del coeficiente de utilización y de altura de edificaciones de un lote o predio, OTORGADOS durante la gestión de la presidenta C. Ruth Olvera Nieto o sea durante los años 2019 al 2021 y que fueran otorgados ya sea por vía de su Dirección de Desarrollo Territorial o su Tesorería, a raíz de que el cabildo facultó al C. Tesorero Fernando Reyna a llevar a cabo esas funciones mediante acuerdo por el que el Honorable Ayuntamiento Constitucional delega facultades al titular de la Tesorería Municipal (Fernando Reyna) para otorgar la autorización de cambio de uso de suelo , de densidad, del coeficiente de utilización y de altura de edificaciones de un lote o predio en términos de lo establecido en la ley en la materia el 16 de abril del 2020 como consta en el Acta de Cabildo durante la décima séptima sesión extraordinaria del Cabildo de la Administración Municipal 2019-2021 como punto 4.1 de su Orden del Día. Cabe señalar que cada cambio de uso de suelo, </w:t>
      </w:r>
      <w:r w:rsidR="00F54373" w:rsidRPr="00515F6C">
        <w:rPr>
          <w:rFonts w:ascii="Palatino Linotype" w:eastAsia="Times New Roman" w:hAnsi="Palatino Linotype" w:cs="Arial"/>
          <w:i/>
          <w:color w:val="000000" w:themeColor="text1"/>
          <w:sz w:val="22"/>
          <w:lang w:val="es-ES"/>
        </w:rPr>
        <w:lastRenderedPageBreak/>
        <w:t xml:space="preserve">densidad, altura y coeficiente de utilización viene acompañado de un estudio minucioso, del cual TAMBIÉN solicito copia simple.” PORQUE en la respuesta que entregaron, el material es ilegible e incomprensible pues han cubierto la mayoría de la información con cuadros negros mal ubicados y que además cubren información que no deberían cubrir. Dan a pensar que están ocultando algo. La lectura resulta imposible. La investigación que estoy realizando pretende ubicar los cambios de uso de suelo otorgados por la anterior administración municipal (haya sido por parte de la Tesorería o la dirección de Desarrollo Territorial) para poder dar tranquilidad y certeza jurídica a un importante grupo de ciudadanos. Al no saber en qué colonia se encuentra el cambio otorgado ni de qué uso de suelo cambió a qué otro, ni los metros afectados, no podemos verificar que efectivamente sea de acuerdo ni al plan ni al uso de suelo vigente de la zona, porque tampoco se entienden los cambios de altura y densidad, solicitados. Solicité conocer de cada cambio otorgado, que fueron muchos, porque en las cédulas que preparan (el estudio minucioso que solicité también) es importante verificar los datos del uso general permitido del suelo, el uso específico, el coeficiente de ocupación del suelo, el coeficiente de utilización, el área libre de construcción, la altura máxima de la edificación y los estacionamientos para saber si se viola o no el uso del suelo de la colonia afectada. La información que solicito ni daña al dueño del predio ni lo discrimina. Si protegen su nombre, su RFC, su teléfono y su clave catastral, es suficiente cumplimiento de la ley. Es indispensable saber los demás datos para conocer la ubicación del predio y qué uso le permiten, porque esos datos que solicito no son ni confidenciales, ni deben ser reservados. Deberían de estar publicados en la página del municipio y no lo están. Solicito que revisen otros archivos en otras computadoras de la tesorería y la dirección de desarrollo territorial, porque a pesar del acta circunstanciad que me dan, es probable que puedan consultar otras fuentes de archivo del municipio, ya que las autoridades también deben respaldar la información que guardan, ya que no me pueden entregar la información completa. Agradeceré la intervención del INFOEM para </w:t>
      </w:r>
      <w:r w:rsidR="00F54373" w:rsidRPr="00515F6C">
        <w:rPr>
          <w:rFonts w:ascii="Palatino Linotype" w:eastAsia="Times New Roman" w:hAnsi="Palatino Linotype" w:cs="Arial"/>
          <w:i/>
          <w:color w:val="000000" w:themeColor="text1"/>
          <w:sz w:val="22"/>
          <w:lang w:val="es-ES"/>
        </w:rPr>
        <w:lastRenderedPageBreak/>
        <w:t>revisar este caso, ya que la manera en la que la entregaron es completamente inservible para mi investigación.</w:t>
      </w:r>
      <w:r w:rsidR="00991FD9" w:rsidRPr="00515F6C">
        <w:rPr>
          <w:rFonts w:ascii="Palatino Linotype" w:eastAsia="Times New Roman" w:hAnsi="Palatino Linotype" w:cs="Arial"/>
          <w:i/>
          <w:color w:val="000000" w:themeColor="text1"/>
          <w:sz w:val="22"/>
          <w:lang w:val="es-ES"/>
        </w:rPr>
        <w:t>”</w:t>
      </w:r>
    </w:p>
    <w:p w14:paraId="3875A9E7" w14:textId="77777777" w:rsidR="00AD2900" w:rsidRPr="00515F6C"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15F6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15F6C">
        <w:rPr>
          <w:rFonts w:ascii="Palatino Linotype" w:eastAsia="Times New Roman" w:hAnsi="Palatino Linotype" w:cs="Arial"/>
          <w:color w:val="000000" w:themeColor="text1"/>
          <w:lang w:val="es-ES"/>
        </w:rPr>
        <w:t xml:space="preserve">Se registró el recurso de revisión bajo el número de expediente </w:t>
      </w:r>
      <w:r w:rsidR="004F785F" w:rsidRPr="00515F6C">
        <w:rPr>
          <w:rFonts w:ascii="Palatino Linotype" w:hAnsi="Palatino Linotype" w:cs="Arial"/>
          <w:bCs/>
          <w:color w:val="000000" w:themeColor="text1"/>
        </w:rPr>
        <w:t>al rubro indicado, asi</w:t>
      </w:r>
      <w:r w:rsidRPr="00515F6C">
        <w:rPr>
          <w:rFonts w:ascii="Palatino Linotype" w:hAnsi="Palatino Linotype" w:cs="Arial"/>
          <w:bCs/>
          <w:color w:val="000000" w:themeColor="text1"/>
        </w:rPr>
        <w:t xml:space="preserve">mismo, con fundamento en lo dispuesto por el </w:t>
      </w:r>
      <w:r w:rsidRPr="00515F6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15F6C">
        <w:rPr>
          <w:rFonts w:ascii="Palatino Linotype" w:eastAsia="Times New Roman" w:hAnsi="Palatino Linotype" w:cs="Arial"/>
          <w:bCs/>
          <w:color w:val="000000" w:themeColor="text1"/>
          <w:lang w:val="es-ES"/>
        </w:rPr>
        <w:t xml:space="preserve">se turnó </w:t>
      </w:r>
      <w:r w:rsidR="0096234B" w:rsidRPr="00515F6C">
        <w:rPr>
          <w:rFonts w:ascii="Palatino Linotype" w:eastAsia="Times New Roman" w:hAnsi="Palatino Linotype" w:cs="Arial"/>
          <w:bCs/>
          <w:color w:val="000000" w:themeColor="text1"/>
          <w:lang w:val="es-ES"/>
        </w:rPr>
        <w:t xml:space="preserve">a la </w:t>
      </w:r>
      <w:r w:rsidR="0096234B" w:rsidRPr="00515F6C">
        <w:rPr>
          <w:rFonts w:ascii="Palatino Linotype" w:eastAsia="Times New Roman" w:hAnsi="Palatino Linotype" w:cs="Arial"/>
          <w:b/>
          <w:bCs/>
          <w:color w:val="000000" w:themeColor="text1"/>
          <w:lang w:val="es-ES"/>
        </w:rPr>
        <w:t xml:space="preserve">Comisionada </w:t>
      </w:r>
      <w:r w:rsidR="00D12402" w:rsidRPr="00515F6C">
        <w:rPr>
          <w:rFonts w:ascii="Palatino Linotype" w:eastAsia="Times New Roman" w:hAnsi="Palatino Linotype" w:cs="Arial"/>
          <w:b/>
          <w:bCs/>
          <w:color w:val="000000" w:themeColor="text1"/>
          <w:lang w:val="es-ES"/>
        </w:rPr>
        <w:t>María del Rosario Mejía Ayala</w:t>
      </w:r>
      <w:r w:rsidRPr="00515F6C">
        <w:rPr>
          <w:rFonts w:ascii="Palatino Linotype" w:eastAsia="Times New Roman" w:hAnsi="Palatino Linotype" w:cs="Arial"/>
          <w:bCs/>
          <w:color w:val="000000" w:themeColor="text1"/>
          <w:lang w:val="es-ES"/>
        </w:rPr>
        <w:t xml:space="preserve">, con el objeto de </w:t>
      </w:r>
      <w:r w:rsidRPr="00515F6C">
        <w:rPr>
          <w:rFonts w:ascii="Palatino Linotype" w:eastAsia="Times New Roman" w:hAnsi="Palatino Linotype" w:cs="Arial"/>
          <w:bCs/>
          <w:color w:val="000000" w:themeColor="text1"/>
        </w:rPr>
        <w:t>su análisis.</w:t>
      </w:r>
    </w:p>
    <w:p w14:paraId="2BDE682E" w14:textId="77777777" w:rsidR="005F1362" w:rsidRPr="00515F6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CBD9C2C" w:rsidR="007446C2" w:rsidRPr="00515F6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15F6C">
        <w:rPr>
          <w:rFonts w:ascii="Palatino Linotype" w:eastAsia="Times New Roman" w:hAnsi="Palatino Linotype" w:cs="Arial"/>
          <w:color w:val="000000" w:themeColor="text1"/>
          <w:lang w:val="es-ES"/>
        </w:rPr>
        <w:t>La</w:t>
      </w:r>
      <w:r w:rsidR="00E647FF" w:rsidRPr="00515F6C">
        <w:rPr>
          <w:rFonts w:ascii="Palatino Linotype" w:eastAsia="Times New Roman" w:hAnsi="Palatino Linotype" w:cs="Arial"/>
          <w:color w:val="000000" w:themeColor="text1"/>
          <w:lang w:val="es-ES"/>
        </w:rPr>
        <w:t xml:space="preserve"> </w:t>
      </w:r>
      <w:r w:rsidR="0004686A" w:rsidRPr="00515F6C">
        <w:rPr>
          <w:rFonts w:ascii="Palatino Linotype" w:eastAsia="Calibri" w:hAnsi="Palatino Linotype" w:cs="Arial"/>
          <w:color w:val="000000" w:themeColor="text1"/>
          <w:lang w:val="es-ES"/>
        </w:rPr>
        <w:t>Comisionad</w:t>
      </w:r>
      <w:r w:rsidRPr="00515F6C">
        <w:rPr>
          <w:rFonts w:ascii="Palatino Linotype" w:eastAsia="Calibri" w:hAnsi="Palatino Linotype" w:cs="Arial"/>
          <w:color w:val="000000" w:themeColor="text1"/>
          <w:lang w:val="es-ES"/>
        </w:rPr>
        <w:t>a</w:t>
      </w:r>
      <w:r w:rsidR="0004686A" w:rsidRPr="00515F6C">
        <w:rPr>
          <w:rFonts w:ascii="Palatino Linotype" w:eastAsia="Calibri" w:hAnsi="Palatino Linotype" w:cs="Arial"/>
          <w:color w:val="000000" w:themeColor="text1"/>
          <w:lang w:val="es-ES"/>
        </w:rPr>
        <w:t xml:space="preserve"> Ponente</w:t>
      </w:r>
      <w:r w:rsidR="006B31E7" w:rsidRPr="00515F6C">
        <w:rPr>
          <w:rFonts w:ascii="Palatino Linotype" w:eastAsia="Calibri" w:hAnsi="Palatino Linotype" w:cs="Arial"/>
          <w:color w:val="000000" w:themeColor="text1"/>
          <w:lang w:val="es-ES"/>
        </w:rPr>
        <w:t>,</w:t>
      </w:r>
      <w:r w:rsidR="0004686A" w:rsidRPr="00515F6C">
        <w:rPr>
          <w:rFonts w:ascii="Palatino Linotype" w:eastAsia="Calibri" w:hAnsi="Palatino Linotype" w:cs="Arial"/>
          <w:color w:val="000000" w:themeColor="text1"/>
          <w:lang w:val="es-ES"/>
        </w:rPr>
        <w:t xml:space="preserve"> con fundamento en lo dispuesto por el artículo 185 fracción II de la </w:t>
      </w:r>
      <w:r w:rsidR="00613655" w:rsidRPr="00515F6C">
        <w:rPr>
          <w:rFonts w:ascii="Palatino Linotype" w:eastAsia="Calibri" w:hAnsi="Palatino Linotype" w:cs="Arial"/>
          <w:color w:val="000000" w:themeColor="text1"/>
          <w:lang w:val="es-ES"/>
        </w:rPr>
        <w:t>Ley de Transparencia y Acceso a la Información Pública del Estado de México y Municipios</w:t>
      </w:r>
      <w:r w:rsidR="0004686A" w:rsidRPr="00515F6C">
        <w:rPr>
          <w:rFonts w:ascii="Palatino Linotype" w:eastAsia="Calibri" w:hAnsi="Palatino Linotype" w:cs="Arial"/>
          <w:color w:val="000000" w:themeColor="text1"/>
          <w:lang w:val="es-ES"/>
        </w:rPr>
        <w:t xml:space="preserve">, a través </w:t>
      </w:r>
      <w:r w:rsidR="006E4E2A" w:rsidRPr="00515F6C">
        <w:rPr>
          <w:rFonts w:ascii="Palatino Linotype" w:eastAsia="Calibri" w:hAnsi="Palatino Linotype" w:cs="Arial"/>
          <w:color w:val="000000" w:themeColor="text1"/>
          <w:lang w:val="es-ES"/>
        </w:rPr>
        <w:t>del</w:t>
      </w:r>
      <w:r w:rsidR="0004686A" w:rsidRPr="00515F6C">
        <w:rPr>
          <w:rFonts w:ascii="Palatino Linotype" w:eastAsia="Calibri" w:hAnsi="Palatino Linotype" w:cs="Arial"/>
          <w:color w:val="000000" w:themeColor="text1"/>
          <w:lang w:val="es-ES"/>
        </w:rPr>
        <w:t xml:space="preserve"> </w:t>
      </w:r>
      <w:r w:rsidR="00B81371" w:rsidRPr="00515F6C">
        <w:rPr>
          <w:rFonts w:ascii="Palatino Linotype" w:eastAsia="Calibri" w:hAnsi="Palatino Linotype" w:cs="Arial"/>
          <w:color w:val="000000" w:themeColor="text1"/>
          <w:lang w:val="es-ES"/>
        </w:rPr>
        <w:t xml:space="preserve">acuerdo </w:t>
      </w:r>
      <w:r w:rsidR="00F147C6" w:rsidRPr="00515F6C">
        <w:rPr>
          <w:rFonts w:ascii="Palatino Linotype" w:eastAsia="Calibri" w:hAnsi="Palatino Linotype" w:cs="Arial"/>
          <w:color w:val="000000" w:themeColor="text1"/>
          <w:lang w:val="es-ES"/>
        </w:rPr>
        <w:t xml:space="preserve">de admisión </w:t>
      </w:r>
      <w:r w:rsidR="00091F3E" w:rsidRPr="00515F6C">
        <w:rPr>
          <w:rFonts w:ascii="Palatino Linotype" w:eastAsia="Calibri" w:hAnsi="Palatino Linotype" w:cs="Arial"/>
          <w:color w:val="000000" w:themeColor="text1"/>
          <w:lang w:val="es-ES"/>
        </w:rPr>
        <w:t xml:space="preserve">de fecha </w:t>
      </w:r>
      <w:r w:rsidR="009F7F85" w:rsidRPr="00515F6C">
        <w:rPr>
          <w:rFonts w:ascii="Palatino Linotype" w:eastAsia="Calibri" w:hAnsi="Palatino Linotype" w:cs="Arial"/>
          <w:color w:val="000000" w:themeColor="text1"/>
          <w:lang w:val="es-ES"/>
        </w:rPr>
        <w:t>diecisiete</w:t>
      </w:r>
      <w:r w:rsidR="00BD6C40" w:rsidRPr="00515F6C">
        <w:rPr>
          <w:rFonts w:ascii="Palatino Linotype" w:eastAsia="Calibri" w:hAnsi="Palatino Linotype" w:cs="Arial"/>
          <w:color w:val="000000" w:themeColor="text1"/>
          <w:lang w:val="es-ES"/>
        </w:rPr>
        <w:t xml:space="preserve"> (</w:t>
      </w:r>
      <w:r w:rsidR="009F7F85" w:rsidRPr="00515F6C">
        <w:rPr>
          <w:rFonts w:ascii="Palatino Linotype" w:eastAsia="Calibri" w:hAnsi="Palatino Linotype" w:cs="Arial"/>
          <w:color w:val="000000" w:themeColor="text1"/>
          <w:lang w:val="es-ES"/>
        </w:rPr>
        <w:t>17</w:t>
      </w:r>
      <w:r w:rsidR="00BD6C40" w:rsidRPr="00515F6C">
        <w:rPr>
          <w:rFonts w:ascii="Palatino Linotype" w:eastAsia="Calibri" w:hAnsi="Palatino Linotype" w:cs="Arial"/>
          <w:color w:val="000000" w:themeColor="text1"/>
          <w:lang w:val="es-ES"/>
        </w:rPr>
        <w:t xml:space="preserve">) de </w:t>
      </w:r>
      <w:r w:rsidR="00662F98" w:rsidRPr="00515F6C">
        <w:rPr>
          <w:rFonts w:ascii="Palatino Linotype" w:eastAsia="Calibri" w:hAnsi="Palatino Linotype" w:cs="Arial"/>
          <w:color w:val="000000" w:themeColor="text1"/>
          <w:lang w:val="es-ES"/>
        </w:rPr>
        <w:t>marzo</w:t>
      </w:r>
      <w:r w:rsidR="00613655" w:rsidRPr="00515F6C">
        <w:rPr>
          <w:rFonts w:ascii="Palatino Linotype" w:eastAsia="Calibri" w:hAnsi="Palatino Linotype" w:cs="Arial"/>
          <w:color w:val="000000" w:themeColor="text1"/>
          <w:lang w:val="es-ES"/>
        </w:rPr>
        <w:t xml:space="preserve"> de dos mil veinti</w:t>
      </w:r>
      <w:r w:rsidR="00751F6F" w:rsidRPr="00515F6C">
        <w:rPr>
          <w:rFonts w:ascii="Palatino Linotype" w:eastAsia="Calibri" w:hAnsi="Palatino Linotype" w:cs="Arial"/>
          <w:color w:val="000000" w:themeColor="text1"/>
          <w:lang w:val="es-ES"/>
        </w:rPr>
        <w:t>dós</w:t>
      </w:r>
      <w:r w:rsidR="006A1047" w:rsidRPr="00515F6C">
        <w:rPr>
          <w:rFonts w:ascii="Palatino Linotype" w:eastAsia="Calibri" w:hAnsi="Palatino Linotype" w:cs="Arial"/>
          <w:color w:val="000000" w:themeColor="text1"/>
          <w:lang w:val="es-ES"/>
        </w:rPr>
        <w:t xml:space="preserve">, </w:t>
      </w:r>
      <w:r w:rsidR="00B81371" w:rsidRPr="00515F6C">
        <w:rPr>
          <w:rFonts w:ascii="Palatino Linotype" w:eastAsia="Calibri" w:hAnsi="Palatino Linotype" w:cs="Arial"/>
          <w:color w:val="000000" w:themeColor="text1"/>
          <w:lang w:val="es-ES"/>
        </w:rPr>
        <w:t xml:space="preserve">puso a </w:t>
      </w:r>
      <w:r w:rsidR="00875167" w:rsidRPr="00515F6C">
        <w:rPr>
          <w:rFonts w:ascii="Palatino Linotype" w:eastAsia="Calibri" w:hAnsi="Palatino Linotype" w:cs="Arial"/>
          <w:color w:val="000000" w:themeColor="text1"/>
          <w:lang w:val="es-ES"/>
        </w:rPr>
        <w:t>disposición</w:t>
      </w:r>
      <w:r w:rsidR="00B81371" w:rsidRPr="00515F6C">
        <w:rPr>
          <w:rFonts w:ascii="Palatino Linotype" w:eastAsia="Calibri" w:hAnsi="Palatino Linotype" w:cs="Arial"/>
          <w:color w:val="000000" w:themeColor="text1"/>
          <w:lang w:val="es-ES"/>
        </w:rPr>
        <w:t xml:space="preserve"> de las partes el expediente electrónico </w:t>
      </w:r>
      <w:r w:rsidR="00B81371" w:rsidRPr="00515F6C">
        <w:rPr>
          <w:rFonts w:ascii="Palatino Linotype" w:eastAsia="Calibri" w:hAnsi="Palatino Linotype" w:cs="Arial"/>
          <w:color w:val="000000" w:themeColor="text1"/>
        </w:rPr>
        <w:t xml:space="preserve">vía </w:t>
      </w:r>
      <w:r w:rsidR="00B81371" w:rsidRPr="00515F6C">
        <w:rPr>
          <w:rFonts w:ascii="Palatino Linotype" w:eastAsia="Calibri" w:hAnsi="Palatino Linotype" w:cs="Arial"/>
          <w:color w:val="000000" w:themeColor="text1"/>
          <w:lang w:val="es-ES"/>
        </w:rPr>
        <w:t xml:space="preserve">Sistema de Acceso a la Información Mexiquense </w:t>
      </w:r>
      <w:r w:rsidR="001468E9" w:rsidRPr="00515F6C">
        <w:rPr>
          <w:rFonts w:ascii="Palatino Linotype" w:eastAsia="Calibri" w:hAnsi="Palatino Linotype" w:cs="Arial"/>
          <w:color w:val="000000" w:themeColor="text1"/>
          <w:lang w:val="es-ES"/>
        </w:rPr>
        <w:t>(</w:t>
      </w:r>
      <w:r w:rsidR="00B81371" w:rsidRPr="00515F6C">
        <w:rPr>
          <w:rFonts w:ascii="Palatino Linotype" w:eastAsia="Calibri" w:hAnsi="Palatino Linotype" w:cs="Arial"/>
          <w:b/>
          <w:i/>
          <w:color w:val="000000" w:themeColor="text1"/>
          <w:lang w:val="es-ES"/>
        </w:rPr>
        <w:t>SAIMEX</w:t>
      </w:r>
      <w:r w:rsidR="001468E9" w:rsidRPr="00515F6C">
        <w:rPr>
          <w:rFonts w:ascii="Palatino Linotype" w:eastAsia="Calibri" w:hAnsi="Palatino Linotype" w:cs="Arial"/>
          <w:b/>
          <w:i/>
          <w:color w:val="000000" w:themeColor="text1"/>
          <w:lang w:val="es-ES"/>
        </w:rPr>
        <w:t>)</w:t>
      </w:r>
      <w:r w:rsidR="00B81371" w:rsidRPr="00515F6C">
        <w:rPr>
          <w:rFonts w:ascii="Palatino Linotype" w:eastAsia="Calibri" w:hAnsi="Palatino Linotype" w:cs="Arial"/>
          <w:b/>
          <w:color w:val="000000" w:themeColor="text1"/>
          <w:lang w:val="es-ES"/>
        </w:rPr>
        <w:t xml:space="preserve"> </w:t>
      </w:r>
      <w:r w:rsidR="00B81371" w:rsidRPr="00515F6C">
        <w:rPr>
          <w:rFonts w:ascii="Palatino Linotype" w:eastAsia="Calibri" w:hAnsi="Palatino Linotype" w:cs="Arial"/>
          <w:color w:val="000000" w:themeColor="text1"/>
          <w:lang w:val="es-ES"/>
        </w:rPr>
        <w:t xml:space="preserve">a efecto de que en un plazo máximo de siete días </w:t>
      </w:r>
      <w:r w:rsidR="00875167" w:rsidRPr="00515F6C">
        <w:rPr>
          <w:rFonts w:ascii="Palatino Linotype" w:eastAsia="Calibri" w:hAnsi="Palatino Linotype" w:cs="Arial"/>
          <w:color w:val="000000" w:themeColor="text1"/>
          <w:lang w:val="es-ES"/>
        </w:rPr>
        <w:t>manifestaran</w:t>
      </w:r>
      <w:r w:rsidR="00B81371" w:rsidRPr="00515F6C">
        <w:rPr>
          <w:rFonts w:ascii="Palatino Linotype" w:eastAsia="Calibri" w:hAnsi="Palatino Linotype" w:cs="Arial"/>
          <w:color w:val="000000" w:themeColor="text1"/>
          <w:lang w:val="es-ES"/>
        </w:rPr>
        <w:t xml:space="preserve"> lo que a</w:t>
      </w:r>
      <w:r w:rsidR="003A2029" w:rsidRPr="00515F6C">
        <w:rPr>
          <w:rFonts w:ascii="Palatino Linotype" w:eastAsia="Calibri" w:hAnsi="Palatino Linotype" w:cs="Arial"/>
          <w:color w:val="000000" w:themeColor="text1"/>
          <w:lang w:val="es-ES"/>
        </w:rPr>
        <w:t xml:space="preserve"> su</w:t>
      </w:r>
      <w:r w:rsidR="00B81371" w:rsidRPr="00515F6C">
        <w:rPr>
          <w:rFonts w:ascii="Palatino Linotype" w:eastAsia="Calibri" w:hAnsi="Palatino Linotype" w:cs="Arial"/>
          <w:color w:val="000000" w:themeColor="text1"/>
          <w:lang w:val="es-ES"/>
        </w:rPr>
        <w:t xml:space="preserve"> derecho conviniera</w:t>
      </w:r>
      <w:r w:rsidR="00875167" w:rsidRPr="00515F6C">
        <w:rPr>
          <w:rFonts w:ascii="Palatino Linotype" w:eastAsia="Calibri" w:hAnsi="Palatino Linotype" w:cs="Arial"/>
          <w:color w:val="000000" w:themeColor="text1"/>
          <w:lang w:val="es-ES"/>
        </w:rPr>
        <w:t>n</w:t>
      </w:r>
      <w:r w:rsidR="00032493" w:rsidRPr="00515F6C">
        <w:rPr>
          <w:rFonts w:ascii="Palatino Linotype" w:eastAsia="Calibri" w:hAnsi="Palatino Linotype" w:cs="Arial"/>
          <w:color w:val="000000" w:themeColor="text1"/>
          <w:lang w:val="es-ES"/>
        </w:rPr>
        <w:t>,</w:t>
      </w:r>
      <w:r w:rsidR="00B81371" w:rsidRPr="00515F6C">
        <w:rPr>
          <w:rFonts w:ascii="Palatino Linotype" w:eastAsia="Calibri" w:hAnsi="Palatino Linotype" w:cs="Arial"/>
          <w:color w:val="000000" w:themeColor="text1"/>
          <w:lang w:val="es-ES"/>
        </w:rPr>
        <w:t xml:space="preserve"> </w:t>
      </w:r>
      <w:r w:rsidR="00875167" w:rsidRPr="00515F6C">
        <w:rPr>
          <w:rFonts w:ascii="Palatino Linotype" w:eastAsia="Calibri" w:hAnsi="Palatino Linotype" w:cs="Arial"/>
          <w:color w:val="000000" w:themeColor="text1"/>
          <w:lang w:val="es-ES"/>
        </w:rPr>
        <w:t>ofrecieran pruebas y</w:t>
      </w:r>
      <w:r w:rsidR="00132C06" w:rsidRPr="00515F6C">
        <w:rPr>
          <w:rFonts w:ascii="Palatino Linotype" w:eastAsia="Calibri" w:hAnsi="Palatino Linotype" w:cs="Arial"/>
          <w:color w:val="000000" w:themeColor="text1"/>
          <w:lang w:val="es-ES"/>
        </w:rPr>
        <w:t xml:space="preserve"> </w:t>
      </w:r>
      <w:r w:rsidR="00875167" w:rsidRPr="00515F6C">
        <w:rPr>
          <w:rFonts w:ascii="Palatino Linotype" w:eastAsia="Calibri" w:hAnsi="Palatino Linotype" w:cs="Arial"/>
          <w:color w:val="000000" w:themeColor="text1"/>
          <w:lang w:val="es-ES"/>
        </w:rPr>
        <w:t>alegatos según corresponda a</w:t>
      </w:r>
      <w:r w:rsidR="004C20F2" w:rsidRPr="00515F6C">
        <w:rPr>
          <w:rFonts w:ascii="Palatino Linotype" w:eastAsia="Calibri" w:hAnsi="Palatino Linotype" w:cs="Arial"/>
          <w:color w:val="000000" w:themeColor="text1"/>
          <w:lang w:val="es-ES"/>
        </w:rPr>
        <w:t xml:space="preserve"> </w:t>
      </w:r>
      <w:r w:rsidR="00875167" w:rsidRPr="00515F6C">
        <w:rPr>
          <w:rFonts w:ascii="Palatino Linotype" w:eastAsia="Calibri" w:hAnsi="Palatino Linotype" w:cs="Arial"/>
          <w:color w:val="000000" w:themeColor="text1"/>
          <w:lang w:val="es-ES"/>
        </w:rPr>
        <w:t>l</w:t>
      </w:r>
      <w:r w:rsidR="004C20F2" w:rsidRPr="00515F6C">
        <w:rPr>
          <w:rFonts w:ascii="Palatino Linotype" w:eastAsia="Calibri" w:hAnsi="Palatino Linotype" w:cs="Arial"/>
          <w:color w:val="000000" w:themeColor="text1"/>
          <w:lang w:val="es-ES"/>
        </w:rPr>
        <w:t>os</w:t>
      </w:r>
      <w:r w:rsidR="00875167" w:rsidRPr="00515F6C">
        <w:rPr>
          <w:rFonts w:ascii="Palatino Linotype" w:eastAsia="Calibri" w:hAnsi="Palatino Linotype" w:cs="Arial"/>
          <w:color w:val="000000" w:themeColor="text1"/>
          <w:lang w:val="es-ES"/>
        </w:rPr>
        <w:t xml:space="preserve"> caso</w:t>
      </w:r>
      <w:r w:rsidR="004C20F2" w:rsidRPr="00515F6C">
        <w:rPr>
          <w:rFonts w:ascii="Palatino Linotype" w:eastAsia="Calibri" w:hAnsi="Palatino Linotype" w:cs="Arial"/>
          <w:color w:val="000000" w:themeColor="text1"/>
          <w:lang w:val="es-ES"/>
        </w:rPr>
        <w:t>s</w:t>
      </w:r>
      <w:r w:rsidR="00875167" w:rsidRPr="00515F6C">
        <w:rPr>
          <w:rFonts w:ascii="Palatino Linotype" w:eastAsia="Calibri" w:hAnsi="Palatino Linotype" w:cs="Arial"/>
          <w:color w:val="000000" w:themeColor="text1"/>
          <w:lang w:val="es-ES"/>
        </w:rPr>
        <w:t xml:space="preserve"> concreto</w:t>
      </w:r>
      <w:r w:rsidR="004C20F2" w:rsidRPr="00515F6C">
        <w:rPr>
          <w:rFonts w:ascii="Palatino Linotype" w:eastAsia="Calibri" w:hAnsi="Palatino Linotype" w:cs="Arial"/>
          <w:color w:val="000000" w:themeColor="text1"/>
          <w:lang w:val="es-ES"/>
        </w:rPr>
        <w:t>s</w:t>
      </w:r>
      <w:r w:rsidR="00875167" w:rsidRPr="00515F6C">
        <w:rPr>
          <w:rFonts w:ascii="Palatino Linotype" w:eastAsia="Calibri" w:hAnsi="Palatino Linotype" w:cs="Arial"/>
          <w:color w:val="000000" w:themeColor="text1"/>
          <w:lang w:val="es-ES"/>
        </w:rPr>
        <w:t xml:space="preserve">, </w:t>
      </w:r>
      <w:r w:rsidR="00F147C6" w:rsidRPr="00515F6C">
        <w:rPr>
          <w:rFonts w:ascii="Palatino Linotype" w:eastAsia="Calibri" w:hAnsi="Palatino Linotype" w:cs="Arial"/>
          <w:color w:val="000000" w:themeColor="text1"/>
          <w:lang w:val="es-ES"/>
        </w:rPr>
        <w:t>de esta forma</w:t>
      </w:r>
      <w:r w:rsidR="00875167" w:rsidRPr="00515F6C">
        <w:rPr>
          <w:rFonts w:ascii="Palatino Linotype" w:eastAsia="Calibri" w:hAnsi="Palatino Linotype" w:cs="Arial"/>
          <w:color w:val="000000" w:themeColor="text1"/>
          <w:lang w:val="es-ES"/>
        </w:rPr>
        <w:t xml:space="preserve"> para que el </w:t>
      </w:r>
      <w:r w:rsidR="00875167" w:rsidRPr="00515F6C">
        <w:rPr>
          <w:rFonts w:ascii="Palatino Linotype" w:eastAsia="Calibri" w:hAnsi="Palatino Linotype" w:cs="Arial"/>
          <w:b/>
          <w:color w:val="000000" w:themeColor="text1"/>
          <w:lang w:val="es-ES"/>
        </w:rPr>
        <w:t>SUJETO OBLIGADO</w:t>
      </w:r>
      <w:r w:rsidR="00875167" w:rsidRPr="00515F6C">
        <w:rPr>
          <w:rFonts w:ascii="Palatino Linotype" w:eastAsia="Calibri" w:hAnsi="Palatino Linotype" w:cs="Arial"/>
          <w:color w:val="000000" w:themeColor="text1"/>
          <w:lang w:val="es-ES"/>
        </w:rPr>
        <w:t xml:space="preserve"> </w:t>
      </w:r>
      <w:r w:rsidR="00B81371" w:rsidRPr="00515F6C">
        <w:rPr>
          <w:rFonts w:ascii="Palatino Linotype" w:eastAsia="Calibri" w:hAnsi="Palatino Linotype" w:cs="Arial"/>
          <w:color w:val="000000" w:themeColor="text1"/>
          <w:lang w:val="es-ES"/>
        </w:rPr>
        <w:t>presentar</w:t>
      </w:r>
      <w:r w:rsidR="003A03D0" w:rsidRPr="00515F6C">
        <w:rPr>
          <w:rFonts w:ascii="Palatino Linotype" w:eastAsia="Calibri" w:hAnsi="Palatino Linotype" w:cs="Arial"/>
          <w:color w:val="000000" w:themeColor="text1"/>
          <w:lang w:val="es-ES"/>
        </w:rPr>
        <w:t>a</w:t>
      </w:r>
      <w:r w:rsidR="00B81371" w:rsidRPr="00515F6C">
        <w:rPr>
          <w:rFonts w:ascii="Palatino Linotype" w:eastAsia="Calibri" w:hAnsi="Palatino Linotype" w:cs="Arial"/>
          <w:color w:val="000000" w:themeColor="text1"/>
          <w:lang w:val="es-ES"/>
        </w:rPr>
        <w:t xml:space="preserve"> el </w:t>
      </w:r>
      <w:r w:rsidR="00556F72" w:rsidRPr="00515F6C">
        <w:rPr>
          <w:rFonts w:ascii="Palatino Linotype" w:eastAsia="Calibri" w:hAnsi="Palatino Linotype" w:cs="Arial"/>
          <w:color w:val="000000" w:themeColor="text1"/>
          <w:lang w:val="es-ES"/>
        </w:rPr>
        <w:t xml:space="preserve">informe justificado </w:t>
      </w:r>
      <w:r w:rsidR="00875167" w:rsidRPr="00515F6C">
        <w:rPr>
          <w:rFonts w:ascii="Palatino Linotype" w:eastAsia="Calibri" w:hAnsi="Palatino Linotype" w:cs="Arial"/>
          <w:color w:val="000000" w:themeColor="text1"/>
          <w:lang w:val="es-ES"/>
        </w:rPr>
        <w:t>procedente</w:t>
      </w:r>
      <w:r w:rsidR="00787184" w:rsidRPr="00515F6C">
        <w:rPr>
          <w:rFonts w:ascii="Palatino Linotype" w:eastAsia="Calibri" w:hAnsi="Palatino Linotype" w:cs="Arial"/>
          <w:color w:val="000000" w:themeColor="text1"/>
          <w:lang w:val="es-ES"/>
        </w:rPr>
        <w:t>.</w:t>
      </w:r>
    </w:p>
    <w:p w14:paraId="67D7209A" w14:textId="77777777" w:rsidR="001B32B2" w:rsidRPr="00515F6C" w:rsidRDefault="001B32B2" w:rsidP="001B32B2">
      <w:pPr>
        <w:pStyle w:val="Prrafodelista"/>
        <w:rPr>
          <w:rFonts w:ascii="Palatino Linotype" w:eastAsia="Calibri" w:hAnsi="Palatino Linotype" w:cs="Arial"/>
          <w:color w:val="000000" w:themeColor="text1"/>
          <w:lang w:val="es-ES"/>
        </w:rPr>
      </w:pPr>
    </w:p>
    <w:p w14:paraId="220C3D96" w14:textId="62C16AF5" w:rsidR="005C5229" w:rsidRPr="00515F6C" w:rsidRDefault="00F54373" w:rsidP="00F54373">
      <w:pPr>
        <w:pStyle w:val="Prrafodelista"/>
        <w:numPr>
          <w:ilvl w:val="0"/>
          <w:numId w:val="1"/>
        </w:numPr>
        <w:tabs>
          <w:tab w:val="left" w:pos="426"/>
        </w:tabs>
        <w:spacing w:line="360" w:lineRule="auto"/>
        <w:jc w:val="both"/>
        <w:rPr>
          <w:rFonts w:ascii="Palatino Linotype" w:hAnsi="Palatino Linotype"/>
          <w:color w:val="000000" w:themeColor="text1"/>
        </w:rPr>
      </w:pPr>
      <w:r w:rsidRPr="00515F6C">
        <w:rPr>
          <w:rFonts w:ascii="Palatino Linotype" w:eastAsia="Calibri" w:hAnsi="Palatino Linotype" w:cs="Arial"/>
          <w:color w:val="000000" w:themeColor="text1"/>
          <w:lang w:val="es-ES"/>
        </w:rPr>
        <w:t xml:space="preserve">El veinticuatro (24) de marzo de dos mil veintidós, el Sujeto Obligado remitió su informe justificado a través de los documentos electrónicos denominados </w:t>
      </w:r>
      <w:r w:rsidRPr="00515F6C">
        <w:rPr>
          <w:rFonts w:ascii="Palatino Linotype" w:eastAsia="Calibri" w:hAnsi="Palatino Linotype" w:cs="Arial"/>
          <w:b/>
          <w:i/>
          <w:color w:val="000000" w:themeColor="text1"/>
          <w:lang w:val="es-ES"/>
        </w:rPr>
        <w:t>20220324180223300.pdf; y RECURSO DE REVISIÓN 03923.pdf</w:t>
      </w:r>
      <w:r w:rsidR="00685F75" w:rsidRPr="00515F6C">
        <w:rPr>
          <w:rFonts w:ascii="Palatino Linotype" w:eastAsia="Calibri" w:hAnsi="Palatino Linotype" w:cs="Arial"/>
          <w:b/>
          <w:i/>
          <w:color w:val="000000" w:themeColor="text1"/>
          <w:lang w:val="es-ES"/>
        </w:rPr>
        <w:t xml:space="preserve">, </w:t>
      </w:r>
      <w:r w:rsidR="00685F75" w:rsidRPr="00515F6C">
        <w:rPr>
          <w:rFonts w:ascii="Palatino Linotype" w:eastAsia="Calibri" w:hAnsi="Palatino Linotype" w:cs="Arial"/>
          <w:color w:val="000000" w:themeColor="text1"/>
          <w:lang w:val="es-ES"/>
        </w:rPr>
        <w:t xml:space="preserve">los cuales se pusieron a </w:t>
      </w:r>
      <w:r w:rsidR="00A55384" w:rsidRPr="00515F6C">
        <w:rPr>
          <w:rFonts w:ascii="Palatino Linotype" w:eastAsia="Calibri" w:hAnsi="Palatino Linotype" w:cs="Arial"/>
          <w:color w:val="000000" w:themeColor="text1"/>
          <w:lang w:val="es-ES"/>
        </w:rPr>
        <w:t>la vista del Recurrente el quince (15) de mayo de dos mil veintidós; sin embargo, se procede a describir su contenido medular.</w:t>
      </w:r>
    </w:p>
    <w:p w14:paraId="3FA70C4D" w14:textId="77777777" w:rsidR="00A55384" w:rsidRPr="00515F6C" w:rsidRDefault="00A55384" w:rsidP="00A55384">
      <w:pPr>
        <w:pStyle w:val="Prrafodelista"/>
        <w:rPr>
          <w:rFonts w:ascii="Palatino Linotype" w:hAnsi="Palatino Linotype"/>
          <w:color w:val="000000" w:themeColor="text1"/>
        </w:rPr>
      </w:pPr>
    </w:p>
    <w:p w14:paraId="001BA5C7" w14:textId="217356F2" w:rsidR="00A55384" w:rsidRPr="00515F6C" w:rsidRDefault="00A55384" w:rsidP="00A55384">
      <w:pPr>
        <w:pStyle w:val="Prrafodelista"/>
        <w:numPr>
          <w:ilvl w:val="0"/>
          <w:numId w:val="25"/>
        </w:numPr>
        <w:tabs>
          <w:tab w:val="left" w:pos="426"/>
        </w:tabs>
        <w:spacing w:line="360" w:lineRule="auto"/>
        <w:jc w:val="both"/>
        <w:rPr>
          <w:rFonts w:ascii="Palatino Linotype" w:eastAsia="Calibri" w:hAnsi="Palatino Linotype" w:cs="Arial"/>
          <w:color w:val="000000" w:themeColor="text1"/>
          <w:lang w:val="es-ES"/>
        </w:rPr>
      </w:pPr>
      <w:r w:rsidRPr="00515F6C">
        <w:rPr>
          <w:rFonts w:ascii="Palatino Linotype" w:eastAsia="Calibri" w:hAnsi="Palatino Linotype" w:cs="Arial"/>
          <w:b/>
          <w:i/>
          <w:color w:val="000000" w:themeColor="text1"/>
          <w:lang w:val="es-ES"/>
        </w:rPr>
        <w:lastRenderedPageBreak/>
        <w:t>20220324180223300.pdf:</w:t>
      </w:r>
      <w:r w:rsidRPr="00515F6C">
        <w:rPr>
          <w:rFonts w:ascii="Palatino Linotype" w:eastAsia="Calibri" w:hAnsi="Palatino Linotype" w:cs="Arial"/>
          <w:color w:val="000000" w:themeColor="text1"/>
          <w:lang w:val="es-ES"/>
        </w:rPr>
        <w:t xml:space="preserve"> Oficio TM/909/2022 suscrito por la Tesorería Municipal, mediante el cual ratifica la respuesta inicial, ya que la información proporcionada contiene datos personales, los cuales sólo pueden proporcionarse al interesado, previa identificación.</w:t>
      </w:r>
    </w:p>
    <w:p w14:paraId="5041B490" w14:textId="57A3AE14" w:rsidR="00A55384" w:rsidRPr="00515F6C" w:rsidRDefault="00A55384" w:rsidP="00A55384">
      <w:pPr>
        <w:pStyle w:val="Prrafodelista"/>
        <w:numPr>
          <w:ilvl w:val="0"/>
          <w:numId w:val="25"/>
        </w:numPr>
        <w:tabs>
          <w:tab w:val="left" w:pos="426"/>
        </w:tabs>
        <w:spacing w:line="360" w:lineRule="auto"/>
        <w:jc w:val="both"/>
        <w:rPr>
          <w:rFonts w:ascii="Palatino Linotype" w:eastAsia="Calibri" w:hAnsi="Palatino Linotype" w:cs="Arial"/>
          <w:color w:val="000000" w:themeColor="text1"/>
          <w:lang w:val="es-ES"/>
        </w:rPr>
      </w:pPr>
      <w:r w:rsidRPr="00515F6C">
        <w:rPr>
          <w:rFonts w:ascii="Palatino Linotype" w:eastAsia="Calibri" w:hAnsi="Palatino Linotype" w:cs="Arial"/>
          <w:b/>
          <w:i/>
          <w:color w:val="000000" w:themeColor="text1"/>
          <w:lang w:val="es-ES"/>
        </w:rPr>
        <w:t xml:space="preserve">RECURSO DE REVISIÓN 03923.pdf: </w:t>
      </w:r>
      <w:r w:rsidRPr="00515F6C">
        <w:rPr>
          <w:rFonts w:ascii="Palatino Linotype" w:eastAsia="Calibri" w:hAnsi="Palatino Linotype" w:cs="Arial"/>
          <w:color w:val="000000" w:themeColor="text1"/>
          <w:lang w:val="es-ES"/>
        </w:rPr>
        <w:t xml:space="preserve">Oficio DGOTYDU/794/2022 suscrito por la Presidencia Municipal, mediante el cual indica que el Plan de Desarrollo Urbano en vigor es el publicado en la Gaceta de Gobierno número 121 de fecha 26 de junio de 2003, el cual se encuentra disponible en </w:t>
      </w:r>
      <w:hyperlink r:id="rId8" w:history="1">
        <w:r w:rsidRPr="00515F6C">
          <w:rPr>
            <w:rStyle w:val="Hipervnculo"/>
            <w:rFonts w:ascii="Palatino Linotype" w:eastAsia="Calibri" w:hAnsi="Palatino Linotype" w:cs="Arial"/>
            <w:lang w:val="es-ES"/>
          </w:rPr>
          <w:t>https://seduo.edomex.gob.mx/atizapan_zaragoza</w:t>
        </w:r>
      </w:hyperlink>
      <w:r w:rsidRPr="00515F6C">
        <w:rPr>
          <w:rFonts w:ascii="Palatino Linotype" w:eastAsia="Calibri" w:hAnsi="Palatino Linotype" w:cs="Arial"/>
          <w:color w:val="000000" w:themeColor="text1"/>
          <w:lang w:val="es-ES"/>
        </w:rPr>
        <w:t xml:space="preserve">. Las licencias de construcción se encuentran en </w:t>
      </w:r>
      <w:hyperlink r:id="rId9" w:history="1">
        <w:r w:rsidRPr="00515F6C">
          <w:rPr>
            <w:rStyle w:val="Hipervnculo"/>
            <w:rFonts w:ascii="Palatino Linotype" w:eastAsia="Calibri" w:hAnsi="Palatino Linotype" w:cs="Arial"/>
            <w:lang w:val="es-ES"/>
          </w:rPr>
          <w:t>https://ipomex.org.mx/ipo/lgt/indice/ATIZAPANDEZARAGOZA/art_94_I_f7.web</w:t>
        </w:r>
      </w:hyperlink>
      <w:r w:rsidRPr="00515F6C">
        <w:rPr>
          <w:rFonts w:ascii="Palatino Linotype" w:eastAsia="Calibri" w:hAnsi="Palatino Linotype" w:cs="Arial"/>
          <w:color w:val="000000" w:themeColor="text1"/>
          <w:lang w:val="es-ES"/>
        </w:rPr>
        <w:t>. En lo que se refiere a la opinión técnica, se ratifica la respuesta, toda vez que durante la administración 2019-2021 no fue otorgada ninguna autorización de cambio de uso de suelo por la entonces Dirección General de Desarrollo Territorial.</w:t>
      </w:r>
    </w:p>
    <w:p w14:paraId="316A3C53" w14:textId="77777777" w:rsidR="00A55384" w:rsidRPr="00515F6C" w:rsidRDefault="00A55384" w:rsidP="00F54373">
      <w:pPr>
        <w:tabs>
          <w:tab w:val="left" w:pos="426"/>
        </w:tabs>
        <w:spacing w:line="360" w:lineRule="auto"/>
        <w:jc w:val="both"/>
        <w:rPr>
          <w:rFonts w:ascii="Palatino Linotype" w:eastAsia="Calibri" w:hAnsi="Palatino Linotype" w:cs="Arial"/>
          <w:color w:val="000000" w:themeColor="text1"/>
          <w:lang w:val="es-ES"/>
        </w:rPr>
      </w:pPr>
    </w:p>
    <w:p w14:paraId="7875583F" w14:textId="16A10BA5" w:rsidR="00A55384" w:rsidRPr="00515F6C" w:rsidRDefault="00861622" w:rsidP="005C5229">
      <w:pPr>
        <w:pStyle w:val="Prrafodelista"/>
        <w:numPr>
          <w:ilvl w:val="0"/>
          <w:numId w:val="1"/>
        </w:numPr>
        <w:tabs>
          <w:tab w:val="left" w:pos="426"/>
        </w:tabs>
        <w:spacing w:line="360" w:lineRule="auto"/>
        <w:jc w:val="both"/>
        <w:rPr>
          <w:rFonts w:ascii="Palatino Linotype" w:hAnsi="Palatino Linotype"/>
          <w:color w:val="000000" w:themeColor="text1"/>
        </w:rPr>
      </w:pPr>
      <w:r w:rsidRPr="00515F6C">
        <w:rPr>
          <w:rFonts w:ascii="Palatino Linotype" w:eastAsia="Calibri" w:hAnsi="Palatino Linotype" w:cs="Arial"/>
          <w:color w:val="000000" w:themeColor="text1"/>
          <w:lang w:val="es-ES"/>
        </w:rPr>
        <w:t>El</w:t>
      </w:r>
      <w:bookmarkStart w:id="4" w:name="_Toc461555889"/>
      <w:bookmarkStart w:id="5" w:name="_Toc466371858"/>
      <w:r w:rsidR="00B855AA" w:rsidRPr="00515F6C">
        <w:rPr>
          <w:rFonts w:ascii="Palatino Linotype" w:eastAsia="Calibri" w:hAnsi="Palatino Linotype" w:cs="Arial"/>
          <w:color w:val="000000" w:themeColor="text1"/>
          <w:lang w:val="es-ES"/>
        </w:rPr>
        <w:t xml:space="preserve"> </w:t>
      </w:r>
      <w:r w:rsidR="00316B09" w:rsidRPr="00515F6C">
        <w:rPr>
          <w:rFonts w:ascii="Palatino Linotype" w:eastAsia="Calibri" w:hAnsi="Palatino Linotype" w:cs="Arial"/>
          <w:color w:val="000000" w:themeColor="text1"/>
          <w:lang w:val="es-ES"/>
        </w:rPr>
        <w:t>doce (12) de mayo</w:t>
      </w:r>
      <w:r w:rsidR="00A55384" w:rsidRPr="00515F6C">
        <w:rPr>
          <w:rFonts w:ascii="Palatino Linotype" w:eastAsia="Calibri" w:hAnsi="Palatino Linotype" w:cs="Arial"/>
          <w:color w:val="000000" w:themeColor="text1"/>
          <w:lang w:val="es-ES"/>
        </w:rPr>
        <w:t xml:space="preserve"> de dos mil veintidós</w:t>
      </w:r>
      <w:r w:rsidR="00316B09" w:rsidRPr="00515F6C">
        <w:rPr>
          <w:rFonts w:ascii="Palatino Linotype" w:eastAsia="Calibri" w:hAnsi="Palatino Linotype" w:cs="Arial"/>
          <w:color w:val="000000" w:themeColor="text1"/>
          <w:lang w:val="es-ES"/>
        </w:rPr>
        <w:t>, se notificó el acuerdo mediante el cual se amplió el plazo para emitir resolución por un periodo de quince días hábiles</w:t>
      </w:r>
      <w:r w:rsidR="005C5229" w:rsidRPr="00515F6C">
        <w:rPr>
          <w:rFonts w:ascii="Palatino Linotype" w:eastAsia="Calibri" w:hAnsi="Palatino Linotype" w:cs="Arial"/>
          <w:color w:val="000000" w:themeColor="text1"/>
          <w:lang w:val="es-ES"/>
        </w:rPr>
        <w:t xml:space="preserve">. </w:t>
      </w:r>
    </w:p>
    <w:p w14:paraId="1E1829D1" w14:textId="77777777" w:rsidR="00F31920" w:rsidRPr="00515F6C" w:rsidRDefault="00F31920" w:rsidP="00F31920">
      <w:pPr>
        <w:pStyle w:val="Prrafodelista"/>
        <w:tabs>
          <w:tab w:val="left" w:pos="426"/>
        </w:tabs>
        <w:spacing w:line="360" w:lineRule="auto"/>
        <w:ind w:left="0"/>
        <w:jc w:val="both"/>
        <w:rPr>
          <w:rFonts w:ascii="Palatino Linotype" w:hAnsi="Palatino Linotype"/>
          <w:color w:val="000000" w:themeColor="text1"/>
        </w:rPr>
      </w:pPr>
    </w:p>
    <w:p w14:paraId="3001AA57" w14:textId="796CF7D0" w:rsidR="008965EF" w:rsidRPr="00515F6C" w:rsidRDefault="00A55384" w:rsidP="005C5229">
      <w:pPr>
        <w:pStyle w:val="Prrafodelista"/>
        <w:numPr>
          <w:ilvl w:val="0"/>
          <w:numId w:val="1"/>
        </w:numPr>
        <w:tabs>
          <w:tab w:val="left" w:pos="426"/>
        </w:tabs>
        <w:spacing w:line="360" w:lineRule="auto"/>
        <w:jc w:val="both"/>
        <w:rPr>
          <w:rFonts w:ascii="Palatino Linotype" w:hAnsi="Palatino Linotype"/>
          <w:color w:val="000000" w:themeColor="text1"/>
        </w:rPr>
      </w:pPr>
      <w:r w:rsidRPr="00515F6C">
        <w:rPr>
          <w:rFonts w:ascii="Palatino Linotype" w:eastAsia="Calibri" w:hAnsi="Palatino Linotype" w:cs="Arial"/>
          <w:color w:val="000000" w:themeColor="text1"/>
          <w:lang w:val="es-ES"/>
        </w:rPr>
        <w:t xml:space="preserve">El veintisiete (27) de mayo de dos mil veintidós, </w:t>
      </w:r>
      <w:r w:rsidR="00C7137A" w:rsidRPr="00515F6C">
        <w:rPr>
          <w:rFonts w:ascii="Palatino Linotype" w:eastAsia="Calibri" w:hAnsi="Palatino Linotype" w:cs="Arial"/>
          <w:color w:val="000000" w:themeColor="text1"/>
          <w:lang w:val="es-ES"/>
        </w:rPr>
        <w:t xml:space="preserve">la Comisionada Ponente </w:t>
      </w:r>
      <w:r w:rsidR="003718A1" w:rsidRPr="00515F6C">
        <w:rPr>
          <w:rFonts w:ascii="Palatino Linotype" w:eastAsia="Calibri" w:hAnsi="Palatino Linotype" w:cs="Arial"/>
          <w:color w:val="000000" w:themeColor="text1"/>
          <w:lang w:val="es-ES"/>
        </w:rPr>
        <w:t>decretó</w:t>
      </w:r>
      <w:r w:rsidR="00AD6AC5" w:rsidRPr="00515F6C">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515F6C">
        <w:rPr>
          <w:rFonts w:ascii="Palatino Linotype" w:hAnsi="Palatino Linotype" w:cs="Arial"/>
          <w:color w:val="000000" w:themeColor="text1"/>
        </w:rPr>
        <w:t xml:space="preserve">; </w:t>
      </w:r>
    </w:p>
    <w:p w14:paraId="104E5B5B" w14:textId="77777777" w:rsidR="00F31920" w:rsidRPr="00515F6C" w:rsidRDefault="00F31920" w:rsidP="00F31920">
      <w:pPr>
        <w:pStyle w:val="Prrafodelista"/>
        <w:rPr>
          <w:rFonts w:ascii="Palatino Linotype" w:hAnsi="Palatino Linotype"/>
          <w:color w:val="000000" w:themeColor="text1"/>
        </w:rPr>
      </w:pPr>
    </w:p>
    <w:p w14:paraId="76E0273E" w14:textId="77777777" w:rsidR="00F31920" w:rsidRPr="00515F6C" w:rsidRDefault="00F31920" w:rsidP="00F31920">
      <w:pPr>
        <w:pStyle w:val="Prrafodelista"/>
        <w:tabs>
          <w:tab w:val="left" w:pos="426"/>
        </w:tabs>
        <w:spacing w:line="360" w:lineRule="auto"/>
        <w:ind w:left="0"/>
        <w:jc w:val="both"/>
        <w:rPr>
          <w:rFonts w:ascii="Palatino Linotype" w:hAnsi="Palatino Linotype"/>
          <w:color w:val="000000" w:themeColor="text1"/>
        </w:rPr>
      </w:pPr>
    </w:p>
    <w:p w14:paraId="433D3DD8" w14:textId="7920A746" w:rsidR="003718A1" w:rsidRPr="00515F6C"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15F6C" w:rsidRDefault="007C0013" w:rsidP="00B31E90">
      <w:pPr>
        <w:pStyle w:val="Ttulo1"/>
        <w:spacing w:before="0"/>
        <w:jc w:val="center"/>
        <w:rPr>
          <w:b/>
          <w:color w:val="000000" w:themeColor="text1"/>
        </w:rPr>
      </w:pPr>
      <w:bookmarkStart w:id="6" w:name="_Toc87456485"/>
      <w:r w:rsidRPr="00515F6C">
        <w:rPr>
          <w:b/>
          <w:color w:val="000000" w:themeColor="text1"/>
        </w:rPr>
        <w:lastRenderedPageBreak/>
        <w:t>CONSIDERANDO</w:t>
      </w:r>
      <w:bookmarkEnd w:id="4"/>
      <w:bookmarkEnd w:id="5"/>
      <w:bookmarkEnd w:id="6"/>
    </w:p>
    <w:p w14:paraId="435CF9A4" w14:textId="77777777" w:rsidR="00FC1DA7" w:rsidRPr="00515F6C" w:rsidRDefault="00FC1DA7" w:rsidP="00B31E90">
      <w:pPr>
        <w:rPr>
          <w:color w:val="000000" w:themeColor="text1"/>
          <w:lang w:eastAsia="en-US"/>
        </w:rPr>
      </w:pPr>
    </w:p>
    <w:p w14:paraId="629A5BE2" w14:textId="56C3E7D5" w:rsidR="007C0013" w:rsidRPr="00515F6C"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515F6C">
        <w:rPr>
          <w:rFonts w:ascii="Palatino Linotype" w:hAnsi="Palatino Linotype"/>
          <w:b/>
          <w:color w:val="000000" w:themeColor="text1"/>
          <w:sz w:val="24"/>
        </w:rPr>
        <w:t>PRIMERO. De la competencia</w:t>
      </w:r>
      <w:bookmarkEnd w:id="7"/>
      <w:bookmarkEnd w:id="8"/>
      <w:bookmarkEnd w:id="9"/>
    </w:p>
    <w:p w14:paraId="60FBD8C7" w14:textId="77777777" w:rsidR="00FC1DA7" w:rsidRPr="00515F6C" w:rsidRDefault="00FC1DA7" w:rsidP="00B31E90">
      <w:pPr>
        <w:rPr>
          <w:rFonts w:ascii="Palatino Linotype" w:hAnsi="Palatino Linotype"/>
          <w:color w:val="000000" w:themeColor="text1"/>
          <w:lang w:eastAsia="en-US"/>
        </w:rPr>
      </w:pPr>
    </w:p>
    <w:p w14:paraId="0BF52B18" w14:textId="515C3AEB" w:rsidR="005A228F" w:rsidRPr="00515F6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15F6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15F6C">
        <w:rPr>
          <w:rFonts w:ascii="Palatino Linotype" w:eastAsia="Calibri" w:hAnsi="Palatino Linotype" w:cs="Times New Roman"/>
          <w:color w:val="000000" w:themeColor="text1"/>
          <w:lang w:val="es-ES"/>
        </w:rPr>
        <w:t xml:space="preserve">etente para conocer y resolver </w:t>
      </w:r>
      <w:r w:rsidRPr="00515F6C">
        <w:rPr>
          <w:rFonts w:ascii="Palatino Linotype" w:eastAsia="Calibri" w:hAnsi="Palatino Linotype" w:cs="Times New Roman"/>
          <w:color w:val="000000" w:themeColor="text1"/>
          <w:lang w:val="es-ES"/>
        </w:rPr>
        <w:t xml:space="preserve">el presente recurso de conformidad con el artículo: 6, apartado A, fracción IV de la </w:t>
      </w:r>
      <w:r w:rsidRPr="00515F6C">
        <w:rPr>
          <w:rFonts w:ascii="Palatino Linotype" w:eastAsia="Calibri" w:hAnsi="Palatino Linotype" w:cs="Times New Roman"/>
          <w:b/>
          <w:color w:val="000000" w:themeColor="text1"/>
          <w:lang w:val="es-ES"/>
        </w:rPr>
        <w:t>Constitución Política de los Estados Unidos Mexicanos</w:t>
      </w:r>
      <w:r w:rsidRPr="00515F6C">
        <w:rPr>
          <w:rFonts w:ascii="Palatino Linotype" w:eastAsia="Calibri" w:hAnsi="Palatino Linotype" w:cs="Times New Roman"/>
          <w:color w:val="000000" w:themeColor="text1"/>
          <w:lang w:val="es-ES"/>
        </w:rPr>
        <w:t xml:space="preserve">; 5, párrafos </w:t>
      </w:r>
      <w:r w:rsidR="000B7C4F" w:rsidRPr="00515F6C">
        <w:rPr>
          <w:rFonts w:ascii="Palatino Linotype" w:eastAsia="Calibri" w:hAnsi="Palatino Linotype" w:cs="Times New Roman"/>
          <w:color w:val="000000" w:themeColor="text1"/>
          <w:lang w:val="es-ES"/>
        </w:rPr>
        <w:t>trigésimo, trigésimo primero y trigésimo segundo</w:t>
      </w:r>
      <w:r w:rsidR="004F785F" w:rsidRPr="00515F6C">
        <w:rPr>
          <w:rFonts w:ascii="Palatino Linotype" w:eastAsia="Calibri" w:hAnsi="Palatino Linotype" w:cs="Times New Roman"/>
          <w:color w:val="000000" w:themeColor="text1"/>
          <w:lang w:val="es-ES"/>
        </w:rPr>
        <w:t>,</w:t>
      </w:r>
      <w:r w:rsidRPr="00515F6C">
        <w:rPr>
          <w:rFonts w:ascii="Palatino Linotype" w:eastAsia="Calibri" w:hAnsi="Palatino Linotype" w:cs="Times New Roman"/>
          <w:color w:val="000000" w:themeColor="text1"/>
          <w:lang w:val="es-ES"/>
        </w:rPr>
        <w:t xml:space="preserve"> fracciones IV y V</w:t>
      </w:r>
      <w:r w:rsidR="004F785F" w:rsidRPr="00515F6C">
        <w:rPr>
          <w:rFonts w:ascii="Palatino Linotype" w:eastAsia="Calibri" w:hAnsi="Palatino Linotype" w:cs="Times New Roman"/>
          <w:color w:val="000000" w:themeColor="text1"/>
          <w:lang w:val="es-ES"/>
        </w:rPr>
        <w:t>,</w:t>
      </w:r>
      <w:r w:rsidRPr="00515F6C">
        <w:rPr>
          <w:rFonts w:ascii="Palatino Linotype" w:eastAsia="Calibri" w:hAnsi="Palatino Linotype" w:cs="Times New Roman"/>
          <w:color w:val="000000" w:themeColor="text1"/>
          <w:lang w:val="es-ES"/>
        </w:rPr>
        <w:t xml:space="preserve"> de la </w:t>
      </w:r>
      <w:r w:rsidRPr="00515F6C">
        <w:rPr>
          <w:rFonts w:ascii="Palatino Linotype" w:eastAsia="Calibri" w:hAnsi="Palatino Linotype" w:cs="Times New Roman"/>
          <w:b/>
          <w:color w:val="000000" w:themeColor="text1"/>
          <w:lang w:val="es-ES"/>
        </w:rPr>
        <w:t>Constitución Política del Estado Libre y Soberano de México</w:t>
      </w:r>
      <w:r w:rsidRPr="00515F6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15F6C">
        <w:rPr>
          <w:rFonts w:ascii="Palatino Linotype" w:eastAsia="Calibri" w:hAnsi="Palatino Linotype" w:cs="Arial"/>
          <w:color w:val="000000" w:themeColor="text1"/>
          <w:lang w:val="es-ES"/>
        </w:rPr>
        <w:t xml:space="preserve">de la </w:t>
      </w:r>
      <w:r w:rsidRPr="00515F6C">
        <w:rPr>
          <w:rFonts w:ascii="Palatino Linotype" w:eastAsia="Calibri" w:hAnsi="Palatino Linotype" w:cs="Arial"/>
          <w:b/>
          <w:color w:val="000000" w:themeColor="text1"/>
          <w:lang w:val="es-ES"/>
        </w:rPr>
        <w:t>Ley de Transparencia y Acceso a la Información Pública del Estado de México y Municipios</w:t>
      </w:r>
      <w:r w:rsidRPr="00515F6C">
        <w:rPr>
          <w:rFonts w:ascii="Palatino Linotype" w:eastAsia="Calibri" w:hAnsi="Palatino Linotype" w:cs="Arial"/>
          <w:color w:val="000000" w:themeColor="text1"/>
          <w:lang w:val="es-ES"/>
        </w:rPr>
        <w:t xml:space="preserve">; y 10, 7, 9 fracciones I y XXIV, y 11 del </w:t>
      </w:r>
      <w:r w:rsidRPr="00515F6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15F6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15F6C"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515F6C">
        <w:rPr>
          <w:rFonts w:ascii="Palatino Linotype" w:hAnsi="Palatino Linotype"/>
          <w:b/>
          <w:color w:val="000000" w:themeColor="text1"/>
          <w:sz w:val="24"/>
        </w:rPr>
        <w:t>SEGUNDO. De la oportunidad y proced</w:t>
      </w:r>
      <w:r w:rsidR="00F35C44" w:rsidRPr="00515F6C">
        <w:rPr>
          <w:rFonts w:ascii="Palatino Linotype" w:hAnsi="Palatino Linotype"/>
          <w:b/>
          <w:color w:val="000000" w:themeColor="text1"/>
          <w:sz w:val="24"/>
        </w:rPr>
        <w:t>encia</w:t>
      </w:r>
      <w:r w:rsidRPr="00515F6C">
        <w:rPr>
          <w:rFonts w:ascii="Palatino Linotype" w:hAnsi="Palatino Linotype"/>
          <w:b/>
          <w:color w:val="000000" w:themeColor="text1"/>
          <w:sz w:val="24"/>
        </w:rPr>
        <w:t>.</w:t>
      </w:r>
      <w:bookmarkEnd w:id="10"/>
      <w:bookmarkEnd w:id="11"/>
      <w:bookmarkEnd w:id="12"/>
    </w:p>
    <w:p w14:paraId="18E22450" w14:textId="77777777" w:rsidR="00C6440A" w:rsidRPr="00515F6C" w:rsidRDefault="00C6440A" w:rsidP="00B31E90">
      <w:pPr>
        <w:rPr>
          <w:color w:val="000000" w:themeColor="text1"/>
          <w:lang w:eastAsia="en-US"/>
        </w:rPr>
      </w:pPr>
    </w:p>
    <w:p w14:paraId="7D631690" w14:textId="280A1AEA" w:rsidR="00B34758" w:rsidRPr="00515F6C"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15F6C">
        <w:rPr>
          <w:rFonts w:ascii="Palatino Linotype" w:eastAsia="Calibri" w:hAnsi="Palatino Linotype" w:cs="Arial"/>
          <w:color w:val="000000" w:themeColor="text1"/>
        </w:rPr>
        <w:t xml:space="preserve">El </w:t>
      </w:r>
      <w:r w:rsidR="00740BA4" w:rsidRPr="00515F6C">
        <w:rPr>
          <w:rFonts w:ascii="Palatino Linotype" w:eastAsia="Calibri" w:hAnsi="Palatino Linotype" w:cs="Arial"/>
          <w:color w:val="000000" w:themeColor="text1"/>
        </w:rPr>
        <w:t xml:space="preserve">medio de impugnación fue presentado a través del </w:t>
      </w:r>
      <w:r w:rsidR="00740BA4" w:rsidRPr="00515F6C">
        <w:rPr>
          <w:rFonts w:ascii="Palatino Linotype" w:eastAsia="Calibri" w:hAnsi="Palatino Linotype" w:cs="Arial"/>
          <w:bCs/>
          <w:iCs/>
          <w:color w:val="000000" w:themeColor="text1"/>
        </w:rPr>
        <w:t>SAIMEX</w:t>
      </w:r>
      <w:r w:rsidR="00740BA4" w:rsidRPr="00515F6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15F6C">
        <w:rPr>
          <w:rFonts w:ascii="Palatino Linotype" w:eastAsia="Calibri" w:hAnsi="Palatino Linotype" w:cs="Arial"/>
          <w:b/>
          <w:color w:val="000000" w:themeColor="text1"/>
        </w:rPr>
        <w:t>SUJETO OBLIGADO</w:t>
      </w:r>
      <w:r w:rsidR="00740BA4" w:rsidRPr="00515F6C">
        <w:rPr>
          <w:rFonts w:ascii="Palatino Linotype" w:eastAsia="Calibri" w:hAnsi="Palatino Linotype" w:cs="Arial"/>
          <w:color w:val="000000" w:themeColor="text1"/>
        </w:rPr>
        <w:t xml:space="preserve"> entregó respuesta el </w:t>
      </w:r>
      <w:r w:rsidR="00B41946" w:rsidRPr="00515F6C">
        <w:rPr>
          <w:rFonts w:ascii="Palatino Linotype" w:eastAsia="Calibri" w:hAnsi="Palatino Linotype" w:cs="Arial"/>
          <w:color w:val="000000" w:themeColor="text1"/>
        </w:rPr>
        <w:t>veinti</w:t>
      </w:r>
      <w:r w:rsidR="00F31920" w:rsidRPr="00515F6C">
        <w:rPr>
          <w:rFonts w:ascii="Palatino Linotype" w:eastAsia="Calibri" w:hAnsi="Palatino Linotype" w:cs="Arial"/>
          <w:color w:val="000000" w:themeColor="text1"/>
        </w:rPr>
        <w:t>trés</w:t>
      </w:r>
      <w:r w:rsidR="00921375" w:rsidRPr="00515F6C">
        <w:rPr>
          <w:rFonts w:ascii="Palatino Linotype" w:eastAsia="Calibri" w:hAnsi="Palatino Linotype" w:cs="Arial"/>
          <w:color w:val="000000" w:themeColor="text1"/>
        </w:rPr>
        <w:t xml:space="preserve"> (</w:t>
      </w:r>
      <w:r w:rsidR="00B41946" w:rsidRPr="00515F6C">
        <w:rPr>
          <w:rFonts w:ascii="Palatino Linotype" w:eastAsia="Calibri" w:hAnsi="Palatino Linotype" w:cs="Arial"/>
          <w:color w:val="000000" w:themeColor="text1"/>
        </w:rPr>
        <w:t>2</w:t>
      </w:r>
      <w:r w:rsidR="00F31920" w:rsidRPr="00515F6C">
        <w:rPr>
          <w:rFonts w:ascii="Palatino Linotype" w:eastAsia="Calibri" w:hAnsi="Palatino Linotype" w:cs="Arial"/>
          <w:color w:val="000000" w:themeColor="text1"/>
        </w:rPr>
        <w:t>3</w:t>
      </w:r>
      <w:r w:rsidR="00921375" w:rsidRPr="00515F6C">
        <w:rPr>
          <w:rFonts w:ascii="Palatino Linotype" w:eastAsia="Calibri" w:hAnsi="Palatino Linotype" w:cs="Arial"/>
          <w:color w:val="000000" w:themeColor="text1"/>
        </w:rPr>
        <w:t xml:space="preserve">) de </w:t>
      </w:r>
      <w:r w:rsidR="00B41946" w:rsidRPr="00515F6C">
        <w:rPr>
          <w:rFonts w:ascii="Palatino Linotype" w:eastAsia="Calibri" w:hAnsi="Palatino Linotype" w:cs="Arial"/>
          <w:color w:val="000000" w:themeColor="text1"/>
        </w:rPr>
        <w:t>febrero</w:t>
      </w:r>
      <w:r w:rsidR="007F372C" w:rsidRPr="00515F6C">
        <w:rPr>
          <w:rFonts w:ascii="Palatino Linotype" w:eastAsia="Calibri" w:hAnsi="Palatino Linotype" w:cs="Arial"/>
          <w:color w:val="000000" w:themeColor="text1"/>
        </w:rPr>
        <w:t xml:space="preserve"> </w:t>
      </w:r>
      <w:r w:rsidR="00740BA4" w:rsidRPr="00515F6C">
        <w:rPr>
          <w:rFonts w:ascii="Palatino Linotype" w:eastAsia="Calibri" w:hAnsi="Palatino Linotype" w:cs="Arial"/>
          <w:color w:val="000000" w:themeColor="text1"/>
        </w:rPr>
        <w:t>de dos mil veinti</w:t>
      </w:r>
      <w:r w:rsidR="001B32B2" w:rsidRPr="00515F6C">
        <w:rPr>
          <w:rFonts w:ascii="Palatino Linotype" w:eastAsia="Calibri" w:hAnsi="Palatino Linotype" w:cs="Arial"/>
          <w:color w:val="000000" w:themeColor="text1"/>
        </w:rPr>
        <w:t>dós</w:t>
      </w:r>
      <w:r w:rsidR="00740BA4" w:rsidRPr="00515F6C">
        <w:rPr>
          <w:rFonts w:ascii="Palatino Linotype" w:eastAsia="Calibri" w:hAnsi="Palatino Linotype" w:cs="Arial"/>
          <w:color w:val="000000" w:themeColor="text1"/>
        </w:rPr>
        <w:t>, de tal forma que el plazo para interponer el recurso de revisión transcurrió del</w:t>
      </w:r>
      <w:r w:rsidR="005A3F61" w:rsidRPr="00515F6C">
        <w:rPr>
          <w:rFonts w:ascii="Palatino Linotype" w:eastAsia="Calibri" w:hAnsi="Palatino Linotype" w:cs="Arial"/>
          <w:color w:val="000000" w:themeColor="text1"/>
        </w:rPr>
        <w:t xml:space="preserve"> </w:t>
      </w:r>
      <w:r w:rsidR="00B41946" w:rsidRPr="00515F6C">
        <w:rPr>
          <w:rFonts w:ascii="Palatino Linotype" w:eastAsia="Calibri" w:hAnsi="Palatino Linotype" w:cs="Arial"/>
          <w:color w:val="000000" w:themeColor="text1"/>
        </w:rPr>
        <w:t>veintic</w:t>
      </w:r>
      <w:r w:rsidR="00F31920" w:rsidRPr="00515F6C">
        <w:rPr>
          <w:rFonts w:ascii="Palatino Linotype" w:eastAsia="Calibri" w:hAnsi="Palatino Linotype" w:cs="Arial"/>
          <w:color w:val="000000" w:themeColor="text1"/>
        </w:rPr>
        <w:t>uatro</w:t>
      </w:r>
      <w:r w:rsidR="00CE035D" w:rsidRPr="00515F6C">
        <w:rPr>
          <w:rFonts w:ascii="Palatino Linotype" w:eastAsia="Calibri" w:hAnsi="Palatino Linotype" w:cs="Arial"/>
          <w:color w:val="000000" w:themeColor="text1"/>
        </w:rPr>
        <w:t xml:space="preserve"> </w:t>
      </w:r>
      <w:r w:rsidR="00921375" w:rsidRPr="00515F6C">
        <w:rPr>
          <w:rFonts w:ascii="Palatino Linotype" w:eastAsia="Calibri" w:hAnsi="Palatino Linotype" w:cs="Arial"/>
          <w:color w:val="000000" w:themeColor="text1"/>
        </w:rPr>
        <w:t>(</w:t>
      </w:r>
      <w:r w:rsidR="00B41946" w:rsidRPr="00515F6C">
        <w:rPr>
          <w:rFonts w:ascii="Palatino Linotype" w:eastAsia="Calibri" w:hAnsi="Palatino Linotype" w:cs="Arial"/>
          <w:color w:val="000000" w:themeColor="text1"/>
        </w:rPr>
        <w:t>2</w:t>
      </w:r>
      <w:r w:rsidR="00F31920" w:rsidRPr="00515F6C">
        <w:rPr>
          <w:rFonts w:ascii="Palatino Linotype" w:eastAsia="Calibri" w:hAnsi="Palatino Linotype" w:cs="Arial"/>
          <w:color w:val="000000" w:themeColor="text1"/>
        </w:rPr>
        <w:t>4</w:t>
      </w:r>
      <w:r w:rsidR="00921375" w:rsidRPr="00515F6C">
        <w:rPr>
          <w:rFonts w:ascii="Palatino Linotype" w:eastAsia="Calibri" w:hAnsi="Palatino Linotype" w:cs="Arial"/>
          <w:color w:val="000000" w:themeColor="text1"/>
        </w:rPr>
        <w:t xml:space="preserve">) </w:t>
      </w:r>
      <w:r w:rsidR="00B41946" w:rsidRPr="00515F6C">
        <w:rPr>
          <w:rFonts w:ascii="Palatino Linotype" w:eastAsia="Calibri" w:hAnsi="Palatino Linotype" w:cs="Arial"/>
          <w:color w:val="000000" w:themeColor="text1"/>
        </w:rPr>
        <w:t xml:space="preserve">de febrero </w:t>
      </w:r>
      <w:r w:rsidR="00316B09" w:rsidRPr="00515F6C">
        <w:rPr>
          <w:rFonts w:ascii="Palatino Linotype" w:eastAsia="Calibri" w:hAnsi="Palatino Linotype" w:cs="Arial"/>
          <w:color w:val="000000" w:themeColor="text1"/>
        </w:rPr>
        <w:t xml:space="preserve">al </w:t>
      </w:r>
      <w:r w:rsidR="00F31920" w:rsidRPr="00515F6C">
        <w:rPr>
          <w:rFonts w:ascii="Palatino Linotype" w:eastAsia="Calibri" w:hAnsi="Palatino Linotype" w:cs="Arial"/>
          <w:color w:val="000000" w:themeColor="text1"/>
        </w:rPr>
        <w:t>diecisiete</w:t>
      </w:r>
      <w:r w:rsidR="00316B09" w:rsidRPr="00515F6C">
        <w:rPr>
          <w:rFonts w:ascii="Palatino Linotype" w:eastAsia="Calibri" w:hAnsi="Palatino Linotype" w:cs="Arial"/>
          <w:color w:val="000000" w:themeColor="text1"/>
        </w:rPr>
        <w:t xml:space="preserve"> (</w:t>
      </w:r>
      <w:r w:rsidR="00B41946" w:rsidRPr="00515F6C">
        <w:rPr>
          <w:rFonts w:ascii="Palatino Linotype" w:eastAsia="Calibri" w:hAnsi="Palatino Linotype" w:cs="Arial"/>
          <w:color w:val="000000" w:themeColor="text1"/>
        </w:rPr>
        <w:t>1</w:t>
      </w:r>
      <w:r w:rsidR="00F31920" w:rsidRPr="00515F6C">
        <w:rPr>
          <w:rFonts w:ascii="Palatino Linotype" w:eastAsia="Calibri" w:hAnsi="Palatino Linotype" w:cs="Arial"/>
          <w:color w:val="000000" w:themeColor="text1"/>
        </w:rPr>
        <w:t>7</w:t>
      </w:r>
      <w:r w:rsidR="00316B09" w:rsidRPr="00515F6C">
        <w:rPr>
          <w:rFonts w:ascii="Palatino Linotype" w:eastAsia="Calibri" w:hAnsi="Palatino Linotype" w:cs="Arial"/>
          <w:color w:val="000000" w:themeColor="text1"/>
        </w:rPr>
        <w:t>) de marzo</w:t>
      </w:r>
      <w:r w:rsidR="00AA37A7" w:rsidRPr="00515F6C">
        <w:rPr>
          <w:rFonts w:ascii="Palatino Linotype" w:eastAsia="Calibri" w:hAnsi="Palatino Linotype" w:cs="Arial"/>
          <w:color w:val="000000" w:themeColor="text1"/>
        </w:rPr>
        <w:t xml:space="preserve"> </w:t>
      </w:r>
      <w:r w:rsidR="00921375" w:rsidRPr="00515F6C">
        <w:rPr>
          <w:rFonts w:ascii="Palatino Linotype" w:eastAsia="Calibri" w:hAnsi="Palatino Linotype" w:cs="Arial"/>
          <w:color w:val="000000" w:themeColor="text1"/>
        </w:rPr>
        <w:t xml:space="preserve">de dos mil </w:t>
      </w:r>
      <w:r w:rsidR="00AA37A7" w:rsidRPr="00515F6C">
        <w:rPr>
          <w:rFonts w:ascii="Palatino Linotype" w:eastAsia="Calibri" w:hAnsi="Palatino Linotype" w:cs="Arial"/>
          <w:color w:val="000000" w:themeColor="text1"/>
        </w:rPr>
        <w:t>veintidós</w:t>
      </w:r>
      <w:r w:rsidR="00CE035D" w:rsidRPr="00515F6C">
        <w:rPr>
          <w:rFonts w:ascii="Palatino Linotype" w:eastAsia="Calibri" w:hAnsi="Palatino Linotype" w:cs="Arial"/>
          <w:color w:val="000000" w:themeColor="text1"/>
        </w:rPr>
        <w:t xml:space="preserve">, el recurso de revisión </w:t>
      </w:r>
      <w:r w:rsidR="00E95534" w:rsidRPr="00515F6C">
        <w:rPr>
          <w:rFonts w:ascii="Palatino Linotype" w:hAnsi="Palatino Linotype"/>
          <w:color w:val="000000" w:themeColor="text1"/>
        </w:rPr>
        <w:t xml:space="preserve">fue interpuesto el </w:t>
      </w:r>
      <w:r w:rsidR="00B41946" w:rsidRPr="00515F6C">
        <w:rPr>
          <w:rFonts w:ascii="Palatino Linotype" w:hAnsi="Palatino Linotype"/>
          <w:color w:val="000000" w:themeColor="text1"/>
        </w:rPr>
        <w:t>catorce</w:t>
      </w:r>
      <w:r w:rsidR="00CE035D" w:rsidRPr="00515F6C">
        <w:rPr>
          <w:rFonts w:ascii="Palatino Linotype" w:hAnsi="Palatino Linotype"/>
          <w:color w:val="000000" w:themeColor="text1"/>
        </w:rPr>
        <w:t xml:space="preserve"> </w:t>
      </w:r>
      <w:r w:rsidR="00921375" w:rsidRPr="00515F6C">
        <w:rPr>
          <w:rFonts w:ascii="Palatino Linotype" w:hAnsi="Palatino Linotype"/>
          <w:color w:val="000000" w:themeColor="text1"/>
        </w:rPr>
        <w:t>(</w:t>
      </w:r>
      <w:r w:rsidR="00B41946" w:rsidRPr="00515F6C">
        <w:rPr>
          <w:rFonts w:ascii="Palatino Linotype" w:hAnsi="Palatino Linotype"/>
          <w:color w:val="000000" w:themeColor="text1"/>
        </w:rPr>
        <w:t>14</w:t>
      </w:r>
      <w:r w:rsidR="00921375" w:rsidRPr="00515F6C">
        <w:rPr>
          <w:rFonts w:ascii="Palatino Linotype" w:hAnsi="Palatino Linotype"/>
          <w:color w:val="000000" w:themeColor="text1"/>
        </w:rPr>
        <w:t xml:space="preserve">) de </w:t>
      </w:r>
      <w:r w:rsidR="00316B09" w:rsidRPr="00515F6C">
        <w:rPr>
          <w:rFonts w:ascii="Palatino Linotype" w:hAnsi="Palatino Linotype"/>
          <w:color w:val="000000" w:themeColor="text1"/>
        </w:rPr>
        <w:t>marzo</w:t>
      </w:r>
      <w:r w:rsidR="00061A86" w:rsidRPr="00515F6C">
        <w:rPr>
          <w:rFonts w:ascii="Palatino Linotype" w:hAnsi="Palatino Linotype"/>
          <w:color w:val="000000" w:themeColor="text1"/>
        </w:rPr>
        <w:t xml:space="preserve"> de dos mil veintidós</w:t>
      </w:r>
      <w:r w:rsidR="00E95534" w:rsidRPr="00515F6C">
        <w:rPr>
          <w:rFonts w:ascii="Palatino Linotype" w:hAnsi="Palatino Linotype"/>
          <w:color w:val="000000" w:themeColor="text1"/>
        </w:rPr>
        <w:t>, éste</w:t>
      </w:r>
      <w:r w:rsidR="00E95534" w:rsidRPr="00515F6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15F6C">
        <w:rPr>
          <w:rFonts w:ascii="Palatino Linotype" w:hAnsi="Palatino Linotype" w:cs="Arial"/>
          <w:b/>
          <w:color w:val="000000" w:themeColor="text1"/>
        </w:rPr>
        <w:t xml:space="preserve"> </w:t>
      </w:r>
      <w:r w:rsidR="00E95534" w:rsidRPr="00515F6C">
        <w:rPr>
          <w:rFonts w:ascii="Palatino Linotype" w:hAnsi="Palatino Linotype" w:cs="Arial"/>
          <w:color w:val="000000" w:themeColor="text1"/>
        </w:rPr>
        <w:t>vigente.</w:t>
      </w:r>
    </w:p>
    <w:p w14:paraId="5CB8FFBB" w14:textId="77777777" w:rsidR="00D91544" w:rsidRPr="00515F6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15F6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15F6C">
        <w:rPr>
          <w:rFonts w:ascii="Palatino Linotype" w:eastAsia="Calibri" w:hAnsi="Palatino Linotype" w:cs="Arial"/>
          <w:color w:val="000000" w:themeColor="text1"/>
        </w:rPr>
        <w:t>C</w:t>
      </w:r>
      <w:r w:rsidR="00AF6795" w:rsidRPr="00515F6C">
        <w:rPr>
          <w:rFonts w:ascii="Palatino Linotype" w:eastAsia="Calibri" w:hAnsi="Palatino Linotype" w:cs="Arial"/>
          <w:color w:val="000000" w:themeColor="text1"/>
        </w:rPr>
        <w:t>onsecuencia de lo anterior, este</w:t>
      </w:r>
      <w:r w:rsidRPr="00515F6C">
        <w:rPr>
          <w:rFonts w:ascii="Palatino Linotype" w:eastAsia="Calibri" w:hAnsi="Palatino Linotype" w:cs="Arial"/>
          <w:color w:val="000000" w:themeColor="text1"/>
        </w:rPr>
        <w:t xml:space="preserve"> </w:t>
      </w:r>
      <w:r w:rsidR="00AF6795" w:rsidRPr="00515F6C">
        <w:rPr>
          <w:rFonts w:ascii="Palatino Linotype" w:eastAsia="Calibri" w:hAnsi="Palatino Linotype" w:cs="Arial"/>
          <w:color w:val="000000" w:themeColor="text1"/>
        </w:rPr>
        <w:t>Órgano Garante</w:t>
      </w:r>
      <w:r w:rsidRPr="00515F6C">
        <w:rPr>
          <w:rFonts w:ascii="Palatino Linotype" w:eastAsia="Calibri" w:hAnsi="Palatino Linotype" w:cs="Arial"/>
          <w:color w:val="000000" w:themeColor="text1"/>
        </w:rPr>
        <w:t xml:space="preserve"> advierte que </w:t>
      </w:r>
      <w:r w:rsidR="00540208" w:rsidRPr="00515F6C">
        <w:rPr>
          <w:rFonts w:ascii="Palatino Linotype" w:eastAsia="Calibri" w:hAnsi="Palatino Linotype" w:cs="Arial"/>
          <w:color w:val="000000" w:themeColor="text1"/>
        </w:rPr>
        <w:t xml:space="preserve">el escrito contiene las formalidades previstas por el artículo 180 último párrafo de la Ley </w:t>
      </w:r>
      <w:r w:rsidR="004911B6" w:rsidRPr="00515F6C">
        <w:rPr>
          <w:rFonts w:ascii="Palatino Linotype" w:eastAsia="Calibri" w:hAnsi="Palatino Linotype" w:cs="Arial"/>
          <w:color w:val="000000" w:themeColor="text1"/>
        </w:rPr>
        <w:t>de Transparencia y Acceso a la Información Pública del Estado de México y Municipios</w:t>
      </w:r>
      <w:r w:rsidR="00540208" w:rsidRPr="00515F6C">
        <w:rPr>
          <w:rFonts w:ascii="Palatino Linotype" w:eastAsia="Calibri" w:hAnsi="Palatino Linotype" w:cs="Arial"/>
          <w:color w:val="000000" w:themeColor="text1"/>
        </w:rPr>
        <w:t xml:space="preserve">, por lo que es procedente que </w:t>
      </w:r>
      <w:r w:rsidR="004911B6" w:rsidRPr="00515F6C">
        <w:rPr>
          <w:rFonts w:ascii="Palatino Linotype" w:eastAsia="Calibri" w:hAnsi="Palatino Linotype" w:cs="Arial"/>
          <w:color w:val="000000" w:themeColor="text1"/>
        </w:rPr>
        <w:t>e</w:t>
      </w:r>
      <w:r w:rsidR="00540208" w:rsidRPr="00515F6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515F6C"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15F6C"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15F6C">
        <w:rPr>
          <w:rFonts w:ascii="Palatino Linotype" w:hAnsi="Palatino Linotype"/>
          <w:b/>
          <w:color w:val="000000" w:themeColor="text1"/>
          <w:sz w:val="24"/>
          <w:szCs w:val="24"/>
        </w:rPr>
        <w:t>TERCERO</w:t>
      </w:r>
      <w:r w:rsidR="00C50A2B" w:rsidRPr="00515F6C">
        <w:rPr>
          <w:rFonts w:ascii="Palatino Linotype" w:hAnsi="Palatino Linotype"/>
          <w:b/>
          <w:color w:val="000000" w:themeColor="text1"/>
          <w:sz w:val="24"/>
          <w:szCs w:val="24"/>
        </w:rPr>
        <w:t>. De</w:t>
      </w:r>
      <w:r w:rsidR="00AD76A1" w:rsidRPr="00515F6C">
        <w:rPr>
          <w:rFonts w:ascii="Palatino Linotype" w:hAnsi="Palatino Linotype"/>
          <w:b/>
          <w:color w:val="000000" w:themeColor="text1"/>
          <w:sz w:val="24"/>
          <w:szCs w:val="24"/>
        </w:rPr>
        <w:t xml:space="preserve">l planteamiento de la </w:t>
      </w:r>
      <w:r w:rsidR="00AD76A1" w:rsidRPr="00515F6C">
        <w:rPr>
          <w:rFonts w:ascii="Palatino Linotype" w:hAnsi="Palatino Linotype"/>
          <w:b/>
          <w:i/>
          <w:color w:val="000000" w:themeColor="text1"/>
          <w:sz w:val="24"/>
          <w:szCs w:val="24"/>
        </w:rPr>
        <w:t>Litis</w:t>
      </w:r>
      <w:r w:rsidR="00C50A2B" w:rsidRPr="00515F6C">
        <w:rPr>
          <w:rFonts w:ascii="Palatino Linotype" w:hAnsi="Palatino Linotype"/>
          <w:b/>
          <w:color w:val="000000" w:themeColor="text1"/>
          <w:sz w:val="24"/>
          <w:szCs w:val="24"/>
        </w:rPr>
        <w:t>.</w:t>
      </w:r>
      <w:bookmarkEnd w:id="13"/>
      <w:bookmarkEnd w:id="14"/>
      <w:bookmarkEnd w:id="15"/>
    </w:p>
    <w:p w14:paraId="4231B8D5" w14:textId="77777777" w:rsidR="00540208" w:rsidRPr="00515F6C" w:rsidRDefault="00540208" w:rsidP="00B31E90">
      <w:pPr>
        <w:rPr>
          <w:rFonts w:ascii="Palatino Linotype" w:hAnsi="Palatino Linotype"/>
          <w:color w:val="000000" w:themeColor="text1"/>
          <w:lang w:eastAsia="en-US"/>
        </w:rPr>
      </w:pPr>
    </w:p>
    <w:bookmarkEnd w:id="16"/>
    <w:bookmarkEnd w:id="17"/>
    <w:p w14:paraId="00889231" w14:textId="77777777" w:rsidR="00325738" w:rsidRPr="00515F6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15F6C">
        <w:rPr>
          <w:rFonts w:ascii="Palatino Linotype" w:hAnsi="Palatino Linotype" w:cs="Arial"/>
          <w:color w:val="000000" w:themeColor="text1"/>
        </w:rPr>
        <w:t>El Recurrente solicitó</w:t>
      </w:r>
      <w:r w:rsidR="001B32B2" w:rsidRPr="00515F6C">
        <w:rPr>
          <w:rFonts w:ascii="Palatino Linotype" w:hAnsi="Palatino Linotype" w:cs="Arial"/>
          <w:color w:val="000000" w:themeColor="text1"/>
        </w:rPr>
        <w:t xml:space="preserve"> </w:t>
      </w:r>
      <w:r w:rsidR="00325738" w:rsidRPr="00515F6C">
        <w:rPr>
          <w:rFonts w:ascii="Palatino Linotype" w:hAnsi="Palatino Linotype" w:cs="Arial"/>
          <w:color w:val="000000" w:themeColor="text1"/>
        </w:rPr>
        <w:t>la siguiente información:</w:t>
      </w:r>
    </w:p>
    <w:p w14:paraId="41F1F750" w14:textId="730EC594" w:rsidR="00F31920" w:rsidRPr="00515F6C" w:rsidRDefault="00F31920" w:rsidP="00F31920">
      <w:pPr>
        <w:spacing w:line="276" w:lineRule="auto"/>
        <w:ind w:right="567"/>
        <w:jc w:val="both"/>
        <w:rPr>
          <w:rFonts w:ascii="Palatino Linotype" w:hAnsi="Palatino Linotype"/>
          <w:bCs/>
          <w:i/>
          <w:color w:val="000000"/>
          <w:sz w:val="22"/>
          <w:szCs w:val="22"/>
        </w:rPr>
      </w:pPr>
      <w:r w:rsidRPr="00515F6C">
        <w:rPr>
          <w:rFonts w:ascii="Palatino Linotype" w:hAnsi="Palatino Linotype"/>
          <w:bCs/>
          <w:i/>
          <w:color w:val="000000"/>
          <w:sz w:val="22"/>
          <w:szCs w:val="22"/>
        </w:rPr>
        <w:t xml:space="preserve"> </w:t>
      </w:r>
    </w:p>
    <w:p w14:paraId="2822D996" w14:textId="7D779FF0" w:rsidR="00F31920" w:rsidRPr="00515F6C" w:rsidRDefault="00F31920" w:rsidP="00F31920">
      <w:pPr>
        <w:pStyle w:val="Prrafodelista"/>
        <w:numPr>
          <w:ilvl w:val="0"/>
          <w:numId w:val="26"/>
        </w:numPr>
        <w:spacing w:line="276" w:lineRule="auto"/>
        <w:ind w:left="567" w:right="567"/>
        <w:jc w:val="both"/>
        <w:rPr>
          <w:rFonts w:ascii="Palatino Linotype" w:hAnsi="Palatino Linotype"/>
          <w:bCs/>
          <w:color w:val="000000"/>
          <w:szCs w:val="22"/>
        </w:rPr>
      </w:pPr>
      <w:r w:rsidRPr="00515F6C">
        <w:rPr>
          <w:rFonts w:ascii="Palatino Linotype" w:hAnsi="Palatino Linotype"/>
          <w:bCs/>
          <w:color w:val="000000"/>
          <w:szCs w:val="22"/>
        </w:rPr>
        <w:t>Copia simple en versión pública (sin los nombres de los ciudadanos, pero que sí contengan la dirección y fraccionamiento del predio) de los cambios de uso de suelo, de densidad, del coeficiente de utilización y de altura de edificaciones de un lote o predio, otorgados durante los años 2019 al 2021</w:t>
      </w:r>
    </w:p>
    <w:p w14:paraId="570A354E" w14:textId="77777777" w:rsidR="00F31920" w:rsidRPr="00515F6C" w:rsidRDefault="00F31920" w:rsidP="00F31920">
      <w:pPr>
        <w:pStyle w:val="Prrafodelista"/>
        <w:spacing w:line="276" w:lineRule="auto"/>
        <w:ind w:left="567" w:right="567"/>
        <w:jc w:val="both"/>
        <w:rPr>
          <w:rFonts w:ascii="Palatino Linotype" w:hAnsi="Palatino Linotype"/>
          <w:bCs/>
          <w:color w:val="000000"/>
          <w:szCs w:val="22"/>
        </w:rPr>
      </w:pPr>
    </w:p>
    <w:p w14:paraId="1074B013" w14:textId="2619F1E1" w:rsidR="00D91544" w:rsidRPr="00515F6C" w:rsidRDefault="00F31920" w:rsidP="00F31920">
      <w:pPr>
        <w:pStyle w:val="Prrafodelista"/>
        <w:numPr>
          <w:ilvl w:val="0"/>
          <w:numId w:val="26"/>
        </w:numPr>
        <w:spacing w:line="276" w:lineRule="auto"/>
        <w:ind w:left="567" w:right="567"/>
        <w:jc w:val="both"/>
        <w:rPr>
          <w:rFonts w:ascii="Palatino Linotype" w:hAnsi="Palatino Linotype"/>
          <w:color w:val="000000" w:themeColor="text1"/>
          <w:szCs w:val="22"/>
        </w:rPr>
      </w:pPr>
      <w:r w:rsidRPr="00515F6C">
        <w:rPr>
          <w:rFonts w:ascii="Palatino Linotype" w:hAnsi="Palatino Linotype"/>
          <w:bCs/>
          <w:color w:val="000000"/>
          <w:szCs w:val="22"/>
        </w:rPr>
        <w:t>Cabe señalar que cada cambio de uso de suelo, densidad, altura y coeficiente de utilización viene acompañado de un estudio minucioso, del cual también solicito copia simple.</w:t>
      </w:r>
    </w:p>
    <w:p w14:paraId="4CF3097E" w14:textId="3D1348C1" w:rsidR="00325738" w:rsidRPr="00515F6C"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21884816" w:rsidR="00325738" w:rsidRPr="00515F6C"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15F6C">
        <w:rPr>
          <w:rFonts w:ascii="Palatino Linotype" w:hAnsi="Palatino Linotype" w:cs="Arial"/>
          <w:color w:val="000000" w:themeColor="text1"/>
        </w:rPr>
        <w:t>El Sujeto Obligado</w:t>
      </w:r>
      <w:r w:rsidR="00F31920" w:rsidRPr="00515F6C">
        <w:rPr>
          <w:rFonts w:ascii="Palatino Linotype" w:hAnsi="Palatino Linotype" w:cs="Arial"/>
          <w:color w:val="000000" w:themeColor="text1"/>
        </w:rPr>
        <w:t xml:space="preserve"> entregó parcialmente la información en versión pública.</w:t>
      </w:r>
    </w:p>
    <w:p w14:paraId="7BA13BA8" w14:textId="77777777" w:rsidR="00810806" w:rsidRPr="00515F6C"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7196966D" w:rsidR="00810806" w:rsidRPr="00515F6C"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15F6C">
        <w:rPr>
          <w:rFonts w:ascii="Palatino Linotype" w:hAnsi="Palatino Linotype" w:cs="Arial"/>
          <w:color w:val="000000" w:themeColor="text1"/>
        </w:rPr>
        <w:t>El Sujeto Obligado se inconformó por</w:t>
      </w:r>
      <w:r w:rsidR="00B41946" w:rsidRPr="00515F6C">
        <w:rPr>
          <w:rFonts w:ascii="Palatino Linotype" w:hAnsi="Palatino Linotype" w:cs="Arial"/>
          <w:color w:val="000000" w:themeColor="text1"/>
        </w:rPr>
        <w:t xml:space="preserve"> la clasificación de la información.</w:t>
      </w:r>
    </w:p>
    <w:p w14:paraId="64016210" w14:textId="77777777" w:rsidR="00325738" w:rsidRPr="00515F6C"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6066A3D" w:rsidR="009F1566" w:rsidRPr="00515F6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15F6C">
        <w:rPr>
          <w:rFonts w:ascii="Palatino Linotype" w:hAnsi="Palatino Linotype" w:cs="Arial"/>
          <w:color w:val="000000" w:themeColor="text1"/>
          <w:szCs w:val="23"/>
        </w:rPr>
        <w:t xml:space="preserve">Por lo anterior, la </w:t>
      </w:r>
      <w:r w:rsidRPr="00515F6C">
        <w:rPr>
          <w:rFonts w:ascii="Palatino Linotype" w:hAnsi="Palatino Linotype" w:cs="Arial"/>
          <w:i/>
          <w:color w:val="000000" w:themeColor="text1"/>
          <w:szCs w:val="23"/>
        </w:rPr>
        <w:t>Litis</w:t>
      </w:r>
      <w:r w:rsidRPr="00515F6C">
        <w:rPr>
          <w:rFonts w:ascii="Palatino Linotype" w:hAnsi="Palatino Linotype" w:cs="Arial"/>
          <w:color w:val="000000" w:themeColor="text1"/>
          <w:szCs w:val="23"/>
        </w:rPr>
        <w:t xml:space="preserve"> a resolver en el presente recurso se circunscribe en determinar si</w:t>
      </w:r>
      <w:r w:rsidR="002C6561" w:rsidRPr="00515F6C">
        <w:rPr>
          <w:rFonts w:ascii="Palatino Linotype" w:hAnsi="Palatino Linotype" w:cs="Arial"/>
          <w:color w:val="000000" w:themeColor="text1"/>
          <w:szCs w:val="23"/>
        </w:rPr>
        <w:t xml:space="preserve"> </w:t>
      </w:r>
      <w:r w:rsidR="004B0EB6" w:rsidRPr="00515F6C">
        <w:rPr>
          <w:rFonts w:ascii="Palatino Linotype" w:hAnsi="Palatino Linotype" w:cs="Arial"/>
          <w:color w:val="000000" w:themeColor="text1"/>
          <w:szCs w:val="23"/>
        </w:rPr>
        <w:t>la respuesta del</w:t>
      </w:r>
      <w:r w:rsidR="002C6561" w:rsidRPr="00515F6C">
        <w:rPr>
          <w:rFonts w:ascii="Palatino Linotype" w:hAnsi="Palatino Linotype" w:cs="Arial"/>
          <w:color w:val="000000" w:themeColor="text1"/>
          <w:szCs w:val="23"/>
        </w:rPr>
        <w:t xml:space="preserve"> </w:t>
      </w:r>
      <w:r w:rsidR="002C6561" w:rsidRPr="00515F6C">
        <w:rPr>
          <w:rFonts w:ascii="Palatino Linotype" w:hAnsi="Palatino Linotype" w:cs="Arial"/>
          <w:b/>
          <w:bCs/>
          <w:color w:val="000000" w:themeColor="text1"/>
          <w:szCs w:val="23"/>
        </w:rPr>
        <w:t>SUJETO OBLIGADO</w:t>
      </w:r>
      <w:r w:rsidR="002C6561" w:rsidRPr="00515F6C">
        <w:rPr>
          <w:rFonts w:ascii="Palatino Linotype" w:hAnsi="Palatino Linotype" w:cs="Arial"/>
          <w:color w:val="000000" w:themeColor="text1"/>
          <w:szCs w:val="23"/>
        </w:rPr>
        <w:t xml:space="preserve"> </w:t>
      </w:r>
      <w:r w:rsidR="004B0EB6" w:rsidRPr="00515F6C">
        <w:rPr>
          <w:rFonts w:ascii="Palatino Linotype" w:hAnsi="Palatino Linotype" w:cs="Arial"/>
          <w:color w:val="000000" w:themeColor="text1"/>
          <w:szCs w:val="23"/>
        </w:rPr>
        <w:t xml:space="preserve">colma el derecho de acceso a </w:t>
      </w:r>
      <w:r w:rsidR="004B0EB6" w:rsidRPr="00515F6C">
        <w:rPr>
          <w:rFonts w:ascii="Palatino Linotype" w:hAnsi="Palatino Linotype" w:cs="Arial"/>
          <w:color w:val="000000" w:themeColor="text1"/>
          <w:szCs w:val="23"/>
        </w:rPr>
        <w:lastRenderedPageBreak/>
        <w:t xml:space="preserve">la información ejercido por el </w:t>
      </w:r>
      <w:r w:rsidR="004B0EB6" w:rsidRPr="00515F6C">
        <w:rPr>
          <w:rFonts w:ascii="Palatino Linotype" w:hAnsi="Palatino Linotype" w:cs="Arial"/>
          <w:b/>
          <w:bCs/>
          <w:color w:val="000000" w:themeColor="text1"/>
          <w:szCs w:val="23"/>
        </w:rPr>
        <w:t>RECURRENTE</w:t>
      </w:r>
      <w:r w:rsidR="002C6561" w:rsidRPr="00515F6C">
        <w:rPr>
          <w:rFonts w:ascii="Palatino Linotype" w:hAnsi="Palatino Linotype" w:cs="Arial"/>
          <w:color w:val="000000" w:themeColor="text1"/>
          <w:szCs w:val="23"/>
        </w:rPr>
        <w:t>; o si, por el contrario, se</w:t>
      </w:r>
      <w:r w:rsidR="00E32652" w:rsidRPr="00515F6C">
        <w:rPr>
          <w:rFonts w:ascii="Palatino Linotype" w:hAnsi="Palatino Linotype" w:cs="Arial"/>
          <w:color w:val="000000" w:themeColor="text1"/>
          <w:szCs w:val="23"/>
        </w:rPr>
        <w:t xml:space="preserve"> </w:t>
      </w:r>
      <w:r w:rsidR="0028248C" w:rsidRPr="00515F6C">
        <w:rPr>
          <w:rFonts w:ascii="Palatino Linotype" w:hAnsi="Palatino Linotype"/>
          <w:color w:val="000000" w:themeColor="text1"/>
        </w:rPr>
        <w:t>actualiza la causal de procedencia</w:t>
      </w:r>
      <w:r w:rsidR="00E66A80" w:rsidRPr="00515F6C">
        <w:rPr>
          <w:rFonts w:ascii="Palatino Linotype" w:hAnsi="Palatino Linotype" w:cs="Arial"/>
          <w:color w:val="000000" w:themeColor="text1"/>
          <w:szCs w:val="23"/>
        </w:rPr>
        <w:t xml:space="preserve"> del recurso de revisión establecida</w:t>
      </w:r>
      <w:r w:rsidR="00A42161" w:rsidRPr="00515F6C">
        <w:rPr>
          <w:rFonts w:ascii="Palatino Linotype" w:hAnsi="Palatino Linotype" w:cs="Arial"/>
          <w:color w:val="000000" w:themeColor="text1"/>
          <w:szCs w:val="23"/>
        </w:rPr>
        <w:t xml:space="preserve"> en la fracci</w:t>
      </w:r>
      <w:r w:rsidR="00765786" w:rsidRPr="00515F6C">
        <w:rPr>
          <w:rFonts w:ascii="Palatino Linotype" w:hAnsi="Palatino Linotype" w:cs="Arial"/>
          <w:color w:val="000000" w:themeColor="text1"/>
          <w:szCs w:val="23"/>
        </w:rPr>
        <w:t>ón</w:t>
      </w:r>
      <w:r w:rsidR="00A42161" w:rsidRPr="00515F6C">
        <w:rPr>
          <w:rFonts w:ascii="Palatino Linotype" w:hAnsi="Palatino Linotype" w:cs="Arial"/>
          <w:color w:val="000000" w:themeColor="text1"/>
          <w:szCs w:val="23"/>
        </w:rPr>
        <w:t xml:space="preserve"> </w:t>
      </w:r>
      <w:r w:rsidR="00B41946" w:rsidRPr="00515F6C">
        <w:rPr>
          <w:rFonts w:ascii="Palatino Linotype" w:hAnsi="Palatino Linotype" w:cs="Arial"/>
          <w:color w:val="000000" w:themeColor="text1"/>
          <w:szCs w:val="23"/>
        </w:rPr>
        <w:t>II</w:t>
      </w:r>
      <w:r w:rsidR="00E66A80" w:rsidRPr="00515F6C">
        <w:rPr>
          <w:rFonts w:ascii="Palatino Linotype" w:hAnsi="Palatino Linotype" w:cs="Arial"/>
          <w:color w:val="000000" w:themeColor="text1"/>
          <w:szCs w:val="23"/>
        </w:rPr>
        <w:t xml:space="preserve"> </w:t>
      </w:r>
      <w:r w:rsidR="00A42161" w:rsidRPr="00515F6C">
        <w:rPr>
          <w:rFonts w:ascii="Palatino Linotype" w:hAnsi="Palatino Linotype" w:cs="Arial"/>
          <w:color w:val="000000" w:themeColor="text1"/>
          <w:szCs w:val="23"/>
        </w:rPr>
        <w:t>de</w:t>
      </w:r>
      <w:r w:rsidR="00E66A80" w:rsidRPr="00515F6C">
        <w:rPr>
          <w:rFonts w:ascii="Palatino Linotype" w:hAnsi="Palatino Linotype" w:cs="Arial"/>
          <w:color w:val="000000" w:themeColor="text1"/>
          <w:szCs w:val="23"/>
        </w:rPr>
        <w:t>l artículo 179</w:t>
      </w:r>
      <w:r w:rsidR="008E4483" w:rsidRPr="00515F6C">
        <w:rPr>
          <w:rFonts w:ascii="Palatino Linotype" w:hAnsi="Palatino Linotype" w:cs="Arial"/>
          <w:color w:val="000000" w:themeColor="text1"/>
          <w:szCs w:val="23"/>
        </w:rPr>
        <w:t xml:space="preserve"> </w:t>
      </w:r>
      <w:r w:rsidR="00E66A80" w:rsidRPr="00515F6C">
        <w:rPr>
          <w:rFonts w:ascii="Palatino Linotype" w:hAnsi="Palatino Linotype" w:cs="Arial"/>
          <w:color w:val="000000" w:themeColor="text1"/>
          <w:szCs w:val="23"/>
        </w:rPr>
        <w:t xml:space="preserve">de la Ley de Transparencia y Acceso a la Información Pública del Estado de México y Municipios, </w:t>
      </w:r>
      <w:r w:rsidR="004364EE" w:rsidRPr="00515F6C">
        <w:rPr>
          <w:rFonts w:ascii="Palatino Linotype" w:hAnsi="Palatino Linotype" w:cs="Arial"/>
          <w:color w:val="000000" w:themeColor="text1"/>
          <w:szCs w:val="23"/>
        </w:rPr>
        <w:t>misma</w:t>
      </w:r>
      <w:r w:rsidR="00C51671" w:rsidRPr="00515F6C">
        <w:rPr>
          <w:rFonts w:ascii="Palatino Linotype" w:hAnsi="Palatino Linotype" w:cs="Arial"/>
          <w:color w:val="000000" w:themeColor="text1"/>
          <w:szCs w:val="23"/>
        </w:rPr>
        <w:t xml:space="preserve"> </w:t>
      </w:r>
      <w:r w:rsidR="00E66A80" w:rsidRPr="00515F6C">
        <w:rPr>
          <w:rFonts w:ascii="Palatino Linotype" w:hAnsi="Palatino Linotype" w:cs="Arial"/>
          <w:color w:val="000000" w:themeColor="text1"/>
          <w:szCs w:val="23"/>
        </w:rPr>
        <w:t>que se transcribe a continuación:</w:t>
      </w:r>
    </w:p>
    <w:p w14:paraId="0F0C773B" w14:textId="77777777" w:rsidR="005946F4" w:rsidRPr="00515F6C" w:rsidRDefault="005946F4" w:rsidP="005946F4">
      <w:pPr>
        <w:pStyle w:val="Prrafodelista"/>
        <w:rPr>
          <w:rFonts w:ascii="Palatino Linotype" w:hAnsi="Palatino Linotype" w:cs="Arial"/>
          <w:color w:val="000000" w:themeColor="text1"/>
        </w:rPr>
      </w:pPr>
    </w:p>
    <w:p w14:paraId="31379DA7" w14:textId="77777777" w:rsidR="005946F4" w:rsidRPr="00515F6C" w:rsidRDefault="005946F4" w:rsidP="005946F4">
      <w:pPr>
        <w:tabs>
          <w:tab w:val="left" w:pos="426"/>
        </w:tabs>
        <w:spacing w:line="360" w:lineRule="auto"/>
        <w:ind w:left="567" w:right="616"/>
        <w:jc w:val="both"/>
        <w:rPr>
          <w:rFonts w:ascii="Palatino Linotype" w:hAnsi="Palatino Linotype"/>
          <w:i/>
          <w:iCs/>
        </w:rPr>
      </w:pPr>
      <w:r w:rsidRPr="00515F6C">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515F6C" w:rsidRDefault="000643B8" w:rsidP="005946F4">
      <w:pPr>
        <w:tabs>
          <w:tab w:val="left" w:pos="426"/>
        </w:tabs>
        <w:spacing w:line="360" w:lineRule="auto"/>
        <w:ind w:left="567" w:right="616"/>
        <w:jc w:val="both"/>
        <w:rPr>
          <w:rFonts w:ascii="Palatino Linotype" w:hAnsi="Palatino Linotype"/>
          <w:i/>
          <w:iCs/>
        </w:rPr>
      </w:pPr>
      <w:r w:rsidRPr="00515F6C">
        <w:rPr>
          <w:rFonts w:ascii="Palatino Linotype" w:hAnsi="Palatino Linotype"/>
          <w:i/>
          <w:iCs/>
        </w:rPr>
        <w:t>…</w:t>
      </w:r>
    </w:p>
    <w:p w14:paraId="2DFA4862" w14:textId="3422B793" w:rsidR="00D91544" w:rsidRPr="00515F6C" w:rsidRDefault="00B41946" w:rsidP="005946F4">
      <w:pPr>
        <w:tabs>
          <w:tab w:val="left" w:pos="426"/>
        </w:tabs>
        <w:spacing w:line="360" w:lineRule="auto"/>
        <w:ind w:left="567" w:right="616"/>
        <w:jc w:val="both"/>
        <w:rPr>
          <w:rFonts w:ascii="Palatino Linotype" w:hAnsi="Palatino Linotype"/>
          <w:i/>
          <w:iCs/>
        </w:rPr>
      </w:pPr>
      <w:r w:rsidRPr="00515F6C">
        <w:rPr>
          <w:rFonts w:ascii="Palatino Linotype" w:hAnsi="Palatino Linotype"/>
          <w:i/>
          <w:iCs/>
        </w:rPr>
        <w:t>II</w:t>
      </w:r>
      <w:r w:rsidR="00D91544" w:rsidRPr="00515F6C">
        <w:rPr>
          <w:rFonts w:ascii="Palatino Linotype" w:hAnsi="Palatino Linotype"/>
          <w:i/>
          <w:iCs/>
        </w:rPr>
        <w:t xml:space="preserve">. </w:t>
      </w:r>
      <w:r w:rsidRPr="00515F6C">
        <w:rPr>
          <w:rFonts w:ascii="Palatino Linotype" w:hAnsi="Palatino Linotype"/>
          <w:i/>
          <w:iCs/>
        </w:rPr>
        <w:t>La clasificación de la información</w:t>
      </w:r>
      <w:r w:rsidR="00D91544" w:rsidRPr="00515F6C">
        <w:rPr>
          <w:rFonts w:ascii="Palatino Linotype" w:hAnsi="Palatino Linotype"/>
          <w:i/>
          <w:iCs/>
        </w:rPr>
        <w:t>;</w:t>
      </w:r>
    </w:p>
    <w:p w14:paraId="4BBAE667" w14:textId="75B795DD" w:rsidR="005946F4" w:rsidRPr="00515F6C"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515F6C">
        <w:rPr>
          <w:rFonts w:ascii="Palatino Linotype" w:hAnsi="Palatino Linotype" w:cs="Arial"/>
          <w:i/>
          <w:iCs/>
          <w:color w:val="000000" w:themeColor="text1"/>
        </w:rPr>
        <w:t>…</w:t>
      </w:r>
    </w:p>
    <w:p w14:paraId="26AD5E23" w14:textId="77777777" w:rsidR="008E4483" w:rsidRPr="00515F6C" w:rsidRDefault="008E4483" w:rsidP="008E4483">
      <w:pPr>
        <w:pStyle w:val="Prrafodelista"/>
        <w:rPr>
          <w:rFonts w:ascii="Palatino Linotype" w:hAnsi="Palatino Linotype" w:cs="Arial"/>
          <w:color w:val="000000" w:themeColor="text1"/>
        </w:rPr>
      </w:pPr>
    </w:p>
    <w:p w14:paraId="5CEC2F48" w14:textId="1B05DC04" w:rsidR="00EF014A" w:rsidRPr="00515F6C" w:rsidRDefault="00273D1A" w:rsidP="00F96156">
      <w:pPr>
        <w:pStyle w:val="Ttulo2"/>
        <w:tabs>
          <w:tab w:val="left" w:pos="426"/>
        </w:tabs>
        <w:rPr>
          <w:rFonts w:ascii="Palatino Linotype" w:hAnsi="Palatino Linotype" w:cs="Arial"/>
          <w:b/>
          <w:color w:val="000000" w:themeColor="text1"/>
          <w:sz w:val="24"/>
        </w:rPr>
      </w:pPr>
      <w:bookmarkStart w:id="23" w:name="_Toc87456489"/>
      <w:r w:rsidRPr="00515F6C">
        <w:rPr>
          <w:rFonts w:ascii="Palatino Linotype" w:hAnsi="Palatino Linotype" w:cs="Arial"/>
          <w:b/>
          <w:color w:val="000000" w:themeColor="text1"/>
          <w:sz w:val="24"/>
        </w:rPr>
        <w:t>CUARTO</w:t>
      </w:r>
      <w:r w:rsidR="00EF014A" w:rsidRPr="00515F6C">
        <w:rPr>
          <w:rFonts w:ascii="Palatino Linotype" w:hAnsi="Palatino Linotype" w:cs="Arial"/>
          <w:b/>
          <w:color w:val="000000" w:themeColor="text1"/>
          <w:sz w:val="24"/>
        </w:rPr>
        <w:t>. Estudio y Resolución del asunto.</w:t>
      </w:r>
      <w:bookmarkEnd w:id="23"/>
    </w:p>
    <w:p w14:paraId="6E979250" w14:textId="2A34D6B5" w:rsidR="00A55D2B" w:rsidRPr="00515F6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515F6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515F6C">
        <w:rPr>
          <w:rFonts w:ascii="Palatino Linotype" w:hAnsi="Palatino Linotype"/>
          <w:b/>
          <w:bCs/>
          <w:color w:val="000000" w:themeColor="text1"/>
        </w:rPr>
        <w:t xml:space="preserve">I. De la </w:t>
      </w:r>
      <w:r w:rsidR="00167813" w:rsidRPr="00515F6C">
        <w:rPr>
          <w:rFonts w:ascii="Palatino Linotype" w:hAnsi="Palatino Linotype"/>
          <w:b/>
          <w:bCs/>
          <w:color w:val="000000" w:themeColor="text1"/>
        </w:rPr>
        <w:t>atención</w:t>
      </w:r>
      <w:r w:rsidR="00D00269" w:rsidRPr="00515F6C">
        <w:rPr>
          <w:rFonts w:ascii="Palatino Linotype" w:hAnsi="Palatino Linotype"/>
          <w:b/>
          <w:bCs/>
          <w:color w:val="000000" w:themeColor="text1"/>
        </w:rPr>
        <w:t xml:space="preserve"> a la solicitud de información</w:t>
      </w:r>
      <w:r w:rsidRPr="00515F6C">
        <w:rPr>
          <w:rFonts w:ascii="Palatino Linotype" w:hAnsi="Palatino Linotype"/>
          <w:b/>
          <w:bCs/>
          <w:color w:val="000000" w:themeColor="text1"/>
        </w:rPr>
        <w:t>.</w:t>
      </w:r>
      <w:bookmarkEnd w:id="26"/>
    </w:p>
    <w:p w14:paraId="4AC32336" w14:textId="77777777" w:rsidR="008E4483" w:rsidRPr="00515F6C"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515F6C">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515F6C" w:rsidRDefault="008E4483" w:rsidP="008E4483">
      <w:pPr>
        <w:rPr>
          <w:lang w:val="es-ES"/>
        </w:rPr>
      </w:pPr>
    </w:p>
    <w:p w14:paraId="7178C08C" w14:textId="77777777" w:rsidR="008E4483" w:rsidRPr="00515F6C" w:rsidRDefault="008E4483" w:rsidP="008E4483">
      <w:pPr>
        <w:numPr>
          <w:ilvl w:val="0"/>
          <w:numId w:val="1"/>
        </w:numPr>
        <w:spacing w:line="360" w:lineRule="auto"/>
        <w:ind w:right="34"/>
        <w:contextualSpacing/>
        <w:jc w:val="both"/>
        <w:rPr>
          <w:rFonts w:ascii="Palatino Linotype" w:eastAsia="MS Mincho" w:hAnsi="Palatino Linotype" w:cs="Arial"/>
        </w:rPr>
      </w:pPr>
      <w:r w:rsidRPr="00515F6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15F6C">
        <w:rPr>
          <w:rFonts w:ascii="Palatino Linotype" w:hAnsi="Palatino Linotype" w:cs="Arial"/>
          <w:color w:val="000000"/>
        </w:rPr>
        <w:t xml:space="preserve"> </w:t>
      </w:r>
      <w:r w:rsidRPr="00515F6C">
        <w:rPr>
          <w:rFonts w:ascii="Palatino Linotype" w:hAnsi="Palatino Linotype" w:cs="Arial"/>
          <w:b/>
          <w:color w:val="000000"/>
        </w:rPr>
        <w:t>SUJETO OBLIGADO</w:t>
      </w:r>
      <w:r w:rsidRPr="00515F6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5F6C">
        <w:rPr>
          <w:rFonts w:ascii="Palatino Linotype" w:hAnsi="Palatino Linotype" w:cs="Arial"/>
          <w:b/>
          <w:color w:val="000000"/>
        </w:rPr>
        <w:t xml:space="preserve">Constitución Política de los Estados Unidos Mexicanos </w:t>
      </w:r>
      <w:r w:rsidRPr="00515F6C">
        <w:rPr>
          <w:rFonts w:ascii="Palatino Linotype" w:hAnsi="Palatino Linotype" w:cs="Arial"/>
          <w:color w:val="000000"/>
        </w:rPr>
        <w:t xml:space="preserve">al señalar la </w:t>
      </w:r>
      <w:r w:rsidRPr="00515F6C">
        <w:rPr>
          <w:rFonts w:ascii="Palatino Linotype" w:hAnsi="Palatino Linotype" w:cs="Arial"/>
          <w:color w:val="000000"/>
        </w:rPr>
        <w:lastRenderedPageBreak/>
        <w:t xml:space="preserve">obligación de “promover, </w:t>
      </w:r>
      <w:r w:rsidRPr="00515F6C">
        <w:rPr>
          <w:rFonts w:ascii="Palatino Linotype" w:hAnsi="Palatino Linotype" w:cs="Arial"/>
          <w:b/>
          <w:color w:val="000000"/>
        </w:rPr>
        <w:t>respetar</w:t>
      </w:r>
      <w:r w:rsidRPr="00515F6C">
        <w:rPr>
          <w:rFonts w:ascii="Palatino Linotype" w:hAnsi="Palatino Linotype" w:cs="Arial"/>
          <w:color w:val="000000"/>
        </w:rPr>
        <w:t xml:space="preserve">, proteger y </w:t>
      </w:r>
      <w:r w:rsidRPr="00515F6C">
        <w:rPr>
          <w:rFonts w:ascii="Palatino Linotype" w:hAnsi="Palatino Linotype" w:cs="Arial"/>
          <w:b/>
          <w:color w:val="000000"/>
        </w:rPr>
        <w:t>garantizar</w:t>
      </w:r>
      <w:r w:rsidRPr="00515F6C">
        <w:rPr>
          <w:rFonts w:ascii="Palatino Linotype" w:hAnsi="Palatino Linotype" w:cs="Arial"/>
          <w:color w:val="000000"/>
        </w:rPr>
        <w:t xml:space="preserve"> los derechos humanos”, entre los cuales se encuentra dicho derecho. </w:t>
      </w:r>
    </w:p>
    <w:p w14:paraId="407FBD4F" w14:textId="77777777" w:rsidR="008E4483" w:rsidRPr="00515F6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15F6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15F6C">
        <w:rPr>
          <w:rFonts w:ascii="Palatino Linotype" w:hAnsi="Palatino Linotype"/>
        </w:rPr>
        <w:t xml:space="preserve">Definiendo el Derecho de Acceso a la Información Pública como: </w:t>
      </w:r>
      <w:r w:rsidRPr="00515F6C">
        <w:rPr>
          <w:rFonts w:ascii="Palatino Linotype" w:hAnsi="Palatino Linotype"/>
          <w:i/>
          <w:color w:val="000000"/>
          <w:sz w:val="22"/>
        </w:rPr>
        <w:t>La igualdad de oportunidades para recibir, buscar e impartir información</w:t>
      </w:r>
      <w:r w:rsidRPr="00515F6C">
        <w:rPr>
          <w:rFonts w:ascii="Palatino Linotype" w:hAnsi="Palatino Linotype"/>
          <w:i/>
          <w:color w:val="000000"/>
          <w:sz w:val="22"/>
          <w:vertAlign w:val="superscript"/>
        </w:rPr>
        <w:footnoteReference w:id="1"/>
      </w:r>
      <w:r w:rsidRPr="00515F6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5F6C">
        <w:rPr>
          <w:rFonts w:ascii="Palatino Linotype" w:hAnsi="Palatino Linotype"/>
          <w:i/>
          <w:color w:val="000000"/>
          <w:sz w:val="22"/>
          <w:vertAlign w:val="superscript"/>
        </w:rPr>
        <w:footnoteReference w:id="2"/>
      </w:r>
      <w:r w:rsidRPr="00515F6C">
        <w:rPr>
          <w:rFonts w:ascii="Palatino Linotype" w:hAnsi="Palatino Linotype"/>
          <w:color w:val="000000"/>
          <w:sz w:val="22"/>
        </w:rPr>
        <w:t>que se constituye como una herramienta fundamental para ejercer</w:t>
      </w:r>
      <w:r w:rsidRPr="00515F6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15F6C">
        <w:rPr>
          <w:rFonts w:ascii="Palatino Linotype" w:hAnsi="Palatino Linotype"/>
          <w:i/>
          <w:color w:val="000000"/>
          <w:sz w:val="22"/>
          <w:vertAlign w:val="superscript"/>
        </w:rPr>
        <w:footnoteReference w:id="3"/>
      </w:r>
      <w:r w:rsidRPr="00515F6C">
        <w:rPr>
          <w:rFonts w:ascii="Palatino Linotype" w:hAnsi="Palatino Linotype"/>
          <w:color w:val="000000"/>
          <w:sz w:val="22"/>
        </w:rPr>
        <w:t>fomentando</w:t>
      </w:r>
      <w:r w:rsidRPr="00515F6C">
        <w:rPr>
          <w:rFonts w:ascii="Palatino Linotype" w:hAnsi="Palatino Linotype"/>
          <w:i/>
          <w:color w:val="000000"/>
          <w:sz w:val="22"/>
        </w:rPr>
        <w:t xml:space="preserve"> la transparencia de las actividades estatales y </w:t>
      </w:r>
      <w:r w:rsidRPr="00515F6C">
        <w:rPr>
          <w:rFonts w:ascii="Palatino Linotype" w:hAnsi="Palatino Linotype"/>
          <w:color w:val="000000"/>
          <w:sz w:val="22"/>
        </w:rPr>
        <w:t>promoviendo</w:t>
      </w:r>
      <w:r w:rsidRPr="00515F6C">
        <w:rPr>
          <w:rFonts w:ascii="Palatino Linotype" w:hAnsi="Palatino Linotype"/>
          <w:i/>
          <w:color w:val="000000"/>
          <w:sz w:val="22"/>
        </w:rPr>
        <w:t xml:space="preserve"> la responsabilidad de los funcionarios sobre su gestión pública,</w:t>
      </w:r>
      <w:r w:rsidRPr="00515F6C">
        <w:rPr>
          <w:rFonts w:ascii="Palatino Linotype" w:hAnsi="Palatino Linotype"/>
          <w:i/>
          <w:color w:val="000000"/>
          <w:sz w:val="22"/>
          <w:vertAlign w:val="superscript"/>
        </w:rPr>
        <w:footnoteReference w:id="4"/>
      </w:r>
      <w:r w:rsidRPr="00515F6C">
        <w:rPr>
          <w:rFonts w:ascii="Palatino Linotype" w:hAnsi="Palatino Linotype"/>
          <w:color w:val="000000"/>
          <w:sz w:val="22"/>
        </w:rPr>
        <w:t>que permite</w:t>
      </w:r>
      <w:r w:rsidRPr="00515F6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15F6C" w:rsidRDefault="008E4483" w:rsidP="008E4483">
      <w:pPr>
        <w:tabs>
          <w:tab w:val="left" w:pos="284"/>
        </w:tabs>
        <w:contextualSpacing/>
        <w:rPr>
          <w:rFonts w:ascii="Palatino Linotype" w:hAnsi="Palatino Linotype"/>
        </w:rPr>
      </w:pPr>
    </w:p>
    <w:p w14:paraId="223832E3" w14:textId="3A93AA98" w:rsidR="008E4483" w:rsidRPr="00515F6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15F6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15F6C" w:rsidRDefault="008E4483" w:rsidP="008E4483">
      <w:pPr>
        <w:tabs>
          <w:tab w:val="left" w:pos="284"/>
        </w:tabs>
        <w:spacing w:before="240" w:after="240" w:line="360" w:lineRule="auto"/>
        <w:contextualSpacing/>
        <w:jc w:val="both"/>
        <w:rPr>
          <w:rFonts w:ascii="Palatino Linotype" w:hAnsi="Palatino Linotype"/>
          <w:i/>
        </w:rPr>
      </w:pPr>
      <w:r w:rsidRPr="00515F6C">
        <w:rPr>
          <w:rFonts w:ascii="Palatino Linotype" w:hAnsi="Palatino Linotype"/>
          <w:i/>
        </w:rPr>
        <w:t xml:space="preserve"> </w:t>
      </w:r>
    </w:p>
    <w:p w14:paraId="18789162" w14:textId="77777777" w:rsidR="008E4483" w:rsidRPr="00515F6C" w:rsidRDefault="008E4483" w:rsidP="008E4483">
      <w:pPr>
        <w:numPr>
          <w:ilvl w:val="0"/>
          <w:numId w:val="1"/>
        </w:numPr>
        <w:tabs>
          <w:tab w:val="left" w:pos="284"/>
        </w:tabs>
        <w:spacing w:before="240" w:line="360" w:lineRule="auto"/>
        <w:contextualSpacing/>
        <w:jc w:val="both"/>
        <w:rPr>
          <w:rFonts w:ascii="Palatino Linotype" w:hAnsi="Palatino Linotype"/>
        </w:rPr>
      </w:pPr>
      <w:r w:rsidRPr="00515F6C">
        <w:rPr>
          <w:rFonts w:ascii="Palatino Linotype" w:hAnsi="Palatino Linotype" w:cs="Arial"/>
        </w:rPr>
        <w:t xml:space="preserve">En tal sentido, el derecho de acceso a la información constituye una garantía primaria, tal y como lo señala el artículo 150 de la Ley de Transparencia y Acceso a </w:t>
      </w:r>
      <w:r w:rsidRPr="00515F6C">
        <w:rPr>
          <w:rFonts w:ascii="Palatino Linotype" w:hAnsi="Palatino Linotype" w:cs="Arial"/>
        </w:rPr>
        <w:lastRenderedPageBreak/>
        <w:t xml:space="preserve">la Información del Estado de México y Municipios, que además, establece que se regirá </w:t>
      </w:r>
      <w:r w:rsidRPr="00515F6C">
        <w:rPr>
          <w:rFonts w:ascii="Palatino Linotype" w:hAnsi="Palatino Linotype" w:cs="Arial"/>
          <w:i/>
          <w:sz w:val="22"/>
        </w:rPr>
        <w:t>por los principios de simplicidad, rapidez gratuidad del procedimiento, auxilio y orientación a los particulares</w:t>
      </w:r>
      <w:r w:rsidRPr="00515F6C">
        <w:rPr>
          <w:rFonts w:ascii="Palatino Linotype" w:hAnsi="Palatino Linotype" w:cs="Arial"/>
          <w:sz w:val="22"/>
        </w:rPr>
        <w:t xml:space="preserve">, contemplando el derecho de las personas con discapacidad y hablantes de lengua indígena. </w:t>
      </w:r>
    </w:p>
    <w:p w14:paraId="646E1459" w14:textId="77777777" w:rsidR="008E4483" w:rsidRPr="00515F6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15F6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15F6C">
        <w:rPr>
          <w:rFonts w:ascii="Palatino Linotype" w:hAnsi="Palatino Linotype"/>
        </w:rPr>
        <w:t xml:space="preserve">Es así que la </w:t>
      </w:r>
      <w:r w:rsidRPr="00515F6C">
        <w:rPr>
          <w:rFonts w:ascii="Palatino Linotype" w:hAnsi="Palatino Linotype"/>
          <w:b/>
        </w:rPr>
        <w:t xml:space="preserve">Ley de Transparencia y Acceso a la Información Pública del Estado de México y Municipios, </w:t>
      </w:r>
      <w:r w:rsidRPr="00515F6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15F6C">
        <w:rPr>
          <w:rFonts w:ascii="Palatino Linotype" w:hAnsi="Palatino Linotype"/>
          <w:b/>
        </w:rPr>
        <w:t xml:space="preserve"> </w:t>
      </w:r>
      <w:r w:rsidRPr="00515F6C">
        <w:rPr>
          <w:rFonts w:ascii="Palatino Linotype" w:hAnsi="Palatino Linotype"/>
        </w:rPr>
        <w:t xml:space="preserve">establece que </w:t>
      </w:r>
      <w:r w:rsidRPr="00515F6C">
        <w:rPr>
          <w:rFonts w:ascii="Palatino Linotype" w:hAnsi="Palatino Linotype"/>
          <w:b/>
          <w:i/>
          <w:sz w:val="22"/>
          <w:u w:val="single"/>
        </w:rPr>
        <w:t>el recurso de revisión es la garantía secundaria</w:t>
      </w:r>
      <w:r w:rsidRPr="00515F6C">
        <w:rPr>
          <w:rFonts w:ascii="Palatino Linotype" w:hAnsi="Palatino Linotype"/>
          <w:b/>
          <w:i/>
          <w:sz w:val="22"/>
        </w:rPr>
        <w:t xml:space="preserve"> mediante la cual se pretende reparar cualquier posible afectación al derecho de acceso a la información pública</w:t>
      </w:r>
      <w:r w:rsidRPr="00515F6C">
        <w:rPr>
          <w:rFonts w:ascii="Palatino Linotype" w:hAnsi="Palatino Linotype"/>
          <w:b/>
          <w:sz w:val="22"/>
        </w:rPr>
        <w:t>, s</w:t>
      </w:r>
      <w:r w:rsidRPr="00515F6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15F6C">
        <w:rPr>
          <w:rFonts w:ascii="Palatino Linotype" w:hAnsi="Palatino Linotype"/>
          <w:sz w:val="22"/>
        </w:rPr>
        <w:t xml:space="preserve"> </w:t>
      </w:r>
    </w:p>
    <w:p w14:paraId="62B78458" w14:textId="77777777" w:rsidR="008E4483" w:rsidRPr="00515F6C" w:rsidRDefault="008E4483" w:rsidP="008E4483">
      <w:pPr>
        <w:tabs>
          <w:tab w:val="left" w:pos="284"/>
        </w:tabs>
        <w:rPr>
          <w:rFonts w:ascii="Palatino Linotype" w:eastAsia="MS Mincho" w:hAnsi="Palatino Linotype" w:cs="Arial"/>
        </w:rPr>
      </w:pPr>
    </w:p>
    <w:p w14:paraId="355D07B3" w14:textId="77777777" w:rsidR="008E4483" w:rsidRPr="00515F6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15F6C">
        <w:rPr>
          <w:rFonts w:ascii="Palatino Linotype" w:eastAsia="Calibri" w:hAnsi="Palatino Linotype"/>
        </w:rPr>
        <w:t xml:space="preserve">Establecido lo anterior, resulta evidente que las razones o motivos de inconformidad hechos valer en el recurso de revisión resultan </w:t>
      </w:r>
      <w:r w:rsidRPr="00515F6C">
        <w:rPr>
          <w:rFonts w:ascii="Palatino Linotype" w:eastAsia="Calibri" w:hAnsi="Palatino Linotype"/>
          <w:b/>
        </w:rPr>
        <w:t>fundadas y procedentes</w:t>
      </w:r>
      <w:r w:rsidRPr="00515F6C">
        <w:rPr>
          <w:rFonts w:ascii="Palatino Linotype" w:eastAsia="Calibri" w:hAnsi="Palatino Linotype"/>
        </w:rPr>
        <w:t xml:space="preserve">, debido a que el </w:t>
      </w:r>
      <w:r w:rsidRPr="00515F6C">
        <w:rPr>
          <w:rFonts w:ascii="Palatino Linotype" w:eastAsia="Calibri" w:hAnsi="Palatino Linotype"/>
          <w:b/>
        </w:rPr>
        <w:t>SUJETO OBLIGADO</w:t>
      </w:r>
      <w:r w:rsidRPr="00515F6C">
        <w:rPr>
          <w:rFonts w:ascii="Palatino Linotype" w:eastAsia="Calibri" w:hAnsi="Palatino Linotype"/>
        </w:rPr>
        <w:t xml:space="preserve"> proporcionó información que no corresponde con lo solicitado.</w:t>
      </w:r>
    </w:p>
    <w:p w14:paraId="4CFD2ECD" w14:textId="0AA5462A" w:rsidR="008E4483" w:rsidRPr="00515F6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15F6C">
        <w:rPr>
          <w:rFonts w:ascii="Palatino Linotype" w:hAnsi="Palatino Linotype" w:cs="Arial"/>
        </w:rPr>
        <w:t xml:space="preserve">Ahora bien, para entender los alcances de la información pública se considera importante citar el criterio </w:t>
      </w:r>
      <w:r w:rsidRPr="00515F6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15F6C">
        <w:rPr>
          <w:rFonts w:ascii="Palatino Linotype" w:hAnsi="Palatino Linotype" w:cs="Arial"/>
        </w:rPr>
        <w:t>cuyo rubro y texto dispone:</w:t>
      </w:r>
    </w:p>
    <w:p w14:paraId="27F940F8" w14:textId="77777777" w:rsidR="008E4483" w:rsidRPr="00515F6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15F6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15F6C">
        <w:rPr>
          <w:rFonts w:ascii="Palatino Linotype" w:hAnsi="Palatino Linotype" w:cs="Arial"/>
          <w:b/>
          <w:i/>
          <w:sz w:val="22"/>
          <w:szCs w:val="22"/>
          <w:lang w:eastAsia="es-MX"/>
        </w:rPr>
        <w:t>“CRITERIO 0002-11</w:t>
      </w:r>
    </w:p>
    <w:p w14:paraId="0FACDA68" w14:textId="77777777" w:rsidR="008E4483" w:rsidRPr="00515F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15F6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15F6C">
        <w:rPr>
          <w:rFonts w:ascii="Palatino Linotype" w:hAnsi="Palatino Linotype" w:cs="Arial"/>
          <w:b/>
          <w:bCs/>
          <w:i/>
          <w:sz w:val="22"/>
          <w:szCs w:val="22"/>
          <w:lang w:eastAsia="es-MX"/>
        </w:rPr>
        <w:t xml:space="preserve">V, XV, Y XVI, </w:t>
      </w:r>
      <w:r w:rsidRPr="00515F6C">
        <w:rPr>
          <w:rFonts w:ascii="Palatino Linotype" w:hAnsi="Palatino Linotype" w:cs="Arial"/>
          <w:b/>
          <w:i/>
          <w:sz w:val="22"/>
          <w:szCs w:val="22"/>
          <w:lang w:eastAsia="es-MX"/>
        </w:rPr>
        <w:t>3, 4,11 Y 41.</w:t>
      </w:r>
      <w:r w:rsidRPr="00515F6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15F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15F6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15F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15F6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15F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15F6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15F6C" w:rsidRDefault="008E4483" w:rsidP="008E4483">
      <w:pPr>
        <w:ind w:left="567" w:right="567"/>
        <w:jc w:val="both"/>
        <w:rPr>
          <w:rFonts w:ascii="Palatino Linotype" w:hAnsi="Palatino Linotype" w:cs="Arial"/>
          <w:i/>
          <w:color w:val="000000" w:themeColor="text1"/>
          <w:sz w:val="22"/>
          <w:szCs w:val="22"/>
        </w:rPr>
      </w:pPr>
      <w:r w:rsidRPr="00515F6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15F6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15F6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15F6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15F6C" w:rsidRDefault="008E4483" w:rsidP="008E4483">
      <w:pPr>
        <w:autoSpaceDE w:val="0"/>
        <w:autoSpaceDN w:val="0"/>
        <w:adjustRightInd w:val="0"/>
        <w:ind w:left="567" w:right="567"/>
        <w:jc w:val="both"/>
        <w:rPr>
          <w:rFonts w:ascii="Palatino Linotype" w:hAnsi="Palatino Linotype"/>
          <w:i/>
          <w:sz w:val="28"/>
          <w:lang w:val="es-ES"/>
        </w:rPr>
      </w:pPr>
      <w:r w:rsidRPr="00515F6C">
        <w:rPr>
          <w:rFonts w:ascii="Palatino Linotype" w:eastAsiaTheme="minorHAnsi" w:hAnsi="Palatino Linotype" w:cs="Bookman Old Style,Bold"/>
          <w:b/>
          <w:bCs/>
          <w:i/>
          <w:sz w:val="22"/>
          <w:lang w:eastAsia="en-US"/>
        </w:rPr>
        <w:t xml:space="preserve">XI. Documento: </w:t>
      </w:r>
      <w:r w:rsidRPr="00515F6C">
        <w:rPr>
          <w:rFonts w:ascii="Palatino Linotype" w:eastAsiaTheme="minorHAnsi" w:hAnsi="Palatino Linotype" w:cs="Bookman Old Style"/>
          <w:i/>
          <w:sz w:val="22"/>
          <w:lang w:eastAsia="en-US"/>
        </w:rPr>
        <w:t xml:space="preserve">Los expedientes, reportes, estudios, actas, resoluciones, </w:t>
      </w:r>
      <w:r w:rsidRPr="00515F6C">
        <w:rPr>
          <w:rFonts w:ascii="Palatino Linotype" w:eastAsiaTheme="minorHAnsi" w:hAnsi="Palatino Linotype" w:cs="Bookman Old Style"/>
          <w:b/>
          <w:i/>
          <w:sz w:val="22"/>
          <w:lang w:eastAsia="en-US"/>
        </w:rPr>
        <w:t>oficios,</w:t>
      </w:r>
      <w:r w:rsidRPr="00515F6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15F6C">
        <w:rPr>
          <w:rFonts w:ascii="Palatino Linotype" w:eastAsiaTheme="minorHAnsi" w:hAnsi="Palatino Linotype" w:cs="Bookman Old Style"/>
          <w:b/>
          <w:i/>
          <w:sz w:val="22"/>
          <w:lang w:eastAsia="en-US"/>
        </w:rPr>
        <w:t>cualquier otro registro</w:t>
      </w:r>
      <w:r w:rsidRPr="00515F6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15F6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15F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15F6C">
        <w:rPr>
          <w:rFonts w:ascii="Palatino Linotype" w:hAnsi="Palatino Linotype"/>
          <w:lang w:val="es-ES"/>
        </w:rPr>
        <w:t xml:space="preserve">Es así que, todos los actos de autoridad que realicen los Sujetos Obligados deben estar documentados y, bajo el más alto estándar de transparencia deberán </w:t>
      </w:r>
      <w:r w:rsidRPr="00515F6C">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515F6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15F6C" w:rsidRDefault="008E4483" w:rsidP="003B5FD2">
      <w:pPr>
        <w:pStyle w:val="Prrafodelista"/>
        <w:numPr>
          <w:ilvl w:val="0"/>
          <w:numId w:val="4"/>
        </w:numPr>
        <w:spacing w:line="360" w:lineRule="auto"/>
        <w:jc w:val="both"/>
        <w:rPr>
          <w:rFonts w:ascii="Palatino Linotype" w:eastAsia="Calibri" w:hAnsi="Palatino Linotype" w:cs="Arial"/>
        </w:rPr>
      </w:pPr>
      <w:r w:rsidRPr="00515F6C">
        <w:rPr>
          <w:rFonts w:ascii="Palatino Linotype" w:hAnsi="Palatino Linotype"/>
          <w:color w:val="000000" w:themeColor="text1"/>
        </w:rPr>
        <w:t xml:space="preserve">Resulta necesario referir que, el </w:t>
      </w:r>
      <w:r w:rsidRPr="00515F6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15F6C">
        <w:rPr>
          <w:rFonts w:ascii="Palatino Linotype" w:eastAsia="Calibri" w:hAnsi="Palatino Linotype" w:cs="Arial"/>
          <w:b/>
        </w:rPr>
        <w:t>los Sujetos Obligados deberán documentar todo acto que se derive del ejercicio de sus facultades, competencias o funciones,</w:t>
      </w:r>
      <w:r w:rsidRPr="00515F6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15F6C" w:rsidRDefault="008E4483" w:rsidP="008E4483">
      <w:pPr>
        <w:pStyle w:val="Prrafodelista"/>
        <w:rPr>
          <w:rFonts w:ascii="Palatino Linotype" w:eastAsia="Calibri" w:hAnsi="Palatino Linotype" w:cs="Arial"/>
        </w:rPr>
      </w:pPr>
    </w:p>
    <w:p w14:paraId="308FCB42" w14:textId="77777777" w:rsidR="008E4483" w:rsidRPr="00515F6C" w:rsidRDefault="008E4483" w:rsidP="003B5FD2">
      <w:pPr>
        <w:pStyle w:val="Prrafodelista"/>
        <w:numPr>
          <w:ilvl w:val="0"/>
          <w:numId w:val="4"/>
        </w:numPr>
        <w:spacing w:line="360" w:lineRule="auto"/>
        <w:jc w:val="both"/>
        <w:rPr>
          <w:rFonts w:ascii="Palatino Linotype" w:eastAsia="Calibri" w:hAnsi="Palatino Linotype" w:cs="Arial"/>
        </w:rPr>
      </w:pPr>
      <w:r w:rsidRPr="00515F6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15F6C" w:rsidRDefault="008E4483" w:rsidP="008E4483">
      <w:pPr>
        <w:pStyle w:val="Prrafodelista"/>
        <w:spacing w:line="360" w:lineRule="auto"/>
        <w:rPr>
          <w:rFonts w:ascii="Palatino Linotype" w:hAnsi="Palatino Linotype" w:cs="Arial"/>
          <w:color w:val="000000"/>
        </w:rPr>
      </w:pPr>
    </w:p>
    <w:p w14:paraId="0DE0F687"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r w:rsidRPr="00515F6C">
        <w:rPr>
          <w:rFonts w:ascii="Palatino Linotype" w:hAnsi="Palatino Linotype" w:cs="Bookman Old Style,Bold"/>
          <w:b/>
          <w:bCs/>
          <w:i/>
          <w:sz w:val="22"/>
        </w:rPr>
        <w:t xml:space="preserve">Artículo 4. </w:t>
      </w:r>
      <w:r w:rsidRPr="00515F6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r w:rsidRPr="00515F6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r w:rsidRPr="00515F6C">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15F6C"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r w:rsidRPr="00515F6C">
        <w:rPr>
          <w:rFonts w:ascii="Palatino Linotype" w:hAnsi="Palatino Linotype" w:cs="Bookman Old Style,Bold"/>
          <w:b/>
          <w:bCs/>
          <w:i/>
          <w:sz w:val="22"/>
        </w:rPr>
        <w:t xml:space="preserve">Artículo 12. </w:t>
      </w:r>
      <w:r w:rsidRPr="00515F6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515F6C"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515F6C" w:rsidRDefault="008E4483" w:rsidP="008E4483">
      <w:pPr>
        <w:autoSpaceDE w:val="0"/>
        <w:autoSpaceDN w:val="0"/>
        <w:adjustRightInd w:val="0"/>
        <w:ind w:left="567" w:right="567"/>
        <w:jc w:val="both"/>
        <w:rPr>
          <w:rFonts w:ascii="Palatino Linotype" w:hAnsi="Palatino Linotype" w:cs="Bookman Old Style"/>
          <w:b/>
          <w:i/>
          <w:sz w:val="22"/>
        </w:rPr>
      </w:pPr>
      <w:r w:rsidRPr="00515F6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15F6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15F6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15F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15F6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15F6C">
        <w:rPr>
          <w:rStyle w:val="Refdenotaalpie"/>
          <w:lang w:val="es-ES"/>
        </w:rPr>
        <w:footnoteReference w:id="5"/>
      </w:r>
      <w:r w:rsidRPr="00515F6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15F6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15F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15F6C">
        <w:rPr>
          <w:rFonts w:ascii="Palatino Linotype" w:hAnsi="Palatino Linotype"/>
          <w:lang w:val="es-ES"/>
        </w:rPr>
        <w:t xml:space="preserve">Robustece lo anterior la Tesis aislada identificada con la clave I.4º.A.40 A del Cuarto Tribunal colegiado en Materia Administrativa del Primer Circuito, </w:t>
      </w:r>
      <w:r w:rsidRPr="00515F6C">
        <w:rPr>
          <w:rFonts w:ascii="Palatino Linotype" w:hAnsi="Palatino Linotype"/>
          <w:lang w:val="es-ES"/>
        </w:rPr>
        <w:lastRenderedPageBreak/>
        <w:t>publicada en el Seminario Judicial de la Federación y su Gaceta en el libro XVIII, Marzo 2013, Página 1899.</w:t>
      </w:r>
    </w:p>
    <w:p w14:paraId="4F3E1ABB" w14:textId="77777777" w:rsidR="008E4483" w:rsidRPr="00515F6C" w:rsidRDefault="008E4483" w:rsidP="008E4483">
      <w:pPr>
        <w:pStyle w:val="Prrafodelista"/>
        <w:spacing w:line="360" w:lineRule="auto"/>
        <w:rPr>
          <w:rFonts w:ascii="Palatino Linotype" w:hAnsi="Palatino Linotype"/>
          <w:lang w:val="es-ES"/>
        </w:rPr>
      </w:pPr>
    </w:p>
    <w:p w14:paraId="1C9461BC" w14:textId="77777777" w:rsidR="008E4483" w:rsidRPr="00515F6C" w:rsidRDefault="008E4483" w:rsidP="008E4483">
      <w:pPr>
        <w:pStyle w:val="Prrafodelista"/>
        <w:tabs>
          <w:tab w:val="left" w:pos="851"/>
        </w:tabs>
        <w:ind w:left="567" w:right="567"/>
        <w:jc w:val="both"/>
        <w:rPr>
          <w:rFonts w:ascii="Palatino Linotype" w:hAnsi="Palatino Linotype"/>
          <w:i/>
        </w:rPr>
      </w:pPr>
      <w:r w:rsidRPr="00515F6C">
        <w:rPr>
          <w:rFonts w:ascii="Palatino Linotype" w:hAnsi="Palatino Linotype"/>
          <w:b/>
          <w:i/>
        </w:rPr>
        <w:t>ACCESO A LA INFORMACIÓN. IMPLICACIÓN DEL PRINCIPIO DE MÁXIMA PUBLICIDAD EN EL DERECHO FUNDAMENTAL RELATIVO.</w:t>
      </w:r>
      <w:r w:rsidRPr="00515F6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15F6C"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515F6C" w:rsidRDefault="008E4483" w:rsidP="008E4483">
      <w:pPr>
        <w:pStyle w:val="Prrafodelista"/>
        <w:tabs>
          <w:tab w:val="left" w:pos="851"/>
        </w:tabs>
        <w:ind w:left="567" w:right="567"/>
        <w:jc w:val="both"/>
        <w:rPr>
          <w:rFonts w:ascii="Palatino Linotype" w:hAnsi="Palatino Linotype"/>
          <w:i/>
        </w:rPr>
      </w:pPr>
      <w:r w:rsidRPr="00515F6C">
        <w:rPr>
          <w:rFonts w:ascii="Palatino Linotype" w:hAnsi="Palatino Linotype"/>
          <w:i/>
        </w:rPr>
        <w:t xml:space="preserve">CUARTO TRIBUNAL COLEGIADO EN MATERIA ADMINISTRATIVA DEL PRIMER CIRCUITO. </w:t>
      </w:r>
    </w:p>
    <w:p w14:paraId="31A63FA8" w14:textId="77777777" w:rsidR="008E4483" w:rsidRPr="00515F6C"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515F6C" w:rsidRDefault="008E4483" w:rsidP="008E4483">
      <w:pPr>
        <w:pStyle w:val="Prrafodelista"/>
        <w:tabs>
          <w:tab w:val="left" w:pos="851"/>
        </w:tabs>
        <w:ind w:left="567" w:right="567"/>
        <w:jc w:val="both"/>
        <w:rPr>
          <w:rFonts w:ascii="Palatino Linotype" w:hAnsi="Palatino Linotype"/>
          <w:i/>
        </w:rPr>
      </w:pPr>
      <w:r w:rsidRPr="00515F6C">
        <w:rPr>
          <w:rFonts w:ascii="Palatino Linotype" w:hAnsi="Palatino Linotype"/>
          <w:i/>
        </w:rPr>
        <w:lastRenderedPageBreak/>
        <w:t>Amparo en revisión 257/2012. Ruth Corona Muñoz. 6 de diciembre de 2012. Unanimidad de votos. Ponente: Jean Claude Tron Petit. Secretaria: Mayra Susana Martínez López.</w:t>
      </w:r>
    </w:p>
    <w:p w14:paraId="5662BC61" w14:textId="77777777" w:rsidR="008E4483" w:rsidRPr="00515F6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15F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15F6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15F6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15F6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15F6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515F6C" w:rsidRDefault="008E4483" w:rsidP="008E4483">
      <w:pPr>
        <w:spacing w:line="360" w:lineRule="auto"/>
        <w:jc w:val="both"/>
        <w:rPr>
          <w:rFonts w:ascii="Palatino Linotype" w:hAnsi="Palatino Linotype" w:cs="Arial"/>
        </w:rPr>
      </w:pPr>
    </w:p>
    <w:p w14:paraId="61E5DFB2"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b/>
          <w:i/>
          <w:sz w:val="22"/>
        </w:rPr>
        <w:t>“Artículo 6o.</w:t>
      </w:r>
      <w:r w:rsidRPr="00515F6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15F6C">
        <w:rPr>
          <w:rFonts w:ascii="Palatino Linotype" w:hAnsi="Palatino Linotype" w:cs="Arial"/>
          <w:b/>
          <w:i/>
          <w:sz w:val="22"/>
        </w:rPr>
        <w:t>El derecho a la información será garantizado por el Estado.</w:t>
      </w:r>
      <w:r w:rsidRPr="00515F6C">
        <w:rPr>
          <w:rFonts w:ascii="Palatino Linotype" w:hAnsi="Palatino Linotype" w:cs="Arial"/>
          <w:i/>
          <w:sz w:val="22"/>
        </w:rPr>
        <w:t xml:space="preserve"> </w:t>
      </w:r>
    </w:p>
    <w:p w14:paraId="4AC38F1F" w14:textId="77777777" w:rsidR="008E4483" w:rsidRPr="00515F6C" w:rsidRDefault="008E4483" w:rsidP="008E4483">
      <w:pPr>
        <w:ind w:left="567" w:right="567"/>
        <w:jc w:val="both"/>
        <w:rPr>
          <w:rFonts w:ascii="Palatino Linotype" w:hAnsi="Palatino Linotype" w:cs="Arial"/>
          <w:i/>
          <w:sz w:val="22"/>
        </w:rPr>
      </w:pPr>
    </w:p>
    <w:p w14:paraId="4B5681D6"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15F6C" w:rsidRDefault="008E4483" w:rsidP="008E4483">
      <w:pPr>
        <w:ind w:left="567" w:right="567"/>
        <w:jc w:val="both"/>
        <w:rPr>
          <w:rFonts w:ascii="Palatino Linotype" w:hAnsi="Palatino Linotype" w:cs="Arial"/>
          <w:i/>
          <w:sz w:val="22"/>
        </w:rPr>
      </w:pPr>
    </w:p>
    <w:p w14:paraId="681A3253"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Para efectos de lo dispuesto en el presente artículo se observará lo siguiente:</w:t>
      </w:r>
    </w:p>
    <w:p w14:paraId="500990B0" w14:textId="77777777" w:rsidR="008E4483" w:rsidRPr="00515F6C" w:rsidRDefault="008E4483" w:rsidP="008E4483">
      <w:pPr>
        <w:ind w:left="567" w:right="567"/>
        <w:jc w:val="both"/>
        <w:rPr>
          <w:rFonts w:ascii="Palatino Linotype" w:hAnsi="Palatino Linotype" w:cs="Arial"/>
          <w:i/>
          <w:sz w:val="22"/>
        </w:rPr>
      </w:pPr>
    </w:p>
    <w:p w14:paraId="1A00976B"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15F6C" w:rsidRDefault="008E4483" w:rsidP="008E4483">
      <w:pPr>
        <w:ind w:left="567" w:right="567"/>
        <w:jc w:val="both"/>
        <w:rPr>
          <w:rFonts w:ascii="Palatino Linotype" w:hAnsi="Palatino Linotype" w:cs="Arial"/>
          <w:b/>
          <w:i/>
          <w:sz w:val="22"/>
        </w:rPr>
      </w:pPr>
    </w:p>
    <w:p w14:paraId="3A80ED39"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b/>
          <w:i/>
          <w:sz w:val="22"/>
        </w:rPr>
        <w:t>I. Toda la información en posesión de</w:t>
      </w:r>
      <w:r w:rsidRPr="00515F6C">
        <w:rPr>
          <w:rFonts w:ascii="Palatino Linotype" w:hAnsi="Palatino Linotype" w:cs="Arial"/>
          <w:i/>
          <w:sz w:val="22"/>
        </w:rPr>
        <w:t xml:space="preserve"> </w:t>
      </w:r>
      <w:r w:rsidRPr="00515F6C">
        <w:rPr>
          <w:rFonts w:ascii="Palatino Linotype" w:hAnsi="Palatino Linotype" w:cs="Arial"/>
          <w:b/>
          <w:i/>
          <w:sz w:val="22"/>
        </w:rPr>
        <w:t>cualquier autoridad</w:t>
      </w:r>
      <w:r w:rsidRPr="00515F6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15F6C">
        <w:rPr>
          <w:rFonts w:ascii="Palatino Linotype" w:hAnsi="Palatino Linotype" w:cs="Arial"/>
          <w:b/>
          <w:i/>
          <w:sz w:val="22"/>
        </w:rPr>
        <w:t>es pública</w:t>
      </w:r>
      <w:r w:rsidRPr="00515F6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15F6C">
        <w:rPr>
          <w:rFonts w:ascii="Palatino Linotype" w:hAnsi="Palatino Linotype" w:cs="Arial"/>
          <w:b/>
          <w:i/>
          <w:sz w:val="22"/>
        </w:rPr>
        <w:lastRenderedPageBreak/>
        <w:t>Los sujetos obligados deberán documentar todo acto que derive del ejercicio de sus facultades, competencias o funciones</w:t>
      </w:r>
      <w:r w:rsidRPr="00515F6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15F6C" w:rsidRDefault="008E4483" w:rsidP="008E4483">
      <w:pPr>
        <w:ind w:left="567" w:right="567"/>
        <w:jc w:val="both"/>
        <w:rPr>
          <w:rFonts w:ascii="Palatino Linotype" w:hAnsi="Palatino Linotype" w:cs="Arial"/>
          <w:i/>
          <w:sz w:val="22"/>
        </w:rPr>
      </w:pPr>
    </w:p>
    <w:p w14:paraId="0CECF853"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15F6C" w:rsidRDefault="008E4483" w:rsidP="008E4483">
      <w:pPr>
        <w:ind w:left="567" w:right="567"/>
        <w:jc w:val="both"/>
        <w:rPr>
          <w:rFonts w:ascii="Palatino Linotype" w:hAnsi="Palatino Linotype" w:cs="Arial"/>
          <w:i/>
          <w:sz w:val="22"/>
        </w:rPr>
      </w:pPr>
    </w:p>
    <w:p w14:paraId="4EF8A8A9"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15F6C" w:rsidRDefault="008E4483" w:rsidP="008E4483">
      <w:pPr>
        <w:ind w:left="567" w:right="567"/>
        <w:jc w:val="both"/>
        <w:rPr>
          <w:rFonts w:ascii="Palatino Linotype" w:hAnsi="Palatino Linotype" w:cs="Arial"/>
          <w:i/>
          <w:sz w:val="22"/>
        </w:rPr>
      </w:pPr>
    </w:p>
    <w:p w14:paraId="112801FD"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15F6C" w:rsidRDefault="008E4483" w:rsidP="008E4483">
      <w:pPr>
        <w:ind w:left="567" w:right="567"/>
        <w:jc w:val="both"/>
        <w:rPr>
          <w:rFonts w:ascii="Palatino Linotype" w:hAnsi="Palatino Linotype" w:cs="Arial"/>
          <w:b/>
          <w:i/>
          <w:sz w:val="22"/>
        </w:rPr>
      </w:pPr>
    </w:p>
    <w:p w14:paraId="3FB33C7B"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b/>
          <w:i/>
          <w:sz w:val="22"/>
        </w:rPr>
        <w:t>V. Los sujetos obligados deberán preservar sus documentos en archivos administrativos actualizados y publicarán, a través de los medios electrónicos disponibles</w:t>
      </w:r>
      <w:r w:rsidRPr="00515F6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15F6C" w:rsidRDefault="008E4483" w:rsidP="008E4483">
      <w:pPr>
        <w:ind w:left="567" w:right="567"/>
        <w:jc w:val="both"/>
        <w:rPr>
          <w:rFonts w:ascii="Palatino Linotype" w:hAnsi="Palatino Linotype" w:cs="Arial"/>
          <w:i/>
          <w:sz w:val="22"/>
        </w:rPr>
      </w:pPr>
    </w:p>
    <w:p w14:paraId="37399313"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15F6C" w:rsidRDefault="008E4483" w:rsidP="008E4483">
      <w:pPr>
        <w:ind w:left="567" w:right="567"/>
        <w:jc w:val="both"/>
        <w:rPr>
          <w:rFonts w:ascii="Palatino Linotype" w:hAnsi="Palatino Linotype" w:cs="Arial"/>
          <w:i/>
          <w:sz w:val="22"/>
        </w:rPr>
      </w:pPr>
    </w:p>
    <w:p w14:paraId="4D04B6B7"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15F6C" w:rsidRDefault="008E4483" w:rsidP="008E4483">
      <w:pPr>
        <w:ind w:left="567" w:right="567"/>
        <w:jc w:val="both"/>
        <w:rPr>
          <w:rFonts w:ascii="Palatino Linotype" w:hAnsi="Palatino Linotype" w:cs="Arial"/>
          <w:i/>
          <w:sz w:val="22"/>
        </w:rPr>
      </w:pPr>
    </w:p>
    <w:p w14:paraId="30D06838"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w:t>
      </w:r>
    </w:p>
    <w:p w14:paraId="6140CC8E"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cs="Arial"/>
          <w:i/>
          <w:sz w:val="22"/>
        </w:rPr>
        <w:t>La ley establecerá aquella información que se considere reservada o confidencial.”</w:t>
      </w:r>
    </w:p>
    <w:p w14:paraId="0DF4504F" w14:textId="77777777" w:rsidR="008E4483" w:rsidRPr="00515F6C" w:rsidRDefault="008E4483" w:rsidP="008E4483">
      <w:pPr>
        <w:ind w:left="567" w:right="567"/>
        <w:jc w:val="both"/>
        <w:rPr>
          <w:rFonts w:ascii="Palatino Linotype" w:hAnsi="Palatino Linotype"/>
          <w:i/>
          <w:sz w:val="22"/>
        </w:rPr>
      </w:pPr>
    </w:p>
    <w:p w14:paraId="70B9AFAD"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(Énfasis añadido)</w:t>
      </w:r>
    </w:p>
    <w:p w14:paraId="1E957CE8" w14:textId="77777777" w:rsidR="008E4483" w:rsidRPr="00515F6C" w:rsidRDefault="008E4483" w:rsidP="008E4483">
      <w:pPr>
        <w:spacing w:line="360" w:lineRule="auto"/>
        <w:ind w:left="709" w:right="757"/>
        <w:jc w:val="both"/>
        <w:rPr>
          <w:rFonts w:ascii="Palatino Linotype" w:hAnsi="Palatino Linotype"/>
        </w:rPr>
      </w:pPr>
    </w:p>
    <w:p w14:paraId="67E589E6" w14:textId="77777777" w:rsidR="008E4483" w:rsidRPr="00515F6C" w:rsidRDefault="008E4483" w:rsidP="008E4483">
      <w:pPr>
        <w:pStyle w:val="Prrafodelista"/>
        <w:numPr>
          <w:ilvl w:val="0"/>
          <w:numId w:val="1"/>
        </w:numPr>
        <w:spacing w:line="360" w:lineRule="auto"/>
        <w:jc w:val="both"/>
        <w:rPr>
          <w:rFonts w:ascii="Palatino Linotype" w:hAnsi="Palatino Linotype" w:cs="Arial"/>
        </w:rPr>
      </w:pPr>
      <w:r w:rsidRPr="00515F6C">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515F6C" w:rsidRDefault="008E4483" w:rsidP="008E4483">
      <w:pPr>
        <w:spacing w:line="360" w:lineRule="auto"/>
        <w:ind w:left="709" w:right="757"/>
        <w:jc w:val="both"/>
        <w:rPr>
          <w:rFonts w:ascii="Palatino Linotype" w:hAnsi="Palatino Linotype" w:cs="Arial"/>
        </w:rPr>
      </w:pPr>
    </w:p>
    <w:p w14:paraId="459B253A" w14:textId="77777777" w:rsidR="008E4483" w:rsidRPr="00515F6C" w:rsidRDefault="008E4483" w:rsidP="008E4483">
      <w:pPr>
        <w:ind w:left="567" w:right="567"/>
        <w:jc w:val="both"/>
        <w:rPr>
          <w:rFonts w:ascii="Palatino Linotype" w:hAnsi="Palatino Linotype" w:cs="Arial"/>
          <w:b/>
          <w:i/>
          <w:sz w:val="22"/>
        </w:rPr>
      </w:pPr>
      <w:r w:rsidRPr="00515F6C">
        <w:rPr>
          <w:rFonts w:ascii="Palatino Linotype" w:hAnsi="Palatino Linotype" w:cs="Arial"/>
          <w:b/>
          <w:i/>
          <w:sz w:val="22"/>
        </w:rPr>
        <w:t xml:space="preserve">“Artículo 5. … </w:t>
      </w:r>
    </w:p>
    <w:p w14:paraId="6BF00F17"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b/>
          <w:i/>
          <w:sz w:val="22"/>
        </w:rPr>
        <w:t>El derecho a la información será garantizado por el Estado</w:t>
      </w:r>
      <w:r w:rsidRPr="00515F6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15F6C" w:rsidRDefault="008E4483" w:rsidP="008E4483">
      <w:pPr>
        <w:ind w:left="567" w:right="567"/>
        <w:jc w:val="both"/>
        <w:rPr>
          <w:rFonts w:ascii="Palatino Linotype" w:hAnsi="Palatino Linotype"/>
          <w:i/>
          <w:sz w:val="22"/>
        </w:rPr>
      </w:pPr>
    </w:p>
    <w:p w14:paraId="480C22E0"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Este derecho se regirá por los principios y bases siguientes:</w:t>
      </w:r>
    </w:p>
    <w:p w14:paraId="14A2C90A" w14:textId="77777777" w:rsidR="008E4483" w:rsidRPr="00515F6C" w:rsidRDefault="008E4483" w:rsidP="008E4483">
      <w:pPr>
        <w:ind w:left="567" w:right="567"/>
        <w:jc w:val="both"/>
        <w:rPr>
          <w:rFonts w:ascii="Palatino Linotype" w:hAnsi="Palatino Linotype"/>
          <w:b/>
          <w:i/>
          <w:sz w:val="22"/>
        </w:rPr>
      </w:pPr>
    </w:p>
    <w:p w14:paraId="44073A0F"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b/>
          <w:i/>
          <w:sz w:val="22"/>
        </w:rPr>
        <w:t xml:space="preserve">I. Toda la información en posesión </w:t>
      </w:r>
      <w:r w:rsidRPr="00515F6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15F6C">
        <w:rPr>
          <w:rFonts w:ascii="Palatino Linotype" w:hAnsi="Palatino Linotype"/>
          <w:b/>
          <w:i/>
          <w:sz w:val="22"/>
        </w:rPr>
        <w:t>del gobierno y de la administración pública municipal y sus organismos descentralizados</w:t>
      </w:r>
      <w:r w:rsidRPr="00515F6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15F6C">
        <w:rPr>
          <w:rFonts w:ascii="Palatino Linotype" w:hAnsi="Palatino Linotype"/>
          <w:b/>
          <w:i/>
          <w:sz w:val="22"/>
        </w:rPr>
        <w:t>es pública</w:t>
      </w:r>
      <w:r w:rsidRPr="00515F6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15F6C" w:rsidRDefault="008E4483" w:rsidP="008E4483">
      <w:pPr>
        <w:ind w:left="567" w:right="567"/>
        <w:jc w:val="both"/>
        <w:rPr>
          <w:rFonts w:ascii="Palatino Linotype" w:hAnsi="Palatino Linotype"/>
          <w:i/>
          <w:sz w:val="22"/>
        </w:rPr>
      </w:pPr>
    </w:p>
    <w:p w14:paraId="2FF70804"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15F6C" w:rsidRDefault="008E4483" w:rsidP="008E4483">
      <w:pPr>
        <w:ind w:left="567" w:right="567"/>
        <w:jc w:val="both"/>
        <w:rPr>
          <w:rFonts w:ascii="Palatino Linotype" w:hAnsi="Palatino Linotype"/>
          <w:i/>
          <w:sz w:val="22"/>
        </w:rPr>
      </w:pPr>
    </w:p>
    <w:p w14:paraId="6FA24126"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15F6C" w:rsidRDefault="008E4483" w:rsidP="008E4483">
      <w:pPr>
        <w:ind w:left="567" w:right="567"/>
        <w:jc w:val="both"/>
        <w:rPr>
          <w:rFonts w:ascii="Palatino Linotype" w:hAnsi="Palatino Linotype"/>
          <w:i/>
          <w:sz w:val="22"/>
        </w:rPr>
      </w:pPr>
    </w:p>
    <w:p w14:paraId="24C5C6FF"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15F6C" w:rsidRDefault="008E4483" w:rsidP="008E4483">
      <w:pPr>
        <w:ind w:left="567" w:right="567"/>
        <w:jc w:val="both"/>
        <w:rPr>
          <w:rFonts w:ascii="Palatino Linotype" w:hAnsi="Palatino Linotype"/>
          <w:i/>
          <w:sz w:val="22"/>
        </w:rPr>
      </w:pPr>
    </w:p>
    <w:p w14:paraId="2D1804C7"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15F6C" w:rsidRDefault="008E4483" w:rsidP="008E4483">
      <w:pPr>
        <w:ind w:left="567" w:right="567"/>
        <w:jc w:val="both"/>
        <w:rPr>
          <w:rFonts w:ascii="Palatino Linotype" w:hAnsi="Palatino Linotype"/>
          <w:b/>
          <w:i/>
          <w:sz w:val="22"/>
        </w:rPr>
      </w:pPr>
    </w:p>
    <w:p w14:paraId="6DB2EC7A" w14:textId="77777777" w:rsidR="008E4483" w:rsidRPr="00515F6C" w:rsidRDefault="008E4483" w:rsidP="008E4483">
      <w:pPr>
        <w:ind w:left="567" w:right="567"/>
        <w:jc w:val="both"/>
        <w:rPr>
          <w:rFonts w:ascii="Palatino Linotype" w:hAnsi="Palatino Linotype"/>
          <w:i/>
          <w:sz w:val="22"/>
        </w:rPr>
      </w:pPr>
      <w:r w:rsidRPr="00515F6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15F6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15F6C" w:rsidRDefault="008E4483" w:rsidP="008E4483">
      <w:pPr>
        <w:ind w:left="567" w:right="567"/>
        <w:jc w:val="both"/>
        <w:rPr>
          <w:rFonts w:ascii="Palatino Linotype" w:hAnsi="Palatino Linotype"/>
          <w:i/>
          <w:sz w:val="22"/>
        </w:rPr>
      </w:pPr>
    </w:p>
    <w:p w14:paraId="6810788F" w14:textId="77777777" w:rsidR="008E4483" w:rsidRPr="00515F6C" w:rsidRDefault="008E4483" w:rsidP="008E4483">
      <w:pPr>
        <w:ind w:left="567" w:right="567"/>
        <w:jc w:val="both"/>
        <w:rPr>
          <w:rFonts w:ascii="Palatino Linotype" w:hAnsi="Palatino Linotype" w:cs="Arial"/>
          <w:i/>
          <w:sz w:val="22"/>
        </w:rPr>
      </w:pPr>
      <w:r w:rsidRPr="00515F6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15F6C" w:rsidRDefault="008E4483" w:rsidP="008E4483">
      <w:pPr>
        <w:ind w:left="567" w:right="567"/>
        <w:jc w:val="both"/>
        <w:rPr>
          <w:rFonts w:ascii="Palatino Linotype" w:hAnsi="Palatino Linotype"/>
          <w:sz w:val="22"/>
        </w:rPr>
      </w:pPr>
    </w:p>
    <w:p w14:paraId="76F0890A" w14:textId="77777777" w:rsidR="008E4483" w:rsidRPr="00515F6C" w:rsidRDefault="008E4483" w:rsidP="008E4483">
      <w:pPr>
        <w:ind w:left="567" w:right="567"/>
        <w:jc w:val="both"/>
        <w:rPr>
          <w:rFonts w:ascii="Palatino Linotype" w:hAnsi="Palatino Linotype"/>
          <w:sz w:val="22"/>
        </w:rPr>
      </w:pPr>
      <w:r w:rsidRPr="00515F6C">
        <w:rPr>
          <w:rFonts w:ascii="Palatino Linotype" w:hAnsi="Palatino Linotype"/>
          <w:sz w:val="22"/>
        </w:rPr>
        <w:t>(Énfasis añadido)</w:t>
      </w:r>
    </w:p>
    <w:p w14:paraId="04C6290A" w14:textId="77777777" w:rsidR="008E4483" w:rsidRPr="00515F6C" w:rsidRDefault="008E4483" w:rsidP="008E4483">
      <w:pPr>
        <w:spacing w:line="360" w:lineRule="auto"/>
        <w:ind w:left="567" w:right="567"/>
        <w:jc w:val="both"/>
        <w:rPr>
          <w:rFonts w:ascii="Palatino Linotype" w:hAnsi="Palatino Linotype"/>
          <w:sz w:val="22"/>
        </w:rPr>
      </w:pPr>
    </w:p>
    <w:p w14:paraId="41212765" w14:textId="6239A0F6" w:rsidR="008E4483" w:rsidRPr="00515F6C" w:rsidRDefault="008E4483" w:rsidP="008E4483">
      <w:pPr>
        <w:pStyle w:val="Prrafodelista"/>
        <w:numPr>
          <w:ilvl w:val="0"/>
          <w:numId w:val="1"/>
        </w:numPr>
        <w:spacing w:line="360" w:lineRule="auto"/>
        <w:jc w:val="both"/>
        <w:rPr>
          <w:rFonts w:ascii="Palatino Linotype" w:hAnsi="Palatino Linotype" w:cs="Arial"/>
        </w:rPr>
      </w:pPr>
      <w:r w:rsidRPr="00515F6C">
        <w:rPr>
          <w:rFonts w:ascii="Palatino Linotype" w:hAnsi="Palatino Linotype" w:cs="Arial"/>
        </w:rPr>
        <w:t>Adicional, tenemos que la Ley de Transparencia y Acceso a la Información Pública del Estado de México y Municipios, prevé en su artículo 23 fracción I</w:t>
      </w:r>
      <w:r w:rsidR="00E00CF8" w:rsidRPr="00515F6C">
        <w:rPr>
          <w:rFonts w:ascii="Palatino Linotype" w:hAnsi="Palatino Linotype" w:cs="Arial"/>
        </w:rPr>
        <w:t>V</w:t>
      </w:r>
      <w:r w:rsidRPr="00515F6C">
        <w:rPr>
          <w:rFonts w:ascii="Palatino Linotype" w:hAnsi="Palatino Linotype" w:cs="Arial"/>
        </w:rPr>
        <w:t>, lo siguiente:</w:t>
      </w:r>
    </w:p>
    <w:p w14:paraId="2FF12176" w14:textId="77777777" w:rsidR="008E4483" w:rsidRPr="00515F6C" w:rsidRDefault="008E4483" w:rsidP="008E4483">
      <w:pPr>
        <w:spacing w:line="360" w:lineRule="auto"/>
        <w:jc w:val="both"/>
        <w:rPr>
          <w:rFonts w:ascii="Palatino Linotype" w:hAnsi="Palatino Linotype" w:cs="Arial"/>
        </w:rPr>
      </w:pPr>
    </w:p>
    <w:p w14:paraId="509D888E" w14:textId="77777777" w:rsidR="008E4483" w:rsidRPr="00515F6C" w:rsidRDefault="008E4483" w:rsidP="008E4483">
      <w:pPr>
        <w:ind w:left="567" w:right="822"/>
        <w:jc w:val="both"/>
        <w:rPr>
          <w:rFonts w:ascii="Palatino Linotype" w:eastAsia="MS Mincho" w:hAnsi="Palatino Linotype" w:cs="Arial"/>
          <w:i/>
          <w:sz w:val="22"/>
          <w:szCs w:val="22"/>
        </w:rPr>
      </w:pPr>
      <w:r w:rsidRPr="00515F6C">
        <w:rPr>
          <w:rFonts w:ascii="Palatino Linotype" w:eastAsia="MS Mincho" w:hAnsi="Palatino Linotype" w:cs="Arial"/>
          <w:b/>
          <w:i/>
          <w:sz w:val="22"/>
          <w:szCs w:val="22"/>
        </w:rPr>
        <w:t xml:space="preserve">“Artículo 23. Son sujetos obligados a transparentar y permitir el acceso a su información y </w:t>
      </w:r>
      <w:r w:rsidRPr="00515F6C">
        <w:rPr>
          <w:rFonts w:ascii="Palatino Linotype" w:eastAsia="MS Mincho" w:hAnsi="Palatino Linotype"/>
          <w:b/>
          <w:i/>
          <w:sz w:val="22"/>
          <w:szCs w:val="22"/>
        </w:rPr>
        <w:t>proteger</w:t>
      </w:r>
      <w:r w:rsidRPr="00515F6C">
        <w:rPr>
          <w:rFonts w:ascii="Palatino Linotype" w:eastAsia="MS Mincho" w:hAnsi="Palatino Linotype" w:cs="Arial"/>
          <w:b/>
          <w:i/>
          <w:sz w:val="22"/>
          <w:szCs w:val="22"/>
        </w:rPr>
        <w:t xml:space="preserve"> los datos personales que obren en su poder</w:t>
      </w:r>
      <w:r w:rsidRPr="00515F6C">
        <w:rPr>
          <w:rFonts w:ascii="Palatino Linotype" w:eastAsia="MS Mincho" w:hAnsi="Palatino Linotype" w:cs="Arial"/>
          <w:i/>
          <w:sz w:val="22"/>
          <w:szCs w:val="22"/>
        </w:rPr>
        <w:t>:</w:t>
      </w:r>
    </w:p>
    <w:p w14:paraId="468C7D83" w14:textId="042810AB" w:rsidR="008E4483" w:rsidRPr="00515F6C" w:rsidRDefault="00E00CF8" w:rsidP="008E4483">
      <w:pPr>
        <w:ind w:left="567" w:right="822"/>
        <w:jc w:val="both"/>
        <w:rPr>
          <w:rFonts w:ascii="Palatino Linotype" w:eastAsia="MS Mincho" w:hAnsi="Palatino Linotype" w:cs="Arial"/>
          <w:i/>
          <w:sz w:val="22"/>
          <w:szCs w:val="22"/>
        </w:rPr>
      </w:pPr>
      <w:r w:rsidRPr="00515F6C">
        <w:rPr>
          <w:rFonts w:ascii="Palatino Linotype" w:eastAsia="MS Mincho" w:hAnsi="Palatino Linotype" w:cs="Arial"/>
          <w:i/>
          <w:sz w:val="22"/>
          <w:szCs w:val="22"/>
        </w:rPr>
        <w:t>…</w:t>
      </w:r>
    </w:p>
    <w:p w14:paraId="16B7E0D6" w14:textId="56029346" w:rsidR="008E4483" w:rsidRPr="00515F6C" w:rsidRDefault="00E00CF8" w:rsidP="008E4483">
      <w:pPr>
        <w:ind w:left="567" w:right="822"/>
        <w:jc w:val="both"/>
        <w:rPr>
          <w:rFonts w:ascii="Palatino Linotype" w:eastAsia="MS Mincho" w:hAnsi="Palatino Linotype" w:cs="Arial"/>
          <w:b/>
          <w:i/>
          <w:iCs/>
          <w:sz w:val="22"/>
          <w:szCs w:val="22"/>
        </w:rPr>
      </w:pPr>
      <w:r w:rsidRPr="00515F6C">
        <w:rPr>
          <w:rFonts w:ascii="Palatino Linotype" w:hAnsi="Palatino Linotype"/>
          <w:i/>
          <w:iCs/>
        </w:rPr>
        <w:t>IV. Los ayuntamientos y las dependencias, organismos, órganos y entidades de la administración municipal;</w:t>
      </w:r>
      <w:r w:rsidR="008E4483" w:rsidRPr="00515F6C">
        <w:rPr>
          <w:rFonts w:ascii="Palatino Linotype" w:eastAsia="MS Mincho" w:hAnsi="Palatino Linotype" w:cs="Arial"/>
          <w:b/>
          <w:i/>
          <w:iCs/>
          <w:sz w:val="22"/>
          <w:szCs w:val="22"/>
        </w:rPr>
        <w:t xml:space="preserve"> </w:t>
      </w:r>
    </w:p>
    <w:p w14:paraId="273927D8" w14:textId="77777777" w:rsidR="008E4483" w:rsidRPr="00515F6C" w:rsidRDefault="008E4483" w:rsidP="008E4483">
      <w:pPr>
        <w:ind w:left="567" w:right="822"/>
        <w:jc w:val="both"/>
        <w:rPr>
          <w:rFonts w:ascii="Palatino Linotype" w:eastAsia="MS Mincho" w:hAnsi="Palatino Linotype" w:cs="Arial"/>
          <w:b/>
          <w:i/>
          <w:sz w:val="22"/>
          <w:szCs w:val="22"/>
        </w:rPr>
      </w:pPr>
      <w:r w:rsidRPr="00515F6C">
        <w:rPr>
          <w:rFonts w:ascii="Palatino Linotype" w:eastAsia="MS Mincho" w:hAnsi="Palatino Linotype" w:cs="Arial"/>
          <w:b/>
          <w:i/>
          <w:sz w:val="22"/>
          <w:szCs w:val="22"/>
        </w:rPr>
        <w:t>…</w:t>
      </w:r>
    </w:p>
    <w:p w14:paraId="56BA427D" w14:textId="77777777" w:rsidR="008E4483" w:rsidRPr="00515F6C" w:rsidRDefault="008E4483" w:rsidP="008E4483">
      <w:pPr>
        <w:ind w:left="567" w:right="822"/>
        <w:jc w:val="both"/>
        <w:rPr>
          <w:rFonts w:ascii="Palatino Linotype" w:eastAsia="MS Mincho" w:hAnsi="Palatino Linotype"/>
          <w:b/>
          <w:i/>
          <w:sz w:val="22"/>
          <w:szCs w:val="22"/>
        </w:rPr>
      </w:pPr>
      <w:r w:rsidRPr="00515F6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15F6C">
        <w:rPr>
          <w:rFonts w:ascii="Palatino Linotype" w:eastAsia="MS Mincho" w:hAnsi="Palatino Linotype"/>
          <w:i/>
          <w:sz w:val="22"/>
          <w:szCs w:val="22"/>
        </w:rPr>
        <w:t xml:space="preserve">, </w:t>
      </w:r>
      <w:r w:rsidRPr="00515F6C">
        <w:rPr>
          <w:rFonts w:ascii="Palatino Linotype" w:eastAsia="MS Mincho" w:hAnsi="Palatino Linotype"/>
          <w:b/>
          <w:i/>
          <w:sz w:val="22"/>
          <w:szCs w:val="22"/>
        </w:rPr>
        <w:t>así como</w:t>
      </w:r>
      <w:r w:rsidRPr="00515F6C">
        <w:rPr>
          <w:rFonts w:ascii="Palatino Linotype" w:eastAsia="MS Mincho" w:hAnsi="Palatino Linotype"/>
          <w:i/>
          <w:sz w:val="22"/>
          <w:szCs w:val="22"/>
        </w:rPr>
        <w:t xml:space="preserve"> </w:t>
      </w:r>
      <w:r w:rsidRPr="00515F6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15F6C" w:rsidRDefault="008E4483" w:rsidP="008E4483">
      <w:pPr>
        <w:ind w:left="567" w:right="822"/>
        <w:jc w:val="both"/>
        <w:rPr>
          <w:rFonts w:ascii="Palatino Linotype" w:eastAsia="MS Mincho" w:hAnsi="Palatino Linotype"/>
          <w:b/>
          <w:i/>
          <w:sz w:val="22"/>
          <w:szCs w:val="22"/>
        </w:rPr>
      </w:pPr>
    </w:p>
    <w:p w14:paraId="7FF5ACCA" w14:textId="77777777" w:rsidR="008E4483" w:rsidRPr="00515F6C" w:rsidRDefault="008E4483" w:rsidP="008E4483">
      <w:pPr>
        <w:ind w:left="567" w:right="822"/>
        <w:jc w:val="both"/>
        <w:rPr>
          <w:rFonts w:ascii="Palatino Linotype" w:eastAsia="MS Mincho" w:hAnsi="Palatino Linotype" w:cs="Arial"/>
          <w:i/>
          <w:sz w:val="22"/>
          <w:szCs w:val="22"/>
        </w:rPr>
      </w:pPr>
      <w:r w:rsidRPr="00515F6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15F6C" w:rsidRDefault="008E4483" w:rsidP="008E4483">
      <w:pPr>
        <w:ind w:left="567" w:right="822"/>
        <w:jc w:val="both"/>
        <w:rPr>
          <w:rFonts w:ascii="Palatino Linotype" w:eastAsia="MS Mincho" w:hAnsi="Palatino Linotype" w:cs="Arial"/>
          <w:i/>
          <w:sz w:val="22"/>
          <w:szCs w:val="22"/>
        </w:rPr>
      </w:pPr>
      <w:r w:rsidRPr="00515F6C">
        <w:rPr>
          <w:rFonts w:ascii="Palatino Linotype" w:eastAsia="MS Mincho" w:hAnsi="Palatino Linotype" w:cs="Arial"/>
          <w:i/>
          <w:sz w:val="22"/>
          <w:szCs w:val="22"/>
        </w:rPr>
        <w:lastRenderedPageBreak/>
        <w:t>(Énfasis añadido)</w:t>
      </w:r>
    </w:p>
    <w:p w14:paraId="0EA3AFBA" w14:textId="77777777" w:rsidR="008E4483" w:rsidRPr="00515F6C" w:rsidRDefault="008E4483" w:rsidP="008E4483">
      <w:pPr>
        <w:spacing w:line="360" w:lineRule="auto"/>
        <w:jc w:val="both"/>
        <w:rPr>
          <w:rFonts w:ascii="Palatino Linotype" w:hAnsi="Palatino Linotype" w:cs="Arial"/>
        </w:rPr>
      </w:pPr>
    </w:p>
    <w:p w14:paraId="38992FDD" w14:textId="77777777" w:rsidR="008E4483" w:rsidRPr="00515F6C" w:rsidRDefault="008E4483" w:rsidP="008E4483">
      <w:pPr>
        <w:pStyle w:val="Prrafodelista"/>
        <w:numPr>
          <w:ilvl w:val="0"/>
          <w:numId w:val="1"/>
        </w:numPr>
        <w:spacing w:line="360" w:lineRule="auto"/>
        <w:jc w:val="both"/>
        <w:rPr>
          <w:rFonts w:ascii="Palatino Linotype" w:hAnsi="Palatino Linotype" w:cs="Arial"/>
        </w:rPr>
      </w:pPr>
      <w:r w:rsidRPr="00515F6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15F6C" w:rsidRDefault="008E4483" w:rsidP="008E4483">
      <w:pPr>
        <w:pStyle w:val="Prrafodelista"/>
        <w:spacing w:line="360" w:lineRule="auto"/>
        <w:ind w:left="0"/>
        <w:jc w:val="both"/>
        <w:rPr>
          <w:rFonts w:ascii="Palatino Linotype" w:hAnsi="Palatino Linotype" w:cs="Arial"/>
        </w:rPr>
      </w:pPr>
    </w:p>
    <w:p w14:paraId="642677F8" w14:textId="778A92DE" w:rsidR="008E4483" w:rsidRPr="00515F6C" w:rsidRDefault="008E4483" w:rsidP="008E4483">
      <w:pPr>
        <w:pStyle w:val="Prrafodelista"/>
        <w:numPr>
          <w:ilvl w:val="0"/>
          <w:numId w:val="1"/>
        </w:numPr>
        <w:spacing w:line="360" w:lineRule="auto"/>
        <w:jc w:val="both"/>
        <w:rPr>
          <w:rFonts w:ascii="Palatino Linotype" w:hAnsi="Palatino Linotype" w:cs="Arial"/>
        </w:rPr>
      </w:pPr>
      <w:r w:rsidRPr="00515F6C">
        <w:rPr>
          <w:rFonts w:ascii="Palatino Linotype" w:hAnsi="Palatino Linotype" w:cs="Arial"/>
        </w:rPr>
        <w:t>Por lo anterior, es de referir que,</w:t>
      </w:r>
      <w:r w:rsidRPr="00515F6C">
        <w:rPr>
          <w:rFonts w:ascii="Palatino Linotype" w:hAnsi="Palatino Linotype" w:cs="Arial"/>
          <w:b/>
        </w:rPr>
        <w:t xml:space="preserve"> </w:t>
      </w:r>
      <w:r w:rsidR="00E87AD0" w:rsidRPr="00515F6C">
        <w:rPr>
          <w:rFonts w:ascii="Palatino Linotype" w:hAnsi="Palatino Linotype" w:cs="Arial"/>
          <w:b/>
        </w:rPr>
        <w:t>el</w:t>
      </w:r>
      <w:r w:rsidRPr="00515F6C">
        <w:rPr>
          <w:rFonts w:ascii="Palatino Linotype" w:hAnsi="Palatino Linotype"/>
          <w:b/>
          <w:bCs/>
        </w:rPr>
        <w:t xml:space="preserve"> </w:t>
      </w:r>
      <w:r w:rsidR="00D9393D" w:rsidRPr="00515F6C">
        <w:rPr>
          <w:rFonts w:ascii="Palatino Linotype" w:hAnsi="Palatino Linotype"/>
          <w:b/>
          <w:bCs/>
          <w:color w:val="000000"/>
          <w:szCs w:val="20"/>
        </w:rPr>
        <w:t>Ayuntamiento de Atizapán de Zaragoza</w:t>
      </w:r>
      <w:r w:rsidRPr="00515F6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33D05F5" w14:textId="77777777" w:rsidR="00F909B7" w:rsidRPr="00515F6C" w:rsidRDefault="00F909B7" w:rsidP="00F909B7">
      <w:pPr>
        <w:pStyle w:val="Prrafodelista"/>
        <w:rPr>
          <w:rFonts w:ascii="Palatino Linotype" w:hAnsi="Palatino Linotype" w:cs="Arial"/>
        </w:rPr>
      </w:pPr>
    </w:p>
    <w:p w14:paraId="39BE5FA4" w14:textId="4B2F4EA9" w:rsidR="00265FF4" w:rsidRPr="00515F6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515F6C">
        <w:rPr>
          <w:rFonts w:ascii="Palatino Linotype" w:hAnsi="Palatino Linotype"/>
          <w:b/>
          <w:color w:val="000000" w:themeColor="text1"/>
        </w:rPr>
        <w:t xml:space="preserve">II. </w:t>
      </w:r>
      <w:r w:rsidR="00265FF4" w:rsidRPr="00515F6C">
        <w:rPr>
          <w:rFonts w:ascii="Palatino Linotype" w:hAnsi="Palatino Linotype"/>
          <w:b/>
          <w:color w:val="000000" w:themeColor="text1"/>
        </w:rPr>
        <w:t>De la información proporcionada.</w:t>
      </w:r>
    </w:p>
    <w:p w14:paraId="70B6124D" w14:textId="77777777" w:rsidR="000F6E42" w:rsidRPr="00515F6C" w:rsidRDefault="000F6E42" w:rsidP="000F6E42">
      <w:pPr>
        <w:pStyle w:val="Prrafodelista"/>
        <w:spacing w:after="160" w:line="360" w:lineRule="auto"/>
        <w:ind w:left="0"/>
        <w:jc w:val="both"/>
        <w:rPr>
          <w:rFonts w:ascii="Palatino Linotype" w:hAnsi="Palatino Linotype"/>
        </w:rPr>
      </w:pPr>
    </w:p>
    <w:p w14:paraId="70F7AA07" w14:textId="77777777" w:rsidR="00E76F29" w:rsidRPr="00515F6C" w:rsidRDefault="000F6E42"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En s</w:t>
      </w:r>
      <w:r w:rsidR="00E76F29" w:rsidRPr="00515F6C">
        <w:rPr>
          <w:rFonts w:ascii="Palatino Linotype" w:hAnsi="Palatino Linotype"/>
        </w:rPr>
        <w:t>u respuesta, el Sujeto Obligado, entregó la siguiente información:</w:t>
      </w:r>
    </w:p>
    <w:p w14:paraId="004FD81F" w14:textId="389B34A3" w:rsidR="00E76F29" w:rsidRPr="00515F6C" w:rsidRDefault="00E76F29" w:rsidP="00E76F29">
      <w:pPr>
        <w:pStyle w:val="Prrafodelista"/>
        <w:spacing w:after="160" w:line="360" w:lineRule="auto"/>
        <w:ind w:left="0"/>
        <w:jc w:val="both"/>
        <w:rPr>
          <w:rFonts w:ascii="Palatino Linotype" w:hAnsi="Palatino Linotype"/>
        </w:rPr>
      </w:pPr>
    </w:p>
    <w:p w14:paraId="353F2A28" w14:textId="61BD111C" w:rsidR="00E76F29" w:rsidRPr="00515F6C" w:rsidRDefault="00E76F29" w:rsidP="00E76F29">
      <w:pPr>
        <w:pStyle w:val="Prrafodelista"/>
        <w:spacing w:after="160" w:line="360" w:lineRule="auto"/>
        <w:ind w:left="0"/>
        <w:jc w:val="both"/>
        <w:rPr>
          <w:rFonts w:ascii="Palatino Linotype" w:hAnsi="Palatino Linotype"/>
        </w:rPr>
      </w:pPr>
    </w:p>
    <w:p w14:paraId="2D463C4F" w14:textId="5ED40A81" w:rsidR="00E76F29" w:rsidRPr="00515F6C" w:rsidRDefault="00E76F29" w:rsidP="00E76F29">
      <w:pPr>
        <w:pStyle w:val="Prrafodelista"/>
        <w:numPr>
          <w:ilvl w:val="0"/>
          <w:numId w:val="27"/>
        </w:numPr>
        <w:spacing w:after="160" w:line="360" w:lineRule="auto"/>
        <w:jc w:val="both"/>
        <w:rPr>
          <w:rFonts w:ascii="Palatino Linotype" w:hAnsi="Palatino Linotype"/>
        </w:rPr>
      </w:pPr>
      <w:r w:rsidRPr="00515F6C">
        <w:rPr>
          <w:rFonts w:ascii="Palatino Linotype" w:hAnsi="Palatino Linotype"/>
        </w:rPr>
        <w:t>La Dirección General de Ordenamiento Territorial en los años 2019-2021 no emitió ninguna autorización de cambio de uso de suelo;</w:t>
      </w:r>
    </w:p>
    <w:p w14:paraId="7A7D00EA" w14:textId="32D54F23" w:rsidR="00E76F29" w:rsidRPr="00515F6C" w:rsidRDefault="00E76F29" w:rsidP="00E76F29">
      <w:pPr>
        <w:pStyle w:val="Prrafodelista"/>
        <w:numPr>
          <w:ilvl w:val="0"/>
          <w:numId w:val="27"/>
        </w:numPr>
        <w:spacing w:after="160" w:line="360" w:lineRule="auto"/>
        <w:jc w:val="both"/>
        <w:rPr>
          <w:rFonts w:ascii="Palatino Linotype" w:hAnsi="Palatino Linotype"/>
        </w:rPr>
      </w:pPr>
      <w:r w:rsidRPr="00515F6C">
        <w:rPr>
          <w:rFonts w:ascii="Palatino Linotype" w:hAnsi="Palatino Linotype"/>
        </w:rPr>
        <w:t>El 16 de abril de 2020, el cabildo delegó a la Tesorería la facultad de emitir las autorizaciones de uso de suelo;</w:t>
      </w:r>
    </w:p>
    <w:p w14:paraId="3C49C2DD" w14:textId="165FE9D7" w:rsidR="00E76F29" w:rsidRPr="00515F6C" w:rsidRDefault="00590D59" w:rsidP="00590D59">
      <w:pPr>
        <w:pStyle w:val="Prrafodelista"/>
        <w:numPr>
          <w:ilvl w:val="0"/>
          <w:numId w:val="27"/>
        </w:numPr>
        <w:spacing w:after="160" w:line="360" w:lineRule="auto"/>
        <w:jc w:val="both"/>
        <w:rPr>
          <w:rFonts w:ascii="Palatino Linotype" w:hAnsi="Palatino Linotype"/>
        </w:rPr>
      </w:pPr>
      <w:r w:rsidRPr="00515F6C">
        <w:rPr>
          <w:rFonts w:ascii="Palatino Linotype" w:hAnsi="Palatino Linotype"/>
        </w:rPr>
        <w:t xml:space="preserve">Acta administrativa de la inexistencia de los expedientes TM/URUM/001/2020 al </w:t>
      </w:r>
      <w:r w:rsidRPr="00515F6C">
        <w:rPr>
          <w:rFonts w:ascii="Palatino Linotype" w:hAnsi="Palatino Linotype"/>
          <w:color w:val="000000" w:themeColor="text1"/>
          <w:szCs w:val="22"/>
        </w:rPr>
        <w:t>TM/URUM/059/2021, por la pérdida total, derivado de una inundación en las instalaciones del Sujeto Obligado.</w:t>
      </w:r>
    </w:p>
    <w:p w14:paraId="789A89D6" w14:textId="28056BFF" w:rsidR="00590D59" w:rsidRPr="00515F6C" w:rsidRDefault="00590D59" w:rsidP="00590D59">
      <w:pPr>
        <w:pStyle w:val="Prrafodelista"/>
        <w:numPr>
          <w:ilvl w:val="0"/>
          <w:numId w:val="27"/>
        </w:numPr>
        <w:spacing w:after="160" w:line="360" w:lineRule="auto"/>
        <w:jc w:val="both"/>
        <w:rPr>
          <w:rFonts w:ascii="Palatino Linotype" w:hAnsi="Palatino Linotype"/>
        </w:rPr>
      </w:pPr>
      <w:r w:rsidRPr="00515F6C">
        <w:rPr>
          <w:rFonts w:ascii="Palatino Linotype" w:hAnsi="Palatino Linotype"/>
          <w:color w:val="000000" w:themeColor="text1"/>
          <w:szCs w:val="22"/>
        </w:rPr>
        <w:lastRenderedPageBreak/>
        <w:t>Entregó una serie de autorizaciones de cambio de uso de suelo, clasificando como información confidencial el nombre propio, dirección, manzana, lote, superficie, M2, clave catastral, número de identificación, números de escritura o instrumentos notariales.</w:t>
      </w:r>
    </w:p>
    <w:p w14:paraId="04C158C6" w14:textId="77777777" w:rsidR="00E76F29" w:rsidRPr="00515F6C" w:rsidRDefault="00E76F29" w:rsidP="00590D59">
      <w:pPr>
        <w:pStyle w:val="Prrafodelista"/>
        <w:spacing w:after="160" w:line="360" w:lineRule="auto"/>
        <w:ind w:left="0"/>
        <w:jc w:val="both"/>
        <w:rPr>
          <w:rFonts w:ascii="Palatino Linotype" w:hAnsi="Palatino Linotype"/>
        </w:rPr>
      </w:pPr>
    </w:p>
    <w:p w14:paraId="28BF2419" w14:textId="46CBBA8C" w:rsidR="00E76F29" w:rsidRPr="00515F6C" w:rsidRDefault="00590D59"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Derivado de la respuesta, el Recurrente promovió recurso de revisión, argumentando que le entregaron material ilegible e incomprensible, ya que han cubierto la mayoría de la información con cuadros negros mal ubicados, en otras palabras, la inconformidad del Recurrente va encaminada a combatir la clasificación de la información.</w:t>
      </w:r>
    </w:p>
    <w:p w14:paraId="50C726E0" w14:textId="77777777" w:rsidR="00E76F29" w:rsidRPr="00515F6C" w:rsidRDefault="00E76F29" w:rsidP="00590D59">
      <w:pPr>
        <w:pStyle w:val="Prrafodelista"/>
        <w:spacing w:after="160" w:line="360" w:lineRule="auto"/>
        <w:ind w:left="0"/>
        <w:jc w:val="both"/>
        <w:rPr>
          <w:rFonts w:ascii="Palatino Linotype" w:hAnsi="Palatino Linotype"/>
        </w:rPr>
      </w:pPr>
    </w:p>
    <w:p w14:paraId="4E24461E" w14:textId="37A822DC" w:rsidR="00D55DEB" w:rsidRPr="00515F6C" w:rsidRDefault="00D55DEB" w:rsidP="00D55DEB">
      <w:pPr>
        <w:pStyle w:val="Prrafodelista"/>
        <w:numPr>
          <w:ilvl w:val="0"/>
          <w:numId w:val="1"/>
        </w:numPr>
        <w:spacing w:line="360" w:lineRule="auto"/>
        <w:jc w:val="both"/>
        <w:rPr>
          <w:rFonts w:ascii="Palatino Linotype" w:eastAsia="MS Mincho" w:hAnsi="Palatino Linotype"/>
        </w:rPr>
      </w:pPr>
      <w:r w:rsidRPr="00515F6C">
        <w:rPr>
          <w:rFonts w:ascii="Palatino Linotype" w:eastAsia="MS Mincho" w:hAnsi="Palatino Linotype"/>
        </w:rPr>
        <w:t>No pasa desapercibido para este Órgano Garante que, de los motivos o razones de inconformidad, se advierte que el Recurrente se duele únicamente porque se testó la información que a su consideración debe ser pública, por lo que, se entiende que no hay inconformidad por los puntos que no se atendieron, tan es así que no se mostró inconformidad al respecto y deben considerarse atendidos.</w:t>
      </w:r>
      <w:r w:rsidRPr="00515F6C">
        <w:rPr>
          <w:rFonts w:ascii="Palatino Linotype" w:eastAsia="Calibri" w:hAnsi="Palatino Linotype" w:cs="Arial"/>
        </w:rPr>
        <w:t xml:space="preserve"> Sirve de Apoyo a lo anterior, por analogía la Tesis Jurisprudencial Número 3ª./J.7/91, Publicada en el Semanario Judicial de la Federación y su Gaceta bajo el número de registro 174,177, que establece lo siguiente:</w:t>
      </w:r>
    </w:p>
    <w:p w14:paraId="60A2BBCC" w14:textId="77777777" w:rsidR="00D55DEB" w:rsidRPr="00515F6C" w:rsidRDefault="00D55DEB" w:rsidP="00D55DEB">
      <w:pPr>
        <w:pStyle w:val="Prrafodelista"/>
        <w:rPr>
          <w:rFonts w:ascii="Palatino Linotype" w:eastAsia="MS Mincho" w:hAnsi="Palatino Linotype"/>
        </w:rPr>
      </w:pPr>
    </w:p>
    <w:p w14:paraId="5E0B6536" w14:textId="77777777" w:rsidR="00D55DEB" w:rsidRPr="00515F6C" w:rsidRDefault="00D55DEB" w:rsidP="00D55DEB">
      <w:pPr>
        <w:autoSpaceDE w:val="0"/>
        <w:autoSpaceDN w:val="0"/>
        <w:adjustRightInd w:val="0"/>
        <w:spacing w:before="240" w:after="360" w:line="360" w:lineRule="auto"/>
        <w:ind w:left="851" w:right="900"/>
        <w:jc w:val="both"/>
        <w:rPr>
          <w:rFonts w:ascii="Palatino Linotype" w:eastAsia="Calibri" w:hAnsi="Palatino Linotype" w:cs="Arial"/>
          <w:i/>
          <w:sz w:val="22"/>
        </w:rPr>
      </w:pPr>
      <w:r w:rsidRPr="00515F6C">
        <w:rPr>
          <w:rFonts w:ascii="Palatino Linotype" w:eastAsia="Calibri" w:hAnsi="Palatino Linotype" w:cs="Arial"/>
          <w:b/>
          <w:i/>
          <w:sz w:val="22"/>
        </w:rPr>
        <w:t xml:space="preserve">“REVISIÓN EN AMPARO. LOS RESOLUTIVOS NO COMBATIDOS DEBEN DECLARARSE FIRMES. </w:t>
      </w:r>
      <w:r w:rsidRPr="00515F6C">
        <w:rPr>
          <w:rFonts w:ascii="Palatino Linotype" w:eastAsia="Calibri" w:hAnsi="Palatino Linotype" w:cs="Arial"/>
          <w:bCs/>
          <w:i/>
          <w:iCs/>
          <w:sz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w:t>
      </w:r>
      <w:r w:rsidRPr="00515F6C">
        <w:rPr>
          <w:rFonts w:ascii="Palatino Linotype" w:eastAsia="Calibri" w:hAnsi="Palatino Linotype" w:cs="Arial"/>
          <w:bCs/>
          <w:i/>
          <w:iCs/>
          <w:sz w:val="22"/>
        </w:rPr>
        <w:lastRenderedPageBreak/>
        <w:t>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36BC3B" w14:textId="77777777" w:rsidR="00D55DEB" w:rsidRPr="00515F6C" w:rsidRDefault="00D55DEB" w:rsidP="00D55DEB">
      <w:pPr>
        <w:pStyle w:val="Prrafodelista"/>
        <w:numPr>
          <w:ilvl w:val="0"/>
          <w:numId w:val="1"/>
        </w:numPr>
        <w:spacing w:before="240" w:after="240" w:line="360" w:lineRule="auto"/>
        <w:jc w:val="both"/>
        <w:rPr>
          <w:rFonts w:ascii="Palatino Linotype" w:eastAsia="Arial Unicode MS" w:hAnsi="Palatino Linotype" w:cs="Arial"/>
        </w:rPr>
      </w:pPr>
      <w:r w:rsidRPr="00515F6C">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CE007B0" w14:textId="77777777" w:rsidR="00D55DEB" w:rsidRPr="00515F6C" w:rsidRDefault="00D55DEB" w:rsidP="00D55DEB">
      <w:pPr>
        <w:pStyle w:val="Prrafodelista"/>
        <w:spacing w:before="240" w:after="240" w:line="360" w:lineRule="auto"/>
        <w:ind w:left="0"/>
        <w:jc w:val="both"/>
        <w:rPr>
          <w:rFonts w:ascii="Palatino Linotype" w:eastAsia="Arial Unicode MS" w:hAnsi="Palatino Linotype" w:cs="Arial"/>
        </w:rPr>
      </w:pPr>
    </w:p>
    <w:p w14:paraId="2993C647" w14:textId="77777777" w:rsidR="00D55DEB" w:rsidRPr="00515F6C" w:rsidRDefault="00D55DEB" w:rsidP="00D55DEB">
      <w:pPr>
        <w:pStyle w:val="Prrafodelista"/>
        <w:numPr>
          <w:ilvl w:val="0"/>
          <w:numId w:val="1"/>
        </w:numPr>
        <w:spacing w:before="240" w:after="240" w:line="360" w:lineRule="auto"/>
        <w:jc w:val="both"/>
        <w:rPr>
          <w:rFonts w:ascii="Palatino Linotype" w:eastAsia="Arial Unicode MS" w:hAnsi="Palatino Linotype" w:cs="Arial"/>
        </w:rPr>
      </w:pPr>
      <w:r w:rsidRPr="00515F6C">
        <w:rPr>
          <w:rFonts w:ascii="Palatino Linotype" w:eastAsia="Arial Unicode MS" w:hAnsi="Palatino Linotype" w:cs="Arial"/>
        </w:rPr>
        <w:t xml:space="preserve">Sirve de sustento a lo anterior por analogía la tesis jurisprudencial número </w:t>
      </w:r>
      <w:r w:rsidRPr="00515F6C">
        <w:rPr>
          <w:rFonts w:ascii="Palatino Linotype" w:eastAsia="Calibri" w:hAnsi="Palatino Linotype" w:cs="Arial"/>
        </w:rPr>
        <w:t>VI.3o.C. J/60, publicada en el Semanario Judicial de la Federación y su Gaceta bajo el número de registro 176,608 que a la letra dice:</w:t>
      </w:r>
    </w:p>
    <w:p w14:paraId="252A5561" w14:textId="77777777" w:rsidR="00D55DEB" w:rsidRPr="00515F6C" w:rsidRDefault="00D55DEB" w:rsidP="00D55DEB">
      <w:pPr>
        <w:pStyle w:val="Prrafodelista"/>
        <w:rPr>
          <w:rFonts w:ascii="Palatino Linotype" w:eastAsia="Arial Unicode MS" w:hAnsi="Palatino Linotype" w:cs="Arial"/>
        </w:rPr>
      </w:pPr>
    </w:p>
    <w:p w14:paraId="641A3DEE" w14:textId="77777777" w:rsidR="00D55DEB" w:rsidRPr="00515F6C" w:rsidRDefault="00D55DEB" w:rsidP="00D55DEB">
      <w:pPr>
        <w:pStyle w:val="Prrafodelista"/>
        <w:spacing w:line="360" w:lineRule="auto"/>
        <w:ind w:left="567" w:right="616"/>
        <w:jc w:val="both"/>
        <w:rPr>
          <w:rFonts w:ascii="Palatino Linotype" w:hAnsi="Palatino Linotype" w:cs="Arial"/>
          <w:i/>
          <w:sz w:val="22"/>
        </w:rPr>
      </w:pPr>
      <w:r w:rsidRPr="00515F6C">
        <w:rPr>
          <w:rFonts w:ascii="Palatino Linotype" w:hAnsi="Palatino Linotype" w:cs="Arial"/>
          <w:b/>
          <w:bCs/>
          <w:i/>
          <w:caps/>
          <w:sz w:val="22"/>
        </w:rPr>
        <w:t xml:space="preserve">“ACTOS CONSENTIDOS. SON LOS QUE NO SE IMPUGNAN MEDIANTE EL RECURSO IDÓNEO. </w:t>
      </w:r>
      <w:r w:rsidRPr="00515F6C">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C6CF8A" w14:textId="77777777" w:rsidR="00D55DEB" w:rsidRPr="00515F6C" w:rsidRDefault="00D55DEB" w:rsidP="00D55DEB">
      <w:pPr>
        <w:spacing w:line="360" w:lineRule="auto"/>
        <w:jc w:val="both"/>
        <w:rPr>
          <w:rFonts w:ascii="Palatino Linotype" w:eastAsia="MS Mincho" w:hAnsi="Palatino Linotype"/>
        </w:rPr>
      </w:pPr>
    </w:p>
    <w:p w14:paraId="452122FB" w14:textId="77777777" w:rsidR="00D55DEB" w:rsidRPr="00515F6C" w:rsidRDefault="00D55DEB" w:rsidP="00D55DEB">
      <w:pPr>
        <w:numPr>
          <w:ilvl w:val="0"/>
          <w:numId w:val="1"/>
        </w:numPr>
        <w:autoSpaceDE w:val="0"/>
        <w:autoSpaceDN w:val="0"/>
        <w:adjustRightInd w:val="0"/>
        <w:spacing w:line="360" w:lineRule="auto"/>
        <w:contextualSpacing/>
        <w:jc w:val="both"/>
        <w:rPr>
          <w:rFonts w:ascii="Palatino Linotype" w:hAnsi="Palatino Linotype" w:cs="Arial"/>
        </w:rPr>
      </w:pPr>
      <w:r w:rsidRPr="00515F6C">
        <w:rPr>
          <w:rFonts w:ascii="Palatino Linotype" w:hAnsi="Palatino Linotype"/>
        </w:rPr>
        <w:t>Dicho lo anterior, el presente asunto en particular, se basará en analizar lo relativo a la clasificación de la información.</w:t>
      </w:r>
    </w:p>
    <w:p w14:paraId="2F14D98B" w14:textId="723EA818" w:rsidR="00D55DEB" w:rsidRPr="00515F6C" w:rsidRDefault="00D55DEB" w:rsidP="00D55DEB">
      <w:pPr>
        <w:autoSpaceDE w:val="0"/>
        <w:autoSpaceDN w:val="0"/>
        <w:adjustRightInd w:val="0"/>
        <w:spacing w:line="360" w:lineRule="auto"/>
        <w:contextualSpacing/>
        <w:jc w:val="both"/>
        <w:rPr>
          <w:rFonts w:ascii="Palatino Linotype" w:hAnsi="Palatino Linotype" w:cs="Arial"/>
        </w:rPr>
      </w:pPr>
      <w:r w:rsidRPr="00515F6C">
        <w:rPr>
          <w:rFonts w:ascii="Palatino Linotype" w:hAnsi="Palatino Linotype"/>
        </w:rPr>
        <w:t xml:space="preserve"> </w:t>
      </w:r>
    </w:p>
    <w:p w14:paraId="6FCC4D3C" w14:textId="6A7AF308" w:rsidR="00D55DEB" w:rsidRPr="00515F6C" w:rsidRDefault="00D55DEB"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lastRenderedPageBreak/>
        <w:t>En principio de cuentas, se tiene que el Sujeto Obligado entregó las autorizaciones de cambio de uso de suelo en versión pública, acompañadas de su acuerdo de clasificación, mediante el cual indican que debe clasificarse la siguiente información:</w:t>
      </w:r>
    </w:p>
    <w:p w14:paraId="61270CFC" w14:textId="77777777" w:rsidR="00D55DEB" w:rsidRPr="00515F6C" w:rsidRDefault="00D55DEB" w:rsidP="00D55DEB">
      <w:pPr>
        <w:pStyle w:val="Prrafodelista"/>
        <w:rPr>
          <w:rFonts w:ascii="Palatino Linotype" w:hAnsi="Palatino Linotype"/>
        </w:rPr>
      </w:pPr>
    </w:p>
    <w:p w14:paraId="5470E126" w14:textId="22447F6F"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Nombre propio;</w:t>
      </w:r>
    </w:p>
    <w:p w14:paraId="548E79F6" w14:textId="77777777"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Dirección;</w:t>
      </w:r>
    </w:p>
    <w:p w14:paraId="7ACC0958" w14:textId="77777777"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Manzana;</w:t>
      </w:r>
    </w:p>
    <w:p w14:paraId="131A63B6" w14:textId="77777777"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Lote;</w:t>
      </w:r>
    </w:p>
    <w:p w14:paraId="2AFFAFC5" w14:textId="77777777"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Superficie;</w:t>
      </w:r>
    </w:p>
    <w:p w14:paraId="48844ADF" w14:textId="77777777"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M2,</w:t>
      </w:r>
    </w:p>
    <w:p w14:paraId="0A67F458" w14:textId="77777777"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Clave catastral;</w:t>
      </w:r>
    </w:p>
    <w:p w14:paraId="63E7B2AE" w14:textId="524F56E9"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N</w:t>
      </w:r>
      <w:r w:rsidR="008F76D4" w:rsidRPr="00515F6C">
        <w:rPr>
          <w:rFonts w:ascii="Palatino Linotype" w:hAnsi="Palatino Linotype"/>
          <w:b/>
          <w:color w:val="000000" w:themeColor="text1"/>
          <w:szCs w:val="22"/>
        </w:rPr>
        <w:t>úmero de identificación; y,</w:t>
      </w:r>
    </w:p>
    <w:p w14:paraId="2F02DE16" w14:textId="6E2F198F" w:rsidR="00D55DEB" w:rsidRPr="00515F6C" w:rsidRDefault="00D55DEB" w:rsidP="00D55DEB">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15F6C">
        <w:rPr>
          <w:rFonts w:ascii="Palatino Linotype" w:hAnsi="Palatino Linotype"/>
          <w:b/>
          <w:color w:val="000000" w:themeColor="text1"/>
          <w:szCs w:val="22"/>
        </w:rPr>
        <w:t>Números de escritura o instrumentos notariales.</w:t>
      </w:r>
    </w:p>
    <w:p w14:paraId="09CA6BA7" w14:textId="77777777" w:rsidR="00D55DEB" w:rsidRPr="00515F6C" w:rsidRDefault="00D55DEB" w:rsidP="00D55DEB">
      <w:pPr>
        <w:spacing w:after="160" w:line="360" w:lineRule="auto"/>
        <w:jc w:val="both"/>
        <w:rPr>
          <w:rFonts w:ascii="Palatino Linotype" w:hAnsi="Palatino Linotype"/>
        </w:rPr>
      </w:pPr>
    </w:p>
    <w:p w14:paraId="42CB768E" w14:textId="56147794" w:rsidR="00D55DEB" w:rsidRPr="00515F6C" w:rsidRDefault="00D55DEB"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A lo dicho por el Sujeto Obligado, los datos enlistados deben ser clasificados por corresponder a datos personales y no son de acceso público.</w:t>
      </w:r>
    </w:p>
    <w:p w14:paraId="6A3C3F28" w14:textId="77777777" w:rsidR="00D55DEB" w:rsidRPr="00515F6C" w:rsidRDefault="00D55DEB" w:rsidP="00D55DEB">
      <w:pPr>
        <w:pStyle w:val="Prrafodelista"/>
        <w:spacing w:after="160" w:line="360" w:lineRule="auto"/>
        <w:ind w:left="0"/>
        <w:jc w:val="both"/>
        <w:rPr>
          <w:rFonts w:ascii="Palatino Linotype" w:hAnsi="Palatino Linotype"/>
        </w:rPr>
      </w:pPr>
    </w:p>
    <w:p w14:paraId="4933C077" w14:textId="47367E76" w:rsidR="00D55DEB" w:rsidRPr="00515F6C" w:rsidRDefault="00D55DEB"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 xml:space="preserve">No obstante, en la respuesta, a través del documento electrónico denominado </w:t>
      </w:r>
      <w:r w:rsidRPr="00515F6C">
        <w:rPr>
          <w:rFonts w:ascii="Palatino Linotype" w:hAnsi="Palatino Linotype"/>
          <w:b/>
          <w:color w:val="000000" w:themeColor="text1"/>
          <w:szCs w:val="22"/>
        </w:rPr>
        <w:t>TEXTADA ACTA ADM.CIRC. INGRESOS DIVERSOS.pdf</w:t>
      </w:r>
      <w:r w:rsidRPr="00515F6C">
        <w:rPr>
          <w:rFonts w:ascii="Palatino Linotype" w:hAnsi="Palatino Linotype"/>
          <w:color w:val="000000" w:themeColor="text1"/>
          <w:szCs w:val="22"/>
        </w:rPr>
        <w:t>, aún y cuando no se trata de autorizaciones de cambio de uso de suelo, se aprecia que se entregó en versión pública sin que medie el correspondiente acuerdo de clasificación emitido por el Comité de Transparencia del Sujeto Obligado, incluso, en el acuerdo que remitió en su respuesta, no se abordan los datos personales contenidos en el documento de mérito, tales como claves de elector, y números de empleado.</w:t>
      </w:r>
    </w:p>
    <w:p w14:paraId="4D80CD4E" w14:textId="77777777" w:rsidR="00D55DEB" w:rsidRPr="00515F6C" w:rsidRDefault="00D55DEB" w:rsidP="00D55DEB">
      <w:pPr>
        <w:pStyle w:val="Prrafodelista"/>
        <w:rPr>
          <w:rFonts w:ascii="Palatino Linotype" w:hAnsi="Palatino Linotype"/>
        </w:rPr>
      </w:pPr>
    </w:p>
    <w:p w14:paraId="109E5A66" w14:textId="1F8D24DB" w:rsidR="00D55DEB" w:rsidRPr="00515F6C" w:rsidRDefault="00D55DEB"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 xml:space="preserve">Es necesario precisar que un documento </w:t>
      </w:r>
      <w:r w:rsidR="00B116DE" w:rsidRPr="00515F6C">
        <w:rPr>
          <w:rFonts w:ascii="Palatino Linotype" w:hAnsi="Palatino Linotype"/>
        </w:rPr>
        <w:t>testado sin el acuerdo de clasificación emitido por el Comité de Transparencia, es una restricción ilegitima del derecho de acceso a la información, debemos recordar que el derecho de acceso a la información no es absoluto, encuentra sus limitantes en la clasificación de la información, ya sea como confidencial o reservada, esta restricción debe estar debidamente fundada y motivada, porque es un acto de molestia en contra del Recurrente, la falta  de motivación y fundamentación es una violación al derecho ejercido.</w:t>
      </w:r>
    </w:p>
    <w:p w14:paraId="4BEA25EB" w14:textId="77777777" w:rsidR="0091738D" w:rsidRPr="00515F6C" w:rsidRDefault="0091738D" w:rsidP="0091738D">
      <w:pPr>
        <w:pStyle w:val="Prrafodelista"/>
        <w:rPr>
          <w:rFonts w:ascii="Palatino Linotype" w:hAnsi="Palatino Linotype"/>
        </w:rPr>
      </w:pPr>
    </w:p>
    <w:p w14:paraId="04CBB968" w14:textId="29BA94D7" w:rsidR="0091738D" w:rsidRPr="00515F6C" w:rsidRDefault="0091738D" w:rsidP="00265FF4">
      <w:pPr>
        <w:pStyle w:val="Prrafodelista"/>
        <w:numPr>
          <w:ilvl w:val="0"/>
          <w:numId w:val="1"/>
        </w:numPr>
        <w:spacing w:after="160" w:line="360" w:lineRule="auto"/>
        <w:jc w:val="both"/>
        <w:rPr>
          <w:rFonts w:ascii="Palatino Linotype" w:hAnsi="Palatino Linotype"/>
          <w:i/>
        </w:rPr>
      </w:pPr>
      <w:r w:rsidRPr="00515F6C">
        <w:rPr>
          <w:rFonts w:ascii="Palatino Linotype" w:hAnsi="Palatino Linotype"/>
        </w:rPr>
        <w:t>En consecuencia, se ORDENA al Sujeto</w:t>
      </w:r>
      <w:r w:rsidR="009912A6" w:rsidRPr="00515F6C">
        <w:rPr>
          <w:rFonts w:ascii="Palatino Linotype" w:hAnsi="Palatino Linotype"/>
        </w:rPr>
        <w:t>&lt;</w:t>
      </w:r>
      <w:r w:rsidRPr="00515F6C">
        <w:rPr>
          <w:rFonts w:ascii="Palatino Linotype" w:hAnsi="Palatino Linotype"/>
        </w:rPr>
        <w:t xml:space="preserve"> Obligado entregar el acuerdo emitido por el Comité de Transparencia del Sujeto Obligado mediante el cual se sustente la clasificación de la información de la información contenida en el documento electr</w:t>
      </w:r>
      <w:r w:rsidR="009912A6" w:rsidRPr="00515F6C">
        <w:rPr>
          <w:rFonts w:ascii="Palatino Linotype" w:hAnsi="Palatino Linotype"/>
        </w:rPr>
        <w:t xml:space="preserve">ónico denominado </w:t>
      </w:r>
      <w:r w:rsidR="009912A6" w:rsidRPr="00515F6C">
        <w:rPr>
          <w:rFonts w:ascii="Palatino Linotype" w:hAnsi="Palatino Linotype"/>
          <w:b/>
          <w:i/>
          <w:color w:val="000000" w:themeColor="text1"/>
          <w:szCs w:val="22"/>
        </w:rPr>
        <w:t>TEXTADA ACTA ADM.CIRC. INGRESOS DIVERSOS.pdf.</w:t>
      </w:r>
    </w:p>
    <w:p w14:paraId="170E5D7C" w14:textId="77777777" w:rsidR="009912A6" w:rsidRPr="00515F6C" w:rsidRDefault="009912A6" w:rsidP="009912A6">
      <w:pPr>
        <w:pStyle w:val="Prrafodelista"/>
        <w:rPr>
          <w:rFonts w:ascii="Palatino Linotype" w:hAnsi="Palatino Linotype"/>
          <w:i/>
        </w:rPr>
      </w:pPr>
    </w:p>
    <w:p w14:paraId="75ECC289" w14:textId="3E6DF488" w:rsidR="009912A6" w:rsidRPr="00515F6C" w:rsidRDefault="009912A6" w:rsidP="00265FF4">
      <w:pPr>
        <w:pStyle w:val="Prrafodelista"/>
        <w:numPr>
          <w:ilvl w:val="0"/>
          <w:numId w:val="1"/>
        </w:numPr>
        <w:spacing w:after="160" w:line="360" w:lineRule="auto"/>
        <w:jc w:val="both"/>
        <w:rPr>
          <w:rFonts w:ascii="Palatino Linotype" w:hAnsi="Palatino Linotype"/>
          <w:i/>
        </w:rPr>
      </w:pPr>
      <w:r w:rsidRPr="00515F6C">
        <w:rPr>
          <w:rFonts w:ascii="Palatino Linotype" w:hAnsi="Palatino Linotype"/>
        </w:rPr>
        <w:t>Ahora bien, por lo que corresponde a las autorizaciones de cambio de uso de suelo remitidas en respuesta, a lo dicho por el Sujeto Obligado, se clasificó como información confidencial los datos personales referidos en el párrafo con numeral 43 de la presente resoluci</w:t>
      </w:r>
      <w:r w:rsidR="004B75FB" w:rsidRPr="00515F6C">
        <w:rPr>
          <w:rFonts w:ascii="Palatino Linotype" w:hAnsi="Palatino Linotype"/>
        </w:rPr>
        <w:t>ón, sin embargo, el Sujeto Obligado omitió referir los elementos que den certeza sobre por qué dichos datos personales deben ser clasificados, es decir, si bien es cierto, existe una fundamentación, también lo es que el acuerdo remitido por el Sujeto Obligado carece de motivación que brinde certeza jurídica al particular, en relación a la restricción a su derecho.</w:t>
      </w:r>
    </w:p>
    <w:p w14:paraId="403DA118" w14:textId="77777777" w:rsidR="00B116DE" w:rsidRPr="00515F6C" w:rsidRDefault="00B116DE" w:rsidP="00B116DE">
      <w:pPr>
        <w:pStyle w:val="Prrafodelista"/>
        <w:rPr>
          <w:rFonts w:ascii="Palatino Linotype" w:hAnsi="Palatino Linotype"/>
        </w:rPr>
      </w:pPr>
    </w:p>
    <w:p w14:paraId="75D0F065" w14:textId="77777777" w:rsidR="00B116DE" w:rsidRPr="00515F6C" w:rsidRDefault="00B116DE" w:rsidP="00B116DE">
      <w:pPr>
        <w:spacing w:after="160" w:line="360" w:lineRule="auto"/>
        <w:jc w:val="both"/>
        <w:rPr>
          <w:rFonts w:ascii="Palatino Linotype" w:hAnsi="Palatino Linotype"/>
        </w:rPr>
      </w:pPr>
    </w:p>
    <w:p w14:paraId="7C903233" w14:textId="5D09A4B8" w:rsidR="00D55DEB" w:rsidRPr="00515F6C" w:rsidRDefault="004B75FB"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lastRenderedPageBreak/>
        <w:t>El primer elemento a considerar es el nombre del titular de la licencia o autorización. La Ley de Transparencia y Acceso a la Información Pública del Estado de México y Municipios, en el artículo 92 fracción XXXII establece lo siguiente:</w:t>
      </w:r>
    </w:p>
    <w:p w14:paraId="54A24E90" w14:textId="77777777" w:rsidR="004B75FB" w:rsidRPr="00515F6C" w:rsidRDefault="004B75FB" w:rsidP="004B75FB">
      <w:pPr>
        <w:spacing w:after="160" w:line="360" w:lineRule="auto"/>
        <w:ind w:left="567" w:right="616"/>
        <w:jc w:val="both"/>
        <w:rPr>
          <w:rFonts w:ascii="Palatino Linotype" w:hAnsi="Palatino Linotype"/>
          <w:i/>
          <w:sz w:val="22"/>
        </w:rPr>
      </w:pPr>
      <w:r w:rsidRPr="00515F6C">
        <w:rPr>
          <w:rFonts w:ascii="Palatino Linotype" w:hAnsi="Palatino Linotype"/>
          <w:i/>
          <w:sz w:val="22"/>
        </w:rPr>
        <w:t xml:space="preserve">Capítulo II </w:t>
      </w:r>
    </w:p>
    <w:p w14:paraId="40B3FEC8" w14:textId="77777777" w:rsidR="004B75FB" w:rsidRPr="00515F6C" w:rsidRDefault="004B75FB" w:rsidP="004B75FB">
      <w:pPr>
        <w:spacing w:after="160" w:line="360" w:lineRule="auto"/>
        <w:ind w:left="567" w:right="616"/>
        <w:jc w:val="both"/>
        <w:rPr>
          <w:rFonts w:ascii="Palatino Linotype" w:hAnsi="Palatino Linotype"/>
          <w:i/>
          <w:sz w:val="22"/>
        </w:rPr>
      </w:pPr>
      <w:r w:rsidRPr="00515F6C">
        <w:rPr>
          <w:rFonts w:ascii="Palatino Linotype" w:hAnsi="Palatino Linotype"/>
          <w:i/>
          <w:sz w:val="22"/>
        </w:rPr>
        <w:t xml:space="preserve">De las Obligaciones de Transparencia Comunes </w:t>
      </w:r>
    </w:p>
    <w:p w14:paraId="69CF3C79" w14:textId="22FD1C69" w:rsidR="004B75FB" w:rsidRPr="00515F6C" w:rsidRDefault="004B75FB" w:rsidP="004B75FB">
      <w:pPr>
        <w:spacing w:after="160" w:line="360" w:lineRule="auto"/>
        <w:ind w:left="567" w:right="616"/>
        <w:jc w:val="both"/>
        <w:rPr>
          <w:rFonts w:ascii="Palatino Linotype" w:hAnsi="Palatino Linotype"/>
          <w:i/>
          <w:sz w:val="22"/>
        </w:rPr>
      </w:pPr>
      <w:r w:rsidRPr="00515F6C">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37AE5A" w14:textId="59B714CF" w:rsidR="004B75FB" w:rsidRPr="00515F6C" w:rsidRDefault="004B75FB" w:rsidP="004B75FB">
      <w:pPr>
        <w:spacing w:after="160" w:line="360" w:lineRule="auto"/>
        <w:ind w:left="567" w:right="616"/>
        <w:jc w:val="both"/>
        <w:rPr>
          <w:rFonts w:ascii="Palatino Linotype" w:hAnsi="Palatino Linotype"/>
          <w:i/>
          <w:sz w:val="22"/>
        </w:rPr>
      </w:pPr>
      <w:r w:rsidRPr="00515F6C">
        <w:rPr>
          <w:rFonts w:ascii="Palatino Linotype" w:hAnsi="Palatino Linotype"/>
          <w:i/>
          <w:sz w:val="22"/>
        </w:rPr>
        <w:t>…</w:t>
      </w:r>
    </w:p>
    <w:p w14:paraId="2EB6F797" w14:textId="35CE8E65" w:rsidR="004B75FB" w:rsidRPr="00515F6C" w:rsidRDefault="004B75FB" w:rsidP="004B75FB">
      <w:pPr>
        <w:spacing w:after="160" w:line="360" w:lineRule="auto"/>
        <w:ind w:left="567" w:right="616"/>
        <w:jc w:val="both"/>
        <w:rPr>
          <w:rFonts w:ascii="Palatino Linotype" w:hAnsi="Palatino Linotype"/>
          <w:i/>
          <w:sz w:val="22"/>
        </w:rPr>
      </w:pPr>
      <w:r w:rsidRPr="00515F6C">
        <w:rPr>
          <w:rFonts w:ascii="Palatino Linotype" w:hAnsi="Palatino Linotype"/>
          <w:i/>
          <w:sz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2DF021B" w14:textId="77777777" w:rsidR="004B75FB" w:rsidRPr="00515F6C" w:rsidRDefault="004B75FB" w:rsidP="004B75FB">
      <w:pPr>
        <w:pStyle w:val="Prrafodelista"/>
        <w:numPr>
          <w:ilvl w:val="0"/>
          <w:numId w:val="1"/>
        </w:numPr>
        <w:spacing w:before="240" w:after="360" w:line="360" w:lineRule="auto"/>
        <w:jc w:val="both"/>
        <w:rPr>
          <w:rFonts w:ascii="Palatino Linotype" w:eastAsia="MS Gothic" w:hAnsi="Palatino Linotype" w:cs="Times New Roman"/>
          <w:szCs w:val="26"/>
        </w:rPr>
      </w:pPr>
      <w:r w:rsidRPr="00515F6C">
        <w:rPr>
          <w:rFonts w:ascii="Palatino Linotype" w:hAnsi="Palatino Linotype"/>
        </w:rPr>
        <w:t xml:space="preserve">Del precepto legal, se logra apreciar que en los documentos como licencias o autorizaciones que emita el Sujeto Obligado en el marco de sus atribuciones, funciones y competencias, son documentos públicos, incluso considerados como obligaciones de transparencia común, asimismo, indica que entre la información que debe contener se encuentra el nombre del titular o razón social. Es así que, en un primer momento, la información relativa al nombre de los titulares de las licencias o autorizaciones son de carácter públicos, conforme a la ley en cito; no obstante, no pasa desapercibido el criterio relevante 01/18 del </w:t>
      </w:r>
      <w:r w:rsidRPr="00515F6C">
        <w:rPr>
          <w:rFonts w:ascii="Palatino Linotype" w:eastAsia="MS Gothic" w:hAnsi="Palatino Linotype" w:cs="Times New Roman"/>
          <w:szCs w:val="26"/>
        </w:rPr>
        <w:t xml:space="preserve">Instituto de Transparencia, Acceso </w:t>
      </w:r>
      <w:r w:rsidRPr="00515F6C">
        <w:rPr>
          <w:rFonts w:ascii="Palatino Linotype" w:eastAsia="MS Gothic" w:hAnsi="Palatino Linotype" w:cs="Times New Roman"/>
          <w:szCs w:val="26"/>
        </w:rPr>
        <w:lastRenderedPageBreak/>
        <w:t>a la Información Pública y Protección de Datos Personales del Estado de México y Municipios, su contenido es el siguiente:</w:t>
      </w:r>
    </w:p>
    <w:p w14:paraId="6741A9A3" w14:textId="3BCFFF82" w:rsidR="004B75FB" w:rsidRPr="00515F6C" w:rsidRDefault="004B75FB" w:rsidP="004B75FB">
      <w:pPr>
        <w:pStyle w:val="Prrafodelista"/>
        <w:spacing w:after="160" w:line="360" w:lineRule="auto"/>
        <w:ind w:left="0"/>
        <w:jc w:val="both"/>
        <w:rPr>
          <w:rFonts w:ascii="Palatino Linotype" w:hAnsi="Palatino Linotype"/>
        </w:rPr>
      </w:pPr>
    </w:p>
    <w:p w14:paraId="26C2AAB9" w14:textId="77777777" w:rsidR="004B75FB" w:rsidRPr="00515F6C" w:rsidRDefault="004B75FB" w:rsidP="004B75FB">
      <w:pPr>
        <w:pStyle w:val="Prrafodelista"/>
        <w:spacing w:before="240" w:after="360" w:line="360" w:lineRule="auto"/>
        <w:ind w:left="567" w:right="567"/>
        <w:jc w:val="both"/>
      </w:pPr>
      <w:r w:rsidRPr="00515F6C">
        <w:rPr>
          <w:rFonts w:ascii="Palatino Linotype" w:hAnsi="Palatino Linotype"/>
          <w:b/>
          <w:i/>
          <w:sz w:val="22"/>
        </w:rPr>
        <w:t>Nombre del titular de una licencia que no involucre el aprovechamiento de bienes, servicios y/o recursos públicos, constituye un dato personal susceptible de clasificar como confidencial.</w:t>
      </w:r>
      <w:r w:rsidRPr="00515F6C">
        <w:rPr>
          <w:rFonts w:ascii="Palatino Linotype" w:hAnsi="Palatino Linotype"/>
          <w:i/>
          <w:sz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w:t>
      </w:r>
      <w:r w:rsidRPr="00515F6C">
        <w:rPr>
          <w:rFonts w:ascii="Palatino Linotype" w:hAnsi="Palatino Linotype"/>
          <w:i/>
          <w:sz w:val="22"/>
        </w:rPr>
        <w:lastRenderedPageBreak/>
        <w:t>de bienes, servicios y/o recursos públicos, caso contrario se deberá clasificar como confidencial.</w:t>
      </w:r>
      <w:r w:rsidRPr="00515F6C">
        <w:t xml:space="preserve"> </w:t>
      </w:r>
    </w:p>
    <w:p w14:paraId="151C3475" w14:textId="77777777" w:rsidR="004B75FB" w:rsidRPr="00515F6C" w:rsidRDefault="004B75FB" w:rsidP="004B75FB">
      <w:pPr>
        <w:pStyle w:val="Prrafodelista"/>
        <w:spacing w:before="240" w:after="360" w:line="360" w:lineRule="auto"/>
        <w:ind w:left="567" w:right="567"/>
        <w:jc w:val="both"/>
      </w:pPr>
    </w:p>
    <w:p w14:paraId="76151749" w14:textId="77777777" w:rsidR="004B75FB" w:rsidRPr="00515F6C" w:rsidRDefault="004B75FB" w:rsidP="004B75FB">
      <w:pPr>
        <w:pStyle w:val="Prrafodelista"/>
        <w:spacing w:before="240" w:after="360" w:line="360" w:lineRule="auto"/>
        <w:ind w:left="567" w:right="567"/>
        <w:jc w:val="both"/>
        <w:rPr>
          <w:rFonts w:ascii="Palatino Linotype" w:eastAsia="MS Gothic" w:hAnsi="Palatino Linotype" w:cs="Times New Roman"/>
          <w:i/>
          <w:sz w:val="22"/>
          <w:szCs w:val="26"/>
        </w:rPr>
      </w:pPr>
      <w:r w:rsidRPr="00515F6C">
        <w:rPr>
          <w:rFonts w:ascii="Palatino Linotype" w:hAnsi="Palatino Linotype"/>
          <w:i/>
          <w:sz w:val="22"/>
        </w:rPr>
        <w:t>Resolución: • 02835/INFOEM/IP/RR/2017. Ayuntamiento de Toluca. 07 de marzo de 2018. Por unanimidad. Comisionada Ponente Zulema Martínez Sánchez.</w:t>
      </w:r>
    </w:p>
    <w:p w14:paraId="7D29662F" w14:textId="77777777" w:rsidR="004B75FB" w:rsidRPr="00515F6C" w:rsidRDefault="004B75FB" w:rsidP="004B75FB">
      <w:pPr>
        <w:pStyle w:val="Prrafodelista"/>
        <w:spacing w:after="160" w:line="360" w:lineRule="auto"/>
        <w:ind w:left="0"/>
        <w:jc w:val="both"/>
        <w:rPr>
          <w:rFonts w:ascii="Palatino Linotype" w:hAnsi="Palatino Linotype"/>
        </w:rPr>
      </w:pPr>
    </w:p>
    <w:p w14:paraId="1449F008" w14:textId="0E81643C" w:rsidR="004B75FB" w:rsidRPr="00515F6C" w:rsidRDefault="004B75FB" w:rsidP="00265FF4">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 xml:space="preserve">Dicho criterio logra delimitar lo que la Ley de Transparencia estableció como regla general, </w:t>
      </w:r>
      <w:r w:rsidR="000614B8" w:rsidRPr="00515F6C">
        <w:rPr>
          <w:rFonts w:ascii="Palatino Linotype" w:hAnsi="Palatino Linotype"/>
        </w:rPr>
        <w:t>determinando que sólo será público el nombre de los titulares de licencias o autorizaciones, siempre que involucre el aprovechamiento de bienes, servicios y/o recursos públicos, de lo contrario, dicha información debe ser clasificada como confidencial.</w:t>
      </w:r>
    </w:p>
    <w:p w14:paraId="1002FE42" w14:textId="77777777" w:rsidR="000614B8" w:rsidRPr="00515F6C" w:rsidRDefault="000614B8" w:rsidP="000614B8">
      <w:pPr>
        <w:pStyle w:val="Prrafodelista"/>
        <w:spacing w:after="160" w:line="360" w:lineRule="auto"/>
        <w:ind w:left="0"/>
        <w:jc w:val="both"/>
        <w:rPr>
          <w:rFonts w:ascii="Palatino Linotype" w:hAnsi="Palatino Linotype"/>
        </w:rPr>
      </w:pPr>
    </w:p>
    <w:p w14:paraId="47F4F33E" w14:textId="7B9E9EEB" w:rsidR="00347F39" w:rsidRPr="00515F6C" w:rsidRDefault="000614B8" w:rsidP="00347F39">
      <w:pPr>
        <w:pStyle w:val="Prrafodelista"/>
        <w:numPr>
          <w:ilvl w:val="0"/>
          <w:numId w:val="1"/>
        </w:numPr>
        <w:spacing w:after="160" w:line="360" w:lineRule="auto"/>
        <w:jc w:val="both"/>
        <w:rPr>
          <w:rFonts w:ascii="Palatino Linotype" w:hAnsi="Palatino Linotype"/>
        </w:rPr>
      </w:pPr>
      <w:r w:rsidRPr="00515F6C">
        <w:rPr>
          <w:rFonts w:ascii="Palatino Linotype" w:hAnsi="Palatino Linotype"/>
        </w:rPr>
        <w:t xml:space="preserve">Por lo que corresponde a la Dirección, </w:t>
      </w:r>
      <w:r w:rsidR="00347F39" w:rsidRPr="00515F6C">
        <w:rPr>
          <w:rFonts w:ascii="Palatino Linotype" w:hAnsi="Palatino Linotype"/>
        </w:rPr>
        <w:t xml:space="preserve">lote, </w:t>
      </w:r>
      <w:r w:rsidRPr="00515F6C">
        <w:rPr>
          <w:rFonts w:ascii="Palatino Linotype" w:hAnsi="Palatino Linotype"/>
        </w:rPr>
        <w:t>manzana</w:t>
      </w:r>
      <w:r w:rsidR="0088500D" w:rsidRPr="00515F6C">
        <w:rPr>
          <w:rFonts w:ascii="Palatino Linotype" w:hAnsi="Palatino Linotype"/>
        </w:rPr>
        <w:t>, superficie, metros cuadrados</w:t>
      </w:r>
      <w:r w:rsidR="00347F39" w:rsidRPr="00515F6C">
        <w:rPr>
          <w:rFonts w:ascii="Palatino Linotype" w:hAnsi="Palatino Linotype"/>
        </w:rPr>
        <w:t xml:space="preserve"> y clave catastral deben analizarse en conjunto, toda vez que, </w:t>
      </w:r>
      <w:r w:rsidRPr="00515F6C">
        <w:rPr>
          <w:rFonts w:ascii="Palatino Linotype" w:hAnsi="Palatino Linotype"/>
        </w:rPr>
        <w:t xml:space="preserve"> </w:t>
      </w:r>
      <w:r w:rsidR="00347F39" w:rsidRPr="00515F6C">
        <w:rPr>
          <w:rFonts w:ascii="Palatino Linotype" w:eastAsia="Calibri" w:hAnsi="Palatino Linotype" w:cs="Tahoma"/>
          <w:bCs/>
          <w:lang w:eastAsia="en-US"/>
        </w:rPr>
        <w:t xml:space="preserve">conformidad con el artículo 179, fracción I, del Código Financiero del Estado de México y Municipios, </w:t>
      </w:r>
      <w:r w:rsidR="00347F39" w:rsidRPr="00515F6C">
        <w:rPr>
          <w:rFonts w:ascii="Palatino Linotype" w:eastAsia="Calibri" w:hAnsi="Palatino Linotype" w:cs="Tahoma"/>
          <w:b/>
          <w:bCs/>
          <w:lang w:eastAsia="en-US"/>
        </w:rPr>
        <w:t>la clave catastral es un código alfanumérico único e irrepetible, que se asigna para efectos de localización geográfica, identificación, inscripción, control y registro de los inmuebles</w:t>
      </w:r>
      <w:r w:rsidR="00347F39" w:rsidRPr="00515F6C">
        <w:rPr>
          <w:rFonts w:ascii="Palatino Linotype" w:eastAsia="Calibri" w:hAnsi="Palatino Linotype" w:cs="Tahoma"/>
          <w:bCs/>
          <w:lang w:eastAsia="en-US"/>
        </w:rPr>
        <w:t xml:space="preserve">; por lo que, integrado de dieciséis caracteres, los primeros tres identifican el código del municipio, los dos siguientes a la zona catastral, los subsecuentes tres a </w:t>
      </w:r>
      <w:r w:rsidR="00347F39" w:rsidRPr="00515F6C">
        <w:rPr>
          <w:rFonts w:ascii="Palatino Linotype" w:eastAsia="Calibri" w:hAnsi="Palatino Linotype" w:cs="Tahoma"/>
          <w:b/>
          <w:bCs/>
          <w:lang w:eastAsia="en-US"/>
        </w:rPr>
        <w:t xml:space="preserve">la manzana </w:t>
      </w:r>
      <w:r w:rsidR="00347F39" w:rsidRPr="00515F6C">
        <w:rPr>
          <w:rFonts w:ascii="Palatino Linotype" w:eastAsia="Calibri" w:hAnsi="Palatino Linotype" w:cs="Tahoma"/>
          <w:bCs/>
          <w:lang w:eastAsia="en-US"/>
        </w:rPr>
        <w:t xml:space="preserve">y los últimos dos, posiciones identifican el número de </w:t>
      </w:r>
      <w:r w:rsidR="00347F39" w:rsidRPr="00515F6C">
        <w:rPr>
          <w:rFonts w:ascii="Palatino Linotype" w:eastAsia="Calibri" w:hAnsi="Palatino Linotype" w:cs="Tahoma"/>
          <w:b/>
          <w:bCs/>
          <w:lang w:eastAsia="en-US"/>
        </w:rPr>
        <w:t>lote o predio.</w:t>
      </w:r>
    </w:p>
    <w:p w14:paraId="1B245BB4" w14:textId="77777777" w:rsidR="00347F39" w:rsidRPr="00515F6C" w:rsidRDefault="00347F39" w:rsidP="00347F39">
      <w:pPr>
        <w:pStyle w:val="Prrafodelista"/>
        <w:spacing w:line="360" w:lineRule="auto"/>
        <w:ind w:left="0" w:right="-93"/>
        <w:jc w:val="both"/>
        <w:rPr>
          <w:rFonts w:ascii="Palatino Linotype" w:eastAsia="Calibri" w:hAnsi="Palatino Linotype" w:cs="Tahoma"/>
          <w:bCs/>
          <w:lang w:eastAsia="en-US"/>
        </w:rPr>
      </w:pPr>
    </w:p>
    <w:p w14:paraId="0DBC45EE" w14:textId="77777777" w:rsidR="000A2A54" w:rsidRPr="00515F6C" w:rsidRDefault="000A2A54" w:rsidP="000A2A54">
      <w:pPr>
        <w:pStyle w:val="Prrafodelista"/>
        <w:numPr>
          <w:ilvl w:val="0"/>
          <w:numId w:val="1"/>
        </w:numPr>
        <w:spacing w:line="360" w:lineRule="auto"/>
        <w:ind w:right="-93"/>
        <w:jc w:val="both"/>
        <w:rPr>
          <w:rFonts w:ascii="Palatino Linotype" w:eastAsia="Calibri" w:hAnsi="Palatino Linotype" w:cs="Tahoma"/>
          <w:bCs/>
          <w:lang w:eastAsia="en-US"/>
        </w:rPr>
      </w:pPr>
      <w:r w:rsidRPr="00515F6C">
        <w:rPr>
          <w:rFonts w:ascii="Palatino Linotype" w:hAnsi="Palatino Linotype"/>
        </w:rPr>
        <w:t xml:space="preserve">En virtud de ello, la clave catastral claramente refiere a un código único e irrepetible compuesto con caracteres que permiten la identificación de un inmueble y por tanto, al relacionarse directamente con su propietario, proporcionaría </w:t>
      </w:r>
      <w:r w:rsidRPr="00515F6C">
        <w:rPr>
          <w:rFonts w:ascii="Palatino Linotype" w:hAnsi="Palatino Linotype"/>
        </w:rPr>
        <w:lastRenderedPageBreak/>
        <w:t xml:space="preserve">información de éste, la cual, en términos de lo dispuesto por los artículos 3, fracción IX de la Ley de Protección de Datos Personales del Estado de México y Municipios y 4, fracción VII de la Ley de Protección de Datos Personales del Estado de México, debe entenderse como un dato personal. </w:t>
      </w:r>
    </w:p>
    <w:p w14:paraId="7A1AD76E" w14:textId="77777777" w:rsidR="000A2A54" w:rsidRPr="00515F6C" w:rsidRDefault="000A2A54" w:rsidP="000A2A54">
      <w:pPr>
        <w:pStyle w:val="Prrafodelista"/>
        <w:rPr>
          <w:rFonts w:ascii="Palatino Linotype" w:hAnsi="Palatino Linotype"/>
        </w:rPr>
      </w:pPr>
    </w:p>
    <w:p w14:paraId="5EA00F49" w14:textId="76CEE369" w:rsidR="000A2A54" w:rsidRPr="00515F6C" w:rsidRDefault="000A2A54" w:rsidP="000A2A54">
      <w:pPr>
        <w:pStyle w:val="Prrafodelista"/>
        <w:numPr>
          <w:ilvl w:val="0"/>
          <w:numId w:val="1"/>
        </w:numPr>
        <w:spacing w:line="360" w:lineRule="auto"/>
        <w:ind w:right="-93"/>
        <w:jc w:val="both"/>
        <w:rPr>
          <w:rFonts w:ascii="Palatino Linotype" w:eastAsia="Calibri" w:hAnsi="Palatino Linotype" w:cs="Tahoma"/>
          <w:bCs/>
          <w:lang w:eastAsia="en-US"/>
        </w:rPr>
      </w:pPr>
      <w:r w:rsidRPr="00515F6C">
        <w:rPr>
          <w:rFonts w:ascii="Palatino Linotype" w:hAnsi="Palatino Linotype"/>
        </w:rPr>
        <w:t>Ello en razón, de que la clave catastral, al obtenerse a través de datos específicos del inmueble, que se relacionen a su vez con el valor de inmueble y el valor por construcción, esto es información que indudablemente le concierne única y exclusivamente a su titular y no así a terceros, es decir, esta no corresponde a información que deba de transparentarse. En consecuencia, la clave catastral corresponde a información susceptible de clasificarse.</w:t>
      </w:r>
    </w:p>
    <w:p w14:paraId="0AD30FC2" w14:textId="77777777" w:rsidR="000A2A54" w:rsidRPr="00515F6C" w:rsidRDefault="000A2A54" w:rsidP="000A2A54">
      <w:pPr>
        <w:pStyle w:val="Prrafodelista"/>
        <w:spacing w:line="360" w:lineRule="auto"/>
        <w:ind w:left="0" w:right="-93"/>
        <w:jc w:val="both"/>
        <w:rPr>
          <w:rFonts w:ascii="Palatino Linotype" w:eastAsia="Calibri" w:hAnsi="Palatino Linotype" w:cs="Tahoma"/>
          <w:bCs/>
          <w:lang w:eastAsia="en-US"/>
        </w:rPr>
      </w:pPr>
    </w:p>
    <w:p w14:paraId="3DC458BD" w14:textId="18D7DF97" w:rsidR="00347F39" w:rsidRPr="00515F6C" w:rsidRDefault="00347F39" w:rsidP="00347F39">
      <w:pPr>
        <w:pStyle w:val="Prrafodelista"/>
        <w:numPr>
          <w:ilvl w:val="0"/>
          <w:numId w:val="1"/>
        </w:numPr>
        <w:spacing w:line="360" w:lineRule="auto"/>
        <w:jc w:val="both"/>
        <w:rPr>
          <w:rFonts w:ascii="Palatino Linotype" w:hAnsi="Palatino Linotype"/>
          <w:lang w:eastAsia="en-US"/>
        </w:rPr>
      </w:pPr>
      <w:r w:rsidRPr="00515F6C">
        <w:rPr>
          <w:rFonts w:ascii="Palatino Linotype" w:hAnsi="Palatino Linotype"/>
          <w:lang w:eastAsia="en-US"/>
        </w:rPr>
        <w:t>Por lo que corresponde a la superficie, no se considera información pública, toda vez que a través de la divulgación de esta información podría verse afectado su patrimonio, porque se desconoce si el predio pertenece al titular de la licencia o autorización, o a nombre de un tercero bajo un tipo de arrendamiento.</w:t>
      </w:r>
    </w:p>
    <w:p w14:paraId="308D2D44" w14:textId="77777777" w:rsidR="00347F39" w:rsidRPr="00515F6C" w:rsidRDefault="00347F39" w:rsidP="00347F39">
      <w:pPr>
        <w:pStyle w:val="Prrafodelista"/>
        <w:spacing w:line="360" w:lineRule="auto"/>
        <w:ind w:left="0"/>
        <w:jc w:val="both"/>
        <w:rPr>
          <w:rFonts w:ascii="Palatino Linotype" w:hAnsi="Palatino Linotype"/>
          <w:lang w:eastAsia="en-US"/>
        </w:rPr>
      </w:pPr>
    </w:p>
    <w:p w14:paraId="330E650B" w14:textId="3D0F4B50" w:rsidR="00347F39" w:rsidRPr="00515F6C" w:rsidRDefault="00347F39" w:rsidP="00347F39">
      <w:pPr>
        <w:pStyle w:val="Prrafodelista"/>
        <w:numPr>
          <w:ilvl w:val="0"/>
          <w:numId w:val="1"/>
        </w:numPr>
        <w:spacing w:line="360" w:lineRule="auto"/>
        <w:jc w:val="both"/>
        <w:rPr>
          <w:rFonts w:ascii="Palatino Linotype" w:hAnsi="Palatino Linotype"/>
          <w:lang w:eastAsia="en-US"/>
        </w:rPr>
      </w:pPr>
      <w:r w:rsidRPr="00515F6C">
        <w:rPr>
          <w:rFonts w:ascii="Palatino Linotype" w:hAnsi="Palatino Linotype"/>
          <w:lang w:eastAsia="en-US"/>
        </w:rPr>
        <w:t>Ante el desconocimiento debe prevalecer la confidencialidad de la información, para la protección del patrimonio del propietario del predio al que se le otorgó la autorización de uso de suelo. Aunado a que conocer la superficie del predio difícilmente podría abonar a la transparencia y rendición de cuentas.</w:t>
      </w:r>
    </w:p>
    <w:p w14:paraId="4A471A95" w14:textId="77777777" w:rsidR="00347F39" w:rsidRPr="00515F6C" w:rsidRDefault="00347F39" w:rsidP="00347F39">
      <w:pPr>
        <w:pStyle w:val="Prrafodelista"/>
        <w:rPr>
          <w:rFonts w:ascii="Palatino Linotype" w:hAnsi="Palatino Linotype"/>
          <w:lang w:eastAsia="en-US"/>
        </w:rPr>
      </w:pPr>
    </w:p>
    <w:p w14:paraId="0E9DF6FD" w14:textId="6A4AE43A" w:rsidR="00347F39" w:rsidRPr="00515F6C" w:rsidRDefault="008F76D4" w:rsidP="00347F39">
      <w:pPr>
        <w:pStyle w:val="Prrafodelista"/>
        <w:numPr>
          <w:ilvl w:val="0"/>
          <w:numId w:val="1"/>
        </w:numPr>
        <w:spacing w:line="360" w:lineRule="auto"/>
        <w:jc w:val="both"/>
        <w:rPr>
          <w:rFonts w:ascii="Palatino Linotype" w:hAnsi="Palatino Linotype"/>
          <w:lang w:eastAsia="en-US"/>
        </w:rPr>
      </w:pPr>
      <w:r w:rsidRPr="00515F6C">
        <w:rPr>
          <w:rFonts w:ascii="Palatino Linotype" w:hAnsi="Palatino Linotype"/>
          <w:lang w:eastAsia="en-US"/>
        </w:rPr>
        <w:t xml:space="preserve">Por lo que corresponde al número de identificación, el Sujeto Obligado al ser omiso en precisar a qué se refiere con este dato personal, así como al ser omiso en justificar las razones que dan lugar a la supuesta clasificación, deja en estado de </w:t>
      </w:r>
      <w:r w:rsidRPr="00515F6C">
        <w:rPr>
          <w:rFonts w:ascii="Palatino Linotype" w:hAnsi="Palatino Linotype"/>
          <w:lang w:eastAsia="en-US"/>
        </w:rPr>
        <w:lastRenderedPageBreak/>
        <w:t>incertidumbre jurídica al particular sobre la restricción a su derecho de acceder a la información en posesión del Sujeto Obligado.</w:t>
      </w:r>
    </w:p>
    <w:p w14:paraId="5622844C" w14:textId="77777777" w:rsidR="008F76D4" w:rsidRPr="00515F6C" w:rsidRDefault="008F76D4" w:rsidP="008F76D4">
      <w:pPr>
        <w:pStyle w:val="Prrafodelista"/>
        <w:rPr>
          <w:rFonts w:ascii="Palatino Linotype" w:hAnsi="Palatino Linotype"/>
          <w:lang w:eastAsia="en-US"/>
        </w:rPr>
      </w:pPr>
    </w:p>
    <w:p w14:paraId="439BAE0B" w14:textId="77777777" w:rsidR="00C73999" w:rsidRPr="00515F6C" w:rsidRDefault="008F76D4" w:rsidP="00347F39">
      <w:pPr>
        <w:pStyle w:val="Prrafodelista"/>
        <w:numPr>
          <w:ilvl w:val="0"/>
          <w:numId w:val="1"/>
        </w:numPr>
        <w:spacing w:line="360" w:lineRule="auto"/>
        <w:jc w:val="both"/>
        <w:rPr>
          <w:rFonts w:ascii="Palatino Linotype" w:hAnsi="Palatino Linotype"/>
          <w:lang w:eastAsia="en-US"/>
        </w:rPr>
      </w:pPr>
      <w:r w:rsidRPr="00515F6C">
        <w:rPr>
          <w:rFonts w:ascii="Palatino Linotype" w:hAnsi="Palatino Linotype"/>
          <w:lang w:eastAsia="en-US"/>
        </w:rPr>
        <w:t>No obstante, de la revisión a las documentales proporcionadas, se aprecia que se intentó clasificar la información relativa al número de expediente</w:t>
      </w:r>
      <w:r w:rsidR="00C73999" w:rsidRPr="00515F6C">
        <w:rPr>
          <w:rFonts w:ascii="Palatino Linotype" w:hAnsi="Palatino Linotype"/>
          <w:lang w:eastAsia="en-US"/>
        </w:rPr>
        <w:t xml:space="preserve"> dentro de las autorizaciones de cambio de uso de suelo.</w:t>
      </w:r>
    </w:p>
    <w:p w14:paraId="6A2E04BE" w14:textId="77777777" w:rsidR="00C73999" w:rsidRPr="00515F6C" w:rsidRDefault="00C73999" w:rsidP="00C73999">
      <w:pPr>
        <w:pStyle w:val="Prrafodelista"/>
        <w:rPr>
          <w:rFonts w:ascii="Palatino Linotype" w:hAnsi="Palatino Linotype"/>
          <w:lang w:eastAsia="en-US"/>
        </w:rPr>
      </w:pPr>
    </w:p>
    <w:p w14:paraId="63E7333A" w14:textId="315F07E7" w:rsidR="00347F39" w:rsidRPr="00515F6C" w:rsidRDefault="008F76D4" w:rsidP="00347F39">
      <w:pPr>
        <w:pStyle w:val="Prrafodelista"/>
        <w:numPr>
          <w:ilvl w:val="0"/>
          <w:numId w:val="1"/>
        </w:numPr>
        <w:spacing w:line="360" w:lineRule="auto"/>
        <w:jc w:val="both"/>
        <w:rPr>
          <w:rFonts w:ascii="Palatino Linotype" w:hAnsi="Palatino Linotype"/>
          <w:lang w:eastAsia="en-US"/>
        </w:rPr>
      </w:pPr>
      <w:r w:rsidRPr="00515F6C">
        <w:rPr>
          <w:rFonts w:ascii="Palatino Linotype" w:hAnsi="Palatino Linotype"/>
          <w:lang w:eastAsia="en-US"/>
        </w:rPr>
        <w:t xml:space="preserve"> </w:t>
      </w:r>
      <w:r w:rsidR="00C73999" w:rsidRPr="00515F6C">
        <w:rPr>
          <w:rFonts w:ascii="Palatino Linotype" w:hAnsi="Palatino Linotype"/>
          <w:lang w:eastAsia="en-US"/>
        </w:rPr>
        <w:t>Sin embargo, este Órgano Garante determina qu</w:t>
      </w:r>
      <w:r w:rsidR="0010788F" w:rsidRPr="00515F6C">
        <w:rPr>
          <w:rFonts w:ascii="Palatino Linotype" w:hAnsi="Palatino Linotype"/>
          <w:lang w:eastAsia="en-US"/>
        </w:rPr>
        <w:t>e el número de expediente no actualiza ninguna causal de clasificación con base en dos puntos importantes, el primero es que, en el propio nombre del documento, se logra apreciar el número de expediente y, el segundo y más relevante, es que los números de expediente son un código de identificación único que se utiliza para la identificación y organización de un cúmulo de expedientes relativos a un área administrativa, asunto o trámites, en este caso el número de expediente se refiere al trámite para obtener la autorización de uso de suelo, por lo que se integra, a manera de ejemplo, TM/URUM-079-2021, entendiéndose que las primeras dos letras corresponden al área administrativa encargada de expedir la autorización, en este caso la Tesorería Municipal; las siguientes cuatro letras corresponden al tipo de trámite o documento a obtener que corresponde a cambio de uso de suelo, densidad, coeficiente de utilización y de altura de edificaciones</w:t>
      </w:r>
      <w:r w:rsidR="00F033A8" w:rsidRPr="00515F6C">
        <w:rPr>
          <w:rFonts w:ascii="Palatino Linotype" w:hAnsi="Palatino Linotype"/>
          <w:lang w:eastAsia="en-US"/>
        </w:rPr>
        <w:t>; los siguientes tres dígitos, son los consecutivos de cada uno de los expedientes generados; mientras que los cuatro últimos dígitos corresponden al año en al que corresponde el expediente.</w:t>
      </w:r>
    </w:p>
    <w:p w14:paraId="5B8E34A1" w14:textId="77777777" w:rsidR="00F033A8" w:rsidRPr="00515F6C" w:rsidRDefault="00F033A8" w:rsidP="00F033A8">
      <w:pPr>
        <w:pStyle w:val="Prrafodelista"/>
        <w:spacing w:line="360" w:lineRule="auto"/>
        <w:ind w:left="0"/>
        <w:jc w:val="both"/>
        <w:rPr>
          <w:rFonts w:ascii="Palatino Linotype" w:hAnsi="Palatino Linotype"/>
          <w:lang w:eastAsia="en-US"/>
        </w:rPr>
      </w:pPr>
    </w:p>
    <w:p w14:paraId="4B3C82B4" w14:textId="6301021E" w:rsidR="00F033A8" w:rsidRPr="00515F6C" w:rsidRDefault="00F033A8" w:rsidP="00F033A8">
      <w:pPr>
        <w:pStyle w:val="Prrafodelista"/>
        <w:numPr>
          <w:ilvl w:val="0"/>
          <w:numId w:val="1"/>
        </w:numPr>
        <w:spacing w:line="360" w:lineRule="auto"/>
        <w:jc w:val="both"/>
        <w:rPr>
          <w:rFonts w:ascii="Palatino Linotype" w:eastAsia="Calibri" w:hAnsi="Palatino Linotype" w:cs="Times New Roman"/>
          <w:lang w:val="es-ES_tradnl"/>
        </w:rPr>
      </w:pPr>
      <w:r w:rsidRPr="00515F6C">
        <w:rPr>
          <w:rFonts w:ascii="Palatino Linotype" w:hAnsi="Palatino Linotype"/>
          <w:lang w:eastAsia="en-US"/>
        </w:rPr>
        <w:t xml:space="preserve">Dicho lo anterior, es necesario precisar que, </w:t>
      </w:r>
      <w:r w:rsidRPr="00515F6C">
        <w:rPr>
          <w:rFonts w:ascii="Palatino Linotype" w:eastAsia="Calibri" w:hAnsi="Palatino Linotype" w:cs="Times New Roman"/>
          <w:lang w:val="es-ES_tradnl"/>
        </w:rPr>
        <w:t xml:space="preserve">la Ley de Transparencia y Acceso a la Información Pública del Estado de México y Municipios en el artículo 3, fracción </w:t>
      </w:r>
      <w:r w:rsidRPr="00515F6C">
        <w:rPr>
          <w:rFonts w:ascii="Palatino Linotype" w:eastAsia="Calibri" w:hAnsi="Palatino Linotype" w:cs="Times New Roman"/>
          <w:lang w:val="es-ES_tradnl"/>
        </w:rPr>
        <w:lastRenderedPageBreak/>
        <w:t>IX; 143, fracción I y la Ley de Protección de Datos Personales en Posesión de los Sujetos Obligados del Estado de México y Municipios artículo 4, fracción XI disponen:</w:t>
      </w:r>
    </w:p>
    <w:p w14:paraId="6B6F0AE8" w14:textId="77777777" w:rsidR="00F033A8" w:rsidRPr="00515F6C" w:rsidRDefault="00F033A8" w:rsidP="00F033A8">
      <w:pPr>
        <w:rPr>
          <w:rFonts w:ascii="Palatino Linotype" w:eastAsia="Calibri" w:hAnsi="Palatino Linotype" w:cs="Times New Roman"/>
          <w:lang w:val="es-ES_tradnl"/>
        </w:rPr>
      </w:pPr>
    </w:p>
    <w:p w14:paraId="1E02461E" w14:textId="77777777" w:rsidR="00F033A8" w:rsidRPr="00515F6C" w:rsidRDefault="00F033A8" w:rsidP="00F033A8">
      <w:pPr>
        <w:ind w:left="567" w:right="616"/>
        <w:rPr>
          <w:rFonts w:ascii="Palatino Linotype" w:hAnsi="Palatino Linotype"/>
          <w:i/>
          <w:sz w:val="22"/>
        </w:rPr>
      </w:pPr>
      <w:r w:rsidRPr="00515F6C">
        <w:rPr>
          <w:rFonts w:ascii="Palatino Linotype" w:hAnsi="Palatino Linotype"/>
          <w:i/>
          <w:sz w:val="22"/>
        </w:rPr>
        <w:t>Artículo 3. Para los efectos de la presente Ley se entenderá por:</w:t>
      </w:r>
    </w:p>
    <w:p w14:paraId="5848ACA9" w14:textId="77777777" w:rsidR="00F033A8" w:rsidRPr="00515F6C" w:rsidRDefault="00F033A8" w:rsidP="00F033A8">
      <w:pPr>
        <w:ind w:left="567" w:right="616"/>
        <w:rPr>
          <w:rFonts w:ascii="Palatino Linotype" w:eastAsia="Calibri" w:hAnsi="Palatino Linotype" w:cs="Times New Roman"/>
          <w:i/>
          <w:sz w:val="22"/>
          <w:lang w:val="es-ES_tradnl"/>
        </w:rPr>
      </w:pPr>
      <w:r w:rsidRPr="00515F6C">
        <w:rPr>
          <w:rFonts w:ascii="Palatino Linotype" w:hAnsi="Palatino Linotype"/>
          <w:i/>
          <w:sz w:val="22"/>
        </w:rPr>
        <w:t>…</w:t>
      </w:r>
    </w:p>
    <w:p w14:paraId="7714BF56" w14:textId="77777777" w:rsidR="00F033A8" w:rsidRPr="00515F6C" w:rsidRDefault="00F033A8" w:rsidP="00F033A8">
      <w:pPr>
        <w:spacing w:line="360" w:lineRule="auto"/>
        <w:ind w:left="567" w:right="616"/>
        <w:jc w:val="both"/>
        <w:rPr>
          <w:rFonts w:ascii="Palatino Linotype" w:hAnsi="Palatino Linotype"/>
          <w:i/>
          <w:sz w:val="22"/>
        </w:rPr>
      </w:pPr>
      <w:r w:rsidRPr="00515F6C">
        <w:rPr>
          <w:rFonts w:ascii="Palatino Linotype" w:hAnsi="Palatino Linotype"/>
          <w:i/>
          <w:sz w:val="22"/>
        </w:rPr>
        <w:t>IX. Datos personales: La información concerniente a una persona, identificada o identificable según lo dispuesto por la Ley de Protección de Datos Personales del Estado de México;</w:t>
      </w:r>
    </w:p>
    <w:p w14:paraId="71FD2E51" w14:textId="77777777" w:rsidR="00F033A8" w:rsidRPr="00515F6C" w:rsidRDefault="00F033A8" w:rsidP="00F033A8">
      <w:pPr>
        <w:spacing w:line="360" w:lineRule="auto"/>
        <w:ind w:left="567" w:right="616"/>
        <w:jc w:val="both"/>
        <w:rPr>
          <w:rFonts w:ascii="Palatino Linotype" w:hAnsi="Palatino Linotype"/>
          <w:i/>
          <w:sz w:val="22"/>
        </w:rPr>
      </w:pPr>
    </w:p>
    <w:p w14:paraId="18E6BECE" w14:textId="77777777" w:rsidR="00F033A8" w:rsidRPr="00515F6C" w:rsidRDefault="00F033A8" w:rsidP="00F033A8">
      <w:pPr>
        <w:spacing w:line="360" w:lineRule="auto"/>
        <w:ind w:left="567" w:right="616"/>
        <w:jc w:val="center"/>
        <w:rPr>
          <w:rFonts w:ascii="Palatino Linotype" w:hAnsi="Palatino Linotype"/>
          <w:b/>
          <w:i/>
          <w:sz w:val="22"/>
        </w:rPr>
      </w:pPr>
      <w:r w:rsidRPr="00515F6C">
        <w:rPr>
          <w:rFonts w:ascii="Palatino Linotype" w:hAnsi="Palatino Linotype"/>
          <w:b/>
          <w:i/>
          <w:sz w:val="22"/>
        </w:rPr>
        <w:t>Capítulo III</w:t>
      </w:r>
    </w:p>
    <w:p w14:paraId="6732B588" w14:textId="77777777" w:rsidR="00F033A8" w:rsidRPr="00515F6C" w:rsidRDefault="00F033A8" w:rsidP="00F033A8">
      <w:pPr>
        <w:spacing w:line="360" w:lineRule="auto"/>
        <w:ind w:left="567" w:right="616"/>
        <w:jc w:val="center"/>
        <w:rPr>
          <w:rFonts w:ascii="Palatino Linotype" w:hAnsi="Palatino Linotype"/>
          <w:b/>
          <w:i/>
          <w:sz w:val="22"/>
        </w:rPr>
      </w:pPr>
      <w:r w:rsidRPr="00515F6C">
        <w:rPr>
          <w:rFonts w:ascii="Palatino Linotype" w:hAnsi="Palatino Linotype"/>
          <w:b/>
          <w:i/>
          <w:sz w:val="22"/>
        </w:rPr>
        <w:t>De la Información Confidencial</w:t>
      </w:r>
    </w:p>
    <w:p w14:paraId="1F6B144D" w14:textId="77777777" w:rsidR="00F033A8" w:rsidRPr="00515F6C" w:rsidRDefault="00F033A8" w:rsidP="00F033A8">
      <w:pPr>
        <w:spacing w:line="360" w:lineRule="auto"/>
        <w:ind w:left="567" w:right="616"/>
        <w:jc w:val="both"/>
        <w:rPr>
          <w:rFonts w:ascii="Palatino Linotype" w:hAnsi="Palatino Linotype"/>
          <w:i/>
          <w:sz w:val="22"/>
        </w:rPr>
      </w:pPr>
      <w:r w:rsidRPr="00515F6C">
        <w:rPr>
          <w:rFonts w:ascii="Palatino Linotype" w:hAnsi="Palatino Linotype"/>
          <w:i/>
          <w:sz w:val="22"/>
        </w:rPr>
        <w:t>Artículo 143. Para los efectos de esta Ley se considera información confidencial, la clasificada como tal, de manera permanente, por su naturaleza, cuando:</w:t>
      </w:r>
    </w:p>
    <w:p w14:paraId="69F6850B" w14:textId="77777777" w:rsidR="00F033A8" w:rsidRPr="00515F6C" w:rsidRDefault="00F033A8" w:rsidP="00F033A8">
      <w:pPr>
        <w:spacing w:line="360" w:lineRule="auto"/>
        <w:ind w:left="567" w:right="616"/>
        <w:jc w:val="both"/>
        <w:rPr>
          <w:rFonts w:ascii="Palatino Linotype" w:hAnsi="Palatino Linotype"/>
          <w:i/>
          <w:sz w:val="22"/>
        </w:rPr>
      </w:pPr>
    </w:p>
    <w:p w14:paraId="315AE43E" w14:textId="77777777" w:rsidR="00F033A8" w:rsidRPr="00515F6C" w:rsidRDefault="00F033A8" w:rsidP="00F033A8">
      <w:pPr>
        <w:spacing w:line="360" w:lineRule="auto"/>
        <w:ind w:left="567" w:right="616"/>
        <w:jc w:val="both"/>
        <w:rPr>
          <w:rFonts w:ascii="Palatino Linotype" w:hAnsi="Palatino Linotype"/>
          <w:i/>
          <w:sz w:val="22"/>
        </w:rPr>
      </w:pPr>
      <w:r w:rsidRPr="00515F6C">
        <w:rPr>
          <w:rFonts w:ascii="Palatino Linotype" w:hAnsi="Palatino Linotype"/>
          <w:i/>
          <w:sz w:val="22"/>
        </w:rPr>
        <w:t>I. Se refiera a la información privada y los datos personales concernientes a una persona física o jurídico colectiva identificada o identificable;</w:t>
      </w:r>
    </w:p>
    <w:p w14:paraId="06F2F1EC" w14:textId="77777777" w:rsidR="00F033A8" w:rsidRPr="00515F6C" w:rsidRDefault="00F033A8" w:rsidP="00F033A8">
      <w:pPr>
        <w:spacing w:line="360" w:lineRule="auto"/>
        <w:ind w:left="567" w:right="616"/>
        <w:jc w:val="both"/>
        <w:rPr>
          <w:rFonts w:ascii="Palatino Linotype" w:eastAsia="Calibri" w:hAnsi="Palatino Linotype" w:cs="Times New Roman"/>
          <w:i/>
          <w:sz w:val="22"/>
          <w:lang w:val="es-ES_tradnl"/>
        </w:rPr>
      </w:pPr>
      <w:r w:rsidRPr="00515F6C">
        <w:rPr>
          <w:rFonts w:ascii="Palatino Linotype" w:eastAsia="Calibri" w:hAnsi="Palatino Linotype" w:cs="Times New Roman"/>
          <w:i/>
          <w:sz w:val="22"/>
          <w:lang w:val="es-ES_tradnl"/>
        </w:rPr>
        <w:t>…</w:t>
      </w:r>
    </w:p>
    <w:p w14:paraId="3137A495" w14:textId="77777777" w:rsidR="00F033A8" w:rsidRPr="00515F6C" w:rsidRDefault="00F033A8" w:rsidP="00F033A8">
      <w:pPr>
        <w:spacing w:line="360" w:lineRule="auto"/>
        <w:ind w:left="567" w:right="616"/>
        <w:jc w:val="both"/>
        <w:rPr>
          <w:rFonts w:ascii="Palatino Linotype" w:eastAsia="Calibri" w:hAnsi="Palatino Linotype" w:cs="Times New Roman"/>
          <w:i/>
          <w:sz w:val="22"/>
          <w:lang w:val="es-ES_tradnl"/>
        </w:rPr>
      </w:pPr>
    </w:p>
    <w:p w14:paraId="3EB1A44C" w14:textId="77777777" w:rsidR="00F033A8" w:rsidRPr="00515F6C" w:rsidRDefault="00F033A8" w:rsidP="00F033A8">
      <w:pPr>
        <w:spacing w:line="360" w:lineRule="auto"/>
        <w:ind w:left="567" w:right="616"/>
        <w:jc w:val="both"/>
        <w:rPr>
          <w:rFonts w:ascii="Palatino Linotype" w:hAnsi="Palatino Linotype"/>
          <w:i/>
          <w:sz w:val="22"/>
        </w:rPr>
      </w:pPr>
      <w:r w:rsidRPr="00515F6C">
        <w:rPr>
          <w:rFonts w:ascii="Palatino Linotype" w:hAnsi="Palatino Linotype"/>
          <w:i/>
          <w:sz w:val="22"/>
        </w:rPr>
        <w:t>Glosario Artículo 4. Para los efectos de esta Ley se entenderá por:</w:t>
      </w:r>
    </w:p>
    <w:p w14:paraId="3FF8CBFB" w14:textId="77777777" w:rsidR="00F033A8" w:rsidRPr="00515F6C" w:rsidRDefault="00F033A8" w:rsidP="00F033A8">
      <w:pPr>
        <w:spacing w:line="360" w:lineRule="auto"/>
        <w:ind w:left="567" w:right="616"/>
        <w:jc w:val="both"/>
        <w:rPr>
          <w:rFonts w:ascii="Palatino Linotype" w:eastAsia="Calibri" w:hAnsi="Palatino Linotype" w:cs="Times New Roman"/>
          <w:i/>
          <w:sz w:val="22"/>
          <w:lang w:val="es-ES_tradnl"/>
        </w:rPr>
      </w:pPr>
      <w:r w:rsidRPr="00515F6C">
        <w:rPr>
          <w:rFonts w:ascii="Palatino Linotype" w:hAnsi="Palatino Linotype"/>
          <w:i/>
          <w:sz w:val="22"/>
        </w:rPr>
        <w:t>…</w:t>
      </w:r>
    </w:p>
    <w:p w14:paraId="46B623E4" w14:textId="77777777" w:rsidR="00F033A8" w:rsidRPr="00515F6C" w:rsidRDefault="00F033A8" w:rsidP="00F033A8">
      <w:pPr>
        <w:pStyle w:val="Prrafodelista"/>
        <w:spacing w:line="360" w:lineRule="auto"/>
        <w:ind w:left="567" w:right="616"/>
        <w:jc w:val="both"/>
        <w:rPr>
          <w:rFonts w:ascii="Palatino Linotype" w:eastAsia="Calibri" w:hAnsi="Palatino Linotype" w:cs="Times New Roman"/>
          <w:i/>
          <w:sz w:val="22"/>
          <w:lang w:val="es-ES_tradnl"/>
        </w:rPr>
      </w:pPr>
      <w:r w:rsidRPr="00515F6C">
        <w:rPr>
          <w:rFonts w:ascii="Palatino Linotype" w:hAnsi="Palatino Linotype"/>
          <w:i/>
          <w:sz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515F6C">
        <w:rPr>
          <w:rFonts w:ascii="Palatino Linotype" w:eastAsia="Calibri" w:hAnsi="Palatino Linotype" w:cs="Times New Roman"/>
          <w:i/>
          <w:sz w:val="22"/>
          <w:lang w:val="es-ES_tradnl"/>
        </w:rPr>
        <w:t xml:space="preserve"> </w:t>
      </w:r>
    </w:p>
    <w:p w14:paraId="548BB526" w14:textId="77777777" w:rsidR="00F033A8" w:rsidRPr="00515F6C" w:rsidRDefault="00F033A8" w:rsidP="00F033A8">
      <w:pPr>
        <w:pStyle w:val="Prrafodelista"/>
        <w:rPr>
          <w:rFonts w:ascii="Palatino Linotype" w:eastAsia="Calibri" w:hAnsi="Palatino Linotype" w:cs="Times New Roman"/>
          <w:lang w:val="es-ES_tradnl"/>
        </w:rPr>
      </w:pPr>
    </w:p>
    <w:p w14:paraId="0EB14C0C" w14:textId="77777777" w:rsidR="00F033A8" w:rsidRPr="00515F6C" w:rsidRDefault="00F033A8" w:rsidP="00F033A8">
      <w:pPr>
        <w:pStyle w:val="Prrafodelista"/>
        <w:spacing w:line="360" w:lineRule="auto"/>
        <w:ind w:left="0"/>
        <w:jc w:val="both"/>
        <w:rPr>
          <w:rFonts w:ascii="Palatino Linotype" w:eastAsia="Calibri" w:hAnsi="Palatino Linotype" w:cs="Times New Roman"/>
          <w:lang w:val="es-ES_tradnl"/>
        </w:rPr>
      </w:pPr>
    </w:p>
    <w:p w14:paraId="38BB1848" w14:textId="29C05AB6" w:rsidR="00F033A8" w:rsidRPr="00515F6C" w:rsidRDefault="00F033A8" w:rsidP="00F033A8">
      <w:pPr>
        <w:pStyle w:val="Prrafodelista"/>
        <w:numPr>
          <w:ilvl w:val="0"/>
          <w:numId w:val="1"/>
        </w:numPr>
        <w:spacing w:line="360" w:lineRule="auto"/>
        <w:jc w:val="both"/>
        <w:rPr>
          <w:rFonts w:ascii="Palatino Linotype" w:eastAsia="Calibri" w:hAnsi="Palatino Linotype" w:cs="Times New Roman"/>
          <w:i/>
          <w:sz w:val="22"/>
          <w:lang w:val="es-ES_tradnl"/>
        </w:rPr>
      </w:pPr>
      <w:r w:rsidRPr="00515F6C">
        <w:rPr>
          <w:rFonts w:ascii="Palatino Linotype" w:eastAsia="Calibri" w:hAnsi="Palatino Linotype" w:cs="Times New Roman"/>
          <w:lang w:val="es-ES_tradnl"/>
        </w:rPr>
        <w:lastRenderedPageBreak/>
        <w:t xml:space="preserve">Los datos personales son considerados toda aquella información que identifica o hace identificable a una persona y se determina identificable cuando su identidad pueda determinarse directa o indirectamente, en esos casos, es procedente la clasificación; si un dato personal por si </w:t>
      </w:r>
      <w:r w:rsidR="00382BDE" w:rsidRPr="00515F6C">
        <w:rPr>
          <w:rFonts w:ascii="Palatino Linotype" w:eastAsia="Calibri" w:hAnsi="Palatino Linotype" w:cs="Times New Roman"/>
          <w:lang w:val="es-ES_tradnl"/>
        </w:rPr>
        <w:t>no identifica o hace identificable a una persona, no es considerado un dato personal, en consecuencia, no ha lugar a la clasificación. En este caso en particular, si bien es cierto, el número de expediente corresponde a un trámite que realiza una persona específica, también lo es que, el número de expediente no contiene ningún dato que hace identificable a la persona que realiza el trámite, tampoco se relaciona con sus bienes patrimoniales, por lo que no es procedente su clasificación.</w:t>
      </w:r>
    </w:p>
    <w:p w14:paraId="09E9682E" w14:textId="77777777" w:rsidR="00F033A8" w:rsidRPr="00515F6C" w:rsidRDefault="00F033A8" w:rsidP="00382BDE">
      <w:pPr>
        <w:pStyle w:val="Prrafodelista"/>
        <w:spacing w:line="360" w:lineRule="auto"/>
        <w:ind w:left="0"/>
        <w:jc w:val="both"/>
        <w:rPr>
          <w:rFonts w:ascii="Palatino Linotype" w:eastAsia="Calibri" w:hAnsi="Palatino Linotype" w:cs="Times New Roman"/>
          <w:i/>
          <w:sz w:val="22"/>
          <w:lang w:val="es-ES_tradnl"/>
        </w:rPr>
      </w:pPr>
    </w:p>
    <w:p w14:paraId="5A4E705F" w14:textId="0B6852A8" w:rsidR="00F033A8" w:rsidRPr="00515F6C" w:rsidRDefault="00382BDE" w:rsidP="00F033A8">
      <w:pPr>
        <w:pStyle w:val="Prrafodelista"/>
        <w:numPr>
          <w:ilvl w:val="0"/>
          <w:numId w:val="1"/>
        </w:numPr>
        <w:spacing w:line="360" w:lineRule="auto"/>
        <w:jc w:val="both"/>
        <w:rPr>
          <w:rFonts w:ascii="Palatino Linotype" w:eastAsia="Calibri" w:hAnsi="Palatino Linotype" w:cs="Times New Roman"/>
          <w:i/>
          <w:sz w:val="22"/>
          <w:lang w:val="es-ES_tradnl"/>
        </w:rPr>
      </w:pPr>
      <w:r w:rsidRPr="00515F6C">
        <w:rPr>
          <w:rFonts w:ascii="Palatino Linotype" w:eastAsia="Calibri" w:hAnsi="Palatino Linotype" w:cs="Times New Roman"/>
          <w:sz w:val="22"/>
          <w:lang w:val="es-ES_tradnl"/>
        </w:rPr>
        <w:t>Ahora bien, respecto de la escritura o instrumento notarial, al igual que los demás datos personales, el Sujeto Obligado fue omiso en sustentar, con elementos de convicción, las razones que motivaron su pretendida clasificación.</w:t>
      </w:r>
      <w:r w:rsidR="00C5293B" w:rsidRPr="00515F6C">
        <w:rPr>
          <w:rFonts w:ascii="Palatino Linotype" w:eastAsia="Calibri" w:hAnsi="Palatino Linotype" w:cs="Times New Roman"/>
          <w:sz w:val="22"/>
          <w:lang w:val="es-ES_tradnl"/>
        </w:rPr>
        <w:t xml:space="preserve"> La escritura pública</w:t>
      </w:r>
      <w:r w:rsidR="00C5293B" w:rsidRPr="00515F6C">
        <w:rPr>
          <w:rStyle w:val="Refdenotaalpie"/>
          <w:rFonts w:ascii="Palatino Linotype" w:eastAsia="Calibri" w:hAnsi="Palatino Linotype" w:cs="Times New Roman"/>
          <w:sz w:val="22"/>
          <w:lang w:val="es-ES_tradnl"/>
        </w:rPr>
        <w:footnoteReference w:id="6"/>
      </w:r>
      <w:r w:rsidR="00C5293B" w:rsidRPr="00515F6C">
        <w:rPr>
          <w:rFonts w:ascii="Palatino Linotype" w:eastAsia="Calibri" w:hAnsi="Palatino Linotype" w:cs="Times New Roman"/>
          <w:sz w:val="22"/>
          <w:lang w:val="es-ES_tradnl"/>
        </w:rPr>
        <w:t xml:space="preserve"> es el instrumento original que el notario asienta en el protocolo físico o electrónico para hacer constar uno o más actos jurídicos, autorizados con su firma autógrafa o electrónica y sello. La importancia de dicho documento radica en la protección de los derechos patrimoniales de las personas.</w:t>
      </w:r>
    </w:p>
    <w:p w14:paraId="49CDDEA7" w14:textId="77777777" w:rsidR="00C5293B" w:rsidRPr="00515F6C" w:rsidRDefault="00C5293B" w:rsidP="00C5293B">
      <w:pPr>
        <w:pStyle w:val="Prrafodelista"/>
        <w:rPr>
          <w:rFonts w:ascii="Palatino Linotype" w:eastAsia="Calibri" w:hAnsi="Palatino Linotype" w:cs="Times New Roman"/>
          <w:i/>
          <w:sz w:val="22"/>
          <w:lang w:val="es-ES_tradnl"/>
        </w:rPr>
      </w:pPr>
    </w:p>
    <w:p w14:paraId="3C37AF4E" w14:textId="45E24B3B" w:rsidR="00C5293B" w:rsidRPr="00515F6C" w:rsidRDefault="00C5293B" w:rsidP="00F033A8">
      <w:pPr>
        <w:pStyle w:val="Prrafodelista"/>
        <w:numPr>
          <w:ilvl w:val="0"/>
          <w:numId w:val="1"/>
        </w:numPr>
        <w:spacing w:line="360" w:lineRule="auto"/>
        <w:jc w:val="both"/>
        <w:rPr>
          <w:rFonts w:ascii="Palatino Linotype" w:eastAsia="Calibri" w:hAnsi="Palatino Linotype" w:cs="Times New Roman"/>
          <w:i/>
          <w:sz w:val="22"/>
          <w:lang w:val="es-ES_tradnl"/>
        </w:rPr>
      </w:pPr>
      <w:r w:rsidRPr="00515F6C">
        <w:rPr>
          <w:rFonts w:ascii="Palatino Linotype" w:eastAsia="Calibri" w:hAnsi="Palatino Linotype" w:cs="Times New Roman"/>
          <w:sz w:val="22"/>
          <w:lang w:val="es-ES_tradnl"/>
        </w:rPr>
        <w:t>De acuerdo al artículo 7.6000 del Código Civil del Estado de México, en los contratos de compra venta de bienes inmuebles, una de las formalidades es que, para llevarse a cabo, debe otorgarse la escritura pública y debe realizarse conforme lo establece la Ley del Notariado del Estado de M</w:t>
      </w:r>
      <w:r w:rsidR="009F2A8B" w:rsidRPr="00515F6C">
        <w:rPr>
          <w:rFonts w:ascii="Palatino Linotype" w:eastAsia="Calibri" w:hAnsi="Palatino Linotype" w:cs="Times New Roman"/>
          <w:sz w:val="22"/>
          <w:lang w:val="es-ES_tradnl"/>
        </w:rPr>
        <w:t>éxico. Dicha normatividad en el artículo 78 refiere lo siguiente:</w:t>
      </w:r>
    </w:p>
    <w:p w14:paraId="1121E9E5" w14:textId="77777777" w:rsidR="009F2A8B" w:rsidRPr="00515F6C" w:rsidRDefault="009F2A8B" w:rsidP="009F2A8B">
      <w:pPr>
        <w:pStyle w:val="Prrafodelista"/>
        <w:rPr>
          <w:rFonts w:ascii="Palatino Linotype" w:eastAsia="Calibri" w:hAnsi="Palatino Linotype" w:cs="Times New Roman"/>
          <w:i/>
          <w:sz w:val="22"/>
          <w:lang w:val="es-ES_tradnl"/>
        </w:rPr>
      </w:pPr>
    </w:p>
    <w:p w14:paraId="742F8E9E" w14:textId="0196021E" w:rsidR="009F2A8B" w:rsidRPr="00515F6C" w:rsidRDefault="009F2A8B" w:rsidP="009F2A8B">
      <w:pPr>
        <w:pStyle w:val="Prrafodelista"/>
        <w:spacing w:line="360" w:lineRule="auto"/>
        <w:ind w:left="0"/>
        <w:jc w:val="center"/>
        <w:rPr>
          <w:rFonts w:ascii="Palatino Linotype" w:hAnsi="Palatino Linotype"/>
          <w:b/>
          <w:i/>
          <w:sz w:val="22"/>
        </w:rPr>
      </w:pPr>
      <w:r w:rsidRPr="00515F6C">
        <w:rPr>
          <w:rFonts w:ascii="Palatino Linotype" w:hAnsi="Palatino Linotype"/>
          <w:b/>
          <w:i/>
          <w:sz w:val="22"/>
        </w:rPr>
        <w:lastRenderedPageBreak/>
        <w:t>TITULO TERCERO</w:t>
      </w:r>
    </w:p>
    <w:p w14:paraId="3003A01C" w14:textId="72DBFBBB" w:rsidR="009F2A8B" w:rsidRPr="00515F6C" w:rsidRDefault="009F2A8B" w:rsidP="009F2A8B">
      <w:pPr>
        <w:pStyle w:val="Prrafodelista"/>
        <w:spacing w:line="360" w:lineRule="auto"/>
        <w:ind w:left="0"/>
        <w:jc w:val="center"/>
        <w:rPr>
          <w:rFonts w:ascii="Palatino Linotype" w:hAnsi="Palatino Linotype"/>
          <w:b/>
          <w:i/>
          <w:sz w:val="22"/>
        </w:rPr>
      </w:pPr>
      <w:r w:rsidRPr="00515F6C">
        <w:rPr>
          <w:rFonts w:ascii="Palatino Linotype" w:hAnsi="Palatino Linotype"/>
          <w:b/>
          <w:i/>
          <w:sz w:val="22"/>
        </w:rPr>
        <w:t>DE LOS DOCUMENTOS NOTARIALES</w:t>
      </w:r>
    </w:p>
    <w:p w14:paraId="375B6822" w14:textId="7C553608" w:rsidR="009F2A8B" w:rsidRPr="00515F6C" w:rsidRDefault="009F2A8B" w:rsidP="009F2A8B">
      <w:pPr>
        <w:pStyle w:val="Prrafodelista"/>
        <w:spacing w:line="360" w:lineRule="auto"/>
        <w:ind w:left="0"/>
        <w:jc w:val="center"/>
        <w:rPr>
          <w:rFonts w:ascii="Palatino Linotype" w:hAnsi="Palatino Linotype"/>
          <w:b/>
          <w:i/>
          <w:sz w:val="22"/>
        </w:rPr>
      </w:pPr>
      <w:r w:rsidRPr="00515F6C">
        <w:rPr>
          <w:rFonts w:ascii="Palatino Linotype" w:hAnsi="Palatino Linotype"/>
          <w:b/>
          <w:i/>
          <w:sz w:val="22"/>
        </w:rPr>
        <w:t>CAPITULO PRIMERO</w:t>
      </w:r>
    </w:p>
    <w:p w14:paraId="156CFC90" w14:textId="48B6BE76" w:rsidR="009F2A8B" w:rsidRPr="00515F6C" w:rsidRDefault="009F2A8B" w:rsidP="009F2A8B">
      <w:pPr>
        <w:pStyle w:val="Prrafodelista"/>
        <w:spacing w:line="360" w:lineRule="auto"/>
        <w:ind w:left="0"/>
        <w:jc w:val="center"/>
        <w:rPr>
          <w:rFonts w:ascii="Palatino Linotype" w:eastAsia="Calibri" w:hAnsi="Palatino Linotype" w:cs="Times New Roman"/>
          <w:b/>
          <w:i/>
          <w:sz w:val="20"/>
          <w:lang w:val="es-ES_tradnl"/>
        </w:rPr>
      </w:pPr>
      <w:r w:rsidRPr="00515F6C">
        <w:rPr>
          <w:rFonts w:ascii="Palatino Linotype" w:hAnsi="Palatino Linotype"/>
          <w:b/>
          <w:i/>
          <w:sz w:val="22"/>
        </w:rPr>
        <w:t>DE LAS ESCRITURAS</w:t>
      </w:r>
    </w:p>
    <w:p w14:paraId="66615892" w14:textId="77777777" w:rsidR="00382BDE" w:rsidRPr="00515F6C" w:rsidRDefault="00382BDE" w:rsidP="00382BDE">
      <w:pPr>
        <w:pStyle w:val="Prrafodelista"/>
        <w:rPr>
          <w:rFonts w:ascii="Palatino Linotype" w:eastAsia="Calibri" w:hAnsi="Palatino Linotype" w:cs="Times New Roman"/>
          <w:i/>
          <w:sz w:val="22"/>
          <w:lang w:val="es-ES_tradnl"/>
        </w:rPr>
      </w:pPr>
    </w:p>
    <w:p w14:paraId="2F3CA505" w14:textId="77777777" w:rsidR="00382BDE" w:rsidRPr="00515F6C" w:rsidRDefault="00382BDE" w:rsidP="00382BDE">
      <w:pPr>
        <w:pStyle w:val="Prrafodelista"/>
        <w:spacing w:line="360" w:lineRule="auto"/>
        <w:ind w:left="0"/>
        <w:jc w:val="both"/>
        <w:rPr>
          <w:rFonts w:ascii="Palatino Linotype" w:eastAsia="Calibri" w:hAnsi="Palatino Linotype" w:cs="Times New Roman"/>
          <w:i/>
          <w:sz w:val="22"/>
          <w:lang w:val="es-ES_tradnl"/>
        </w:rPr>
      </w:pPr>
    </w:p>
    <w:p w14:paraId="2E735071"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Artículo 78. Escritura es el instrumento original que el notario asienta en el protocolo físico o electrónico para hacer constar uno o más actos jurídicos, autorizados con firma autógrafa o electrónica y sello. </w:t>
      </w:r>
    </w:p>
    <w:p w14:paraId="2BB4CFB7" w14:textId="77777777" w:rsidR="009F2A8B" w:rsidRPr="00515F6C" w:rsidRDefault="009F2A8B" w:rsidP="0040316E">
      <w:pPr>
        <w:pStyle w:val="Prrafodelista"/>
        <w:spacing w:line="360" w:lineRule="auto"/>
        <w:ind w:left="567" w:right="616"/>
        <w:jc w:val="both"/>
        <w:rPr>
          <w:rFonts w:ascii="Palatino Linotype" w:hAnsi="Palatino Linotype"/>
          <w:i/>
          <w:sz w:val="22"/>
        </w:rPr>
      </w:pPr>
    </w:p>
    <w:p w14:paraId="5E1D9F12" w14:textId="18E1DBAA"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Se entenderá también como escritura el acta que contenga un extracto con los elementos personales y materiales del documento en que se consigne un contrato o actos jurídicos, siempre que esté firmada en cada una de sus hojas por quienes en el intervengan y por el notario, quien además pondrá el sello, señalará el número de hojas de que se compone, así como la relación completa de sus anexos que se agregarán al apéndice y reúna los demás requisitos que señala este capítulo.</w:t>
      </w:r>
    </w:p>
    <w:p w14:paraId="529179D8" w14:textId="77777777" w:rsidR="009F2A8B" w:rsidRPr="00515F6C" w:rsidRDefault="009F2A8B" w:rsidP="0040316E">
      <w:pPr>
        <w:pStyle w:val="Prrafodelista"/>
        <w:spacing w:line="360" w:lineRule="auto"/>
        <w:ind w:left="567" w:right="616"/>
        <w:jc w:val="both"/>
        <w:rPr>
          <w:rFonts w:ascii="Palatino Linotype" w:hAnsi="Palatino Linotype"/>
          <w:i/>
          <w:sz w:val="22"/>
        </w:rPr>
      </w:pPr>
    </w:p>
    <w:p w14:paraId="098E5284"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Artículo 79.- La redacción de las escrituras se sujetará a las formalidades siguientes:</w:t>
      </w:r>
    </w:p>
    <w:p w14:paraId="46605D7E"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I. Se hará en idioma español, con letra clara, sin abreviaturas ni guarismos, salvo en el caso de transcripción literal o del uso de modismos; tratándose de números, las cifras se mencionarán también con letra; </w:t>
      </w:r>
    </w:p>
    <w:p w14:paraId="3205A7EC"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II. Cuando se presenten documentos redactados en idioma distinto al español, se traducirán por perito autorizado, a excepción de cuando el notario conozca el idioma, en cuyo caso él realizará la traducción; se agregará al apéndice el original o copia cotejada del documento con su respectiva traducción; </w:t>
      </w:r>
    </w:p>
    <w:p w14:paraId="2B2245E7"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lastRenderedPageBreak/>
        <w:t xml:space="preserve">III. Los espacios en blanco o huecos se cubrirán con líneas horizontales de tinta o con guiones continuos, al igual que los espacios en blanco existentes entre el final del texto y las firmas; </w:t>
      </w:r>
    </w:p>
    <w:p w14:paraId="285960C9"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IV. Las palabras, letras o signos que se hayan de testar se cruzarán con una línea horizontal que las deje legibles, pudiendo entrerrenglonarse lo que se deba agregar. Al final del texto de la escritura se salvarán, con la mención del número de palabras, letras o signos testados o entrerrenglonados, y se hará constar que lo primero no vale y lo segundo sí; </w:t>
      </w:r>
    </w:p>
    <w:p w14:paraId="58F0A9AF"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V. Llevará al inicio su número, el o los actos que se consignen y los nombres de los otorgantes; </w:t>
      </w:r>
    </w:p>
    <w:p w14:paraId="22F9F4DE" w14:textId="23AA8454"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VI. Expresará en el proemio el lugar y fecha y, en su caso, la hora en que se asiente la escritura, así como el nombre y apellidos del notario, el número de la notaría a su cargo, los nombres y apellidos de los comparecientes y el acto o actos que se consignen; </w:t>
      </w:r>
    </w:p>
    <w:p w14:paraId="18651EB8"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VII. Resumirá los antecedentes del acto y certificará haber tenido a la vista los documentos que se hayan presentado para la formación de la escritura, con las siguientes modalidades: </w:t>
      </w:r>
    </w:p>
    <w:p w14:paraId="251906E9"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a). Si se trata de inmuebles, relacionará cuando menos el último título de propiedad y, en su caso, citará los datos de su inscripción registral, y determinará su naturaleza, ubicación, superficie con medidas y linderos, en cuanto sea posible. </w:t>
      </w:r>
    </w:p>
    <w:p w14:paraId="224A02E6"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b). No deberá modificarse en una escritura la descripción de un inmueble, si con ésta se incrementa el área de su antecedente de propiedad. La adición podrá ser hecha si se funda en resolución judicial o administrativa de la que así se desprenda. </w:t>
      </w:r>
    </w:p>
    <w:p w14:paraId="0CFF495A"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c). Cualquier error aritmético o de transcripción que conste en instrumento o en asiento registral podrá aclararse por la parte interesada en la escritura. </w:t>
      </w:r>
    </w:p>
    <w:p w14:paraId="7C7C1A19"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d). Al citar un instrumento otorgado ante otro fedatario, expresará el nombre de éste y el número de la notaría que corresponde, así como su número y fecha y, en su caso, los datos de inscripción registral. </w:t>
      </w:r>
    </w:p>
    <w:p w14:paraId="30883F7D"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lastRenderedPageBreak/>
        <w:t xml:space="preserve">e). En las protocolizaciones de actas de asamblea de personas morales, se relacionarán los antecedentes necesarios para acreditar su constitución, así como la validez y eficacia de los acuerdos tomados de conformidad con su régimen legal y estatutos. </w:t>
      </w:r>
    </w:p>
    <w:p w14:paraId="31FC2F8F" w14:textId="75F87AB8"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VIII. Redactará ordenadamente las declaraciones de los comparecientes, que serán siempre hechas bajo protesta de decir verdad; el notario los apercibirá de las penas en que incurren quienes declaran con falsedad;</w:t>
      </w:r>
    </w:p>
    <w:p w14:paraId="42399005"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IX. Redactará con claridad las cláusulas relativas al acto que se otorgue; identificando con precisión los bienes que constituyan el objeto material del acto, así como los derechos y obligaciones que se deriven del mismo; </w:t>
      </w:r>
    </w:p>
    <w:p w14:paraId="605D5A13"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X. En caso de que algún compareciente actúe en representación de otro, el notario observará lo siguiente: </w:t>
      </w:r>
    </w:p>
    <w:p w14:paraId="0250D8CF"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a). Si la representación es de persona moral, dejará acreditada la legal constitución de ésta, su designación y las facultades de representación suficientes, para lo cual no será necesario que el notario realice transcripciones textuales de los instrumentos. </w:t>
      </w:r>
    </w:p>
    <w:p w14:paraId="1D814E99" w14:textId="1ED269C0"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b). Si la representación es de personas físicas, el notario solo relacionará sucintamente el instrumento que contenga el otorgamiento de las facultades de representación que se ostentan a favor de quien comparezca. </w:t>
      </w:r>
    </w:p>
    <w:p w14:paraId="092FBED3"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c). Siempre que alguien comparezca a nombre de otro, deberá declarar que sus facultades de representación son suficientes para el acto en que comparece, que son tal y como las asentó el notario y que dichas facultades no le han sido revocadas ni limitadas en forma alguna hasta esa fecha. Los apoderados de personas físicas deberán declarar que sus representados tienen capacidad legal. </w:t>
      </w:r>
    </w:p>
    <w:p w14:paraId="44F488DA"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XI. De los comparecientes, el notario expresará las generales siguientes: Su nacionalidad y la de sus padres, nombre y apellidos, lugar y fecha de nacimiento, ocupación, estado civil y domicilio. Al expresar el nombre de una mujer casada, incluirá su apellido materno. En el supuesto de representación de personas físicas, el representante deberá declarar las generales del representado mencionadas. </w:t>
      </w:r>
    </w:p>
    <w:p w14:paraId="606BC790"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lastRenderedPageBreak/>
        <w:t xml:space="preserve">Tratándose de extranjeros, asentará sus nombres y apellidos como aparecen en el documento migratorio correspondiente; </w:t>
      </w:r>
    </w:p>
    <w:p w14:paraId="5272DED7" w14:textId="77777777" w:rsidR="009F2A8B" w:rsidRPr="00515F6C" w:rsidRDefault="009F2A8B"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XII. Siempre hará constar bajo su fe respecto de los comparecientes, lo siguiente: </w:t>
      </w:r>
    </w:p>
    <w:p w14:paraId="571B515C"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a). Que acreditaron su identidad. </w:t>
      </w:r>
    </w:p>
    <w:p w14:paraId="69D9021C"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b). Que a su juicio tienen capacidad legal. </w:t>
      </w:r>
    </w:p>
    <w:p w14:paraId="48F1669B"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c). Que les fue leída la escritura. </w:t>
      </w:r>
    </w:p>
    <w:p w14:paraId="695BE4B7"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d). Que les explicó el valor y las consecuencias legales del contenido de la escritura. </w:t>
      </w:r>
    </w:p>
    <w:p w14:paraId="2563CABB"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e). Que manifestaron su conformidad con el texto leído mediante la impresión de su firma; si alguno de ellos manifestare no saber o no poder firmar, imprimirá huella digital, firmando otra persona a su ruego y encargo. De estar imposibilitado para imprimir su huella digital, se hará constar esta circunstancia por el notario. </w:t>
      </w:r>
    </w:p>
    <w:p w14:paraId="450F77D4" w14:textId="77777777" w:rsidR="009F2A8B" w:rsidRPr="00515F6C" w:rsidRDefault="009F2A8B" w:rsidP="0040316E">
      <w:pPr>
        <w:pStyle w:val="Prrafodelista"/>
        <w:spacing w:line="360" w:lineRule="auto"/>
        <w:ind w:left="851" w:right="616"/>
        <w:jc w:val="both"/>
        <w:rPr>
          <w:rFonts w:ascii="Palatino Linotype" w:hAnsi="Palatino Linotype"/>
          <w:i/>
          <w:sz w:val="22"/>
        </w:rPr>
      </w:pPr>
      <w:r w:rsidRPr="00515F6C">
        <w:rPr>
          <w:rFonts w:ascii="Palatino Linotype" w:hAnsi="Palatino Linotype"/>
          <w:i/>
          <w:sz w:val="22"/>
        </w:rPr>
        <w:t xml:space="preserve">f). Los hechos que el notario presencie y que sean relevantes o integrantes del acto. </w:t>
      </w:r>
    </w:p>
    <w:p w14:paraId="5888DCA7" w14:textId="7D74E40B" w:rsidR="009F2A8B" w:rsidRPr="00515F6C" w:rsidRDefault="009F2A8B" w:rsidP="0040316E">
      <w:pPr>
        <w:pStyle w:val="Prrafodelista"/>
        <w:spacing w:line="360" w:lineRule="auto"/>
        <w:ind w:left="851" w:right="616"/>
        <w:jc w:val="both"/>
        <w:rPr>
          <w:rFonts w:ascii="Palatino Linotype" w:eastAsia="Calibri" w:hAnsi="Palatino Linotype" w:cs="Times New Roman"/>
          <w:i/>
          <w:sz w:val="20"/>
          <w:lang w:val="es-ES_tradnl"/>
        </w:rPr>
      </w:pPr>
      <w:r w:rsidRPr="00515F6C">
        <w:rPr>
          <w:rFonts w:ascii="Palatino Linotype" w:hAnsi="Palatino Linotype"/>
          <w:i/>
          <w:sz w:val="22"/>
        </w:rPr>
        <w:t>g). La fecha o fechas en que firmen o impriman huella digital y el notario autorice la escritura.</w:t>
      </w:r>
    </w:p>
    <w:p w14:paraId="1585DD98" w14:textId="77777777" w:rsidR="009F2A8B" w:rsidRPr="00515F6C" w:rsidRDefault="009F2A8B" w:rsidP="00382BDE">
      <w:pPr>
        <w:pStyle w:val="Prrafodelista"/>
        <w:spacing w:line="360" w:lineRule="auto"/>
        <w:ind w:left="0"/>
        <w:jc w:val="both"/>
        <w:rPr>
          <w:rFonts w:ascii="Palatino Linotype" w:eastAsia="Calibri" w:hAnsi="Palatino Linotype" w:cs="Times New Roman"/>
          <w:i/>
          <w:sz w:val="22"/>
          <w:lang w:val="es-ES_tradnl"/>
        </w:rPr>
      </w:pPr>
    </w:p>
    <w:p w14:paraId="6C06DB72" w14:textId="67054584" w:rsidR="009F2A8B" w:rsidRPr="00515F6C" w:rsidRDefault="0040316E" w:rsidP="00F033A8">
      <w:pPr>
        <w:pStyle w:val="Prrafodelista"/>
        <w:numPr>
          <w:ilvl w:val="0"/>
          <w:numId w:val="1"/>
        </w:numPr>
        <w:spacing w:line="360" w:lineRule="auto"/>
        <w:jc w:val="both"/>
        <w:rPr>
          <w:rFonts w:ascii="Palatino Linotype" w:eastAsia="Calibri" w:hAnsi="Palatino Linotype" w:cs="Times New Roman"/>
          <w:i/>
          <w:sz w:val="22"/>
          <w:lang w:val="es-ES_tradnl"/>
        </w:rPr>
      </w:pPr>
      <w:r w:rsidRPr="00515F6C">
        <w:rPr>
          <w:rFonts w:ascii="Palatino Linotype" w:eastAsia="Calibri" w:hAnsi="Palatino Linotype" w:cs="Times New Roman"/>
          <w:sz w:val="22"/>
          <w:lang w:val="es-ES_tradnl"/>
        </w:rPr>
        <w:t>Lo anterior corresponde a la redacción de las escrituras públicas; además, el artículo 50 del mismo ordenamiento legal, establece lo siguiente:</w:t>
      </w:r>
    </w:p>
    <w:p w14:paraId="5048B484" w14:textId="77777777" w:rsidR="0040316E" w:rsidRPr="00515F6C" w:rsidRDefault="0040316E" w:rsidP="0040316E">
      <w:pPr>
        <w:pStyle w:val="Prrafodelista"/>
        <w:spacing w:line="360" w:lineRule="auto"/>
        <w:ind w:left="0"/>
        <w:jc w:val="both"/>
        <w:rPr>
          <w:rFonts w:ascii="Palatino Linotype" w:eastAsia="Calibri" w:hAnsi="Palatino Linotype" w:cs="Times New Roman"/>
          <w:i/>
          <w:sz w:val="22"/>
          <w:lang w:val="es-ES_tradnl"/>
        </w:rPr>
      </w:pPr>
    </w:p>
    <w:p w14:paraId="1750503E" w14:textId="1DDF0664" w:rsidR="0040316E" w:rsidRPr="00515F6C" w:rsidRDefault="0040316E" w:rsidP="0040316E">
      <w:pPr>
        <w:pStyle w:val="Prrafodelista"/>
        <w:spacing w:line="360" w:lineRule="auto"/>
        <w:ind w:left="567" w:right="616"/>
        <w:jc w:val="center"/>
        <w:rPr>
          <w:rFonts w:ascii="Palatino Linotype" w:hAnsi="Palatino Linotype"/>
          <w:b/>
          <w:i/>
          <w:sz w:val="22"/>
        </w:rPr>
      </w:pPr>
      <w:r w:rsidRPr="00515F6C">
        <w:rPr>
          <w:rFonts w:ascii="Palatino Linotype" w:hAnsi="Palatino Linotype"/>
          <w:b/>
          <w:i/>
          <w:sz w:val="22"/>
        </w:rPr>
        <w:t>CAPÍTULO SEGUNDO</w:t>
      </w:r>
    </w:p>
    <w:p w14:paraId="00A8D2FC" w14:textId="1004E1DA" w:rsidR="0040316E" w:rsidRPr="00515F6C" w:rsidRDefault="0040316E" w:rsidP="0040316E">
      <w:pPr>
        <w:pStyle w:val="Prrafodelista"/>
        <w:spacing w:line="360" w:lineRule="auto"/>
        <w:ind w:left="567" w:right="616"/>
        <w:jc w:val="center"/>
        <w:rPr>
          <w:rFonts w:ascii="Palatino Linotype" w:hAnsi="Palatino Linotype"/>
          <w:b/>
          <w:i/>
          <w:sz w:val="22"/>
        </w:rPr>
      </w:pPr>
      <w:r w:rsidRPr="00515F6C">
        <w:rPr>
          <w:rFonts w:ascii="Palatino Linotype" w:hAnsi="Palatino Linotype"/>
          <w:b/>
          <w:i/>
          <w:sz w:val="22"/>
        </w:rPr>
        <w:t>DEL PROTOCOLO</w:t>
      </w:r>
    </w:p>
    <w:p w14:paraId="4E8461C9" w14:textId="26593287" w:rsidR="0040316E" w:rsidRPr="00515F6C" w:rsidRDefault="0040316E" w:rsidP="0040316E">
      <w:pPr>
        <w:pStyle w:val="Prrafodelista"/>
        <w:spacing w:line="360" w:lineRule="auto"/>
        <w:ind w:left="567" w:right="616"/>
        <w:jc w:val="center"/>
        <w:rPr>
          <w:rFonts w:ascii="Palatino Linotype" w:hAnsi="Palatino Linotype"/>
          <w:b/>
          <w:i/>
          <w:sz w:val="22"/>
        </w:rPr>
      </w:pPr>
      <w:r w:rsidRPr="00515F6C">
        <w:rPr>
          <w:rFonts w:ascii="Palatino Linotype" w:hAnsi="Palatino Linotype"/>
          <w:b/>
          <w:i/>
          <w:sz w:val="22"/>
        </w:rPr>
        <w:t>SECCIÓN PRIMERA</w:t>
      </w:r>
    </w:p>
    <w:p w14:paraId="10420472" w14:textId="47A836FB" w:rsidR="0040316E" w:rsidRPr="00515F6C" w:rsidRDefault="0040316E" w:rsidP="0040316E">
      <w:pPr>
        <w:pStyle w:val="Prrafodelista"/>
        <w:spacing w:line="360" w:lineRule="auto"/>
        <w:ind w:left="567" w:right="616"/>
        <w:jc w:val="center"/>
        <w:rPr>
          <w:rFonts w:ascii="Palatino Linotype" w:eastAsia="Calibri" w:hAnsi="Palatino Linotype" w:cs="Times New Roman"/>
          <w:b/>
          <w:i/>
          <w:sz w:val="20"/>
          <w:lang w:val="es-ES_tradnl"/>
        </w:rPr>
      </w:pPr>
      <w:r w:rsidRPr="00515F6C">
        <w:rPr>
          <w:rFonts w:ascii="Palatino Linotype" w:hAnsi="Palatino Linotype"/>
          <w:b/>
          <w:i/>
          <w:sz w:val="22"/>
        </w:rPr>
        <w:t>DEL PROTOCOLO ORDINARIO, DEL ELECTRÓNICO, DEL ESPECIAL Y DEL ESPECIAL FEDERAL</w:t>
      </w:r>
    </w:p>
    <w:p w14:paraId="4FB150BF" w14:textId="77777777" w:rsidR="0040316E" w:rsidRPr="00515F6C" w:rsidRDefault="0040316E" w:rsidP="0040316E">
      <w:pPr>
        <w:pStyle w:val="Prrafodelista"/>
        <w:spacing w:line="360" w:lineRule="auto"/>
        <w:ind w:left="567" w:right="616"/>
        <w:jc w:val="both"/>
        <w:rPr>
          <w:rFonts w:ascii="Palatino Linotype" w:eastAsia="Calibri" w:hAnsi="Palatino Linotype" w:cs="Times New Roman"/>
          <w:i/>
          <w:sz w:val="20"/>
          <w:lang w:val="es-ES_tradnl"/>
        </w:rPr>
      </w:pPr>
    </w:p>
    <w:p w14:paraId="005094BD" w14:textId="77777777" w:rsidR="0040316E" w:rsidRPr="00515F6C" w:rsidRDefault="0040316E"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Artículo 50. Protocolo es el libro o conjunto de libros físicos o electrónicos que se forman con los folios físicos o electrónicos separados y numerados progresivamente en los que el notario asienta y autentifica, con las formalidades de ley, los actos y hechos jurídicos </w:t>
      </w:r>
      <w:r w:rsidRPr="00515F6C">
        <w:rPr>
          <w:rFonts w:ascii="Palatino Linotype" w:hAnsi="Palatino Linotype"/>
          <w:i/>
          <w:sz w:val="22"/>
        </w:rPr>
        <w:lastRenderedPageBreak/>
        <w:t xml:space="preserve">otorgados ante su fe, así como los libros de cotejos y sus correspondientes apéndices e índices. </w:t>
      </w:r>
    </w:p>
    <w:p w14:paraId="3900AB68" w14:textId="77777777" w:rsidR="0040316E" w:rsidRPr="00515F6C" w:rsidRDefault="0040316E" w:rsidP="0040316E">
      <w:pPr>
        <w:pStyle w:val="Prrafodelista"/>
        <w:spacing w:line="360" w:lineRule="auto"/>
        <w:ind w:left="567" w:right="616"/>
        <w:jc w:val="both"/>
        <w:rPr>
          <w:rFonts w:ascii="Palatino Linotype" w:hAnsi="Palatino Linotype"/>
          <w:i/>
          <w:sz w:val="22"/>
        </w:rPr>
      </w:pPr>
    </w:p>
    <w:p w14:paraId="69BC7DD6" w14:textId="77777777" w:rsidR="0040316E" w:rsidRPr="00515F6C" w:rsidRDefault="0040316E"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Los Protocolos pueden ser físicos o electrónicos, dependiendo del formato en el que se encuentren los folios que contengan los actos o hechos jurídicos en los que el notario haya otorgado su fe. </w:t>
      </w:r>
    </w:p>
    <w:p w14:paraId="16304335" w14:textId="77777777" w:rsidR="0040316E" w:rsidRPr="00515F6C" w:rsidRDefault="0040316E" w:rsidP="0040316E">
      <w:pPr>
        <w:pStyle w:val="Prrafodelista"/>
        <w:spacing w:line="360" w:lineRule="auto"/>
        <w:ind w:left="567" w:right="616"/>
        <w:jc w:val="both"/>
        <w:rPr>
          <w:rFonts w:ascii="Palatino Linotype" w:hAnsi="Palatino Linotype"/>
          <w:i/>
          <w:sz w:val="22"/>
        </w:rPr>
      </w:pPr>
    </w:p>
    <w:p w14:paraId="548F0F5C" w14:textId="77777777" w:rsidR="0040316E" w:rsidRPr="00515F6C" w:rsidRDefault="0040316E" w:rsidP="0040316E">
      <w:pPr>
        <w:pStyle w:val="Prrafodelista"/>
        <w:spacing w:line="360" w:lineRule="auto"/>
        <w:ind w:left="567" w:right="616"/>
        <w:jc w:val="both"/>
        <w:rPr>
          <w:rFonts w:ascii="Palatino Linotype" w:hAnsi="Palatino Linotype"/>
          <w:i/>
          <w:sz w:val="22"/>
        </w:rPr>
      </w:pPr>
      <w:r w:rsidRPr="00515F6C">
        <w:rPr>
          <w:rFonts w:ascii="Palatino Linotype" w:hAnsi="Palatino Linotype"/>
          <w:i/>
          <w:sz w:val="22"/>
        </w:rPr>
        <w:t xml:space="preserve">El protocolo electrónico es el libro o conjunto de libros en formato digital, que se forma con folios electrónicos separados y numerados progresivamente en los que el notario asienta y autentifica, con las formalidades de la ley, los actos jurídicos que fueron realizados de forma electrónica y otorgados ante su fe, así como sus correspondientes apéndices e índices. </w:t>
      </w:r>
    </w:p>
    <w:p w14:paraId="1D86A10E" w14:textId="77777777" w:rsidR="0040316E" w:rsidRPr="00515F6C" w:rsidRDefault="0040316E" w:rsidP="0040316E">
      <w:pPr>
        <w:pStyle w:val="Prrafodelista"/>
        <w:spacing w:line="360" w:lineRule="auto"/>
        <w:ind w:left="567" w:right="616"/>
        <w:jc w:val="both"/>
        <w:rPr>
          <w:rFonts w:ascii="Palatino Linotype" w:hAnsi="Palatino Linotype"/>
          <w:i/>
          <w:sz w:val="22"/>
        </w:rPr>
      </w:pPr>
    </w:p>
    <w:p w14:paraId="1B5228A8" w14:textId="0F4D24BA" w:rsidR="0040316E" w:rsidRPr="00515F6C" w:rsidRDefault="0040316E" w:rsidP="0040316E">
      <w:pPr>
        <w:pStyle w:val="Prrafodelista"/>
        <w:spacing w:line="360" w:lineRule="auto"/>
        <w:ind w:left="567" w:right="616"/>
        <w:jc w:val="both"/>
        <w:rPr>
          <w:rFonts w:ascii="Palatino Linotype" w:eastAsia="Calibri" w:hAnsi="Palatino Linotype" w:cs="Times New Roman"/>
          <w:i/>
          <w:sz w:val="20"/>
          <w:lang w:val="es-ES_tradnl"/>
        </w:rPr>
      </w:pPr>
      <w:r w:rsidRPr="00515F6C">
        <w:rPr>
          <w:rFonts w:ascii="Palatino Linotype" w:hAnsi="Palatino Linotype"/>
          <w:i/>
          <w:sz w:val="22"/>
        </w:rPr>
        <w:t>Para el caso de los folios físicos, la Secretaría asentará en los folios entregados por el Colegio, en una hoja en blanco, razón que contenga el lugar y la fecha de autorización; el número de folios entregados, mismos que deberá sellar individualmente; y el volumen o volúmenes a los que correspondan; el nombre y apellidos del notario; el número de la notaría y su lugar de residencia; así como la expresión de que esos folios solamente deben ser utilizados por el notario para quien se autorizan, por su asociado o por quien legalmente lo sustituya en sus funciones.</w:t>
      </w:r>
    </w:p>
    <w:p w14:paraId="39EE76F8" w14:textId="77777777" w:rsidR="0040316E" w:rsidRPr="00515F6C" w:rsidRDefault="0040316E" w:rsidP="0040316E">
      <w:pPr>
        <w:pStyle w:val="Prrafodelista"/>
        <w:spacing w:line="360" w:lineRule="auto"/>
        <w:ind w:left="0"/>
        <w:jc w:val="both"/>
        <w:rPr>
          <w:rFonts w:ascii="Palatino Linotype" w:eastAsia="Calibri" w:hAnsi="Palatino Linotype" w:cs="Times New Roman"/>
          <w:i/>
          <w:sz w:val="22"/>
          <w:lang w:val="es-ES_tradnl"/>
        </w:rPr>
      </w:pPr>
    </w:p>
    <w:p w14:paraId="66644376" w14:textId="64C48522" w:rsidR="005D651A" w:rsidRPr="00515F6C" w:rsidRDefault="005D651A" w:rsidP="00F033A8">
      <w:pPr>
        <w:pStyle w:val="Prrafodelista"/>
        <w:numPr>
          <w:ilvl w:val="0"/>
          <w:numId w:val="1"/>
        </w:numPr>
        <w:spacing w:line="360" w:lineRule="auto"/>
        <w:jc w:val="both"/>
        <w:rPr>
          <w:rFonts w:ascii="Palatino Linotype" w:eastAsia="Calibri" w:hAnsi="Palatino Linotype" w:cs="Times New Roman"/>
          <w:i/>
          <w:sz w:val="22"/>
          <w:lang w:val="es-ES_tradnl"/>
        </w:rPr>
      </w:pPr>
      <w:r w:rsidRPr="00515F6C">
        <w:rPr>
          <w:rFonts w:ascii="Palatino Linotype" w:eastAsia="Calibri" w:hAnsi="Palatino Linotype" w:cs="Times New Roman"/>
          <w:lang w:val="es-ES_tradnl"/>
        </w:rPr>
        <w:t xml:space="preserve">El llamado protocolo es el libro, ya sea electrónico o físico en el cual los Notarios llevan el registro de los folios numerados progresivamente de los actos o hechos jurídicos, por lo que, aún y cuando los números de escritura o instrumento notarial, sea un consecutivo, en este caso en particular se relaciona directamente con </w:t>
      </w:r>
      <w:r w:rsidRPr="00515F6C">
        <w:rPr>
          <w:rFonts w:ascii="Palatino Linotype" w:eastAsia="Calibri" w:hAnsi="Palatino Linotype" w:cs="Times New Roman"/>
          <w:lang w:val="es-ES_tradnl"/>
        </w:rPr>
        <w:lastRenderedPageBreak/>
        <w:t>los bienes patrimoniales del titular del inmueble, por lo que se considera que es información que si debe ser clasificada como confidencial.</w:t>
      </w:r>
    </w:p>
    <w:bookmarkEnd w:id="32"/>
    <w:p w14:paraId="62344609" w14:textId="77777777" w:rsidR="005D651A" w:rsidRPr="00515F6C" w:rsidRDefault="005D651A" w:rsidP="005D651A">
      <w:pPr>
        <w:pStyle w:val="Default"/>
        <w:spacing w:line="360" w:lineRule="auto"/>
        <w:jc w:val="both"/>
        <w:rPr>
          <w:rFonts w:ascii="Palatino Linotype" w:hAnsi="Palatino Linotype"/>
        </w:rPr>
      </w:pPr>
    </w:p>
    <w:p w14:paraId="7EDDD2EA" w14:textId="70FC40E5" w:rsidR="005D651A" w:rsidRPr="00515F6C" w:rsidRDefault="005D651A" w:rsidP="002C45B1">
      <w:pPr>
        <w:pStyle w:val="Default"/>
        <w:numPr>
          <w:ilvl w:val="0"/>
          <w:numId w:val="1"/>
        </w:numPr>
        <w:spacing w:line="360" w:lineRule="auto"/>
        <w:jc w:val="both"/>
        <w:rPr>
          <w:rFonts w:ascii="Palatino Linotype" w:hAnsi="Palatino Linotype"/>
        </w:rPr>
      </w:pPr>
      <w:r w:rsidRPr="00515F6C">
        <w:rPr>
          <w:rFonts w:ascii="Palatino Linotype" w:hAnsi="Palatino Linotype"/>
        </w:rPr>
        <w:t>Ento</w:t>
      </w:r>
      <w:r w:rsidR="00A8324B" w:rsidRPr="00515F6C">
        <w:rPr>
          <w:rFonts w:ascii="Palatino Linotype" w:hAnsi="Palatino Linotype"/>
        </w:rPr>
        <w:t>n</w:t>
      </w:r>
      <w:r w:rsidRPr="00515F6C">
        <w:rPr>
          <w:rFonts w:ascii="Palatino Linotype" w:hAnsi="Palatino Linotype"/>
        </w:rPr>
        <w:t>c</w:t>
      </w:r>
      <w:r w:rsidR="00A8324B" w:rsidRPr="00515F6C">
        <w:rPr>
          <w:rFonts w:ascii="Palatino Linotype" w:hAnsi="Palatino Linotype"/>
        </w:rPr>
        <w:t>e</w:t>
      </w:r>
      <w:r w:rsidRPr="00515F6C">
        <w:rPr>
          <w:rFonts w:ascii="Palatino Linotype" w:hAnsi="Palatino Linotype"/>
        </w:rPr>
        <w:t>s, derivado del análisis anterior, se considera que, en este caso le asiste parcialmente la razón al Recurrente, por el hecho de que las versiones públicas proporcionadas por el Sujeto Obligado resultan excesivas al clasificar como confidencial información que resulta de acceso público. En consecuencia, se ORDEN</w:t>
      </w:r>
      <w:r w:rsidR="00A8324B" w:rsidRPr="00515F6C">
        <w:rPr>
          <w:rFonts w:ascii="Palatino Linotype" w:hAnsi="Palatino Linotype"/>
        </w:rPr>
        <w:t>A</w:t>
      </w:r>
      <w:r w:rsidRPr="00515F6C">
        <w:rPr>
          <w:rFonts w:ascii="Palatino Linotype" w:hAnsi="Palatino Linotype"/>
        </w:rPr>
        <w:t xml:space="preserve"> al Sujeto Obligado entrega de nueva cuenta las autorizaciones </w:t>
      </w:r>
    </w:p>
    <w:p w14:paraId="2E69FFBD" w14:textId="77777777" w:rsidR="005D651A" w:rsidRPr="00515F6C" w:rsidRDefault="005D651A" w:rsidP="005D651A">
      <w:pPr>
        <w:pStyle w:val="Prrafodelista"/>
        <w:rPr>
          <w:rFonts w:ascii="Palatino Linotype" w:hAnsi="Palatino Linotype"/>
        </w:rPr>
      </w:pPr>
    </w:p>
    <w:p w14:paraId="4D13AEE9" w14:textId="2458418C" w:rsidR="001D726F" w:rsidRPr="00515F6C" w:rsidRDefault="00A8324B" w:rsidP="00037418">
      <w:pPr>
        <w:pStyle w:val="Default"/>
        <w:numPr>
          <w:ilvl w:val="0"/>
          <w:numId w:val="1"/>
        </w:numPr>
        <w:tabs>
          <w:tab w:val="left" w:pos="567"/>
        </w:tabs>
        <w:spacing w:line="360" w:lineRule="auto"/>
        <w:jc w:val="both"/>
        <w:rPr>
          <w:rFonts w:ascii="Palatino Linotype" w:eastAsia="Calibri" w:hAnsi="Palatino Linotype"/>
        </w:rPr>
      </w:pPr>
      <w:r w:rsidRPr="00515F6C">
        <w:rPr>
          <w:rFonts w:ascii="Palatino Linotype" w:eastAsia="Calibri" w:hAnsi="Palatino Linotype"/>
        </w:rPr>
        <w:t xml:space="preserve">El </w:t>
      </w:r>
      <w:r w:rsidR="00202737" w:rsidRPr="00515F6C">
        <w:rPr>
          <w:rFonts w:ascii="Palatino Linotype" w:eastAsia="Calibri" w:hAnsi="Palatino Linotype"/>
        </w:rPr>
        <w:t>Sujeto Ob</w:t>
      </w:r>
      <w:r w:rsidRPr="00515F6C">
        <w:rPr>
          <w:rFonts w:ascii="Palatino Linotype" w:eastAsia="Calibri" w:hAnsi="Palatino Linotype"/>
        </w:rPr>
        <w:t xml:space="preserve">ligado, para la elaboración de las versiones públicas debe estar </w:t>
      </w:r>
      <w:r w:rsidR="00202737" w:rsidRPr="00515F6C">
        <w:rPr>
          <w:rFonts w:ascii="Palatino Linotype" w:eastAsia="Calibri" w:hAnsi="Palatino Linotype"/>
        </w:rPr>
        <w:t>a lo dispuesto en el Considerando QUINTO de la presente resolución.</w:t>
      </w:r>
    </w:p>
    <w:p w14:paraId="3848AF24" w14:textId="77777777" w:rsidR="00B90F29" w:rsidRPr="00515F6C" w:rsidRDefault="00B90F29" w:rsidP="00B90F29">
      <w:pPr>
        <w:pStyle w:val="Prrafodelista"/>
        <w:rPr>
          <w:rFonts w:ascii="Palatino Linotype" w:eastAsia="Calibri" w:hAnsi="Palatino Linotype"/>
        </w:rPr>
      </w:pPr>
    </w:p>
    <w:p w14:paraId="1162D4E2" w14:textId="46F61B7E" w:rsidR="00B90F29" w:rsidRPr="00515F6C" w:rsidRDefault="00B90F29" w:rsidP="00B90F29">
      <w:pPr>
        <w:pStyle w:val="Ttulo3"/>
        <w:rPr>
          <w:rFonts w:ascii="Palatino Linotype" w:hAnsi="Palatino Linotype"/>
          <w:b/>
          <w:color w:val="auto"/>
        </w:rPr>
      </w:pPr>
      <w:r w:rsidRPr="00515F6C">
        <w:rPr>
          <w:rFonts w:ascii="Palatino Linotype" w:hAnsi="Palatino Linotype"/>
          <w:b/>
          <w:color w:val="auto"/>
        </w:rPr>
        <w:t>III. De la modalidad de entrega.</w:t>
      </w:r>
    </w:p>
    <w:p w14:paraId="178D9668" w14:textId="77777777" w:rsidR="00B90F29" w:rsidRPr="00515F6C" w:rsidRDefault="00B90F29" w:rsidP="00B90F29">
      <w:pPr>
        <w:pStyle w:val="Prrafodelista"/>
        <w:rPr>
          <w:rFonts w:ascii="Palatino Linotype" w:eastAsia="Calibri" w:hAnsi="Palatino Linotype"/>
        </w:rPr>
      </w:pPr>
    </w:p>
    <w:p w14:paraId="0304A53B" w14:textId="77777777" w:rsidR="00B90F29" w:rsidRPr="00515F6C" w:rsidRDefault="00B90F29" w:rsidP="00B90F29">
      <w:pPr>
        <w:pStyle w:val="Prrafodelista"/>
        <w:numPr>
          <w:ilvl w:val="0"/>
          <w:numId w:val="1"/>
        </w:numPr>
        <w:spacing w:line="360" w:lineRule="auto"/>
        <w:jc w:val="both"/>
        <w:rPr>
          <w:rFonts w:ascii="Palatino Linotype" w:eastAsia="Calibri" w:hAnsi="Palatino Linotype" w:cs="Arial"/>
        </w:rPr>
      </w:pPr>
      <w:r w:rsidRPr="00515F6C">
        <w:rPr>
          <w:rFonts w:ascii="Palatino Linotype" w:eastAsia="Calibri" w:hAnsi="Palatino Linotype" w:cs="Arial"/>
        </w:rPr>
        <w:t>Los particulares pueden formular solicitudes de manera física o electrónica. En ambos casos es necesario que el recurrente señale la modalidad en la que desea le proporcionen la información, tal y como lo establece el artículo 155 de la Ley de Transparencia y Acceso a la Información Pública del Estado de México y Municipios en el artículo 155 siendo lo siguiente:</w:t>
      </w:r>
    </w:p>
    <w:p w14:paraId="6443723E" w14:textId="77777777" w:rsidR="00B90F29" w:rsidRPr="00515F6C" w:rsidRDefault="00B90F29" w:rsidP="00B90F29">
      <w:pPr>
        <w:pStyle w:val="Prrafodelista"/>
        <w:spacing w:line="360" w:lineRule="auto"/>
        <w:ind w:left="567" w:right="567"/>
        <w:jc w:val="both"/>
        <w:rPr>
          <w:rFonts w:ascii="Palatino Linotype" w:eastAsia="Calibri" w:hAnsi="Palatino Linotype" w:cs="Arial"/>
          <w:i/>
          <w:sz w:val="28"/>
        </w:rPr>
      </w:pPr>
    </w:p>
    <w:p w14:paraId="0A829C01"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Bold"/>
          <w:b/>
          <w:bCs/>
          <w:i/>
          <w:sz w:val="22"/>
        </w:rPr>
        <w:t xml:space="preserve">Artículo 155. </w:t>
      </w:r>
      <w:r w:rsidRPr="00515F6C">
        <w:rPr>
          <w:rFonts w:ascii="Palatino Linotype" w:hAnsi="Palatino Linotype" w:cs="Bookman Old Style"/>
          <w:b/>
          <w:i/>
          <w:sz w:val="22"/>
        </w:rPr>
        <w:t>Para presentar una solicitud por escrito, no se podrán exigir mayores requisitos que los siguientes:</w:t>
      </w:r>
    </w:p>
    <w:p w14:paraId="4FA796EC"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p>
    <w:p w14:paraId="6B55BD4A"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Bold"/>
          <w:b/>
          <w:bCs/>
          <w:i/>
          <w:sz w:val="22"/>
        </w:rPr>
        <w:t xml:space="preserve">I. </w:t>
      </w:r>
      <w:r w:rsidRPr="00515F6C">
        <w:rPr>
          <w:rFonts w:ascii="Palatino Linotype" w:hAnsi="Palatino Linotype" w:cs="Bookman Old Style"/>
          <w:i/>
          <w:sz w:val="22"/>
        </w:rPr>
        <w:t>Nombre del solicitante, o en su caso, los datos generales de su representante;</w:t>
      </w:r>
    </w:p>
    <w:p w14:paraId="534BACC1"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Bold"/>
          <w:b/>
          <w:bCs/>
          <w:i/>
          <w:sz w:val="22"/>
        </w:rPr>
        <w:t xml:space="preserve">II. </w:t>
      </w:r>
      <w:r w:rsidRPr="00515F6C">
        <w:rPr>
          <w:rFonts w:ascii="Palatino Linotype" w:hAnsi="Palatino Linotype" w:cs="Bookman Old Style"/>
          <w:i/>
          <w:sz w:val="22"/>
        </w:rPr>
        <w:t>Domicilio o en su caso correo electrónico para recibir notificaciones;</w:t>
      </w:r>
    </w:p>
    <w:p w14:paraId="192F3F1C"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Bold"/>
          <w:b/>
          <w:bCs/>
          <w:i/>
          <w:sz w:val="22"/>
        </w:rPr>
        <w:t xml:space="preserve">III. </w:t>
      </w:r>
      <w:r w:rsidRPr="00515F6C">
        <w:rPr>
          <w:rFonts w:ascii="Palatino Linotype" w:hAnsi="Palatino Linotype" w:cs="Bookman Old Style"/>
          <w:i/>
          <w:sz w:val="22"/>
        </w:rPr>
        <w:t>La descripción de la información solicitada;</w:t>
      </w:r>
    </w:p>
    <w:p w14:paraId="4494C43A"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Bold"/>
          <w:b/>
          <w:bCs/>
          <w:i/>
          <w:sz w:val="22"/>
        </w:rPr>
        <w:lastRenderedPageBreak/>
        <w:t xml:space="preserve">IV. </w:t>
      </w:r>
      <w:r w:rsidRPr="00515F6C">
        <w:rPr>
          <w:rFonts w:ascii="Palatino Linotype" w:hAnsi="Palatino Linotype" w:cs="Bookman Old Style"/>
          <w:i/>
          <w:sz w:val="22"/>
        </w:rPr>
        <w:t>Cualquier otro dato que facilite la búsqueda y eventual localización de la información; y</w:t>
      </w:r>
    </w:p>
    <w:p w14:paraId="1A38C19C"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b/>
          <w:i/>
          <w:sz w:val="22"/>
        </w:rPr>
      </w:pPr>
      <w:r w:rsidRPr="00515F6C">
        <w:rPr>
          <w:rFonts w:ascii="Palatino Linotype" w:hAnsi="Palatino Linotype" w:cs="Bookman Old Style,Bold"/>
          <w:b/>
          <w:bCs/>
          <w:i/>
          <w:sz w:val="22"/>
        </w:rPr>
        <w:t xml:space="preserve">V. </w:t>
      </w:r>
      <w:r w:rsidRPr="00515F6C">
        <w:rPr>
          <w:rFonts w:ascii="Palatino Linotype" w:hAnsi="Palatino Linotype" w:cs="Bookman Old Style"/>
          <w:b/>
          <w:i/>
          <w:sz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E683DAA"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p>
    <w:p w14:paraId="50125AE1"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
          <w:i/>
          <w:sz w:val="22"/>
        </w:rPr>
        <w:t>Queda prohibido para los sujetos obligados recabar datos que den lugar a indagatorias sobre las motivaciones de la solicitud de información y su uso posterior.</w:t>
      </w:r>
    </w:p>
    <w:p w14:paraId="6B354573"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p>
    <w:p w14:paraId="75B63334"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r w:rsidRPr="00515F6C">
        <w:rPr>
          <w:rFonts w:ascii="Palatino Linotype" w:hAnsi="Palatino Linotype" w:cs="Bookman Old Styl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9D7376B"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i/>
          <w:sz w:val="22"/>
        </w:rPr>
      </w:pPr>
    </w:p>
    <w:p w14:paraId="0075E282"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b/>
          <w:i/>
          <w:sz w:val="22"/>
        </w:rPr>
      </w:pPr>
      <w:r w:rsidRPr="00515F6C">
        <w:rPr>
          <w:rFonts w:ascii="Palatino Linotype" w:hAnsi="Palatino Linotype" w:cs="Bookman Old Style"/>
          <w:b/>
          <w:i/>
          <w:sz w:val="22"/>
        </w:rPr>
        <w:t>La información de las fracciones I y IV será proporcionada por el solicitante de manera opcional y, en ningún caso, podrá ser un requisito indispensable para la procedencia de la solicitud.</w:t>
      </w:r>
    </w:p>
    <w:p w14:paraId="457F5883" w14:textId="77777777" w:rsidR="00B90F29" w:rsidRPr="00515F6C" w:rsidRDefault="00B90F29" w:rsidP="00B90F29">
      <w:pPr>
        <w:autoSpaceDE w:val="0"/>
        <w:autoSpaceDN w:val="0"/>
        <w:adjustRightInd w:val="0"/>
        <w:spacing w:line="360" w:lineRule="auto"/>
        <w:ind w:left="567" w:right="567"/>
        <w:jc w:val="both"/>
        <w:rPr>
          <w:rFonts w:ascii="Palatino Linotype" w:hAnsi="Palatino Linotype" w:cs="Bookman Old Style"/>
          <w:b/>
          <w:i/>
          <w:sz w:val="22"/>
        </w:rPr>
      </w:pPr>
      <w:r w:rsidRPr="00515F6C">
        <w:rPr>
          <w:rFonts w:ascii="Palatino Linotype" w:hAnsi="Palatino Linotype" w:cs="Bookman Old Style"/>
          <w:b/>
          <w:i/>
          <w:sz w:val="22"/>
        </w:rPr>
        <w:t>(Énfasis añadido)</w:t>
      </w:r>
    </w:p>
    <w:p w14:paraId="417377C7" w14:textId="77777777" w:rsidR="00B90F29" w:rsidRPr="00515F6C" w:rsidRDefault="00B90F29" w:rsidP="00B90F29">
      <w:pPr>
        <w:autoSpaceDE w:val="0"/>
        <w:autoSpaceDN w:val="0"/>
        <w:adjustRightInd w:val="0"/>
        <w:spacing w:line="360" w:lineRule="auto"/>
        <w:ind w:right="567"/>
        <w:jc w:val="both"/>
        <w:rPr>
          <w:rFonts w:ascii="Palatino Linotype" w:hAnsi="Palatino Linotype" w:cs="Bookman Old Style"/>
          <w:b/>
          <w:i/>
        </w:rPr>
      </w:pPr>
    </w:p>
    <w:p w14:paraId="05C6D89A" w14:textId="77777777" w:rsidR="00B90F29" w:rsidRPr="00515F6C" w:rsidRDefault="00B90F29" w:rsidP="00B90F29">
      <w:pPr>
        <w:pStyle w:val="Prrafodelista"/>
        <w:numPr>
          <w:ilvl w:val="0"/>
          <w:numId w:val="1"/>
        </w:numPr>
        <w:spacing w:line="360" w:lineRule="auto"/>
        <w:jc w:val="both"/>
        <w:rPr>
          <w:rFonts w:ascii="Palatino Linotype" w:eastAsia="Calibri" w:hAnsi="Palatino Linotype" w:cs="Arial"/>
        </w:rPr>
      </w:pPr>
      <w:r w:rsidRPr="00515F6C">
        <w:rPr>
          <w:rFonts w:ascii="Palatino Linotype" w:eastAsia="Calibri" w:hAnsi="Palatino Linotype" w:cs="Arial"/>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38702E1D" w14:textId="77777777" w:rsidR="00B90F29" w:rsidRPr="00515F6C" w:rsidRDefault="00B90F29" w:rsidP="00B90F29">
      <w:pPr>
        <w:pStyle w:val="Prrafodelista"/>
        <w:tabs>
          <w:tab w:val="left" w:pos="851"/>
        </w:tabs>
        <w:spacing w:line="360" w:lineRule="auto"/>
        <w:ind w:left="0" w:right="49"/>
        <w:jc w:val="both"/>
        <w:rPr>
          <w:rFonts w:ascii="Palatino Linotype" w:hAnsi="Palatino Linotype"/>
          <w:lang w:val="es-ES"/>
        </w:rPr>
      </w:pPr>
    </w:p>
    <w:p w14:paraId="2FDC086A" w14:textId="6C064DFF" w:rsidR="001566DF" w:rsidRPr="00515F6C" w:rsidRDefault="00B90F29" w:rsidP="00B90F29">
      <w:pPr>
        <w:pStyle w:val="Prrafodelista"/>
        <w:numPr>
          <w:ilvl w:val="0"/>
          <w:numId w:val="1"/>
        </w:numPr>
        <w:tabs>
          <w:tab w:val="left" w:pos="851"/>
        </w:tabs>
        <w:spacing w:line="360" w:lineRule="auto"/>
        <w:ind w:right="49"/>
        <w:jc w:val="both"/>
        <w:rPr>
          <w:rFonts w:ascii="Palatino Linotype" w:hAnsi="Palatino Linotype"/>
          <w:lang w:val="es-ES"/>
        </w:rPr>
      </w:pPr>
      <w:r w:rsidRPr="00515F6C">
        <w:rPr>
          <w:rFonts w:ascii="Palatino Linotype" w:hAnsi="Palatino Linotype"/>
          <w:lang w:val="es-ES"/>
        </w:rPr>
        <w:lastRenderedPageBreak/>
        <w:t xml:space="preserve">Además, </w:t>
      </w:r>
      <w:r w:rsidRPr="00515F6C">
        <w:rPr>
          <w:rFonts w:ascii="Palatino Linotype" w:eastAsia="Calibri" w:hAnsi="Palatino Linotype" w:cs="Arial"/>
        </w:rPr>
        <w:t xml:space="preserve">la Ley en materia, pero ahora en el artículo 164 menciona </w:t>
      </w:r>
      <w:r w:rsidRPr="00515F6C">
        <w:rPr>
          <w:rFonts w:ascii="Palatino Linotype" w:eastAsia="Calibri" w:hAnsi="Palatino Linotype" w:cs="Arial"/>
          <w:i/>
        </w:rPr>
        <w:t xml:space="preserve">que el acceso se dará en la modalidad de entrega y, en su caso, de envío elegidos por el solicitante. </w:t>
      </w:r>
      <w:r w:rsidRPr="00515F6C">
        <w:rPr>
          <w:rFonts w:ascii="Palatino Linotype" w:eastAsia="Calibri" w:hAnsi="Palatino Linotype" w:cs="Arial"/>
          <w:iCs/>
        </w:rPr>
        <w:t>La</w:t>
      </w:r>
      <w:r w:rsidRPr="00515F6C">
        <w:rPr>
          <w:rFonts w:ascii="Palatino Linotype" w:hAnsi="Palatino Linotype"/>
          <w:lang w:val="es-ES"/>
        </w:rPr>
        <w:t xml:space="preserve"> información deberá ser entregada mediante la modalidad elegida por el particular, en este caso en particular, señaló, en una solicitud, a través </w:t>
      </w:r>
      <w:r w:rsidR="001566DF" w:rsidRPr="00515F6C">
        <w:rPr>
          <w:rFonts w:ascii="Palatino Linotype" w:hAnsi="Palatino Linotype"/>
          <w:lang w:val="es-ES"/>
        </w:rPr>
        <w:t>de SAIMEX</w:t>
      </w:r>
      <w:r w:rsidRPr="00515F6C">
        <w:rPr>
          <w:rFonts w:ascii="Palatino Linotype" w:hAnsi="Palatino Linotype"/>
          <w:lang w:val="es-ES"/>
        </w:rPr>
        <w:t xml:space="preserve"> y copias simples</w:t>
      </w:r>
      <w:r w:rsidR="001566DF" w:rsidRPr="00515F6C">
        <w:rPr>
          <w:rFonts w:ascii="Palatino Linotype" w:hAnsi="Palatino Linotype"/>
          <w:lang w:val="es-ES"/>
        </w:rPr>
        <w:t>. Sobre este último elemento, resulta importante señalar que lo idóneo es respetar la modalidad de entrega únicamente a través del SAIMEX, en razón de que, al tratarse de documentos electrónicos digitalizados, cuentan con la característica de ser descargables en cualquier equipo de cómputo, lo que permite la libre manipulación de cualquier persona, ya sea para la transferencia electrónica, descarga a medios de almacenamiento o la impresión de documentos esto de manera fácil y sencilla. Al poder ser impresos por el propio Recurrente y sus medios, simplifica, al tiempo que acelera tiempos y reduce costos por pagos de derechos, traslado, entre otros, de este modo no se vulnera de ningún modo el derecho del particular.</w:t>
      </w:r>
    </w:p>
    <w:p w14:paraId="3647DA11" w14:textId="77777777" w:rsidR="001566DF" w:rsidRPr="00515F6C" w:rsidRDefault="001566DF" w:rsidP="001566DF">
      <w:pPr>
        <w:pStyle w:val="Prrafodelista"/>
        <w:rPr>
          <w:rFonts w:ascii="Palatino Linotype" w:hAnsi="Palatino Linotype"/>
          <w:lang w:val="es-ES"/>
        </w:rPr>
      </w:pPr>
    </w:p>
    <w:p w14:paraId="00EFCD85" w14:textId="77777777" w:rsidR="00014006" w:rsidRPr="00515F6C" w:rsidRDefault="00014006" w:rsidP="00014006">
      <w:pPr>
        <w:pStyle w:val="Ttulo1"/>
        <w:rPr>
          <w:rFonts w:eastAsia="Calibri"/>
          <w:b/>
          <w:szCs w:val="24"/>
        </w:rPr>
      </w:pPr>
      <w:r w:rsidRPr="00515F6C">
        <w:rPr>
          <w:rFonts w:eastAsia="Calibri"/>
          <w:b/>
          <w:szCs w:val="24"/>
        </w:rPr>
        <w:t>QUINTO. VERSIÓN PÚBLICA.</w:t>
      </w:r>
    </w:p>
    <w:p w14:paraId="0AAC1387" w14:textId="0A419DE2" w:rsidR="00014006" w:rsidRPr="00515F6C" w:rsidRDefault="00C61825" w:rsidP="00014006">
      <w:pPr>
        <w:rPr>
          <w:lang w:eastAsia="en-US"/>
        </w:rPr>
      </w:pPr>
      <w:r w:rsidRPr="00515F6C">
        <w:rPr>
          <w:lang w:eastAsia="en-US"/>
        </w:rPr>
        <w:t xml:space="preserve"> </w:t>
      </w:r>
    </w:p>
    <w:p w14:paraId="0675DBF8" w14:textId="77777777" w:rsidR="00014006" w:rsidRPr="00515F6C" w:rsidRDefault="00014006" w:rsidP="003B5FD2">
      <w:pPr>
        <w:pStyle w:val="Ttulo1"/>
        <w:numPr>
          <w:ilvl w:val="0"/>
          <w:numId w:val="10"/>
        </w:numPr>
        <w:tabs>
          <w:tab w:val="num" w:pos="360"/>
        </w:tabs>
        <w:spacing w:before="0" w:line="360" w:lineRule="auto"/>
        <w:ind w:left="0" w:firstLine="0"/>
        <w:rPr>
          <w:b/>
          <w:color w:val="000000" w:themeColor="text1"/>
          <w:szCs w:val="24"/>
        </w:rPr>
      </w:pPr>
      <w:bookmarkStart w:id="33" w:name="_Toc48135362"/>
      <w:bookmarkStart w:id="34" w:name="_Toc82017070"/>
      <w:bookmarkStart w:id="35" w:name="_Toc82537188"/>
      <w:bookmarkStart w:id="36" w:name="_Toc83830735"/>
      <w:bookmarkStart w:id="37" w:name="_Toc85112355"/>
      <w:r w:rsidRPr="00515F6C">
        <w:rPr>
          <w:rFonts w:cs="Times New Roman"/>
          <w:color w:val="000000" w:themeColor="text1"/>
          <w:szCs w:val="24"/>
          <w:lang w:eastAsia="es-ES_tradnl"/>
        </w:rPr>
        <w:t>Nociones generales.</w:t>
      </w:r>
      <w:bookmarkEnd w:id="33"/>
      <w:bookmarkEnd w:id="34"/>
      <w:bookmarkEnd w:id="35"/>
      <w:bookmarkEnd w:id="36"/>
      <w:bookmarkEnd w:id="37"/>
      <w:r w:rsidRPr="00515F6C">
        <w:rPr>
          <w:rFonts w:cs="Times New Roman"/>
          <w:color w:val="000000" w:themeColor="text1"/>
          <w:szCs w:val="24"/>
          <w:lang w:eastAsia="es-ES_tradnl"/>
        </w:rPr>
        <w:t xml:space="preserve"> </w:t>
      </w:r>
    </w:p>
    <w:p w14:paraId="7284615D" w14:textId="77777777" w:rsidR="00014006" w:rsidRPr="00515F6C" w:rsidRDefault="00014006" w:rsidP="00014006">
      <w:pPr>
        <w:pStyle w:val="Prrafodelista"/>
        <w:numPr>
          <w:ilvl w:val="0"/>
          <w:numId w:val="1"/>
        </w:numPr>
        <w:spacing w:line="360" w:lineRule="auto"/>
        <w:ind w:right="49"/>
        <w:jc w:val="both"/>
        <w:rPr>
          <w:rFonts w:ascii="Palatino Linotype" w:hAnsi="Palatino Linotype" w:cs="Arial"/>
          <w:color w:val="000000"/>
        </w:rPr>
      </w:pPr>
      <w:r w:rsidRPr="00515F6C">
        <w:rPr>
          <w:rFonts w:ascii="Palatino Linotype" w:hAnsi="Palatino Linotype" w:cs="Arial"/>
          <w:color w:val="000000"/>
        </w:rPr>
        <w:t>Debe destacarse que, debido a la naturaleza de la información solicitada</w:t>
      </w:r>
      <w:r w:rsidRPr="00515F6C">
        <w:rPr>
          <w:rFonts w:ascii="Palatino Linotype" w:hAnsi="Palatino Linotype" w:cs="Arial"/>
          <w:b/>
          <w:color w:val="000000"/>
        </w:rPr>
        <w:t xml:space="preserve">, </w:t>
      </w:r>
      <w:r w:rsidRPr="00515F6C">
        <w:rPr>
          <w:rFonts w:ascii="Palatino Linotype" w:hAnsi="Palatino Linotype" w:cs="Arial"/>
          <w:color w:val="000000"/>
        </w:rPr>
        <w:t xml:space="preserve">eventualmente pudiera obrar datos personales susceptibles de protegerse, el </w:t>
      </w:r>
      <w:r w:rsidRPr="00515F6C">
        <w:rPr>
          <w:rFonts w:ascii="Palatino Linotype" w:hAnsi="Palatino Linotype" w:cs="Arial"/>
          <w:b/>
          <w:bCs/>
          <w:color w:val="000000"/>
        </w:rPr>
        <w:t xml:space="preserve">Sujeto Obligado </w:t>
      </w:r>
      <w:r w:rsidRPr="00515F6C">
        <w:rPr>
          <w:rFonts w:ascii="Palatino Linotype" w:hAnsi="Palatino Linotype" w:cs="Arial"/>
          <w:color w:val="000000"/>
        </w:rPr>
        <w:t xml:space="preserve">deberá de hacer la adecuada versión pública, protegiendo los datos que no son susceptibles de ser proporcionados. </w:t>
      </w:r>
    </w:p>
    <w:p w14:paraId="5B98320B" w14:textId="77777777" w:rsidR="00014006" w:rsidRPr="00515F6C" w:rsidRDefault="00014006" w:rsidP="00014006">
      <w:pPr>
        <w:pStyle w:val="Prrafodelista"/>
        <w:spacing w:line="360" w:lineRule="auto"/>
        <w:ind w:left="0" w:right="49"/>
        <w:jc w:val="both"/>
        <w:rPr>
          <w:rFonts w:ascii="Palatino Linotype" w:hAnsi="Palatino Linotype" w:cs="Arial"/>
          <w:color w:val="000000"/>
        </w:rPr>
      </w:pPr>
    </w:p>
    <w:p w14:paraId="78C4BEF6" w14:textId="77777777" w:rsidR="00014006" w:rsidRPr="00515F6C" w:rsidRDefault="00014006" w:rsidP="00014006">
      <w:pPr>
        <w:numPr>
          <w:ilvl w:val="0"/>
          <w:numId w:val="1"/>
        </w:numPr>
        <w:spacing w:line="360" w:lineRule="auto"/>
        <w:ind w:right="49"/>
        <w:contextualSpacing/>
        <w:jc w:val="both"/>
        <w:rPr>
          <w:rFonts w:ascii="Palatino Linotype" w:hAnsi="Palatino Linotype" w:cs="Arial"/>
          <w:color w:val="000000"/>
        </w:rPr>
      </w:pPr>
      <w:r w:rsidRPr="00515F6C">
        <w:rPr>
          <w:rFonts w:ascii="Palatino Linotype" w:hAnsi="Palatino Linotype" w:cs="Arial"/>
          <w:color w:val="000000"/>
        </w:rPr>
        <w:t xml:space="preserve">No pasa desapercibido para este Órgano Garante que los </w:t>
      </w:r>
      <w:r w:rsidRPr="00515F6C">
        <w:rPr>
          <w:rFonts w:ascii="Palatino Linotype" w:hAnsi="Palatino Linotype" w:cs="Arial"/>
          <w:b/>
          <w:bCs/>
          <w:color w:val="000000"/>
        </w:rPr>
        <w:t xml:space="preserve">Sujetos Obligados </w:t>
      </w:r>
      <w:r w:rsidRPr="00515F6C">
        <w:rPr>
          <w:rFonts w:ascii="Palatino Linotype" w:hAnsi="Palatino Linotype" w:cs="Arial"/>
          <w:color w:val="000000"/>
        </w:rPr>
        <w:t xml:space="preserve">serán responsables de los datos personales en su posesión y que, en caso de </w:t>
      </w:r>
      <w:r w:rsidRPr="00515F6C">
        <w:rPr>
          <w:rFonts w:ascii="Palatino Linotype"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EDEE3F2" w14:textId="77777777" w:rsidR="00014006" w:rsidRPr="00515F6C" w:rsidRDefault="00014006" w:rsidP="0001400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014006" w:rsidRPr="00515F6C" w14:paraId="41060C2B" w14:textId="77777777" w:rsidTr="00847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DB8911" w14:textId="77777777" w:rsidR="00014006" w:rsidRPr="00515F6C" w:rsidRDefault="00014006" w:rsidP="00847095">
            <w:pPr>
              <w:spacing w:line="360" w:lineRule="auto"/>
              <w:rPr>
                <w:rFonts w:ascii="Palatino Linotype" w:hAnsi="Palatino Linotype"/>
                <w:bCs w:val="0"/>
              </w:rPr>
            </w:pPr>
            <w:r w:rsidRPr="00515F6C">
              <w:rPr>
                <w:rFonts w:ascii="Palatino Linotype" w:hAnsi="Palatino Linotype" w:cstheme="majorBidi"/>
                <w:bCs w:val="0"/>
              </w:rPr>
              <w:t>a) Requisitos previos.</w:t>
            </w:r>
          </w:p>
        </w:tc>
        <w:tc>
          <w:tcPr>
            <w:tcW w:w="6990" w:type="dxa"/>
            <w:hideMark/>
          </w:tcPr>
          <w:p w14:paraId="7C2615F5" w14:textId="77777777" w:rsidR="00014006" w:rsidRPr="00515F6C"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15F6C">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254E77" w14:textId="77777777" w:rsidR="00014006" w:rsidRPr="00515F6C"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15F6C">
              <w:rPr>
                <w:rFonts w:ascii="Palatino Linotype" w:hAnsi="Palatino Linotype" w:cs="Arial"/>
                <w:b w:val="0"/>
                <w:bCs w:val="0"/>
                <w:color w:val="000000"/>
              </w:rPr>
              <w:t>Al hacerlo tienen que precisar de qué información se trata, señalando el supuesto de clasificación (confidencialidad o reserva).</w:t>
            </w:r>
          </w:p>
          <w:p w14:paraId="1E400BD1" w14:textId="77777777" w:rsidR="00014006" w:rsidRPr="00515F6C"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15F6C">
              <w:rPr>
                <w:rFonts w:ascii="Palatino Linotype" w:hAnsi="Palatino Linotype" w:cs="Arial"/>
                <w:b w:val="0"/>
                <w:bCs w:val="0"/>
                <w:color w:val="000000"/>
              </w:rPr>
              <w:t>Además, se debe señalar el procedimiento, de los tres que establecen los artículos 132 y 106 de la Ley Estatal y General, respectivamente.</w:t>
            </w:r>
          </w:p>
          <w:p w14:paraId="1A120993" w14:textId="77777777" w:rsidR="00014006" w:rsidRPr="00515F6C" w:rsidRDefault="00014006" w:rsidP="0084709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515F6C">
              <w:rPr>
                <w:rFonts w:ascii="Palatino Linotype" w:hAnsi="Palatino Linotype" w:cs="Arial"/>
                <w:b w:val="0"/>
                <w:bCs w:val="0"/>
                <w:color w:val="000000"/>
              </w:rPr>
              <w:t xml:space="preserve">El último de estos requisitos previos consiste en que no se pueden emitir acuerdos de carácter general ni particular, esto es, </w:t>
            </w:r>
            <w:r w:rsidRPr="00515F6C">
              <w:rPr>
                <w:rFonts w:ascii="Palatino Linotype" w:hAnsi="Palatino Linotype" w:cs="Arial"/>
                <w:b w:val="0"/>
                <w:bCs w:val="0"/>
                <w:color w:val="000000"/>
                <w:u w:val="single"/>
              </w:rPr>
              <w:t>no se puede hacer un acuerdo para clasificar de manera general todos los documentos de un expediente o área, sin</w:t>
            </w:r>
            <w:r w:rsidRPr="00515F6C">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014006" w:rsidRPr="00515F6C" w14:paraId="6543F0F6"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0D9734" w14:textId="77777777" w:rsidR="00014006" w:rsidRPr="00515F6C" w:rsidRDefault="00014006" w:rsidP="00847095">
            <w:pPr>
              <w:spacing w:line="360" w:lineRule="auto"/>
              <w:rPr>
                <w:rFonts w:ascii="Palatino Linotype" w:hAnsi="Palatino Linotype"/>
                <w:bCs w:val="0"/>
              </w:rPr>
            </w:pPr>
            <w:r w:rsidRPr="00515F6C">
              <w:rPr>
                <w:rFonts w:ascii="Palatino Linotype" w:hAnsi="Palatino Linotype" w:cstheme="majorBidi"/>
                <w:bCs w:val="0"/>
              </w:rPr>
              <w:t>b) Supuestos de clasificación.</w:t>
            </w:r>
          </w:p>
        </w:tc>
        <w:tc>
          <w:tcPr>
            <w:tcW w:w="6990" w:type="dxa"/>
            <w:hideMark/>
          </w:tcPr>
          <w:p w14:paraId="446E679A"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A89643F"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Los artículos 116 y 143 de la Ley Estatal y de la Ley General, respectivamente, señalan los supuestos para que la información </w:t>
            </w:r>
            <w:r w:rsidRPr="00515F6C">
              <w:rPr>
                <w:rFonts w:ascii="Palatino Linotype"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D7B4E7" w14:textId="77777777" w:rsidR="00014006" w:rsidRPr="00515F6C" w:rsidRDefault="00014006" w:rsidP="0084709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515F6C">
              <w:rPr>
                <w:rFonts w:ascii="Palatino Linotype" w:hAnsi="Palatino Linotype" w:cs="Arial"/>
                <w:color w:val="000000"/>
              </w:rPr>
              <w:t xml:space="preserve">El </w:t>
            </w:r>
            <w:r w:rsidRPr="00515F6C">
              <w:rPr>
                <w:rFonts w:ascii="Palatino Linotype" w:hAnsi="Palatino Linotype" w:cs="Arial"/>
                <w:b/>
                <w:color w:val="000000"/>
              </w:rPr>
              <w:t>Sujeto Obligado</w:t>
            </w:r>
            <w:r w:rsidRPr="00515F6C">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14006" w:rsidRPr="00515F6C" w14:paraId="1B78D622" w14:textId="77777777" w:rsidTr="00847095">
        <w:tc>
          <w:tcPr>
            <w:cnfStyle w:val="001000000000" w:firstRow="0" w:lastRow="0" w:firstColumn="1" w:lastColumn="0" w:oddVBand="0" w:evenVBand="0" w:oddHBand="0" w:evenHBand="0" w:firstRowFirstColumn="0" w:firstRowLastColumn="0" w:lastRowFirstColumn="0" w:lastRowLastColumn="0"/>
            <w:tcW w:w="1838" w:type="dxa"/>
            <w:hideMark/>
          </w:tcPr>
          <w:p w14:paraId="7A7FEE8C" w14:textId="77777777" w:rsidR="00014006" w:rsidRPr="00515F6C" w:rsidRDefault="00014006" w:rsidP="00847095">
            <w:pPr>
              <w:spacing w:line="360" w:lineRule="auto"/>
              <w:rPr>
                <w:rFonts w:ascii="Palatino Linotype" w:hAnsi="Palatino Linotype"/>
                <w:bCs w:val="0"/>
              </w:rPr>
            </w:pPr>
            <w:r w:rsidRPr="00515F6C">
              <w:rPr>
                <w:rFonts w:ascii="Palatino Linotype" w:hAnsi="Palatino Linotype" w:cstheme="majorBidi"/>
                <w:bCs w:val="0"/>
              </w:rPr>
              <w:lastRenderedPageBreak/>
              <w:t>c) Formalidades para emitir el acuerdo de clasificación.</w:t>
            </w:r>
          </w:p>
        </w:tc>
        <w:tc>
          <w:tcPr>
            <w:tcW w:w="6990" w:type="dxa"/>
            <w:hideMark/>
          </w:tcPr>
          <w:p w14:paraId="18EF6141" w14:textId="77777777" w:rsidR="00014006" w:rsidRPr="00515F6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3272BFC6" w14:textId="77777777" w:rsidR="00014006" w:rsidRPr="00515F6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Es necesario que </w:t>
            </w:r>
            <w:r w:rsidRPr="00515F6C">
              <w:rPr>
                <w:rFonts w:ascii="Palatino Linotype" w:hAnsi="Palatino Linotype" w:cs="Arial"/>
                <w:b/>
                <w:color w:val="000000"/>
                <w:u w:val="single"/>
              </w:rPr>
              <w:t>el acto reúna con los requisitos elementales</w:t>
            </w:r>
            <w:r w:rsidRPr="00515F6C">
              <w:rPr>
                <w:rFonts w:ascii="Palatino Linotype" w:hAnsi="Palatino Linotype" w:cs="Arial"/>
                <w:color w:val="000000"/>
              </w:rPr>
              <w:t>, entre ellos, que la autoridad que va a emitir el acto de autoridad sea la legalmente facultada para ello.</w:t>
            </w:r>
          </w:p>
          <w:p w14:paraId="7733DB81" w14:textId="77777777" w:rsidR="00014006" w:rsidRPr="00515F6C" w:rsidRDefault="00014006" w:rsidP="0084709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15F6C">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14006" w:rsidRPr="00515F6C" w14:paraId="25FA41B8"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BB89FB" w14:textId="77777777" w:rsidR="00014006" w:rsidRPr="00515F6C" w:rsidRDefault="00014006" w:rsidP="00847095">
            <w:pPr>
              <w:spacing w:line="360" w:lineRule="auto"/>
              <w:rPr>
                <w:rFonts w:ascii="Palatino Linotype" w:hAnsi="Palatino Linotype"/>
                <w:b w:val="0"/>
              </w:rPr>
            </w:pPr>
          </w:p>
          <w:p w14:paraId="06A91B6F" w14:textId="77777777" w:rsidR="00014006" w:rsidRPr="00515F6C" w:rsidRDefault="00014006" w:rsidP="00847095">
            <w:pPr>
              <w:spacing w:line="360" w:lineRule="auto"/>
              <w:jc w:val="both"/>
              <w:rPr>
                <w:rFonts w:ascii="Palatino Linotype" w:hAnsi="Palatino Linotype"/>
                <w:bCs w:val="0"/>
              </w:rPr>
            </w:pPr>
            <w:r w:rsidRPr="00515F6C">
              <w:rPr>
                <w:rFonts w:ascii="Palatino Linotype" w:hAnsi="Palatino Linotype" w:cs="Arial"/>
                <w:bCs w:val="0"/>
                <w:color w:val="000000"/>
              </w:rPr>
              <w:t xml:space="preserve">d) Requisitos de fondo del acuerdo de clasificación. </w:t>
            </w:r>
          </w:p>
        </w:tc>
        <w:tc>
          <w:tcPr>
            <w:tcW w:w="6990" w:type="dxa"/>
            <w:hideMark/>
          </w:tcPr>
          <w:p w14:paraId="208E1C1C"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15F6C">
              <w:rPr>
                <w:rFonts w:ascii="Palatino Linotype" w:hAnsi="Palatino Linotype" w:cs="Arial"/>
                <w:b/>
                <w:color w:val="000000"/>
              </w:rPr>
              <w:t>Sujetos Obligados</w:t>
            </w:r>
            <w:r w:rsidRPr="00515F6C">
              <w:rPr>
                <w:rFonts w:ascii="Palatino Linotype" w:hAnsi="Palatino Linotype" w:cs="Arial"/>
                <w:color w:val="000000"/>
              </w:rPr>
              <w:t xml:space="preserve">, por lo que deberán fundar y motivar debidamente la clasificación. </w:t>
            </w:r>
          </w:p>
          <w:p w14:paraId="06D92D26"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De lo anterior, se desprende que para una correcta </w:t>
            </w:r>
            <w:r w:rsidRPr="00515F6C">
              <w:rPr>
                <w:rFonts w:ascii="Palatino Linotype" w:hAnsi="Palatino Linotype" w:cs="Arial"/>
                <w:b/>
                <w:color w:val="000000"/>
              </w:rPr>
              <w:t>clasificación total o parcial</w:t>
            </w:r>
            <w:r w:rsidRPr="00515F6C">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A5CF83"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816C414"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6D3E43" w14:textId="77777777" w:rsidR="00014006" w:rsidRPr="00515F6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Ahora bien, </w:t>
            </w:r>
            <w:r w:rsidRPr="00515F6C">
              <w:rPr>
                <w:rFonts w:ascii="Palatino Linotype" w:hAnsi="Palatino Linotype" w:cs="Arial"/>
                <w:b/>
                <w:color w:val="000000"/>
                <w:u w:val="single"/>
              </w:rPr>
              <w:t>para cada caso además de fundar y motivar</w:t>
            </w:r>
            <w:r w:rsidRPr="00515F6C">
              <w:rPr>
                <w:rFonts w:ascii="Palatino Linotype" w:hAnsi="Palatino Linotype" w:cs="Arial"/>
                <w:color w:val="000000"/>
              </w:rPr>
              <w:t xml:space="preserve">, se debe identificar con claridad que datos contenidos en las documentales que </w:t>
            </w:r>
            <w:r w:rsidRPr="00515F6C">
              <w:rPr>
                <w:rFonts w:ascii="Palatino Linotype" w:hAnsi="Palatino Linotype" w:cs="Arial"/>
                <w:color w:val="000000"/>
              </w:rPr>
              <w:lastRenderedPageBreak/>
              <w:t xml:space="preserve">son susceptibles de suprimirse, por ejemplo; </w:t>
            </w:r>
            <w:r w:rsidRPr="00515F6C">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14006" w:rsidRPr="00515F6C" w14:paraId="0DB8E831" w14:textId="77777777" w:rsidTr="00847095">
        <w:tc>
          <w:tcPr>
            <w:cnfStyle w:val="001000000000" w:firstRow="0" w:lastRow="0" w:firstColumn="1" w:lastColumn="0" w:oddVBand="0" w:evenVBand="0" w:oddHBand="0" w:evenHBand="0" w:firstRowFirstColumn="0" w:firstRowLastColumn="0" w:lastRowFirstColumn="0" w:lastRowLastColumn="0"/>
            <w:tcW w:w="1838" w:type="dxa"/>
          </w:tcPr>
          <w:p w14:paraId="0CB7FE39" w14:textId="77777777" w:rsidR="00014006" w:rsidRPr="00515F6C" w:rsidRDefault="00014006" w:rsidP="00847095">
            <w:pPr>
              <w:spacing w:line="360" w:lineRule="auto"/>
              <w:ind w:right="49"/>
              <w:jc w:val="both"/>
              <w:rPr>
                <w:rFonts w:ascii="Palatino Linotype" w:hAnsi="Palatino Linotype" w:cs="Arial"/>
                <w:bCs w:val="0"/>
              </w:rPr>
            </w:pPr>
            <w:r w:rsidRPr="00515F6C">
              <w:rPr>
                <w:rFonts w:ascii="Palatino Linotype" w:eastAsia="MS Gothic" w:hAnsi="Palatino Linotype" w:cs="Times New Roman"/>
                <w:b w:val="0"/>
              </w:rPr>
              <w:lastRenderedPageBreak/>
              <w:t>e</w:t>
            </w:r>
            <w:r w:rsidRPr="00515F6C">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9A08409" w14:textId="77777777" w:rsidR="00014006" w:rsidRPr="00515F6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DF61101" w14:textId="77777777" w:rsidR="00014006" w:rsidRPr="00515F6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15F6C">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F734FF" w14:textId="77777777" w:rsidR="00014006" w:rsidRPr="00515F6C" w:rsidRDefault="00014006" w:rsidP="0084709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15F6C">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9B05335" w14:textId="77777777" w:rsidR="00014006" w:rsidRPr="00515F6C" w:rsidRDefault="00014006" w:rsidP="00014006">
      <w:pPr>
        <w:spacing w:line="360" w:lineRule="auto"/>
        <w:ind w:right="49"/>
        <w:contextualSpacing/>
        <w:jc w:val="both"/>
        <w:rPr>
          <w:rFonts w:ascii="Palatino Linotype" w:hAnsi="Palatino Linotype" w:cs="Arial"/>
          <w:color w:val="000000"/>
        </w:rPr>
      </w:pPr>
    </w:p>
    <w:p w14:paraId="18B6564A" w14:textId="286EE9E4" w:rsidR="00014006" w:rsidRPr="00515F6C" w:rsidRDefault="00014006" w:rsidP="00014006">
      <w:pPr>
        <w:pStyle w:val="Prrafodelista"/>
        <w:numPr>
          <w:ilvl w:val="0"/>
          <w:numId w:val="1"/>
        </w:numPr>
        <w:tabs>
          <w:tab w:val="left" w:pos="567"/>
        </w:tabs>
        <w:spacing w:line="360" w:lineRule="auto"/>
        <w:jc w:val="both"/>
        <w:rPr>
          <w:rFonts w:ascii="Palatino Linotype" w:eastAsia="Calibri" w:hAnsi="Palatino Linotype" w:cs="Arial"/>
        </w:rPr>
      </w:pPr>
      <w:r w:rsidRPr="00515F6C">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4F4803" w14:textId="77777777" w:rsidR="001C4F63" w:rsidRPr="00515F6C" w:rsidRDefault="001C4F63" w:rsidP="001C4F63">
      <w:pPr>
        <w:pStyle w:val="Prrafodelista"/>
        <w:rPr>
          <w:rFonts w:ascii="Palatino Linotype" w:eastAsia="Calibri" w:hAnsi="Palatino Linotype" w:cs="Arial"/>
        </w:rPr>
      </w:pPr>
    </w:p>
    <w:p w14:paraId="278A67F8" w14:textId="77777777" w:rsidR="001C4F63" w:rsidRPr="00515F6C" w:rsidRDefault="001C4F63" w:rsidP="001C4F63">
      <w:pPr>
        <w:pStyle w:val="Prrafodelista"/>
        <w:numPr>
          <w:ilvl w:val="0"/>
          <w:numId w:val="1"/>
        </w:numPr>
        <w:spacing w:line="360" w:lineRule="auto"/>
        <w:jc w:val="both"/>
        <w:rPr>
          <w:rFonts w:ascii="Palatino Linotype" w:hAnsi="Palatino Linotype" w:cs="Arial"/>
        </w:rPr>
      </w:pPr>
      <w:r w:rsidRPr="00515F6C">
        <w:rPr>
          <w:rFonts w:ascii="Palatino Linotype" w:eastAsia="Times New Roman" w:hAnsi="Palatino Linotype" w:cs="Arial"/>
          <w:color w:val="222222"/>
          <w:lang w:eastAsia="es-MX"/>
        </w:rPr>
        <w:lastRenderedPageBreak/>
        <w:t xml:space="preserve">Por lo anteriormente expuesto y fundado, este </w:t>
      </w:r>
      <w:r w:rsidRPr="00515F6C">
        <w:rPr>
          <w:rFonts w:ascii="Palatino Linotype" w:eastAsia="Times New Roman" w:hAnsi="Palatino Linotype" w:cs="Arial"/>
          <w:b/>
          <w:bCs/>
          <w:color w:val="222222"/>
          <w:lang w:eastAsia="es-MX"/>
        </w:rPr>
        <w:t>ÓRGANO GARANTE</w:t>
      </w:r>
      <w:r w:rsidRPr="00515F6C">
        <w:rPr>
          <w:rFonts w:ascii="Palatino Linotype" w:eastAsia="Times New Roman" w:hAnsi="Palatino Linotype" w:cs="Arial"/>
          <w:color w:val="222222"/>
          <w:lang w:eastAsia="es-MX"/>
        </w:rPr>
        <w:t xml:space="preserve"> emite los siguientes:</w:t>
      </w:r>
    </w:p>
    <w:p w14:paraId="18C7D92B" w14:textId="77777777" w:rsidR="009959DB" w:rsidRPr="00515F6C" w:rsidRDefault="009959DB" w:rsidP="009959DB">
      <w:pPr>
        <w:pStyle w:val="Ttulo1"/>
        <w:spacing w:line="360" w:lineRule="auto"/>
        <w:jc w:val="center"/>
        <w:rPr>
          <w:b/>
          <w:color w:val="000000" w:themeColor="text1"/>
          <w:szCs w:val="24"/>
          <w:lang w:val="pt-BR"/>
        </w:rPr>
      </w:pPr>
      <w:bookmarkStart w:id="38" w:name="_Toc495427547"/>
      <w:bookmarkStart w:id="39" w:name="_Toc497905366"/>
      <w:bookmarkStart w:id="40" w:name="_Toc87456497"/>
      <w:r w:rsidRPr="00515F6C">
        <w:rPr>
          <w:b/>
          <w:color w:val="000000" w:themeColor="text1"/>
          <w:szCs w:val="24"/>
          <w:lang w:val="pt-BR"/>
        </w:rPr>
        <w:t>R E S O L U T I V O S</w:t>
      </w:r>
      <w:bookmarkEnd w:id="24"/>
      <w:bookmarkEnd w:id="25"/>
      <w:bookmarkEnd w:id="38"/>
      <w:bookmarkEnd w:id="39"/>
      <w:bookmarkEnd w:id="40"/>
    </w:p>
    <w:p w14:paraId="5DF7248B" w14:textId="7584208E" w:rsidR="00014006" w:rsidRPr="00515F6C" w:rsidRDefault="00014006" w:rsidP="00014006">
      <w:pPr>
        <w:spacing w:line="360" w:lineRule="auto"/>
        <w:jc w:val="both"/>
        <w:rPr>
          <w:rFonts w:ascii="Palatino Linotype" w:eastAsia="Times New Roman" w:hAnsi="Palatino Linotype" w:cs="Times New Roman"/>
        </w:rPr>
      </w:pPr>
      <w:r w:rsidRPr="00515F6C">
        <w:rPr>
          <w:rFonts w:ascii="Palatino Linotype" w:eastAsia="Times New Roman" w:hAnsi="Palatino Linotype" w:cs="Arial"/>
          <w:b/>
        </w:rPr>
        <w:t>PRIMERO.</w:t>
      </w:r>
      <w:r w:rsidRPr="00515F6C">
        <w:rPr>
          <w:rFonts w:ascii="Palatino Linotype" w:eastAsia="Times New Roman" w:hAnsi="Palatino Linotype" w:cs="Arial"/>
          <w:b/>
          <w:sz w:val="28"/>
        </w:rPr>
        <w:t xml:space="preserve"> </w:t>
      </w:r>
      <w:r w:rsidRPr="00515F6C">
        <w:rPr>
          <w:rFonts w:ascii="Palatino Linotype" w:eastAsia="Times New Roman" w:hAnsi="Palatino Linotype" w:cs="Arial"/>
        </w:rPr>
        <w:t>Resultan parcialmente fundadas las</w:t>
      </w:r>
      <w:r w:rsidRPr="00515F6C">
        <w:rPr>
          <w:rFonts w:ascii="Palatino Linotype" w:eastAsia="Times New Roman" w:hAnsi="Palatino Linotype" w:cs="Arial"/>
          <w:b/>
        </w:rPr>
        <w:t xml:space="preserve"> </w:t>
      </w:r>
      <w:r w:rsidRPr="00515F6C">
        <w:rPr>
          <w:rFonts w:ascii="Palatino Linotype" w:eastAsia="Times New Roman" w:hAnsi="Palatino Linotype" w:cs="Arial"/>
          <w:lang w:val="es-ES"/>
        </w:rPr>
        <w:t xml:space="preserve">razones o motivos de inconformidad hechos valer </w:t>
      </w:r>
      <w:r w:rsidRPr="00515F6C">
        <w:rPr>
          <w:rFonts w:ascii="Palatino Linotype" w:eastAsia="Calibri" w:hAnsi="Palatino Linotype" w:cs="Arial"/>
          <w:lang w:val="es-ES"/>
        </w:rPr>
        <w:t xml:space="preserve">en el recurso de revisión </w:t>
      </w:r>
      <w:r w:rsidR="00D9393D" w:rsidRPr="00515F6C">
        <w:rPr>
          <w:rFonts w:ascii="Palatino Linotype" w:hAnsi="Palatino Linotype"/>
          <w:b/>
        </w:rPr>
        <w:t>03923/INFOEM/IP/RR/2022</w:t>
      </w:r>
      <w:r w:rsidRPr="00515F6C">
        <w:rPr>
          <w:rFonts w:ascii="Palatino Linotype" w:eastAsia="Times New Roman" w:hAnsi="Palatino Linotype" w:cs="Times New Roman"/>
          <w:b/>
          <w:sz w:val="28"/>
          <w:szCs w:val="28"/>
        </w:rPr>
        <w:t xml:space="preserve"> </w:t>
      </w:r>
      <w:r w:rsidRPr="00515F6C">
        <w:rPr>
          <w:rFonts w:ascii="Palatino Linotype" w:eastAsia="Times New Roman" w:hAnsi="Palatino Linotype" w:cs="Times New Roman"/>
        </w:rPr>
        <w:t>en términos de los</w:t>
      </w:r>
      <w:r w:rsidRPr="00515F6C">
        <w:rPr>
          <w:rFonts w:ascii="Palatino Linotype" w:eastAsia="Times New Roman" w:hAnsi="Palatino Linotype" w:cs="Times New Roman"/>
          <w:b/>
          <w:bCs/>
        </w:rPr>
        <w:t xml:space="preserve"> Considerandos</w:t>
      </w:r>
      <w:r w:rsidRPr="00515F6C">
        <w:rPr>
          <w:rFonts w:ascii="Palatino Linotype" w:eastAsia="Times New Roman" w:hAnsi="Palatino Linotype" w:cs="Times New Roman"/>
        </w:rPr>
        <w:t xml:space="preserve"> </w:t>
      </w:r>
      <w:r w:rsidRPr="00515F6C">
        <w:rPr>
          <w:rFonts w:ascii="Palatino Linotype" w:eastAsia="Times New Roman" w:hAnsi="Palatino Linotype" w:cs="Times New Roman"/>
          <w:b/>
        </w:rPr>
        <w:t>CUARTO y QUINTO</w:t>
      </w:r>
      <w:r w:rsidRPr="00515F6C">
        <w:rPr>
          <w:rFonts w:ascii="Palatino Linotype" w:eastAsia="Times New Roman" w:hAnsi="Palatino Linotype" w:cs="Times New Roman"/>
        </w:rPr>
        <w:t xml:space="preserve"> de la presente resolución.</w:t>
      </w:r>
    </w:p>
    <w:p w14:paraId="6D41C51B" w14:textId="77777777" w:rsidR="00014006" w:rsidRPr="00515F6C" w:rsidRDefault="00014006" w:rsidP="00014006">
      <w:pPr>
        <w:spacing w:line="360" w:lineRule="auto"/>
        <w:contextualSpacing/>
        <w:jc w:val="both"/>
        <w:rPr>
          <w:rFonts w:ascii="Palatino Linotype" w:eastAsia="Calibri" w:hAnsi="Palatino Linotype" w:cs="Arial"/>
          <w:b/>
          <w:bCs/>
          <w:lang w:val="es-ES"/>
        </w:rPr>
      </w:pPr>
    </w:p>
    <w:p w14:paraId="0F338A22" w14:textId="13CBD1BD" w:rsidR="00014006" w:rsidRPr="00515F6C" w:rsidRDefault="00014006" w:rsidP="00014006">
      <w:pPr>
        <w:pStyle w:val="Sinespaciado"/>
        <w:spacing w:line="360" w:lineRule="auto"/>
        <w:jc w:val="both"/>
        <w:rPr>
          <w:rFonts w:ascii="Palatino Linotype" w:eastAsia="Calibri" w:hAnsi="Palatino Linotype" w:cs="Arial"/>
          <w:bCs/>
          <w:lang w:val="es-ES"/>
        </w:rPr>
      </w:pPr>
      <w:r w:rsidRPr="00515F6C">
        <w:rPr>
          <w:rFonts w:ascii="Palatino Linotype" w:eastAsia="Calibri" w:hAnsi="Palatino Linotype" w:cs="Arial"/>
          <w:b/>
          <w:bCs/>
          <w:lang w:val="es-ES"/>
        </w:rPr>
        <w:t xml:space="preserve">SEGUNDO. Se </w:t>
      </w:r>
      <w:r w:rsidR="00A8324B" w:rsidRPr="00515F6C">
        <w:rPr>
          <w:rFonts w:ascii="Palatino Linotype" w:eastAsia="Calibri" w:hAnsi="Palatino Linotype" w:cs="Arial"/>
          <w:b/>
          <w:bCs/>
          <w:lang w:val="es-ES"/>
        </w:rPr>
        <w:t>MODIFICA</w:t>
      </w:r>
      <w:r w:rsidRPr="00515F6C">
        <w:rPr>
          <w:rFonts w:ascii="Palatino Linotype" w:eastAsia="Calibri" w:hAnsi="Palatino Linotype" w:cs="Arial"/>
          <w:b/>
          <w:bCs/>
          <w:lang w:val="es-ES"/>
        </w:rPr>
        <w:t xml:space="preserve"> </w:t>
      </w:r>
      <w:r w:rsidRPr="00515F6C">
        <w:rPr>
          <w:rFonts w:ascii="Palatino Linotype" w:eastAsia="Calibri" w:hAnsi="Palatino Linotype" w:cs="Arial"/>
          <w:bCs/>
          <w:lang w:val="es-ES"/>
        </w:rPr>
        <w:t>la respuesta emitida por</w:t>
      </w:r>
      <w:r w:rsidRPr="00515F6C">
        <w:rPr>
          <w:rFonts w:ascii="Palatino Linotype" w:eastAsia="Calibri" w:hAnsi="Palatino Linotype" w:cs="Arial"/>
          <w:b/>
          <w:bCs/>
          <w:lang w:val="es-ES"/>
        </w:rPr>
        <w:t xml:space="preserve"> </w:t>
      </w:r>
      <w:r w:rsidR="00B16954" w:rsidRPr="00515F6C">
        <w:rPr>
          <w:rFonts w:ascii="Palatino Linotype" w:eastAsia="Calibri" w:hAnsi="Palatino Linotype" w:cs="Arial"/>
          <w:b/>
          <w:bCs/>
          <w:lang w:val="es-ES"/>
        </w:rPr>
        <w:t xml:space="preserve">el </w:t>
      </w:r>
      <w:r w:rsidR="00644EFD" w:rsidRPr="00515F6C">
        <w:rPr>
          <w:rFonts w:ascii="Palatino Linotype" w:hAnsi="Palatino Linotype"/>
          <w:b/>
          <w:bCs/>
          <w:color w:val="000000"/>
          <w:szCs w:val="20"/>
        </w:rPr>
        <w:t xml:space="preserve">Ayuntamiento de </w:t>
      </w:r>
      <w:r w:rsidR="00D9393D" w:rsidRPr="00515F6C">
        <w:rPr>
          <w:rFonts w:ascii="Palatino Linotype" w:hAnsi="Palatino Linotype"/>
          <w:b/>
          <w:bCs/>
          <w:color w:val="000000"/>
          <w:szCs w:val="20"/>
        </w:rPr>
        <w:t>Atizapán de Zaragoza</w:t>
      </w:r>
      <w:r w:rsidRPr="00515F6C">
        <w:rPr>
          <w:rFonts w:ascii="Palatino Linotype" w:hAnsi="Palatino Linotype"/>
          <w:b/>
          <w:bCs/>
          <w:color w:val="000000"/>
          <w:szCs w:val="22"/>
        </w:rPr>
        <w:t xml:space="preserve"> </w:t>
      </w:r>
      <w:r w:rsidRPr="00515F6C">
        <w:rPr>
          <w:rFonts w:ascii="Palatino Linotype" w:eastAsia="Calibri" w:hAnsi="Palatino Linotype" w:cs="Arial"/>
          <w:bCs/>
          <w:lang w:val="es-ES"/>
        </w:rPr>
        <w:t>y se</w:t>
      </w:r>
      <w:r w:rsidRPr="00515F6C">
        <w:rPr>
          <w:rFonts w:ascii="Palatino Linotype" w:eastAsia="Calibri" w:hAnsi="Palatino Linotype" w:cs="Arial"/>
          <w:b/>
          <w:bCs/>
          <w:lang w:val="es-ES"/>
        </w:rPr>
        <w:t xml:space="preserve"> ORDENA </w:t>
      </w:r>
      <w:r w:rsidRPr="00515F6C">
        <w:rPr>
          <w:rFonts w:ascii="Palatino Linotype" w:eastAsia="Calibri" w:hAnsi="Palatino Linotype" w:cs="Arial"/>
          <w:bCs/>
          <w:lang w:val="es-ES"/>
        </w:rPr>
        <w:t xml:space="preserve">entregar vía </w:t>
      </w:r>
      <w:r w:rsidRPr="00515F6C">
        <w:rPr>
          <w:rFonts w:ascii="Palatino Linotype" w:eastAsia="Calibri" w:hAnsi="Palatino Linotype" w:cs="Arial"/>
          <w:b/>
          <w:bCs/>
          <w:lang w:val="es-ES"/>
        </w:rPr>
        <w:t>Sistema de Acceso a la Información Mexiquense (SAIMEX)</w:t>
      </w:r>
      <w:r w:rsidR="00663118" w:rsidRPr="00515F6C">
        <w:rPr>
          <w:rFonts w:ascii="Palatino Linotype" w:eastAsia="Calibri" w:hAnsi="Palatino Linotype" w:cs="Arial"/>
          <w:b/>
          <w:bCs/>
          <w:lang w:val="es-ES"/>
        </w:rPr>
        <w:t xml:space="preserve">, </w:t>
      </w:r>
      <w:r w:rsidRPr="00515F6C">
        <w:rPr>
          <w:rFonts w:ascii="Palatino Linotype" w:eastAsia="Calibri" w:hAnsi="Palatino Linotype" w:cs="Arial"/>
          <w:bCs/>
          <w:lang w:val="es-ES"/>
        </w:rPr>
        <w:t>de ser el caso en versión pública</w:t>
      </w:r>
      <w:r w:rsidRPr="00515F6C">
        <w:rPr>
          <w:rFonts w:ascii="Palatino Linotype" w:eastAsia="Calibri" w:hAnsi="Palatino Linotype" w:cs="Arial"/>
          <w:b/>
          <w:bCs/>
          <w:lang w:val="es-ES"/>
        </w:rPr>
        <w:t xml:space="preserve">, </w:t>
      </w:r>
      <w:r w:rsidRPr="00515F6C">
        <w:rPr>
          <w:rFonts w:ascii="Palatino Linotype" w:eastAsia="Calibri" w:hAnsi="Palatino Linotype" w:cs="Arial"/>
          <w:bCs/>
          <w:lang w:val="es-ES"/>
        </w:rPr>
        <w:t>los documentos que contengan la siguiente información:</w:t>
      </w:r>
    </w:p>
    <w:p w14:paraId="4746EE6D" w14:textId="77777777" w:rsidR="00014006" w:rsidRPr="00515F6C" w:rsidRDefault="00014006" w:rsidP="00014006">
      <w:pPr>
        <w:pStyle w:val="Sinespaciado"/>
        <w:spacing w:line="360" w:lineRule="auto"/>
        <w:jc w:val="both"/>
        <w:rPr>
          <w:rFonts w:ascii="Palatino Linotype" w:eastAsia="Calibri" w:hAnsi="Palatino Linotype" w:cs="Arial"/>
          <w:bCs/>
          <w:lang w:val="es-ES"/>
        </w:rPr>
      </w:pPr>
    </w:p>
    <w:p w14:paraId="74AE4F4A" w14:textId="17107F15" w:rsidR="00DF13AD" w:rsidRPr="00515F6C" w:rsidRDefault="00F31920" w:rsidP="00F31920">
      <w:pPr>
        <w:pStyle w:val="Prrafodelista"/>
        <w:numPr>
          <w:ilvl w:val="0"/>
          <w:numId w:val="5"/>
        </w:numPr>
        <w:spacing w:line="360" w:lineRule="auto"/>
        <w:contextualSpacing w:val="0"/>
        <w:jc w:val="both"/>
        <w:rPr>
          <w:rFonts w:ascii="Palatino Linotype" w:hAnsi="Palatino Linotype" w:cs="Arial"/>
          <w:b/>
          <w:bCs/>
        </w:rPr>
      </w:pPr>
      <w:r w:rsidRPr="00515F6C">
        <w:rPr>
          <w:rFonts w:ascii="Palatino Linotype" w:eastAsia="Palatino Linotype" w:hAnsi="Palatino Linotype" w:cs="Palatino Linotype"/>
          <w:b/>
          <w:bCs/>
          <w:color w:val="000000"/>
        </w:rPr>
        <w:t>Autorizaciones de cambio de uso de suelo, así como su respectiva opinión técnica remitidas en respuesta, en una correcta versión pública; y,</w:t>
      </w:r>
    </w:p>
    <w:p w14:paraId="0F50F9A0" w14:textId="21872C6C" w:rsidR="00F31920" w:rsidRPr="00515F6C" w:rsidRDefault="00F31920" w:rsidP="00F31920">
      <w:pPr>
        <w:pStyle w:val="Prrafodelista"/>
        <w:numPr>
          <w:ilvl w:val="0"/>
          <w:numId w:val="5"/>
        </w:numPr>
        <w:spacing w:line="360" w:lineRule="auto"/>
        <w:contextualSpacing w:val="0"/>
        <w:jc w:val="both"/>
        <w:rPr>
          <w:rFonts w:ascii="Palatino Linotype" w:hAnsi="Palatino Linotype" w:cs="Arial"/>
          <w:b/>
          <w:bCs/>
        </w:rPr>
      </w:pPr>
      <w:r w:rsidRPr="00515F6C">
        <w:rPr>
          <w:rFonts w:ascii="Palatino Linotype" w:eastAsia="Palatino Linotype" w:hAnsi="Palatino Linotype" w:cs="Palatino Linotype"/>
          <w:b/>
          <w:bCs/>
          <w:color w:val="000000"/>
        </w:rPr>
        <w:t>Acuerdo emitido por el Comité de Transparencia, mediante el cual se sustente la versión pública del documento denominado TEXTADA ACTA ADM.CIRC. INGRESOS DIVERSOS,</w:t>
      </w:r>
      <w:r w:rsidR="00E14914" w:rsidRPr="00515F6C">
        <w:rPr>
          <w:rFonts w:ascii="Palatino Linotype" w:eastAsia="Palatino Linotype" w:hAnsi="Palatino Linotype" w:cs="Palatino Linotype"/>
          <w:b/>
          <w:bCs/>
          <w:color w:val="000000"/>
        </w:rPr>
        <w:t xml:space="preserve"> </w:t>
      </w:r>
      <w:r w:rsidRPr="00515F6C">
        <w:rPr>
          <w:rFonts w:ascii="Palatino Linotype" w:eastAsia="Palatino Linotype" w:hAnsi="Palatino Linotype" w:cs="Palatino Linotype"/>
          <w:b/>
          <w:bCs/>
          <w:color w:val="000000"/>
        </w:rPr>
        <w:t>pdf remitido en respuesta.</w:t>
      </w:r>
    </w:p>
    <w:p w14:paraId="1AF23B6A" w14:textId="77777777" w:rsidR="00E06B8A" w:rsidRPr="00515F6C" w:rsidRDefault="00E06B8A" w:rsidP="00E06B8A">
      <w:pPr>
        <w:pStyle w:val="Prrafodelista"/>
        <w:spacing w:line="360" w:lineRule="auto"/>
        <w:contextualSpacing w:val="0"/>
        <w:jc w:val="both"/>
        <w:rPr>
          <w:rFonts w:ascii="Palatino Linotype" w:hAnsi="Palatino Linotype" w:cs="Arial"/>
          <w:b/>
        </w:rPr>
      </w:pPr>
    </w:p>
    <w:p w14:paraId="50F1B495" w14:textId="63A98694" w:rsidR="00E67286" w:rsidRPr="00515F6C" w:rsidRDefault="00014006" w:rsidP="00014006">
      <w:pPr>
        <w:spacing w:line="360" w:lineRule="auto"/>
        <w:jc w:val="both"/>
        <w:rPr>
          <w:rFonts w:ascii="Palatino Linotype" w:eastAsia="Calibri" w:hAnsi="Palatino Linotype" w:cs="Arial"/>
        </w:rPr>
      </w:pPr>
      <w:r w:rsidRPr="00515F6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80BDAB7" w14:textId="77777777" w:rsidR="00E1398D" w:rsidRPr="00515F6C" w:rsidRDefault="00E1398D" w:rsidP="00014006">
      <w:pPr>
        <w:spacing w:line="360" w:lineRule="auto"/>
        <w:jc w:val="both"/>
        <w:rPr>
          <w:rFonts w:ascii="Palatino Linotype" w:eastAsia="Calibri" w:hAnsi="Palatino Linotype" w:cs="Arial"/>
        </w:rPr>
      </w:pPr>
    </w:p>
    <w:p w14:paraId="4CA3832E" w14:textId="77777777" w:rsidR="00014006" w:rsidRPr="00515F6C"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515F6C">
        <w:rPr>
          <w:rFonts w:ascii="Palatino Linotype" w:eastAsia="Palatino Linotype" w:hAnsi="Palatino Linotype" w:cs="Palatino Linotype"/>
          <w:b/>
        </w:rPr>
        <w:t xml:space="preserve">TERCERO. Notifíquese </w:t>
      </w:r>
      <w:r w:rsidRPr="00515F6C">
        <w:rPr>
          <w:rFonts w:ascii="Palatino Linotype" w:eastAsia="Palatino Linotype" w:hAnsi="Palatino Linotype" w:cs="Palatino Linotype"/>
        </w:rPr>
        <w:t xml:space="preserve">al Titular de la Unidad de Transparencia del </w:t>
      </w:r>
      <w:r w:rsidRPr="00515F6C">
        <w:rPr>
          <w:rFonts w:ascii="Palatino Linotype" w:eastAsia="Palatino Linotype" w:hAnsi="Palatino Linotype" w:cs="Palatino Linotype"/>
          <w:b/>
        </w:rPr>
        <w:t>SUJETO OBLIGADO</w:t>
      </w:r>
      <w:r w:rsidRPr="00515F6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15F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515F6C"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515F6C" w:rsidRDefault="00014006" w:rsidP="00014006">
      <w:pPr>
        <w:spacing w:line="360" w:lineRule="auto"/>
        <w:jc w:val="both"/>
        <w:rPr>
          <w:rFonts w:ascii="Palatino Linotype" w:eastAsia="Calibri" w:hAnsi="Palatino Linotype" w:cs="Arial"/>
          <w:bCs/>
        </w:rPr>
      </w:pPr>
      <w:r w:rsidRPr="00515F6C">
        <w:rPr>
          <w:rFonts w:ascii="Palatino Linotype" w:hAnsi="Palatino Linotype" w:cs="Arial"/>
          <w:b/>
        </w:rPr>
        <w:t xml:space="preserve">CUARTO. </w:t>
      </w:r>
      <w:r w:rsidRPr="00515F6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515F6C" w:rsidRDefault="00014006" w:rsidP="00014006">
      <w:pPr>
        <w:pStyle w:val="Sinespaciado"/>
        <w:spacing w:line="360" w:lineRule="auto"/>
        <w:jc w:val="both"/>
        <w:rPr>
          <w:rFonts w:ascii="Palatino Linotype" w:eastAsia="Times New Roman" w:hAnsi="Palatino Linotype" w:cs="Arial"/>
          <w:b/>
        </w:rPr>
      </w:pPr>
    </w:p>
    <w:p w14:paraId="5DD93988" w14:textId="12CE0231" w:rsidR="00014006" w:rsidRPr="00515F6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515F6C">
        <w:rPr>
          <w:rFonts w:ascii="Palatino Linotype" w:eastAsia="Times New Roman" w:hAnsi="Palatino Linotype" w:cs="Arial"/>
          <w:b/>
        </w:rPr>
        <w:t xml:space="preserve">QUINTO. </w:t>
      </w:r>
      <w:r w:rsidRPr="00515F6C">
        <w:rPr>
          <w:rFonts w:ascii="Palatino Linotype" w:eastAsia="Times New Roman" w:hAnsi="Palatino Linotype" w:cs="Times New Roman"/>
          <w:b/>
          <w:bCs/>
          <w:color w:val="222222"/>
          <w:lang w:val="es-ES"/>
        </w:rPr>
        <w:t xml:space="preserve">Notifíquese </w:t>
      </w:r>
      <w:r w:rsidRPr="00515F6C">
        <w:rPr>
          <w:rFonts w:ascii="Palatino Linotype" w:eastAsia="Times New Roman" w:hAnsi="Palatino Linotype" w:cs="Times New Roman"/>
          <w:bCs/>
          <w:color w:val="222222"/>
          <w:lang w:val="es-ES"/>
        </w:rPr>
        <w:t xml:space="preserve">al </w:t>
      </w:r>
      <w:r w:rsidRPr="00515F6C">
        <w:rPr>
          <w:rFonts w:ascii="Palatino Linotype" w:eastAsia="Times New Roman" w:hAnsi="Palatino Linotype" w:cs="Times New Roman"/>
          <w:b/>
          <w:color w:val="222222"/>
          <w:lang w:val="es-ES"/>
        </w:rPr>
        <w:t>RECURRENTE</w:t>
      </w:r>
      <w:r w:rsidRPr="00515F6C">
        <w:rPr>
          <w:rFonts w:ascii="Palatino Linotype" w:eastAsia="Times New Roman" w:hAnsi="Palatino Linotype" w:cs="Times New Roman"/>
          <w:color w:val="222222"/>
          <w:lang w:val="es-ES" w:eastAsia="es-MX"/>
        </w:rPr>
        <w:t xml:space="preserve"> la presente resolución vía SAIMEX</w:t>
      </w:r>
      <w:r w:rsidR="00E67286" w:rsidRPr="00515F6C">
        <w:rPr>
          <w:rFonts w:ascii="Palatino Linotype" w:eastAsia="Times New Roman" w:hAnsi="Palatino Linotype" w:cs="Times New Roman"/>
          <w:color w:val="222222"/>
          <w:lang w:val="es-ES" w:eastAsia="es-MX"/>
        </w:rPr>
        <w:t>.</w:t>
      </w:r>
    </w:p>
    <w:p w14:paraId="7180F590" w14:textId="77777777" w:rsidR="00014006" w:rsidRPr="00515F6C"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7B598960" w14:textId="77777777" w:rsidR="00014006" w:rsidRPr="00515F6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515F6C">
        <w:rPr>
          <w:rFonts w:ascii="Palatino Linotype" w:hAnsi="Palatino Linotype"/>
          <w:b/>
        </w:rPr>
        <w:t>SEXTO.</w:t>
      </w:r>
      <w:r w:rsidRPr="00515F6C">
        <w:rPr>
          <w:rFonts w:ascii="Palatino Linotype" w:eastAsia="Times New Roman" w:hAnsi="Palatino Linotype" w:cs="Times New Roman"/>
          <w:color w:val="222222"/>
          <w:lang w:val="es-ES" w:eastAsia="es-MX"/>
        </w:rPr>
        <w:t xml:space="preserve"> Se hace del conocimiento del </w:t>
      </w:r>
      <w:r w:rsidRPr="00515F6C">
        <w:rPr>
          <w:rFonts w:ascii="Palatino Linotype" w:eastAsia="Times New Roman" w:hAnsi="Palatino Linotype" w:cs="Times New Roman"/>
          <w:b/>
          <w:bCs/>
          <w:color w:val="222222"/>
          <w:lang w:val="es-ES" w:eastAsia="es-MX"/>
        </w:rPr>
        <w:t>RECURRENTE</w:t>
      </w:r>
      <w:r w:rsidRPr="00515F6C">
        <w:rPr>
          <w:rFonts w:ascii="Palatino Linotype" w:eastAsia="Times New Roman" w:hAnsi="Palatino Linotype" w:cs="Times New Roman"/>
          <w:color w:val="222222"/>
          <w:lang w:eastAsia="es-MX"/>
        </w:rPr>
        <w:t xml:space="preserve"> que,</w:t>
      </w:r>
      <w:r w:rsidRPr="00515F6C">
        <w:rPr>
          <w:rFonts w:ascii="Palatino Linotype" w:eastAsia="Times New Roman" w:hAnsi="Palatino Linotype" w:cs="Arial"/>
          <w:b/>
          <w:lang w:val="es-ES"/>
        </w:rPr>
        <w:t xml:space="preserve"> </w:t>
      </w:r>
      <w:r w:rsidRPr="00515F6C">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515F6C">
        <w:rPr>
          <w:rFonts w:ascii="Palatino Linotype" w:eastAsia="Times New Roman" w:hAnsi="Palatino Linotype" w:cs="Times New Roman"/>
          <w:bCs/>
          <w:color w:val="222222"/>
          <w:lang w:val="es-ES" w:eastAsia="es-MX"/>
        </w:rPr>
        <w:t>vía juicio de amparo</w:t>
      </w:r>
      <w:r w:rsidRPr="00515F6C">
        <w:rPr>
          <w:rFonts w:ascii="Palatino Linotype" w:eastAsia="Times New Roman" w:hAnsi="Palatino Linotype" w:cs="Times New Roman"/>
          <w:color w:val="222222"/>
          <w:lang w:val="es-ES" w:eastAsia="es-MX"/>
        </w:rPr>
        <w:t xml:space="preserve"> en los términos de las leyes aplicables.</w:t>
      </w:r>
    </w:p>
    <w:p w14:paraId="4AAEB39B" w14:textId="5AF751DB" w:rsidR="00A94AB4" w:rsidRDefault="00A94AB4" w:rsidP="00A94AB4">
      <w:pPr>
        <w:spacing w:before="240" w:after="240" w:line="360" w:lineRule="auto"/>
        <w:ind w:firstLine="1"/>
        <w:jc w:val="both"/>
        <w:rPr>
          <w:rFonts w:ascii="Palatino Linotype" w:hAnsi="Palatino Linotype"/>
        </w:rPr>
      </w:pPr>
      <w:r w:rsidRPr="00515F6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515F6C">
        <w:rPr>
          <w:rFonts w:ascii="Palatino Linotype" w:hAnsi="Palatino Linotype"/>
        </w:rPr>
        <w:lastRenderedPageBreak/>
        <w:t>VILCHIS; MARÍA DEL ROSARIO MEJÍA AYALA; SHARON CRISTINA MORALES MARTÍNEZ; LUIS GUSTAVO PARRA NORIEGA</w:t>
      </w:r>
      <w:r w:rsidR="00DD6496">
        <w:rPr>
          <w:rFonts w:ascii="Palatino Linotype" w:hAnsi="Palatino Linotype"/>
        </w:rPr>
        <w:t xml:space="preserve"> EMITIENDO VOTO PARTICULAR</w:t>
      </w:r>
      <w:r w:rsidRPr="00515F6C">
        <w:rPr>
          <w:rFonts w:ascii="Palatino Linotype" w:hAnsi="Palatino Linotype"/>
        </w:rPr>
        <w:t xml:space="preserve">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F757" w14:textId="77777777" w:rsidR="0074159B" w:rsidRDefault="0074159B" w:rsidP="00587366">
      <w:r>
        <w:separator/>
      </w:r>
    </w:p>
  </w:endnote>
  <w:endnote w:type="continuationSeparator" w:id="0">
    <w:p w14:paraId="58E9C247" w14:textId="77777777" w:rsidR="0074159B" w:rsidRDefault="0074159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F633958" w:rsidR="00C73999" w:rsidRPr="00883450" w:rsidRDefault="00C739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5297">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5297">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C73999" w:rsidRDefault="00C7399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3C248C0A" w:rsidR="00C73999" w:rsidRPr="00883450" w:rsidRDefault="00C739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5297" w:rsidRPr="009A529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5297" w:rsidRPr="009A5297">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C73999" w:rsidRPr="00883450" w:rsidRDefault="00C7399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4769" w14:textId="77777777" w:rsidR="0074159B" w:rsidRDefault="0074159B" w:rsidP="00587366">
      <w:r>
        <w:separator/>
      </w:r>
    </w:p>
  </w:footnote>
  <w:footnote w:type="continuationSeparator" w:id="0">
    <w:p w14:paraId="7D8CA3C6" w14:textId="77777777" w:rsidR="0074159B" w:rsidRDefault="0074159B" w:rsidP="00587366">
      <w:r>
        <w:continuationSeparator/>
      </w:r>
    </w:p>
  </w:footnote>
  <w:footnote w:id="1">
    <w:p w14:paraId="32D56466" w14:textId="77777777" w:rsidR="00C73999" w:rsidRDefault="00C73999" w:rsidP="008E4483">
      <w:pPr>
        <w:pStyle w:val="Textonotapie"/>
      </w:pPr>
      <w:r>
        <w:rPr>
          <w:rStyle w:val="Refdenotaalpie"/>
        </w:rPr>
        <w:footnoteRef/>
      </w:r>
      <w:r>
        <w:t xml:space="preserve"> Convención Americana sobre Derechos Humanos. Artículo 13.</w:t>
      </w:r>
    </w:p>
  </w:footnote>
  <w:footnote w:id="2">
    <w:p w14:paraId="3F7967D5" w14:textId="77777777" w:rsidR="00C73999" w:rsidRDefault="00C7399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73999" w:rsidRDefault="00C7399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73999" w:rsidRDefault="00C73999" w:rsidP="008E4483">
      <w:pPr>
        <w:pStyle w:val="Textonotapie"/>
      </w:pPr>
      <w:r>
        <w:rPr>
          <w:rStyle w:val="Refdenotaalpie"/>
        </w:rPr>
        <w:footnoteRef/>
      </w:r>
      <w:r>
        <w:t xml:space="preserve"> Ibídem. Parr. 87.</w:t>
      </w:r>
    </w:p>
  </w:footnote>
  <w:footnote w:id="5">
    <w:p w14:paraId="1C437D52" w14:textId="77777777" w:rsidR="00C73999" w:rsidRDefault="00C7399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73999" w:rsidRDefault="00C73999" w:rsidP="008E4483">
      <w:pPr>
        <w:pStyle w:val="Textonotapie"/>
      </w:pPr>
      <w:r>
        <w:t>II. Eficacia: Obligación del Instituto para tutelar, de manera efectiva, el derecho de acceso a la información;</w:t>
      </w:r>
    </w:p>
    <w:p w14:paraId="707D8AAF" w14:textId="77777777" w:rsidR="00C73999" w:rsidRDefault="00C73999" w:rsidP="008E4483">
      <w:pPr>
        <w:pStyle w:val="Textonotapie"/>
      </w:pPr>
      <w:r>
        <w:t xml:space="preserve">… </w:t>
      </w:r>
    </w:p>
  </w:footnote>
  <w:footnote w:id="6">
    <w:p w14:paraId="0857F616" w14:textId="682E2910" w:rsidR="00C5293B" w:rsidRDefault="00C5293B">
      <w:pPr>
        <w:pStyle w:val="Textonotapie"/>
      </w:pPr>
      <w:r>
        <w:rPr>
          <w:rStyle w:val="Refdenotaalpie"/>
        </w:rPr>
        <w:footnoteRef/>
      </w:r>
      <w:hyperlink r:id="rId1" w:anchor=":~:text=La%20escritura%20p%C3%BAblica%20es%20el,aut%C3%B3grafa%20o%20electr%C3%B3nica%20y%20sello" w:history="1">
        <w:r w:rsidRPr="00FB2BA2">
          <w:rPr>
            <w:rStyle w:val="Hipervnculo"/>
          </w:rPr>
          <w:t>https://colegiodenotariosedomex.org.mx/?articulo=16#:~:text=La%20escritura%20p%C3%BAblica%20es%20el,aut%C3%B3grafa%20o%20electr%C3%B3nica%20y%20sello</w:t>
        </w:r>
      </w:hyperlink>
      <w:r w:rsidRPr="00C5293B">
        <w:t>.</w:t>
      </w:r>
    </w:p>
    <w:p w14:paraId="36481289" w14:textId="77777777" w:rsidR="00C5293B" w:rsidRDefault="00C5293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73999" w:rsidRPr="00025127" w14:paraId="07F2896E" w14:textId="77777777" w:rsidTr="00FA0F09">
      <w:trPr>
        <w:trHeight w:val="138"/>
        <w:jc w:val="right"/>
      </w:trPr>
      <w:tc>
        <w:tcPr>
          <w:tcW w:w="3260" w:type="dxa"/>
          <w:vAlign w:val="center"/>
        </w:tcPr>
        <w:p w14:paraId="4A5B1974" w14:textId="44CA9AFE" w:rsidR="00C73999" w:rsidRPr="00025127" w:rsidRDefault="00C7399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A8808B4" w:rsidR="00C73999" w:rsidRPr="00025127" w:rsidRDefault="00C73999" w:rsidP="00D9393D">
          <w:pPr>
            <w:pStyle w:val="Encabezado"/>
            <w:jc w:val="both"/>
            <w:rPr>
              <w:rFonts w:ascii="Palatino Linotype" w:hAnsi="Palatino Linotype"/>
              <w:b/>
              <w:sz w:val="22"/>
              <w:szCs w:val="22"/>
            </w:rPr>
          </w:pPr>
          <w:r w:rsidRPr="001C1229">
            <w:rPr>
              <w:rFonts w:ascii="Palatino Linotype" w:hAnsi="Palatino Linotype"/>
              <w:b/>
              <w:sz w:val="22"/>
            </w:rPr>
            <w:t>03</w:t>
          </w:r>
          <w:r>
            <w:rPr>
              <w:rFonts w:ascii="Palatino Linotype" w:hAnsi="Palatino Linotype"/>
              <w:b/>
              <w:sz w:val="22"/>
            </w:rPr>
            <w:t>923</w:t>
          </w:r>
          <w:r w:rsidRPr="001C1229">
            <w:rPr>
              <w:rFonts w:ascii="Palatino Linotype" w:hAnsi="Palatino Linotype"/>
              <w:b/>
              <w:sz w:val="22"/>
            </w:rPr>
            <w:t>/INFOEM/IP/RR/2022</w:t>
          </w:r>
        </w:p>
      </w:tc>
    </w:tr>
    <w:tr w:rsidR="00C73999" w:rsidRPr="00025127" w14:paraId="1B5D8690" w14:textId="77777777" w:rsidTr="00FA0F09">
      <w:trPr>
        <w:trHeight w:val="233"/>
        <w:jc w:val="right"/>
      </w:trPr>
      <w:tc>
        <w:tcPr>
          <w:tcW w:w="3260" w:type="dxa"/>
          <w:vAlign w:val="center"/>
        </w:tcPr>
        <w:p w14:paraId="3903F2C6" w14:textId="22D569F8" w:rsidR="00C73999" w:rsidRPr="00025127" w:rsidRDefault="00C7399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085D1AE" w:rsidR="00C73999" w:rsidRPr="00025127" w:rsidRDefault="00C73999" w:rsidP="00644EFD">
          <w:pPr>
            <w:pStyle w:val="Encabezado"/>
            <w:rPr>
              <w:rFonts w:ascii="Palatino Linotype" w:hAnsi="Palatino Linotype"/>
              <w:b/>
              <w:sz w:val="22"/>
              <w:szCs w:val="22"/>
            </w:rPr>
          </w:pPr>
          <w:r w:rsidRPr="00505DB4">
            <w:rPr>
              <w:rFonts w:ascii="Palatino Linotype" w:hAnsi="Palatino Linotype"/>
              <w:b/>
              <w:bCs/>
              <w:color w:val="000000"/>
              <w:sz w:val="22"/>
              <w:szCs w:val="20"/>
            </w:rPr>
            <w:t>Ayuntamiento de Atizapán de Zaragoza</w:t>
          </w:r>
        </w:p>
      </w:tc>
    </w:tr>
    <w:tr w:rsidR="00C73999" w:rsidRPr="00025127" w14:paraId="095EB01B" w14:textId="77777777" w:rsidTr="00FA0F09">
      <w:trPr>
        <w:trHeight w:val="321"/>
        <w:jc w:val="right"/>
      </w:trPr>
      <w:tc>
        <w:tcPr>
          <w:tcW w:w="3260" w:type="dxa"/>
          <w:vAlign w:val="center"/>
        </w:tcPr>
        <w:p w14:paraId="6E000A51" w14:textId="05E1861A" w:rsidR="00C73999" w:rsidRPr="00025127" w:rsidRDefault="00C7399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73999" w:rsidRPr="00025127" w:rsidRDefault="00C7399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73999" w:rsidRDefault="00C7399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C73999" w:rsidRDefault="0074159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7399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73999" w:rsidRPr="00025127" w14:paraId="0A3256F2" w14:textId="77777777" w:rsidTr="006E6B65">
      <w:trPr>
        <w:trHeight w:val="138"/>
        <w:jc w:val="right"/>
      </w:trPr>
      <w:tc>
        <w:tcPr>
          <w:tcW w:w="3261" w:type="dxa"/>
          <w:vAlign w:val="center"/>
        </w:tcPr>
        <w:p w14:paraId="3D80769D" w14:textId="316F11F8" w:rsidR="00C73999" w:rsidRPr="00025127" w:rsidRDefault="00C7399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45EC2A8" w:rsidR="00C73999" w:rsidRPr="00025127" w:rsidRDefault="00C73999" w:rsidP="00D9393D">
          <w:pPr>
            <w:pStyle w:val="Encabezado"/>
            <w:rPr>
              <w:rFonts w:ascii="Palatino Linotype" w:hAnsi="Palatino Linotype"/>
              <w:b/>
              <w:sz w:val="22"/>
              <w:szCs w:val="22"/>
            </w:rPr>
          </w:pPr>
          <w:r w:rsidRPr="001C1229">
            <w:rPr>
              <w:rFonts w:ascii="Palatino Linotype" w:hAnsi="Palatino Linotype"/>
              <w:b/>
              <w:sz w:val="22"/>
            </w:rPr>
            <w:t>03</w:t>
          </w:r>
          <w:r>
            <w:rPr>
              <w:rFonts w:ascii="Palatino Linotype" w:hAnsi="Palatino Linotype"/>
              <w:b/>
              <w:sz w:val="22"/>
            </w:rPr>
            <w:t>923</w:t>
          </w:r>
          <w:r w:rsidRPr="001C1229">
            <w:rPr>
              <w:rFonts w:ascii="Palatino Linotype" w:hAnsi="Palatino Linotype"/>
              <w:b/>
              <w:sz w:val="22"/>
            </w:rPr>
            <w:t>/INFOEM/IP/RR/2022</w:t>
          </w:r>
        </w:p>
      </w:tc>
    </w:tr>
    <w:tr w:rsidR="00C73999" w:rsidRPr="00025127" w14:paraId="128C8B3C" w14:textId="77777777" w:rsidTr="006E6B65">
      <w:trPr>
        <w:trHeight w:val="233"/>
        <w:jc w:val="right"/>
      </w:trPr>
      <w:tc>
        <w:tcPr>
          <w:tcW w:w="3261" w:type="dxa"/>
          <w:vAlign w:val="center"/>
        </w:tcPr>
        <w:p w14:paraId="483E3371" w14:textId="66B1BC74" w:rsidR="00C73999" w:rsidRPr="00025127" w:rsidRDefault="00C7399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39F9CA0" w:rsidR="00C73999" w:rsidRPr="0035066B" w:rsidRDefault="009A5297" w:rsidP="009A5297">
          <w:pPr>
            <w:pStyle w:val="Encabezado"/>
            <w:rPr>
              <w:rFonts w:ascii="Palatino Linotype" w:hAnsi="Palatino Linotype"/>
              <w:b/>
              <w:sz w:val="22"/>
              <w:szCs w:val="22"/>
            </w:rPr>
          </w:pPr>
          <w:r>
            <w:rPr>
              <w:rFonts w:ascii="Palatino Linotype" w:hAnsi="Palatino Linotype"/>
              <w:b/>
              <w:sz w:val="22"/>
              <w:szCs w:val="22"/>
            </w:rPr>
            <w:t>XXXXXXX</w:t>
          </w:r>
          <w:r w:rsidR="00C73999">
            <w:rPr>
              <w:rFonts w:ascii="Palatino Linotype" w:hAnsi="Palatino Linotype"/>
              <w:b/>
              <w:sz w:val="22"/>
              <w:szCs w:val="22"/>
            </w:rPr>
            <w:t xml:space="preserve"> </w:t>
          </w:r>
          <w:r>
            <w:rPr>
              <w:rFonts w:ascii="Palatino Linotype" w:hAnsi="Palatino Linotype"/>
              <w:b/>
              <w:sz w:val="22"/>
              <w:szCs w:val="22"/>
            </w:rPr>
            <w:t>XXXX</w:t>
          </w:r>
          <w:r w:rsidR="00C73999">
            <w:rPr>
              <w:rFonts w:ascii="Palatino Linotype" w:hAnsi="Palatino Linotype"/>
              <w:b/>
              <w:sz w:val="22"/>
              <w:szCs w:val="22"/>
            </w:rPr>
            <w:t xml:space="preserve"> </w:t>
          </w:r>
          <w:r>
            <w:rPr>
              <w:rFonts w:ascii="Palatino Linotype" w:hAnsi="Palatino Linotype"/>
              <w:b/>
              <w:sz w:val="22"/>
              <w:szCs w:val="22"/>
            </w:rPr>
            <w:t>XXXXX XXXXXXX</w:t>
          </w:r>
        </w:p>
      </w:tc>
    </w:tr>
    <w:tr w:rsidR="00C73999" w:rsidRPr="00025127" w14:paraId="41BE0704" w14:textId="77777777" w:rsidTr="006E6B65">
      <w:trPr>
        <w:trHeight w:val="321"/>
        <w:jc w:val="right"/>
      </w:trPr>
      <w:tc>
        <w:tcPr>
          <w:tcW w:w="3261" w:type="dxa"/>
          <w:vAlign w:val="center"/>
        </w:tcPr>
        <w:p w14:paraId="34C64148" w14:textId="10C6C8A9" w:rsidR="00C73999" w:rsidRPr="00025127" w:rsidRDefault="00C7399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1FC7A9C" w:rsidR="00C73999" w:rsidRPr="00025127" w:rsidRDefault="00C73999" w:rsidP="001C1229">
          <w:pPr>
            <w:pStyle w:val="Encabezado"/>
            <w:rPr>
              <w:rFonts w:ascii="Palatino Linotype" w:hAnsi="Palatino Linotype"/>
              <w:b/>
              <w:sz w:val="22"/>
              <w:szCs w:val="22"/>
            </w:rPr>
          </w:pPr>
          <w:r w:rsidRPr="00505DB4">
            <w:rPr>
              <w:rFonts w:ascii="Palatino Linotype" w:hAnsi="Palatino Linotype"/>
              <w:b/>
              <w:bCs/>
              <w:color w:val="000000"/>
              <w:sz w:val="22"/>
              <w:szCs w:val="20"/>
            </w:rPr>
            <w:t>Ayuntamiento de Atizapán de Zaragoza</w:t>
          </w:r>
        </w:p>
      </w:tc>
    </w:tr>
    <w:tr w:rsidR="00C73999" w:rsidRPr="00025127" w14:paraId="0C8B6193" w14:textId="77777777" w:rsidTr="006E6B65">
      <w:trPr>
        <w:trHeight w:val="321"/>
        <w:jc w:val="right"/>
      </w:trPr>
      <w:tc>
        <w:tcPr>
          <w:tcW w:w="3261" w:type="dxa"/>
          <w:vAlign w:val="center"/>
        </w:tcPr>
        <w:p w14:paraId="321FFAFF" w14:textId="0E8C2CE7" w:rsidR="00C73999" w:rsidRPr="00025127" w:rsidRDefault="00C7399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73999" w:rsidRPr="00025127" w:rsidRDefault="00C7399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73999" w:rsidRDefault="00C7399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59444F"/>
    <w:multiLevelType w:val="hybridMultilevel"/>
    <w:tmpl w:val="857A3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0726E1"/>
    <w:multiLevelType w:val="hybridMultilevel"/>
    <w:tmpl w:val="596AA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6E1CC0"/>
    <w:multiLevelType w:val="hybridMultilevel"/>
    <w:tmpl w:val="3DD6C1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1"/>
  </w:num>
  <w:num w:numId="5">
    <w:abstractNumId w:val="25"/>
  </w:num>
  <w:num w:numId="6">
    <w:abstractNumId w:val="26"/>
  </w:num>
  <w:num w:numId="7">
    <w:abstractNumId w:val="15"/>
  </w:num>
  <w:num w:numId="8">
    <w:abstractNumId w:val="11"/>
  </w:num>
  <w:num w:numId="9">
    <w:abstractNumId w:val="16"/>
  </w:num>
  <w:num w:numId="10">
    <w:abstractNumId w:val="5"/>
  </w:num>
  <w:num w:numId="11">
    <w:abstractNumId w:val="21"/>
  </w:num>
  <w:num w:numId="12">
    <w:abstractNumId w:val="3"/>
  </w:num>
  <w:num w:numId="13">
    <w:abstractNumId w:val="13"/>
  </w:num>
  <w:num w:numId="14">
    <w:abstractNumId w:val="1"/>
  </w:num>
  <w:num w:numId="15">
    <w:abstractNumId w:val="7"/>
  </w:num>
  <w:num w:numId="16">
    <w:abstractNumId w:val="10"/>
  </w:num>
  <w:num w:numId="17">
    <w:abstractNumId w:val="24"/>
  </w:num>
  <w:num w:numId="18">
    <w:abstractNumId w:val="18"/>
  </w:num>
  <w:num w:numId="19">
    <w:abstractNumId w:val="8"/>
  </w:num>
  <w:num w:numId="20">
    <w:abstractNumId w:val="6"/>
  </w:num>
  <w:num w:numId="21">
    <w:abstractNumId w:val="22"/>
  </w:num>
  <w:num w:numId="22">
    <w:abstractNumId w:val="9"/>
  </w:num>
  <w:num w:numId="23">
    <w:abstractNumId w:val="12"/>
  </w:num>
  <w:num w:numId="24">
    <w:abstractNumId w:val="4"/>
  </w:num>
  <w:num w:numId="25">
    <w:abstractNumId w:val="14"/>
  </w:num>
  <w:num w:numId="26">
    <w:abstractNumId w:val="20"/>
  </w:num>
  <w:num w:numId="27">
    <w:abstractNumId w:val="19"/>
  </w:num>
  <w:num w:numId="28">
    <w:abstractNumId w:val="23"/>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4B8"/>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66A"/>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A54"/>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6E42"/>
    <w:rsid w:val="00100187"/>
    <w:rsid w:val="001009A9"/>
    <w:rsid w:val="00100C6D"/>
    <w:rsid w:val="00100DDD"/>
    <w:rsid w:val="001023CC"/>
    <w:rsid w:val="00102D65"/>
    <w:rsid w:val="00103662"/>
    <w:rsid w:val="00103888"/>
    <w:rsid w:val="00104148"/>
    <w:rsid w:val="00107499"/>
    <w:rsid w:val="00107557"/>
    <w:rsid w:val="0010788F"/>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6DF"/>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17E96"/>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5FF4"/>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6140"/>
    <w:rsid w:val="00297E4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5B1"/>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D7B9F"/>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47F39"/>
    <w:rsid w:val="0035066B"/>
    <w:rsid w:val="0035104F"/>
    <w:rsid w:val="003522BF"/>
    <w:rsid w:val="00352901"/>
    <w:rsid w:val="00353D9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2BDE"/>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162"/>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16E"/>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5934"/>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092B"/>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B75FB"/>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5DB4"/>
    <w:rsid w:val="00507043"/>
    <w:rsid w:val="00507C08"/>
    <w:rsid w:val="00507D18"/>
    <w:rsid w:val="0051016E"/>
    <w:rsid w:val="00511A30"/>
    <w:rsid w:val="00512C46"/>
    <w:rsid w:val="00512F22"/>
    <w:rsid w:val="005140E4"/>
    <w:rsid w:val="00514343"/>
    <w:rsid w:val="00514426"/>
    <w:rsid w:val="00515DEC"/>
    <w:rsid w:val="00515F6C"/>
    <w:rsid w:val="00516603"/>
    <w:rsid w:val="005166F9"/>
    <w:rsid w:val="005167B1"/>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D59"/>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68"/>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229"/>
    <w:rsid w:val="005C6961"/>
    <w:rsid w:val="005C6F55"/>
    <w:rsid w:val="005D0843"/>
    <w:rsid w:val="005D0C02"/>
    <w:rsid w:val="005D0EB4"/>
    <w:rsid w:val="005D18A6"/>
    <w:rsid w:val="005D272D"/>
    <w:rsid w:val="005D27DD"/>
    <w:rsid w:val="005D3493"/>
    <w:rsid w:val="005D52F5"/>
    <w:rsid w:val="005D622E"/>
    <w:rsid w:val="005D651A"/>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500"/>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4EFD"/>
    <w:rsid w:val="0064565D"/>
    <w:rsid w:val="00646A08"/>
    <w:rsid w:val="00650392"/>
    <w:rsid w:val="0065061D"/>
    <w:rsid w:val="00651701"/>
    <w:rsid w:val="00655146"/>
    <w:rsid w:val="0065715E"/>
    <w:rsid w:val="00657670"/>
    <w:rsid w:val="00657DBF"/>
    <w:rsid w:val="00657DE0"/>
    <w:rsid w:val="00657ED7"/>
    <w:rsid w:val="00662C69"/>
    <w:rsid w:val="00662F98"/>
    <w:rsid w:val="0066311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5F75"/>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159B"/>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6349"/>
    <w:rsid w:val="007D74D9"/>
    <w:rsid w:val="007D7CA5"/>
    <w:rsid w:val="007D7EF3"/>
    <w:rsid w:val="007E0553"/>
    <w:rsid w:val="007E5125"/>
    <w:rsid w:val="007E5DB4"/>
    <w:rsid w:val="007E6285"/>
    <w:rsid w:val="007E6334"/>
    <w:rsid w:val="007E64B6"/>
    <w:rsid w:val="007E72DF"/>
    <w:rsid w:val="007F0617"/>
    <w:rsid w:val="007F1BCA"/>
    <w:rsid w:val="007F2666"/>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76B"/>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00D"/>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6D4"/>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38D"/>
    <w:rsid w:val="00920D03"/>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60F9"/>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2A6"/>
    <w:rsid w:val="009916D2"/>
    <w:rsid w:val="009917E9"/>
    <w:rsid w:val="009918B7"/>
    <w:rsid w:val="009918C6"/>
    <w:rsid w:val="00991FD9"/>
    <w:rsid w:val="0099229C"/>
    <w:rsid w:val="00994E5F"/>
    <w:rsid w:val="009959DB"/>
    <w:rsid w:val="00995C9F"/>
    <w:rsid w:val="0099752D"/>
    <w:rsid w:val="00997C2A"/>
    <w:rsid w:val="009A0358"/>
    <w:rsid w:val="009A0461"/>
    <w:rsid w:val="009A0754"/>
    <w:rsid w:val="009A0E2A"/>
    <w:rsid w:val="009A28A2"/>
    <w:rsid w:val="009A2D33"/>
    <w:rsid w:val="009A5191"/>
    <w:rsid w:val="009A5297"/>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2A8B"/>
    <w:rsid w:val="009F307E"/>
    <w:rsid w:val="009F37D5"/>
    <w:rsid w:val="009F50DE"/>
    <w:rsid w:val="009F552F"/>
    <w:rsid w:val="009F5735"/>
    <w:rsid w:val="009F5F3E"/>
    <w:rsid w:val="009F6D34"/>
    <w:rsid w:val="009F74A2"/>
    <w:rsid w:val="009F7BB0"/>
    <w:rsid w:val="009F7F85"/>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384"/>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24B"/>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4AB4"/>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16DE"/>
    <w:rsid w:val="00B13243"/>
    <w:rsid w:val="00B13511"/>
    <w:rsid w:val="00B13D85"/>
    <w:rsid w:val="00B154C4"/>
    <w:rsid w:val="00B16296"/>
    <w:rsid w:val="00B16954"/>
    <w:rsid w:val="00B16CC7"/>
    <w:rsid w:val="00B1786A"/>
    <w:rsid w:val="00B17AEB"/>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194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39C8"/>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780A"/>
    <w:rsid w:val="00B87CD6"/>
    <w:rsid w:val="00B902E7"/>
    <w:rsid w:val="00B90F29"/>
    <w:rsid w:val="00B922D9"/>
    <w:rsid w:val="00B926D6"/>
    <w:rsid w:val="00B93351"/>
    <w:rsid w:val="00B945F2"/>
    <w:rsid w:val="00B95670"/>
    <w:rsid w:val="00B959FD"/>
    <w:rsid w:val="00B966BF"/>
    <w:rsid w:val="00B974B4"/>
    <w:rsid w:val="00BA0012"/>
    <w:rsid w:val="00BA0458"/>
    <w:rsid w:val="00BA071F"/>
    <w:rsid w:val="00BA0A18"/>
    <w:rsid w:val="00BA4F66"/>
    <w:rsid w:val="00BA54A2"/>
    <w:rsid w:val="00BA63BC"/>
    <w:rsid w:val="00BA6D15"/>
    <w:rsid w:val="00BA7987"/>
    <w:rsid w:val="00BA7CFA"/>
    <w:rsid w:val="00BB03C9"/>
    <w:rsid w:val="00BB0C6B"/>
    <w:rsid w:val="00BB1309"/>
    <w:rsid w:val="00BB2522"/>
    <w:rsid w:val="00BB2592"/>
    <w:rsid w:val="00BB3156"/>
    <w:rsid w:val="00BB5769"/>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4BAA"/>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293B"/>
    <w:rsid w:val="00C5401F"/>
    <w:rsid w:val="00C54922"/>
    <w:rsid w:val="00C55FE8"/>
    <w:rsid w:val="00C601EF"/>
    <w:rsid w:val="00C61825"/>
    <w:rsid w:val="00C6220B"/>
    <w:rsid w:val="00C62658"/>
    <w:rsid w:val="00C634D6"/>
    <w:rsid w:val="00C6364C"/>
    <w:rsid w:val="00C63CF2"/>
    <w:rsid w:val="00C6440A"/>
    <w:rsid w:val="00C648FC"/>
    <w:rsid w:val="00C6521F"/>
    <w:rsid w:val="00C65EDE"/>
    <w:rsid w:val="00C663BE"/>
    <w:rsid w:val="00C70AB7"/>
    <w:rsid w:val="00C7137A"/>
    <w:rsid w:val="00C71858"/>
    <w:rsid w:val="00C722C5"/>
    <w:rsid w:val="00C7270F"/>
    <w:rsid w:val="00C73999"/>
    <w:rsid w:val="00C74346"/>
    <w:rsid w:val="00C744AE"/>
    <w:rsid w:val="00C74781"/>
    <w:rsid w:val="00C76B87"/>
    <w:rsid w:val="00C80034"/>
    <w:rsid w:val="00C828E8"/>
    <w:rsid w:val="00C83579"/>
    <w:rsid w:val="00C83EA7"/>
    <w:rsid w:val="00C84559"/>
    <w:rsid w:val="00C84E31"/>
    <w:rsid w:val="00C85816"/>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6A08"/>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5DEB"/>
    <w:rsid w:val="00D60582"/>
    <w:rsid w:val="00D61222"/>
    <w:rsid w:val="00D63800"/>
    <w:rsid w:val="00D63990"/>
    <w:rsid w:val="00D65068"/>
    <w:rsid w:val="00D65243"/>
    <w:rsid w:val="00D658A1"/>
    <w:rsid w:val="00D65BBD"/>
    <w:rsid w:val="00D667E6"/>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393D"/>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D6496"/>
    <w:rsid w:val="00DE0FC0"/>
    <w:rsid w:val="00DE190A"/>
    <w:rsid w:val="00DE1A76"/>
    <w:rsid w:val="00DE31D8"/>
    <w:rsid w:val="00DE37A7"/>
    <w:rsid w:val="00DE3A31"/>
    <w:rsid w:val="00DE4F75"/>
    <w:rsid w:val="00DE5C78"/>
    <w:rsid w:val="00DE5F76"/>
    <w:rsid w:val="00DF09A4"/>
    <w:rsid w:val="00DF0DF7"/>
    <w:rsid w:val="00DF13A5"/>
    <w:rsid w:val="00DF13AD"/>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4914"/>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67286"/>
    <w:rsid w:val="00E7041F"/>
    <w:rsid w:val="00E7063D"/>
    <w:rsid w:val="00E71329"/>
    <w:rsid w:val="00E71633"/>
    <w:rsid w:val="00E7206F"/>
    <w:rsid w:val="00E7218C"/>
    <w:rsid w:val="00E72689"/>
    <w:rsid w:val="00E730AA"/>
    <w:rsid w:val="00E74C7A"/>
    <w:rsid w:val="00E75B53"/>
    <w:rsid w:val="00E76251"/>
    <w:rsid w:val="00E76F29"/>
    <w:rsid w:val="00E76F52"/>
    <w:rsid w:val="00E76FA6"/>
    <w:rsid w:val="00E777E8"/>
    <w:rsid w:val="00E826D6"/>
    <w:rsid w:val="00E82B54"/>
    <w:rsid w:val="00E8380C"/>
    <w:rsid w:val="00E838B2"/>
    <w:rsid w:val="00E84521"/>
    <w:rsid w:val="00E84D6B"/>
    <w:rsid w:val="00E856B0"/>
    <w:rsid w:val="00E85D85"/>
    <w:rsid w:val="00E86134"/>
    <w:rsid w:val="00E86868"/>
    <w:rsid w:val="00E86C2A"/>
    <w:rsid w:val="00E86CA1"/>
    <w:rsid w:val="00E87AD0"/>
    <w:rsid w:val="00E87F07"/>
    <w:rsid w:val="00E91E35"/>
    <w:rsid w:val="00E92215"/>
    <w:rsid w:val="00E937B5"/>
    <w:rsid w:val="00E9442F"/>
    <w:rsid w:val="00E94495"/>
    <w:rsid w:val="00E9486B"/>
    <w:rsid w:val="00E95534"/>
    <w:rsid w:val="00E95618"/>
    <w:rsid w:val="00E95EFD"/>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1ADD"/>
    <w:rsid w:val="00EE280E"/>
    <w:rsid w:val="00EE38AA"/>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33A8"/>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1920"/>
    <w:rsid w:val="00F325F9"/>
    <w:rsid w:val="00F32971"/>
    <w:rsid w:val="00F3400B"/>
    <w:rsid w:val="00F35C44"/>
    <w:rsid w:val="00F37B6F"/>
    <w:rsid w:val="00F40178"/>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4373"/>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449"/>
    <w:rsid w:val="00FC6AC7"/>
    <w:rsid w:val="00FC77FF"/>
    <w:rsid w:val="00FC7E40"/>
    <w:rsid w:val="00FD0B5A"/>
    <w:rsid w:val="00FD0BDD"/>
    <w:rsid w:val="00FD1351"/>
    <w:rsid w:val="00FD189D"/>
    <w:rsid w:val="00FD27D5"/>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1706806">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7384829">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7157981">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917180">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64008183">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140341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74216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79996941">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097090782">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uo.edomex.gob.mx/atizapan_zarag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omex.org.mx/ipo/lgt/indice/ATIZAPANDEZARAGOZA/art_94_I_f7.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legiodenotariosedomex.org.mx/?articulo=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4D00-657B-4B21-9BDF-E9C3F131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52</Pages>
  <Words>13087</Words>
  <Characters>71981</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28</cp:revision>
  <cp:lastPrinted>2019-12-11T01:19:00Z</cp:lastPrinted>
  <dcterms:created xsi:type="dcterms:W3CDTF">2022-06-01T18:54:00Z</dcterms:created>
  <dcterms:modified xsi:type="dcterms:W3CDTF">2022-07-12T18:33:00Z</dcterms:modified>
</cp:coreProperties>
</file>