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0ADF6" w14:textId="0DD7767A" w:rsidR="00D262C2" w:rsidRPr="00E47D3E" w:rsidRDefault="00D262C2" w:rsidP="00D262C2">
      <w:pPr>
        <w:tabs>
          <w:tab w:val="left" w:pos="3465"/>
        </w:tabs>
        <w:spacing w:before="240" w:after="360" w:line="360" w:lineRule="auto"/>
        <w:jc w:val="both"/>
        <w:rPr>
          <w:rFonts w:ascii="Palatino Linotype" w:hAnsi="Palatino Linotype"/>
        </w:rPr>
      </w:pPr>
      <w:r w:rsidRPr="00E47D3E">
        <w:rPr>
          <w:rFonts w:ascii="Palatino Linotype" w:hAnsi="Palatino Linotype"/>
        </w:rPr>
        <w:t>Resolución del Pleno del Instituto de Transparencia, Acceso a la Información Pública y Protección de Datos Personales del Estado de México y Municipios, con domicilio en Me</w:t>
      </w:r>
      <w:r w:rsidR="00385055" w:rsidRPr="00E47D3E">
        <w:rPr>
          <w:rFonts w:ascii="Palatino Linotype" w:hAnsi="Palatino Linotype"/>
        </w:rPr>
        <w:t>tepec</w:t>
      </w:r>
      <w:r w:rsidR="005F45F7" w:rsidRPr="00E47D3E">
        <w:rPr>
          <w:rFonts w:ascii="Palatino Linotype" w:hAnsi="Palatino Linotype"/>
        </w:rPr>
        <w:t xml:space="preserve">, Estado de México; de </w:t>
      </w:r>
      <w:r w:rsidR="00AB53ED" w:rsidRPr="00E47D3E">
        <w:rPr>
          <w:rFonts w:ascii="Palatino Linotype" w:hAnsi="Palatino Linotype"/>
        </w:rPr>
        <w:t>doce</w:t>
      </w:r>
      <w:r w:rsidR="005F45F7" w:rsidRPr="00E47D3E">
        <w:rPr>
          <w:rFonts w:ascii="Palatino Linotype" w:hAnsi="Palatino Linotype"/>
        </w:rPr>
        <w:t xml:space="preserve"> (</w:t>
      </w:r>
      <w:r w:rsidR="00AB53ED" w:rsidRPr="00E47D3E">
        <w:rPr>
          <w:rFonts w:ascii="Palatino Linotype" w:hAnsi="Palatino Linotype"/>
        </w:rPr>
        <w:t>12</w:t>
      </w:r>
      <w:r w:rsidRPr="00E47D3E">
        <w:rPr>
          <w:rFonts w:ascii="Palatino Linotype" w:hAnsi="Palatino Linotype"/>
        </w:rPr>
        <w:t xml:space="preserve">) de </w:t>
      </w:r>
      <w:r w:rsidR="00BF36FE" w:rsidRPr="00E47D3E">
        <w:rPr>
          <w:rFonts w:ascii="Palatino Linotype" w:hAnsi="Palatino Linotype"/>
        </w:rPr>
        <w:t>octubre</w:t>
      </w:r>
      <w:r w:rsidR="005F45F7" w:rsidRPr="00E47D3E">
        <w:rPr>
          <w:rFonts w:ascii="Palatino Linotype" w:hAnsi="Palatino Linotype"/>
        </w:rPr>
        <w:t xml:space="preserve"> de dos mil veintidós</w:t>
      </w:r>
      <w:r w:rsidRPr="00E47D3E">
        <w:rPr>
          <w:rFonts w:ascii="Palatino Linotype" w:hAnsi="Palatino Linotype"/>
        </w:rPr>
        <w:t>.</w:t>
      </w:r>
    </w:p>
    <w:p w14:paraId="31FEB299" w14:textId="3361792D" w:rsidR="00D262C2" w:rsidRPr="00E47D3E" w:rsidRDefault="00D262C2" w:rsidP="00D262C2">
      <w:pPr>
        <w:spacing w:before="240" w:after="360" w:line="360" w:lineRule="auto"/>
        <w:jc w:val="both"/>
        <w:rPr>
          <w:rFonts w:ascii="Palatino Linotype" w:hAnsi="Palatino Linotype"/>
          <w:b/>
        </w:rPr>
      </w:pPr>
      <w:r w:rsidRPr="00E47D3E">
        <w:rPr>
          <w:rFonts w:ascii="Palatino Linotype" w:hAnsi="Palatino Linotype"/>
          <w:b/>
        </w:rPr>
        <w:t>VISTO</w:t>
      </w:r>
      <w:r w:rsidRPr="00E47D3E">
        <w:rPr>
          <w:rFonts w:ascii="Palatino Linotype" w:hAnsi="Palatino Linotype"/>
        </w:rPr>
        <w:t xml:space="preserve"> el expediente electrónico formado con motivo del recurso de revisión </w:t>
      </w:r>
      <w:r w:rsidR="00BF36FE" w:rsidRPr="00E47D3E">
        <w:rPr>
          <w:rFonts w:ascii="Palatino Linotype" w:hAnsi="Palatino Linotype"/>
          <w:b/>
        </w:rPr>
        <w:t>00458</w:t>
      </w:r>
      <w:r w:rsidR="00B4318F" w:rsidRPr="00E47D3E">
        <w:rPr>
          <w:rFonts w:ascii="Palatino Linotype" w:hAnsi="Palatino Linotype"/>
          <w:b/>
        </w:rPr>
        <w:t>/INFOEM/IP/RR/202</w:t>
      </w:r>
      <w:r w:rsidR="004D3E46" w:rsidRPr="00E47D3E">
        <w:rPr>
          <w:rFonts w:ascii="Palatino Linotype" w:hAnsi="Palatino Linotype"/>
          <w:b/>
        </w:rPr>
        <w:t>2</w:t>
      </w:r>
      <w:r w:rsidRPr="00E47D3E">
        <w:rPr>
          <w:rFonts w:ascii="Palatino Linotype" w:hAnsi="Palatino Linotype" w:cs="Arial"/>
          <w:b/>
          <w:bCs/>
        </w:rPr>
        <w:t xml:space="preserve">; </w:t>
      </w:r>
      <w:r w:rsidR="00577A5A" w:rsidRPr="00E47D3E">
        <w:rPr>
          <w:rFonts w:ascii="Palatino Linotype" w:hAnsi="Palatino Linotype"/>
        </w:rPr>
        <w:t xml:space="preserve">promovido </w:t>
      </w:r>
      <w:r w:rsidR="001A6EAB" w:rsidRPr="00E47D3E">
        <w:rPr>
          <w:rFonts w:ascii="Palatino Linotype" w:eastAsia="MS Mincho" w:hAnsi="Palatino Linotype"/>
        </w:rPr>
        <w:t xml:space="preserve">por </w:t>
      </w:r>
      <w:r w:rsidR="00E47D3E" w:rsidRPr="00E47D3E">
        <w:rPr>
          <w:rFonts w:ascii="Palatino Linotype" w:hAnsi="Palatino Linotype"/>
          <w:b/>
          <w:color w:val="000000" w:themeColor="text1"/>
        </w:rPr>
        <w:t>XXXX XXXX XXXX</w:t>
      </w:r>
      <w:r w:rsidR="00BF36FE" w:rsidRPr="00E47D3E">
        <w:rPr>
          <w:rFonts w:ascii="Palatino Linotype" w:hAnsi="Palatino Linotype"/>
          <w:color w:val="000000" w:themeColor="text1"/>
        </w:rPr>
        <w:t xml:space="preserve">, </w:t>
      </w:r>
      <w:r w:rsidR="001A6EAB" w:rsidRPr="00E47D3E">
        <w:rPr>
          <w:rFonts w:ascii="Palatino Linotype" w:hAnsi="Palatino Linotype"/>
          <w:color w:val="000000" w:themeColor="text1"/>
        </w:rPr>
        <w:t>que en lo sucesivo se le identificará como</w:t>
      </w:r>
      <w:r w:rsidR="001A6EAB" w:rsidRPr="00E47D3E">
        <w:rPr>
          <w:rFonts w:ascii="Palatino Linotype" w:hAnsi="Palatino Linotype"/>
          <w:b/>
          <w:color w:val="000000" w:themeColor="text1"/>
        </w:rPr>
        <w:t xml:space="preserve"> </w:t>
      </w:r>
      <w:r w:rsidRPr="00E47D3E">
        <w:rPr>
          <w:rFonts w:ascii="Palatino Linotype" w:hAnsi="Palatino Linotype" w:cs="Arial"/>
          <w:b/>
        </w:rPr>
        <w:t>RECURRENTE</w:t>
      </w:r>
      <w:r w:rsidRPr="00E47D3E">
        <w:rPr>
          <w:rFonts w:ascii="Palatino Linotype" w:hAnsi="Palatino Linotype" w:cs="Arial"/>
        </w:rPr>
        <w:t>, en contra de la respuesta de</w:t>
      </w:r>
      <w:r w:rsidR="00F83CD8" w:rsidRPr="00E47D3E">
        <w:rPr>
          <w:rFonts w:ascii="Palatino Linotype" w:hAnsi="Palatino Linotype" w:cs="Arial"/>
        </w:rPr>
        <w:t>l</w:t>
      </w:r>
      <w:r w:rsidRPr="00E47D3E">
        <w:rPr>
          <w:rFonts w:ascii="Palatino Linotype" w:hAnsi="Palatino Linotype"/>
        </w:rPr>
        <w:t xml:space="preserve"> </w:t>
      </w:r>
      <w:r w:rsidR="00F83CD8" w:rsidRPr="00E47D3E">
        <w:rPr>
          <w:rFonts w:ascii="Palatino Linotype" w:eastAsia="Calibri" w:hAnsi="Palatino Linotype" w:cs="Tahoma"/>
          <w:b/>
          <w:bCs/>
          <w:lang w:eastAsia="en-US"/>
        </w:rPr>
        <w:t xml:space="preserve">Ayuntamiento de </w:t>
      </w:r>
      <w:r w:rsidR="00BF36FE" w:rsidRPr="00E47D3E">
        <w:rPr>
          <w:rFonts w:ascii="Palatino Linotype" w:eastAsia="Calibri" w:hAnsi="Palatino Linotype" w:cs="Tahoma"/>
          <w:b/>
          <w:bCs/>
          <w:lang w:eastAsia="en-US"/>
        </w:rPr>
        <w:t>Toluca</w:t>
      </w:r>
      <w:r w:rsidRPr="00E47D3E">
        <w:rPr>
          <w:rFonts w:ascii="Palatino Linotype" w:hAnsi="Palatino Linotype"/>
          <w:b/>
        </w:rPr>
        <w:t xml:space="preserve">, </w:t>
      </w:r>
      <w:r w:rsidRPr="00E47D3E">
        <w:rPr>
          <w:rFonts w:ascii="Palatino Linotype" w:hAnsi="Palatino Linotype"/>
        </w:rPr>
        <w:t>en lo sucesivo el</w:t>
      </w:r>
      <w:r w:rsidRPr="00E47D3E">
        <w:rPr>
          <w:rFonts w:ascii="Palatino Linotype" w:hAnsi="Palatino Linotype"/>
          <w:b/>
        </w:rPr>
        <w:t xml:space="preserve"> SUJETO OBLIGADO, </w:t>
      </w:r>
      <w:r w:rsidRPr="00E47D3E">
        <w:rPr>
          <w:rFonts w:ascii="Palatino Linotype" w:hAnsi="Palatino Linotype"/>
        </w:rPr>
        <w:t>se procede a dictar la presente resolución, con base en los siguientes:</w:t>
      </w:r>
    </w:p>
    <w:p w14:paraId="13167791" w14:textId="77777777" w:rsidR="00D262C2" w:rsidRPr="00E47D3E"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E47D3E">
        <w:rPr>
          <w:rFonts w:ascii="Palatino Linotype" w:hAnsi="Palatino Linotype"/>
          <w:b/>
          <w:color w:val="auto"/>
          <w:sz w:val="24"/>
        </w:rPr>
        <w:t>ANTECEDENTES</w:t>
      </w:r>
      <w:bookmarkEnd w:id="0"/>
      <w:bookmarkEnd w:id="1"/>
      <w:bookmarkEnd w:id="2"/>
    </w:p>
    <w:p w14:paraId="5FF5C34D" w14:textId="593A7142" w:rsidR="00D262C2" w:rsidRPr="00E47D3E"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E47D3E">
        <w:rPr>
          <w:rFonts w:ascii="Palatino Linotype" w:eastAsia="Calibri" w:hAnsi="Palatino Linotype" w:cs="Arial"/>
          <w:sz w:val="24"/>
          <w:lang w:val="es-ES"/>
        </w:rPr>
        <w:t xml:space="preserve">El </w:t>
      </w:r>
      <w:r w:rsidR="00BF36FE" w:rsidRPr="00E47D3E">
        <w:rPr>
          <w:rFonts w:ascii="Palatino Linotype" w:eastAsia="Calibri" w:hAnsi="Palatino Linotype" w:cs="Arial"/>
          <w:sz w:val="24"/>
          <w:lang w:val="es-ES"/>
        </w:rPr>
        <w:t>diez</w:t>
      </w:r>
      <w:r w:rsidR="00D9126C" w:rsidRPr="00E47D3E">
        <w:rPr>
          <w:rFonts w:ascii="Palatino Linotype" w:eastAsia="Calibri" w:hAnsi="Palatino Linotype" w:cs="Arial"/>
          <w:sz w:val="24"/>
          <w:lang w:val="es-ES"/>
        </w:rPr>
        <w:t xml:space="preserve"> </w:t>
      </w:r>
      <w:r w:rsidR="005F45F7" w:rsidRPr="00E47D3E">
        <w:rPr>
          <w:rFonts w:ascii="Palatino Linotype" w:eastAsia="Calibri" w:hAnsi="Palatino Linotype" w:cs="Arial"/>
          <w:sz w:val="24"/>
          <w:lang w:val="es-ES"/>
        </w:rPr>
        <w:t>(</w:t>
      </w:r>
      <w:r w:rsidR="00BF36FE" w:rsidRPr="00E47D3E">
        <w:rPr>
          <w:rFonts w:ascii="Palatino Linotype" w:eastAsia="Calibri" w:hAnsi="Palatino Linotype" w:cs="Arial"/>
          <w:sz w:val="24"/>
          <w:lang w:val="es-ES"/>
        </w:rPr>
        <w:t>10</w:t>
      </w:r>
      <w:r w:rsidR="00385055" w:rsidRPr="00E47D3E">
        <w:rPr>
          <w:rFonts w:ascii="Palatino Linotype" w:eastAsia="Calibri" w:hAnsi="Palatino Linotype" w:cs="Arial"/>
          <w:sz w:val="24"/>
          <w:lang w:val="es-ES"/>
        </w:rPr>
        <w:t xml:space="preserve">) de </w:t>
      </w:r>
      <w:r w:rsidR="00F83CD8" w:rsidRPr="00E47D3E">
        <w:rPr>
          <w:rFonts w:ascii="Palatino Linotype" w:eastAsia="Calibri" w:hAnsi="Palatino Linotype" w:cs="Arial"/>
          <w:sz w:val="24"/>
          <w:lang w:val="es-ES"/>
        </w:rPr>
        <w:t>enero</w:t>
      </w:r>
      <w:r w:rsidR="00A840AB" w:rsidRPr="00E47D3E">
        <w:rPr>
          <w:rFonts w:ascii="Palatino Linotype" w:eastAsia="Calibri" w:hAnsi="Palatino Linotype" w:cs="Arial"/>
          <w:sz w:val="24"/>
          <w:lang w:val="es-ES"/>
        </w:rPr>
        <w:t xml:space="preserve"> de dos mil veinti</w:t>
      </w:r>
      <w:r w:rsidR="00067992" w:rsidRPr="00E47D3E">
        <w:rPr>
          <w:rFonts w:ascii="Palatino Linotype" w:eastAsia="Calibri" w:hAnsi="Palatino Linotype" w:cs="Arial"/>
          <w:sz w:val="24"/>
          <w:lang w:val="es-ES"/>
        </w:rPr>
        <w:t>dós</w:t>
      </w:r>
      <w:r w:rsidRPr="00E47D3E">
        <w:rPr>
          <w:rFonts w:ascii="Palatino Linotype" w:hAnsi="Palatino Linotype"/>
          <w:b/>
          <w:sz w:val="24"/>
        </w:rPr>
        <w:t xml:space="preserve">, </w:t>
      </w:r>
      <w:r w:rsidRPr="00E47D3E">
        <w:rPr>
          <w:rFonts w:ascii="Palatino Linotype" w:eastAsia="Calibri" w:hAnsi="Palatino Linotype" w:cs="Arial"/>
          <w:sz w:val="24"/>
          <w:lang w:val="es-ES"/>
        </w:rPr>
        <w:t xml:space="preserve">se presentó ante el </w:t>
      </w:r>
      <w:r w:rsidRPr="00E47D3E">
        <w:rPr>
          <w:rFonts w:ascii="Palatino Linotype" w:eastAsia="Calibri" w:hAnsi="Palatino Linotype" w:cs="Arial"/>
          <w:b/>
          <w:sz w:val="24"/>
          <w:lang w:val="es-ES"/>
        </w:rPr>
        <w:t>SUJETO OBLIGADO</w:t>
      </w:r>
      <w:r w:rsidRPr="00E47D3E">
        <w:rPr>
          <w:rFonts w:ascii="Palatino Linotype" w:eastAsia="Calibri" w:hAnsi="Palatino Linotype" w:cs="Arial"/>
          <w:sz w:val="24"/>
        </w:rPr>
        <w:t xml:space="preserve"> vía </w:t>
      </w:r>
      <w:r w:rsidRPr="00E47D3E">
        <w:rPr>
          <w:rFonts w:ascii="Palatino Linotype" w:eastAsia="Calibri" w:hAnsi="Palatino Linotype" w:cs="Arial"/>
          <w:sz w:val="24"/>
          <w:lang w:val="es-ES"/>
        </w:rPr>
        <w:t xml:space="preserve">Sistema de Acceso a la Información Mexiquense </w:t>
      </w:r>
      <w:r w:rsidRPr="00E47D3E">
        <w:rPr>
          <w:rFonts w:ascii="Palatino Linotype" w:eastAsia="Calibri" w:hAnsi="Palatino Linotype" w:cs="Arial"/>
          <w:b/>
          <w:sz w:val="24"/>
          <w:lang w:val="es-ES"/>
        </w:rPr>
        <w:t>SAIMEX</w:t>
      </w:r>
      <w:r w:rsidRPr="00E47D3E">
        <w:rPr>
          <w:rFonts w:ascii="Palatino Linotype" w:eastAsia="Calibri" w:hAnsi="Palatino Linotype" w:cs="Arial"/>
          <w:sz w:val="24"/>
          <w:lang w:val="es-ES"/>
        </w:rPr>
        <w:t xml:space="preserve">, la solicitud de información pública registrada con el número </w:t>
      </w:r>
      <w:r w:rsidR="00BF36FE" w:rsidRPr="00E47D3E">
        <w:rPr>
          <w:rFonts w:ascii="Palatino Linotype" w:hAnsi="Palatino Linotype" w:cs="Arial"/>
          <w:b/>
          <w:bCs/>
          <w:sz w:val="24"/>
        </w:rPr>
        <w:t>00154</w:t>
      </w:r>
      <w:r w:rsidR="00385055" w:rsidRPr="00E47D3E">
        <w:rPr>
          <w:rFonts w:ascii="Palatino Linotype" w:hAnsi="Palatino Linotype" w:cs="Arial"/>
          <w:b/>
          <w:bCs/>
          <w:sz w:val="24"/>
        </w:rPr>
        <w:t>/</w:t>
      </w:r>
      <w:r w:rsidR="00BF36FE" w:rsidRPr="00E47D3E">
        <w:rPr>
          <w:rFonts w:ascii="Palatino Linotype" w:hAnsi="Palatino Linotype" w:cs="Arial"/>
          <w:b/>
          <w:bCs/>
          <w:sz w:val="24"/>
        </w:rPr>
        <w:t>TOLUC</w:t>
      </w:r>
      <w:r w:rsidR="00F83CD8" w:rsidRPr="00E47D3E">
        <w:rPr>
          <w:rFonts w:ascii="Palatino Linotype" w:hAnsi="Palatino Linotype" w:cs="Arial"/>
          <w:b/>
          <w:bCs/>
          <w:sz w:val="24"/>
        </w:rPr>
        <w:t>A</w:t>
      </w:r>
      <w:r w:rsidR="00914A15" w:rsidRPr="00E47D3E">
        <w:rPr>
          <w:rFonts w:ascii="Palatino Linotype" w:hAnsi="Palatino Linotype" w:cs="Arial"/>
          <w:b/>
          <w:bCs/>
          <w:sz w:val="24"/>
        </w:rPr>
        <w:t>/IP/202</w:t>
      </w:r>
      <w:r w:rsidR="00067992" w:rsidRPr="00E47D3E">
        <w:rPr>
          <w:rFonts w:ascii="Palatino Linotype" w:hAnsi="Palatino Linotype" w:cs="Arial"/>
          <w:b/>
          <w:bCs/>
          <w:sz w:val="24"/>
        </w:rPr>
        <w:t>2</w:t>
      </w:r>
      <w:r w:rsidR="00914A15" w:rsidRPr="00E47D3E">
        <w:rPr>
          <w:rFonts w:ascii="Palatino Linotype" w:hAnsi="Palatino Linotype" w:cs="Arial"/>
          <w:b/>
          <w:bCs/>
          <w:sz w:val="24"/>
        </w:rPr>
        <w:t xml:space="preserve"> </w:t>
      </w:r>
      <w:r w:rsidRPr="00E47D3E">
        <w:rPr>
          <w:rFonts w:ascii="Palatino Linotype" w:eastAsia="Calibri" w:hAnsi="Palatino Linotype" w:cs="Arial"/>
          <w:sz w:val="24"/>
          <w:lang w:val="es-ES"/>
        </w:rPr>
        <w:t>mediante la cual solicitó:</w:t>
      </w:r>
    </w:p>
    <w:p w14:paraId="725241B4" w14:textId="77777777" w:rsidR="00D262C2" w:rsidRPr="00E47D3E" w:rsidRDefault="00D262C2" w:rsidP="00067992">
      <w:pPr>
        <w:ind w:right="539"/>
        <w:jc w:val="both"/>
        <w:rPr>
          <w:rFonts w:ascii="Palatino Linotype" w:hAnsi="Palatino Linotype"/>
          <w:i/>
          <w:color w:val="000000"/>
          <w:sz w:val="22"/>
          <w:szCs w:val="22"/>
        </w:rPr>
      </w:pPr>
    </w:p>
    <w:p w14:paraId="4699E205" w14:textId="434B1483" w:rsidR="00067992" w:rsidRPr="00E47D3E" w:rsidRDefault="00D262C2" w:rsidP="00BF36FE">
      <w:pPr>
        <w:ind w:left="567" w:right="539"/>
        <w:jc w:val="both"/>
        <w:rPr>
          <w:rFonts w:ascii="Palatino Linotype" w:hAnsi="Palatino Linotype"/>
          <w:i/>
          <w:sz w:val="22"/>
          <w:szCs w:val="22"/>
        </w:rPr>
      </w:pPr>
      <w:r w:rsidRPr="00E47D3E">
        <w:rPr>
          <w:rFonts w:ascii="Palatino Linotype" w:hAnsi="Palatino Linotype"/>
          <w:i/>
          <w:color w:val="000000"/>
          <w:sz w:val="22"/>
          <w:szCs w:val="22"/>
        </w:rPr>
        <w:t>“</w:t>
      </w:r>
      <w:r w:rsidR="00BF36FE" w:rsidRPr="00E47D3E">
        <w:rPr>
          <w:rFonts w:ascii="Palatino Linotype" w:hAnsi="Palatino Linotype"/>
          <w:i/>
          <w:color w:val="000000"/>
          <w:sz w:val="22"/>
          <w:szCs w:val="22"/>
        </w:rPr>
        <w:t>Nombres y curriculums de los comandantes de seguridad publica y vialidad. Cuantas patrullas se tienen actualmente Cuanta gasolina se les dotara a cada patrulla y camión de basura. Cuantas patrullas.camiones de basura, policias dejo Juan Rodolfo Sánchez Gómez, cuando dejo de ser presidente municipal Cuantos patrullas.camiones de basura, policias dejo Maria Elena Barrera Tapia, cuando dejo de ser presidenta municipal cuantos patrullas.camiones de basura, policias dejo Martha Hilda Gonzalez, cuando dejo de ser Presidenta municipal cuantos patrullas.camiones de basura, policias dejo Fernando Zamora, cuando dejo de ser Presidente Municipal Cuantos patrullas.camiones de basura, policias dejo Juan Rodolfo, cuando dejo de ser presidente municipal.”</w:t>
      </w:r>
      <w:r w:rsidR="00F83CD8" w:rsidRPr="00E47D3E">
        <w:rPr>
          <w:rFonts w:ascii="Palatino Linotype" w:hAnsi="Palatino Linotype"/>
          <w:i/>
          <w:color w:val="000000"/>
          <w:sz w:val="22"/>
          <w:szCs w:val="22"/>
        </w:rPr>
        <w:t xml:space="preserve"> (Sic)</w:t>
      </w:r>
    </w:p>
    <w:p w14:paraId="2CACDD4A" w14:textId="00955BA9" w:rsidR="00D9126C" w:rsidRPr="00E47D3E" w:rsidRDefault="00D9126C" w:rsidP="00F83CD8">
      <w:pPr>
        <w:ind w:right="539"/>
        <w:jc w:val="both"/>
        <w:rPr>
          <w:rFonts w:ascii="Palatino Linotype" w:hAnsi="Palatino Linotype"/>
          <w:i/>
          <w:sz w:val="22"/>
          <w:szCs w:val="22"/>
        </w:rPr>
      </w:pPr>
    </w:p>
    <w:p w14:paraId="389D740F" w14:textId="77777777" w:rsidR="00D262C2" w:rsidRPr="00E47D3E"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E47D3E">
        <w:rPr>
          <w:rFonts w:ascii="Palatino Linotype" w:eastAsia="Calibri" w:hAnsi="Palatino Linotype" w:cs="Arial"/>
          <w:sz w:val="24"/>
          <w:lang w:val="es-AR"/>
        </w:rPr>
        <w:t>Se señaló</w:t>
      </w:r>
      <w:r w:rsidR="00D262C2" w:rsidRPr="00E47D3E">
        <w:rPr>
          <w:rFonts w:ascii="Palatino Linotype" w:hAnsi="Palatino Linotype" w:cs="Arial"/>
          <w:sz w:val="24"/>
          <w:lang w:val="es-ES"/>
        </w:rPr>
        <w:t xml:space="preserve"> como modalidad de entrega de la información </w:t>
      </w:r>
      <w:r w:rsidRPr="00E47D3E">
        <w:rPr>
          <w:rFonts w:ascii="Palatino Linotype" w:hAnsi="Palatino Linotype" w:cs="Arial"/>
          <w:sz w:val="24"/>
          <w:lang w:val="es-ES"/>
        </w:rPr>
        <w:t xml:space="preserve">a través de </w:t>
      </w:r>
      <w:r w:rsidRPr="00E47D3E">
        <w:rPr>
          <w:rFonts w:ascii="Palatino Linotype" w:hAnsi="Palatino Linotype" w:cs="Arial"/>
          <w:b/>
          <w:sz w:val="24"/>
          <w:lang w:val="es-ES"/>
        </w:rPr>
        <w:t>SAIMEX</w:t>
      </w:r>
      <w:r w:rsidRPr="00E47D3E">
        <w:rPr>
          <w:rFonts w:ascii="Palatino Linotype" w:hAnsi="Palatino Linotype" w:cs="Arial"/>
          <w:sz w:val="24"/>
          <w:lang w:val="es-ES"/>
        </w:rPr>
        <w:t>.</w:t>
      </w:r>
    </w:p>
    <w:p w14:paraId="0B7A3C3E" w14:textId="77777777" w:rsidR="00D262C2" w:rsidRPr="00E47D3E"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6B65D35D" w14:textId="17916CE3" w:rsidR="00A840AB" w:rsidRPr="00E47D3E" w:rsidRDefault="00A840AB" w:rsidP="00914A15">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E47D3E">
        <w:rPr>
          <w:rFonts w:ascii="Palatino Linotype" w:hAnsi="Palatino Linotype" w:cs="Arial"/>
          <w:sz w:val="24"/>
          <w:szCs w:val="22"/>
        </w:rPr>
        <w:lastRenderedPageBreak/>
        <w:t xml:space="preserve">De las constancias del expediente electrónico </w:t>
      </w:r>
      <w:r w:rsidRPr="00E47D3E">
        <w:rPr>
          <w:rFonts w:ascii="Palatino Linotype" w:hAnsi="Palatino Linotype" w:cs="Arial"/>
          <w:b/>
          <w:sz w:val="24"/>
          <w:szCs w:val="22"/>
        </w:rPr>
        <w:t>SAIM</w:t>
      </w:r>
      <w:r w:rsidR="00914A15" w:rsidRPr="00E47D3E">
        <w:rPr>
          <w:rFonts w:ascii="Palatino Linotype" w:hAnsi="Palatino Linotype" w:cs="Arial"/>
          <w:b/>
          <w:sz w:val="24"/>
          <w:szCs w:val="22"/>
        </w:rPr>
        <w:t>EX</w:t>
      </w:r>
      <w:r w:rsidR="005F45F7" w:rsidRPr="00E47D3E">
        <w:rPr>
          <w:rFonts w:ascii="Palatino Linotype" w:hAnsi="Palatino Linotype" w:cs="Arial"/>
          <w:sz w:val="24"/>
          <w:szCs w:val="22"/>
        </w:rPr>
        <w:t xml:space="preserve">, se observa que </w:t>
      </w:r>
      <w:r w:rsidR="00A03080" w:rsidRPr="00E47D3E">
        <w:rPr>
          <w:rFonts w:ascii="Palatino Linotype" w:hAnsi="Palatino Linotype" w:cs="Arial"/>
          <w:sz w:val="24"/>
          <w:szCs w:val="22"/>
        </w:rPr>
        <w:t xml:space="preserve">el </w:t>
      </w:r>
      <w:r w:rsidR="00BF36FE" w:rsidRPr="00E47D3E">
        <w:rPr>
          <w:rFonts w:ascii="Palatino Linotype" w:hAnsi="Palatino Linotype" w:cs="Arial"/>
          <w:sz w:val="24"/>
          <w:szCs w:val="22"/>
        </w:rPr>
        <w:t>diez</w:t>
      </w:r>
      <w:r w:rsidR="00A03080" w:rsidRPr="00E47D3E">
        <w:rPr>
          <w:rFonts w:ascii="Palatino Linotype" w:hAnsi="Palatino Linotype" w:cs="Arial"/>
          <w:sz w:val="24"/>
          <w:szCs w:val="22"/>
        </w:rPr>
        <w:t xml:space="preserve"> (</w:t>
      </w:r>
      <w:r w:rsidR="00BF36FE" w:rsidRPr="00E47D3E">
        <w:rPr>
          <w:rFonts w:ascii="Palatino Linotype" w:hAnsi="Palatino Linotype" w:cs="Arial"/>
          <w:sz w:val="24"/>
          <w:szCs w:val="22"/>
        </w:rPr>
        <w:t>10</w:t>
      </w:r>
      <w:r w:rsidR="00A03080" w:rsidRPr="00E47D3E">
        <w:rPr>
          <w:rFonts w:ascii="Palatino Linotype" w:hAnsi="Palatino Linotype" w:cs="Arial"/>
          <w:sz w:val="24"/>
          <w:szCs w:val="22"/>
        </w:rPr>
        <w:t xml:space="preserve">) de </w:t>
      </w:r>
      <w:r w:rsidR="00D35E86" w:rsidRPr="00E47D3E">
        <w:rPr>
          <w:rFonts w:ascii="Palatino Linotype" w:hAnsi="Palatino Linotype" w:cs="Arial"/>
          <w:sz w:val="24"/>
          <w:szCs w:val="22"/>
        </w:rPr>
        <w:t>enero</w:t>
      </w:r>
      <w:r w:rsidR="00A03080" w:rsidRPr="00E47D3E">
        <w:rPr>
          <w:rFonts w:ascii="Palatino Linotype" w:hAnsi="Palatino Linotype" w:cs="Arial"/>
          <w:sz w:val="24"/>
          <w:szCs w:val="22"/>
        </w:rPr>
        <w:t xml:space="preserve"> de dos mil veintidós, </w:t>
      </w:r>
      <w:r w:rsidR="00BF36FE" w:rsidRPr="00E47D3E">
        <w:rPr>
          <w:rFonts w:ascii="Palatino Linotype" w:hAnsi="Palatino Linotype" w:cs="Arial"/>
          <w:sz w:val="24"/>
          <w:szCs w:val="22"/>
        </w:rPr>
        <w:t>se realizaron</w:t>
      </w:r>
      <w:r w:rsidRPr="00E47D3E">
        <w:rPr>
          <w:rFonts w:ascii="Palatino Linotype" w:hAnsi="Palatino Linotype" w:cs="Arial"/>
          <w:sz w:val="24"/>
          <w:szCs w:val="22"/>
        </w:rPr>
        <w:t xml:space="preserve"> </w:t>
      </w:r>
      <w:r w:rsidR="00BF36FE" w:rsidRPr="00E47D3E">
        <w:rPr>
          <w:rFonts w:ascii="Palatino Linotype" w:hAnsi="Palatino Linotype" w:cs="Arial"/>
          <w:sz w:val="24"/>
          <w:szCs w:val="22"/>
        </w:rPr>
        <w:t>tres</w:t>
      </w:r>
      <w:r w:rsidR="005F45F7" w:rsidRPr="00E47D3E">
        <w:rPr>
          <w:rFonts w:ascii="Palatino Linotype" w:hAnsi="Palatino Linotype" w:cs="Arial"/>
          <w:sz w:val="24"/>
          <w:szCs w:val="22"/>
        </w:rPr>
        <w:t xml:space="preserve"> </w:t>
      </w:r>
      <w:r w:rsidR="00914A15" w:rsidRPr="00E47D3E">
        <w:rPr>
          <w:rFonts w:ascii="Palatino Linotype" w:hAnsi="Palatino Linotype" w:cs="Arial"/>
          <w:sz w:val="24"/>
          <w:szCs w:val="22"/>
        </w:rPr>
        <w:t>requerimiento</w:t>
      </w:r>
      <w:r w:rsidR="00BF36FE" w:rsidRPr="00E47D3E">
        <w:rPr>
          <w:rFonts w:ascii="Palatino Linotype" w:hAnsi="Palatino Linotype" w:cs="Arial"/>
          <w:sz w:val="24"/>
          <w:szCs w:val="22"/>
        </w:rPr>
        <w:t>s</w:t>
      </w:r>
      <w:r w:rsidR="00A03080" w:rsidRPr="00E47D3E">
        <w:rPr>
          <w:rFonts w:ascii="Palatino Linotype" w:hAnsi="Palatino Linotype" w:cs="Arial"/>
          <w:sz w:val="24"/>
          <w:szCs w:val="22"/>
        </w:rPr>
        <w:t xml:space="preserve"> a</w:t>
      </w:r>
      <w:r w:rsidR="00BF36FE" w:rsidRPr="00E47D3E">
        <w:rPr>
          <w:rFonts w:ascii="Palatino Linotype" w:hAnsi="Palatino Linotype" w:cs="Arial"/>
          <w:sz w:val="24"/>
          <w:szCs w:val="22"/>
        </w:rPr>
        <w:t xml:space="preserve"> </w:t>
      </w:r>
      <w:r w:rsidR="00A03080" w:rsidRPr="00E47D3E">
        <w:rPr>
          <w:rFonts w:ascii="Palatino Linotype" w:hAnsi="Palatino Linotype" w:cs="Arial"/>
          <w:sz w:val="24"/>
          <w:szCs w:val="22"/>
        </w:rPr>
        <w:t>l</w:t>
      </w:r>
      <w:r w:rsidR="00BF36FE" w:rsidRPr="00E47D3E">
        <w:rPr>
          <w:rFonts w:ascii="Palatino Linotype" w:hAnsi="Palatino Linotype" w:cs="Arial"/>
          <w:sz w:val="24"/>
          <w:szCs w:val="22"/>
        </w:rPr>
        <w:t>os</w:t>
      </w:r>
      <w:r w:rsidR="00A03080" w:rsidRPr="00E47D3E">
        <w:rPr>
          <w:rFonts w:ascii="Palatino Linotype" w:hAnsi="Palatino Linotype" w:cs="Arial"/>
          <w:sz w:val="24"/>
          <w:szCs w:val="22"/>
        </w:rPr>
        <w:t xml:space="preserve"> servidor</w:t>
      </w:r>
      <w:r w:rsidR="00BF36FE" w:rsidRPr="00E47D3E">
        <w:rPr>
          <w:rFonts w:ascii="Palatino Linotype" w:hAnsi="Palatino Linotype" w:cs="Arial"/>
          <w:sz w:val="24"/>
          <w:szCs w:val="22"/>
        </w:rPr>
        <w:t>es</w:t>
      </w:r>
      <w:r w:rsidR="00A03080" w:rsidRPr="00E47D3E">
        <w:rPr>
          <w:rFonts w:ascii="Palatino Linotype" w:hAnsi="Palatino Linotype" w:cs="Arial"/>
          <w:sz w:val="24"/>
          <w:szCs w:val="22"/>
        </w:rPr>
        <w:t xml:space="preserve"> público</w:t>
      </w:r>
      <w:r w:rsidR="00BF36FE" w:rsidRPr="00E47D3E">
        <w:rPr>
          <w:rFonts w:ascii="Palatino Linotype" w:hAnsi="Palatino Linotype" w:cs="Arial"/>
          <w:sz w:val="24"/>
          <w:szCs w:val="22"/>
        </w:rPr>
        <w:t>s</w:t>
      </w:r>
      <w:r w:rsidR="00A03080" w:rsidRPr="00E47D3E">
        <w:rPr>
          <w:rFonts w:ascii="Palatino Linotype" w:hAnsi="Palatino Linotype" w:cs="Arial"/>
          <w:sz w:val="24"/>
          <w:szCs w:val="22"/>
        </w:rPr>
        <w:t xml:space="preserve"> habilitado</w:t>
      </w:r>
      <w:r w:rsidR="00BF36FE" w:rsidRPr="00E47D3E">
        <w:rPr>
          <w:rFonts w:ascii="Palatino Linotype" w:hAnsi="Palatino Linotype" w:cs="Arial"/>
          <w:sz w:val="24"/>
          <w:szCs w:val="22"/>
        </w:rPr>
        <w:t>s</w:t>
      </w:r>
      <w:r w:rsidR="00AE26A4" w:rsidRPr="00E47D3E">
        <w:rPr>
          <w:rFonts w:ascii="Palatino Linotype" w:hAnsi="Palatino Linotype" w:cs="Arial"/>
          <w:sz w:val="24"/>
          <w:szCs w:val="22"/>
        </w:rPr>
        <w:t>, como a continuación se observa</w:t>
      </w:r>
      <w:r w:rsidRPr="00E47D3E">
        <w:rPr>
          <w:rFonts w:ascii="Palatino Linotype" w:hAnsi="Palatino Linotype" w:cs="Arial"/>
          <w:sz w:val="24"/>
          <w:szCs w:val="22"/>
        </w:rPr>
        <w:t>:</w:t>
      </w:r>
    </w:p>
    <w:p w14:paraId="38031E38" w14:textId="77777777" w:rsidR="00D35E86" w:rsidRPr="00E47D3E" w:rsidRDefault="00D35E86" w:rsidP="00D35E86">
      <w:pPr>
        <w:pStyle w:val="Prrafodelista"/>
        <w:tabs>
          <w:tab w:val="left" w:pos="284"/>
        </w:tabs>
        <w:spacing w:line="360" w:lineRule="auto"/>
        <w:ind w:left="0" w:right="34"/>
        <w:jc w:val="both"/>
        <w:rPr>
          <w:rFonts w:ascii="Palatino Linotype" w:hAnsi="Palatino Linotype" w:cs="Arial"/>
          <w:sz w:val="24"/>
          <w:szCs w:val="22"/>
        </w:rPr>
      </w:pPr>
    </w:p>
    <w:p w14:paraId="4BE12B1B" w14:textId="172E2A03" w:rsidR="00AE26A4" w:rsidRPr="00E47D3E" w:rsidRDefault="00BF36FE" w:rsidP="00BF36FE">
      <w:pPr>
        <w:pStyle w:val="Prrafodelista"/>
        <w:tabs>
          <w:tab w:val="left" w:pos="284"/>
        </w:tabs>
        <w:spacing w:line="360" w:lineRule="auto"/>
        <w:ind w:left="0" w:right="34"/>
        <w:jc w:val="center"/>
        <w:rPr>
          <w:rFonts w:ascii="Palatino Linotype" w:hAnsi="Palatino Linotype" w:cs="Arial"/>
          <w:sz w:val="24"/>
          <w:szCs w:val="22"/>
        </w:rPr>
      </w:pPr>
      <w:r w:rsidRPr="00E47D3E">
        <w:rPr>
          <w:noProof/>
        </w:rPr>
        <w:drawing>
          <wp:inline distT="0" distB="0" distL="0" distR="0" wp14:anchorId="610E7B84" wp14:editId="10EDA923">
            <wp:extent cx="5362956" cy="102870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415" t="30077" r="17735" b="47808"/>
                    <a:stretch/>
                  </pic:blipFill>
                  <pic:spPr bwMode="auto">
                    <a:xfrm>
                      <a:off x="0" y="0"/>
                      <a:ext cx="5372396" cy="103051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A625329" w14:textId="77777777" w:rsidR="00AE26A4" w:rsidRPr="00E47D3E" w:rsidRDefault="00AE26A4" w:rsidP="005F45F7">
      <w:pPr>
        <w:tabs>
          <w:tab w:val="left" w:pos="284"/>
        </w:tabs>
        <w:spacing w:line="360" w:lineRule="auto"/>
        <w:ind w:right="34"/>
        <w:jc w:val="both"/>
        <w:rPr>
          <w:rFonts w:ascii="Palatino Linotype" w:hAnsi="Palatino Linotype" w:cs="Arial"/>
          <w:szCs w:val="22"/>
        </w:rPr>
      </w:pPr>
    </w:p>
    <w:p w14:paraId="2D83CBB7" w14:textId="5BC83DFA" w:rsidR="00914A15" w:rsidRPr="00E47D3E" w:rsidRDefault="00AE26A4" w:rsidP="00914A15">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E47D3E">
        <w:rPr>
          <w:rFonts w:ascii="Palatino Linotype" w:eastAsia="Calibri" w:hAnsi="Palatino Linotype" w:cs="Arial"/>
          <w:sz w:val="24"/>
          <w:lang w:val="es-AR"/>
        </w:rPr>
        <w:t>E</w:t>
      </w:r>
      <w:r w:rsidR="00A03080" w:rsidRPr="00E47D3E">
        <w:rPr>
          <w:rFonts w:ascii="Palatino Linotype" w:eastAsia="Calibri" w:hAnsi="Palatino Linotype" w:cs="Arial"/>
          <w:sz w:val="24"/>
          <w:lang w:val="es-AR"/>
        </w:rPr>
        <w:t xml:space="preserve">l </w:t>
      </w:r>
      <w:r w:rsidR="00BF36FE" w:rsidRPr="00E47D3E">
        <w:rPr>
          <w:rFonts w:ascii="Palatino Linotype" w:eastAsia="Calibri" w:hAnsi="Palatino Linotype" w:cs="Arial"/>
          <w:sz w:val="24"/>
          <w:lang w:val="es-AR"/>
        </w:rPr>
        <w:t xml:space="preserve">treinta y uno (31) de enero de dos mil veintidós, el </w:t>
      </w:r>
      <w:r w:rsidR="00D262C2" w:rsidRPr="00E47D3E">
        <w:rPr>
          <w:rFonts w:ascii="Palatino Linotype" w:eastAsia="Calibri" w:hAnsi="Palatino Linotype" w:cs="Arial"/>
          <w:b/>
          <w:sz w:val="24"/>
          <w:lang w:val="es-AR"/>
        </w:rPr>
        <w:t>SUJETO OBLIGADO</w:t>
      </w:r>
      <w:r w:rsidR="00A03080" w:rsidRPr="00E47D3E">
        <w:rPr>
          <w:rFonts w:ascii="Palatino Linotype" w:eastAsia="Calibri" w:hAnsi="Palatino Linotype" w:cs="Arial"/>
          <w:bCs/>
          <w:sz w:val="24"/>
          <w:lang w:val="es-AR"/>
        </w:rPr>
        <w:t xml:space="preserve"> </w:t>
      </w:r>
      <w:r w:rsidR="00BF36FE" w:rsidRPr="00E47D3E">
        <w:rPr>
          <w:rFonts w:ascii="Palatino Linotype" w:eastAsia="Calibri" w:hAnsi="Palatino Linotype" w:cs="Arial"/>
          <w:bCs/>
          <w:sz w:val="24"/>
          <w:lang w:val="es-AR"/>
        </w:rPr>
        <w:t xml:space="preserve">dio </w:t>
      </w:r>
      <w:r w:rsidRPr="00E47D3E">
        <w:rPr>
          <w:rFonts w:ascii="Palatino Linotype" w:eastAsia="Calibri" w:hAnsi="Palatino Linotype" w:cs="Arial"/>
          <w:bCs/>
          <w:sz w:val="24"/>
          <w:lang w:val="es-AR"/>
        </w:rPr>
        <w:t>respuesta a la solicitud de información</w:t>
      </w:r>
      <w:r w:rsidR="00D35E86" w:rsidRPr="00E47D3E">
        <w:rPr>
          <w:rFonts w:ascii="Palatino Linotype" w:eastAsia="Calibri" w:hAnsi="Palatino Linotype" w:cs="Arial"/>
          <w:bCs/>
          <w:sz w:val="24"/>
          <w:lang w:val="es-AR"/>
        </w:rPr>
        <w:t xml:space="preserve">, según consta el Sistema de Acceso a la Información Mexiquense </w:t>
      </w:r>
      <w:r w:rsidR="00BF36FE" w:rsidRPr="00E47D3E">
        <w:rPr>
          <w:rFonts w:ascii="Palatino Linotype" w:eastAsia="Calibri" w:hAnsi="Palatino Linotype" w:cs="Arial"/>
          <w:b/>
          <w:sz w:val="24"/>
          <w:lang w:val="es-AR"/>
        </w:rPr>
        <w:t xml:space="preserve">(SAIMEX), </w:t>
      </w:r>
      <w:r w:rsidR="00BF36FE" w:rsidRPr="00E47D3E">
        <w:rPr>
          <w:rFonts w:ascii="Palatino Linotype" w:eastAsia="Calibri" w:hAnsi="Palatino Linotype" w:cs="Arial"/>
          <w:sz w:val="24"/>
          <w:lang w:val="es-AR"/>
        </w:rPr>
        <w:t>en los siguientes términos:</w:t>
      </w:r>
    </w:p>
    <w:p w14:paraId="2BFE86A0" w14:textId="77777777" w:rsidR="00BF36FE" w:rsidRPr="00E47D3E" w:rsidRDefault="00BF36FE" w:rsidP="00BF36FE">
      <w:pPr>
        <w:tabs>
          <w:tab w:val="left" w:pos="284"/>
        </w:tabs>
        <w:spacing w:line="360" w:lineRule="auto"/>
        <w:ind w:right="34"/>
        <w:jc w:val="both"/>
        <w:rPr>
          <w:rFonts w:ascii="Palatino Linotype" w:hAnsi="Palatino Linotype" w:cs="Arial"/>
          <w:i/>
          <w:szCs w:val="22"/>
        </w:rPr>
      </w:pPr>
    </w:p>
    <w:p w14:paraId="48591478" w14:textId="093035C4" w:rsidR="00BF36FE" w:rsidRPr="00E47D3E" w:rsidRDefault="00BF36FE" w:rsidP="00BF36FE">
      <w:pPr>
        <w:tabs>
          <w:tab w:val="left" w:pos="284"/>
        </w:tabs>
        <w:spacing w:line="360" w:lineRule="auto"/>
        <w:ind w:left="567" w:right="539"/>
        <w:jc w:val="both"/>
        <w:rPr>
          <w:rFonts w:ascii="Palatino Linotype" w:hAnsi="Palatino Linotype"/>
          <w:i/>
          <w:color w:val="000000"/>
          <w:sz w:val="22"/>
          <w:szCs w:val="22"/>
        </w:rPr>
      </w:pPr>
      <w:r w:rsidRPr="00E47D3E">
        <w:rPr>
          <w:rFonts w:ascii="Palatino Linotype" w:hAnsi="Palatino Linotype" w:cs="Arial"/>
          <w:i/>
          <w:sz w:val="22"/>
          <w:szCs w:val="22"/>
        </w:rPr>
        <w:t xml:space="preserve">“…En </w:t>
      </w:r>
      <w:r w:rsidRPr="00E47D3E">
        <w:rPr>
          <w:rFonts w:ascii="Palatino Linotype" w:hAnsi="Palatino Linotype"/>
          <w:i/>
          <w:color w:val="000000"/>
          <w:sz w:val="22"/>
          <w:szCs w:val="22"/>
        </w:rPr>
        <w:t>atención a la solicitud de información número 000154/TOLUCA/IP/2022, me permito adjuntar al presente la respuesta correspondiente. Sin más por el momento, le envío un cordial saludo…” (Sic)</w:t>
      </w:r>
    </w:p>
    <w:p w14:paraId="11E89DEF" w14:textId="77777777" w:rsidR="00BF36FE" w:rsidRPr="00E47D3E" w:rsidRDefault="00BF36FE" w:rsidP="00BF36FE">
      <w:pPr>
        <w:tabs>
          <w:tab w:val="left" w:pos="284"/>
        </w:tabs>
        <w:spacing w:line="360" w:lineRule="auto"/>
        <w:ind w:right="539"/>
        <w:jc w:val="both"/>
        <w:rPr>
          <w:rFonts w:ascii="Palatino Linotype" w:hAnsi="Palatino Linotype"/>
          <w:i/>
          <w:color w:val="000000"/>
          <w:sz w:val="22"/>
          <w:szCs w:val="22"/>
        </w:rPr>
      </w:pPr>
    </w:p>
    <w:p w14:paraId="198B4EF6" w14:textId="7F32B93C" w:rsidR="00BF36FE" w:rsidRPr="00E47D3E" w:rsidRDefault="00BF36FE" w:rsidP="00BF36FE">
      <w:pPr>
        <w:tabs>
          <w:tab w:val="left" w:pos="284"/>
        </w:tabs>
        <w:spacing w:line="360" w:lineRule="auto"/>
        <w:ind w:right="539"/>
        <w:jc w:val="both"/>
        <w:rPr>
          <w:rFonts w:ascii="Palatino Linotype" w:hAnsi="Palatino Linotype" w:cs="Arial"/>
          <w:sz w:val="22"/>
          <w:szCs w:val="22"/>
        </w:rPr>
      </w:pPr>
      <w:r w:rsidRPr="00E47D3E">
        <w:rPr>
          <w:rFonts w:ascii="Palatino Linotype" w:hAnsi="Palatino Linotype" w:cs="Arial"/>
          <w:sz w:val="22"/>
          <w:szCs w:val="22"/>
        </w:rPr>
        <w:t>Archivos adjuntos:</w:t>
      </w:r>
    </w:p>
    <w:p w14:paraId="39524922" w14:textId="10A3DE69" w:rsidR="00BF36FE" w:rsidRPr="00E47D3E" w:rsidRDefault="0078469A" w:rsidP="00BF36FE">
      <w:pPr>
        <w:pStyle w:val="Prrafodelista"/>
        <w:numPr>
          <w:ilvl w:val="0"/>
          <w:numId w:val="17"/>
        </w:numPr>
        <w:tabs>
          <w:tab w:val="left" w:pos="284"/>
        </w:tabs>
        <w:spacing w:line="360" w:lineRule="auto"/>
        <w:ind w:right="539"/>
        <w:jc w:val="both"/>
        <w:rPr>
          <w:rFonts w:ascii="Palatino Linotype" w:hAnsi="Palatino Linotype"/>
          <w:b/>
          <w:szCs w:val="22"/>
        </w:rPr>
      </w:pPr>
      <w:hyperlink r:id="rId8" w:tgtFrame="_blank" w:history="1">
        <w:r w:rsidR="00BF36FE" w:rsidRPr="00E47D3E">
          <w:rPr>
            <w:rStyle w:val="Hipervnculo"/>
            <w:rFonts w:ascii="Palatino Linotype" w:eastAsiaTheme="majorEastAsia" w:hAnsi="Palatino Linotype" w:cs="Arial"/>
            <w:b/>
            <w:bCs/>
            <w:color w:val="auto"/>
            <w:szCs w:val="22"/>
            <w:u w:val="none"/>
          </w:rPr>
          <w:t>SAIMEX 154.1.zip</w:t>
        </w:r>
      </w:hyperlink>
      <w:r w:rsidR="00BF36FE" w:rsidRPr="00E47D3E">
        <w:rPr>
          <w:rFonts w:ascii="Palatino Linotype" w:hAnsi="Palatino Linotype"/>
          <w:b/>
          <w:szCs w:val="22"/>
        </w:rPr>
        <w:t>:</w:t>
      </w:r>
      <w:r w:rsidR="00B5242E" w:rsidRPr="00E47D3E">
        <w:rPr>
          <w:rFonts w:ascii="Palatino Linotype" w:hAnsi="Palatino Linotype"/>
          <w:b/>
          <w:szCs w:val="22"/>
        </w:rPr>
        <w:t xml:space="preserve"> </w:t>
      </w:r>
      <w:r w:rsidR="00B5242E" w:rsidRPr="00E47D3E">
        <w:rPr>
          <w:rFonts w:ascii="Palatino Linotype" w:hAnsi="Palatino Linotype"/>
          <w:bCs/>
          <w:szCs w:val="22"/>
        </w:rPr>
        <w:t>Archivo electrónico que contiene información estadística referente a la dotación de gasolina para patrullas; asimismo, el padrón vehicular de los años 2013 a 2020.</w:t>
      </w:r>
    </w:p>
    <w:p w14:paraId="588542BD" w14:textId="0202474B" w:rsidR="00BF36FE" w:rsidRPr="00E47D3E" w:rsidRDefault="0078469A" w:rsidP="00BF36FE">
      <w:pPr>
        <w:pStyle w:val="Prrafodelista"/>
        <w:numPr>
          <w:ilvl w:val="0"/>
          <w:numId w:val="17"/>
        </w:numPr>
        <w:tabs>
          <w:tab w:val="left" w:pos="284"/>
        </w:tabs>
        <w:spacing w:line="360" w:lineRule="auto"/>
        <w:ind w:right="539"/>
        <w:jc w:val="both"/>
        <w:rPr>
          <w:rFonts w:ascii="Palatino Linotype" w:hAnsi="Palatino Linotype"/>
          <w:b/>
          <w:szCs w:val="22"/>
        </w:rPr>
      </w:pPr>
      <w:hyperlink r:id="rId9" w:tgtFrame="_blank" w:history="1">
        <w:r w:rsidR="00BF36FE" w:rsidRPr="00E47D3E">
          <w:rPr>
            <w:rStyle w:val="Hipervnculo"/>
            <w:rFonts w:ascii="Palatino Linotype" w:eastAsiaTheme="majorEastAsia" w:hAnsi="Palatino Linotype" w:cs="Arial"/>
            <w:b/>
            <w:bCs/>
            <w:color w:val="auto"/>
            <w:szCs w:val="22"/>
            <w:u w:val="none"/>
          </w:rPr>
          <w:t>Respuesta 00154_2022.pdf</w:t>
        </w:r>
      </w:hyperlink>
      <w:r w:rsidR="00BF36FE" w:rsidRPr="00E47D3E">
        <w:rPr>
          <w:rFonts w:ascii="Palatino Linotype" w:hAnsi="Palatino Linotype"/>
          <w:b/>
          <w:szCs w:val="22"/>
        </w:rPr>
        <w:t>:</w:t>
      </w:r>
      <w:r w:rsidR="00B5242E" w:rsidRPr="00E47D3E">
        <w:rPr>
          <w:rFonts w:ascii="Palatino Linotype" w:hAnsi="Palatino Linotype"/>
          <w:b/>
          <w:szCs w:val="22"/>
        </w:rPr>
        <w:t xml:space="preserve"> </w:t>
      </w:r>
      <w:r w:rsidR="00B5242E" w:rsidRPr="00E47D3E">
        <w:rPr>
          <w:rFonts w:ascii="Palatino Linotype" w:hAnsi="Palatino Linotype"/>
          <w:bCs/>
          <w:szCs w:val="22"/>
        </w:rPr>
        <w:t>Oficio del 31 de enero de 2022, suscrito y signado por la Titular de la Unidad de Transparencia, dirigido a la Recurrente, por medio del cual informó la respuesta proporcionada por la Directora General de Administración y el Director General de Seguridad Pública.</w:t>
      </w:r>
    </w:p>
    <w:p w14:paraId="158AE4F6" w14:textId="77777777" w:rsidR="00B5242E" w:rsidRPr="00E47D3E" w:rsidRDefault="00B5242E" w:rsidP="00B5242E">
      <w:pPr>
        <w:pStyle w:val="Prrafodelista"/>
        <w:tabs>
          <w:tab w:val="left" w:pos="284"/>
        </w:tabs>
        <w:spacing w:line="360" w:lineRule="auto"/>
        <w:ind w:right="539"/>
        <w:jc w:val="both"/>
        <w:rPr>
          <w:rFonts w:ascii="Palatino Linotype" w:hAnsi="Palatino Linotype"/>
          <w:b/>
          <w:szCs w:val="22"/>
        </w:rPr>
      </w:pPr>
    </w:p>
    <w:p w14:paraId="1EE7E89F" w14:textId="217F2633" w:rsidR="00BF36FE" w:rsidRPr="00E47D3E" w:rsidRDefault="0078469A" w:rsidP="00BF36FE">
      <w:pPr>
        <w:pStyle w:val="Prrafodelista"/>
        <w:numPr>
          <w:ilvl w:val="0"/>
          <w:numId w:val="17"/>
        </w:numPr>
        <w:tabs>
          <w:tab w:val="left" w:pos="284"/>
        </w:tabs>
        <w:spacing w:line="360" w:lineRule="auto"/>
        <w:ind w:right="539"/>
        <w:jc w:val="both"/>
        <w:rPr>
          <w:rFonts w:ascii="Palatino Linotype" w:hAnsi="Palatino Linotype" w:cs="Arial"/>
          <w:bCs/>
          <w:szCs w:val="22"/>
        </w:rPr>
      </w:pPr>
      <w:hyperlink r:id="rId10" w:tgtFrame="_blank" w:history="1">
        <w:r w:rsidR="00BF36FE" w:rsidRPr="00E47D3E">
          <w:rPr>
            <w:rStyle w:val="Hipervnculo"/>
            <w:rFonts w:ascii="Palatino Linotype" w:eastAsiaTheme="majorEastAsia" w:hAnsi="Palatino Linotype" w:cs="Arial"/>
            <w:b/>
            <w:bCs/>
            <w:color w:val="auto"/>
            <w:szCs w:val="22"/>
            <w:u w:val="none"/>
          </w:rPr>
          <w:t>Décima Primera Extraordinaria 22.pdf</w:t>
        </w:r>
      </w:hyperlink>
      <w:r w:rsidR="00BF36FE" w:rsidRPr="00E47D3E">
        <w:rPr>
          <w:rFonts w:ascii="Palatino Linotype" w:hAnsi="Palatino Linotype"/>
          <w:b/>
          <w:szCs w:val="22"/>
        </w:rPr>
        <w:t>:</w:t>
      </w:r>
      <w:r w:rsidR="00B5242E" w:rsidRPr="00E47D3E">
        <w:rPr>
          <w:rFonts w:ascii="Palatino Linotype" w:hAnsi="Palatino Linotype"/>
          <w:b/>
          <w:szCs w:val="22"/>
        </w:rPr>
        <w:t xml:space="preserve"> </w:t>
      </w:r>
      <w:r w:rsidR="00B5242E" w:rsidRPr="00E47D3E">
        <w:rPr>
          <w:rFonts w:ascii="Palatino Linotype" w:hAnsi="Palatino Linotype"/>
          <w:bCs/>
          <w:szCs w:val="22"/>
        </w:rPr>
        <w:t>Acta de la Décima Primera Sesión Extraordinaria del Comité de Tranparencia, celebrada el 24 de enero de 2022</w:t>
      </w:r>
      <w:r w:rsidR="00E95091" w:rsidRPr="00E47D3E">
        <w:rPr>
          <w:rFonts w:ascii="Palatino Linotype" w:hAnsi="Palatino Linotype"/>
          <w:bCs/>
          <w:szCs w:val="22"/>
        </w:rPr>
        <w:t>.</w:t>
      </w:r>
    </w:p>
    <w:p w14:paraId="23FF9445" w14:textId="77777777" w:rsidR="00BF36FE" w:rsidRPr="00E47D3E" w:rsidRDefault="00BF36FE" w:rsidP="00BF36FE">
      <w:pPr>
        <w:tabs>
          <w:tab w:val="left" w:pos="284"/>
        </w:tabs>
        <w:spacing w:line="360" w:lineRule="auto"/>
        <w:ind w:right="539"/>
        <w:jc w:val="both"/>
        <w:rPr>
          <w:rFonts w:ascii="Palatino Linotype" w:hAnsi="Palatino Linotype" w:cs="Arial"/>
          <w:i/>
          <w:sz w:val="22"/>
          <w:szCs w:val="22"/>
        </w:rPr>
      </w:pPr>
    </w:p>
    <w:p w14:paraId="76A00200" w14:textId="3D7D8C87" w:rsidR="00D262C2" w:rsidRPr="00E47D3E" w:rsidRDefault="00A068B7" w:rsidP="00A068B7">
      <w:pPr>
        <w:pStyle w:val="Prrafodelista"/>
        <w:numPr>
          <w:ilvl w:val="0"/>
          <w:numId w:val="8"/>
        </w:numPr>
        <w:tabs>
          <w:tab w:val="left" w:pos="284"/>
        </w:tabs>
        <w:spacing w:line="360" w:lineRule="auto"/>
        <w:ind w:left="0" w:firstLine="0"/>
        <w:jc w:val="both"/>
        <w:rPr>
          <w:rFonts w:ascii="Palatino Linotype" w:hAnsi="Palatino Linotype"/>
          <w:b/>
          <w:i/>
          <w:sz w:val="24"/>
        </w:rPr>
      </w:pPr>
      <w:r w:rsidRPr="00E47D3E">
        <w:rPr>
          <w:rFonts w:ascii="Palatino Linotype" w:hAnsi="Palatino Linotype" w:cs="Arial"/>
          <w:sz w:val="24"/>
        </w:rPr>
        <w:t>El</w:t>
      </w:r>
      <w:r w:rsidR="00D262C2" w:rsidRPr="00E47D3E">
        <w:rPr>
          <w:rFonts w:ascii="Palatino Linotype" w:hAnsi="Palatino Linotype" w:cs="Arial"/>
          <w:sz w:val="24"/>
          <w:lang w:val="es-ES"/>
        </w:rPr>
        <w:t xml:space="preserve"> </w:t>
      </w:r>
      <w:r w:rsidR="00BF36FE" w:rsidRPr="00E47D3E">
        <w:rPr>
          <w:rFonts w:ascii="Palatino Linotype" w:hAnsi="Palatino Linotype" w:cs="Arial"/>
          <w:sz w:val="24"/>
          <w:lang w:val="es-ES"/>
        </w:rPr>
        <w:t>treinta y uno</w:t>
      </w:r>
      <w:r w:rsidR="00D52A99" w:rsidRPr="00E47D3E">
        <w:rPr>
          <w:rFonts w:ascii="Palatino Linotype" w:hAnsi="Palatino Linotype" w:cs="Arial"/>
          <w:sz w:val="24"/>
          <w:lang w:val="es-ES"/>
        </w:rPr>
        <w:t xml:space="preserve"> (</w:t>
      </w:r>
      <w:r w:rsidR="00D35E86" w:rsidRPr="00E47D3E">
        <w:rPr>
          <w:rFonts w:ascii="Palatino Linotype" w:hAnsi="Palatino Linotype" w:cs="Arial"/>
          <w:sz w:val="24"/>
          <w:lang w:val="es-ES"/>
        </w:rPr>
        <w:t>3</w:t>
      </w:r>
      <w:r w:rsidR="00BF36FE" w:rsidRPr="00E47D3E">
        <w:rPr>
          <w:rFonts w:ascii="Palatino Linotype" w:hAnsi="Palatino Linotype" w:cs="Arial"/>
          <w:sz w:val="24"/>
          <w:lang w:val="es-ES"/>
        </w:rPr>
        <w:t>1</w:t>
      </w:r>
      <w:r w:rsidR="00D52A99" w:rsidRPr="00E47D3E">
        <w:rPr>
          <w:rFonts w:ascii="Palatino Linotype" w:hAnsi="Palatino Linotype" w:cs="Arial"/>
          <w:sz w:val="24"/>
          <w:lang w:val="es-ES"/>
        </w:rPr>
        <w:t xml:space="preserve">) de </w:t>
      </w:r>
      <w:r w:rsidR="00BF36FE" w:rsidRPr="00E47D3E">
        <w:rPr>
          <w:rFonts w:ascii="Palatino Linotype" w:hAnsi="Palatino Linotype" w:cs="Arial"/>
          <w:sz w:val="24"/>
          <w:lang w:val="es-ES"/>
        </w:rPr>
        <w:t>enero</w:t>
      </w:r>
      <w:r w:rsidR="00D262C2" w:rsidRPr="00E47D3E">
        <w:rPr>
          <w:rFonts w:ascii="Palatino Linotype" w:hAnsi="Palatino Linotype" w:cs="Arial"/>
          <w:sz w:val="24"/>
          <w:lang w:val="es-ES"/>
        </w:rPr>
        <w:t xml:space="preserve"> de dos mil </w:t>
      </w:r>
      <w:r w:rsidR="00D52A99" w:rsidRPr="00E47D3E">
        <w:rPr>
          <w:rFonts w:ascii="Palatino Linotype" w:hAnsi="Palatino Linotype" w:cs="Arial"/>
          <w:sz w:val="24"/>
          <w:lang w:val="es-ES"/>
        </w:rPr>
        <w:t>veintidós</w:t>
      </w:r>
      <w:r w:rsidR="00BF36FE" w:rsidRPr="00E47D3E">
        <w:rPr>
          <w:rFonts w:ascii="Palatino Linotype" w:hAnsi="Palatino Linotype" w:cs="Arial"/>
          <w:sz w:val="24"/>
          <w:lang w:val="es-ES"/>
        </w:rPr>
        <w:t xml:space="preserve">, </w:t>
      </w:r>
      <w:r w:rsidR="00B57611" w:rsidRPr="00E47D3E">
        <w:rPr>
          <w:rFonts w:ascii="Palatino Linotype" w:hAnsi="Palatino Linotype" w:cs="Arial"/>
          <w:sz w:val="24"/>
          <w:lang w:val="es-ES"/>
        </w:rPr>
        <w:t>la</w:t>
      </w:r>
      <w:r w:rsidR="00BF36FE" w:rsidRPr="00E47D3E">
        <w:rPr>
          <w:rFonts w:ascii="Palatino Linotype" w:hAnsi="Palatino Linotype" w:cs="Arial"/>
          <w:sz w:val="24"/>
          <w:lang w:val="es-ES"/>
        </w:rPr>
        <w:t xml:space="preserve"> </w:t>
      </w:r>
      <w:r w:rsidR="005313FB" w:rsidRPr="00E47D3E">
        <w:rPr>
          <w:rFonts w:ascii="Palatino Linotype" w:hAnsi="Palatino Linotype" w:cs="Arial"/>
          <w:sz w:val="24"/>
          <w:lang w:val="es-ES"/>
        </w:rPr>
        <w:t>Recurrente</w:t>
      </w:r>
      <w:r w:rsidR="00D262C2" w:rsidRPr="00E47D3E">
        <w:rPr>
          <w:rFonts w:ascii="Palatino Linotype" w:hAnsi="Palatino Linotype" w:cs="Arial"/>
          <w:sz w:val="24"/>
          <w:lang w:val="es-ES"/>
        </w:rPr>
        <w:t xml:space="preserve"> interpuso el recurso de revisión señalando como:</w:t>
      </w:r>
    </w:p>
    <w:p w14:paraId="7379C058" w14:textId="77777777" w:rsidR="00D262C2" w:rsidRPr="00E47D3E" w:rsidRDefault="00D262C2" w:rsidP="00D262C2">
      <w:pPr>
        <w:pStyle w:val="Prrafodelista"/>
        <w:tabs>
          <w:tab w:val="left" w:pos="284"/>
        </w:tabs>
        <w:spacing w:line="360" w:lineRule="auto"/>
        <w:ind w:left="0"/>
        <w:jc w:val="both"/>
        <w:rPr>
          <w:rFonts w:ascii="Palatino Linotype" w:hAnsi="Palatino Linotype"/>
          <w:b/>
          <w:i/>
          <w:sz w:val="10"/>
          <w:szCs w:val="22"/>
        </w:rPr>
      </w:pPr>
    </w:p>
    <w:p w14:paraId="20D4E409" w14:textId="30C8403A" w:rsidR="00D262C2" w:rsidRPr="00E47D3E" w:rsidRDefault="00D262C2" w:rsidP="00A068B7">
      <w:pPr>
        <w:ind w:left="567" w:right="539"/>
        <w:jc w:val="both"/>
        <w:rPr>
          <w:rFonts w:ascii="Palatino Linotype" w:hAnsi="Palatino Linotype"/>
          <w:sz w:val="22"/>
          <w:szCs w:val="22"/>
        </w:rPr>
      </w:pPr>
      <w:r w:rsidRPr="00E47D3E">
        <w:rPr>
          <w:rFonts w:ascii="Palatino Linotype" w:hAnsi="Palatino Linotype" w:cs="Arial"/>
          <w:b/>
          <w:sz w:val="22"/>
          <w:szCs w:val="22"/>
          <w:lang w:val="es-ES"/>
        </w:rPr>
        <w:t>Acto impugnado:</w:t>
      </w:r>
      <w:r w:rsidRPr="00E47D3E">
        <w:rPr>
          <w:rFonts w:ascii="Palatino Linotype" w:hAnsi="Palatino Linotype" w:cs="Arial"/>
          <w:i/>
          <w:sz w:val="22"/>
          <w:szCs w:val="22"/>
          <w:lang w:val="es-ES"/>
        </w:rPr>
        <w:t xml:space="preserve"> “</w:t>
      </w:r>
      <w:r w:rsidR="00BF36FE" w:rsidRPr="00E47D3E">
        <w:rPr>
          <w:rFonts w:ascii="Palatino Linotype" w:hAnsi="Palatino Linotype"/>
          <w:i/>
          <w:color w:val="000000"/>
          <w:sz w:val="22"/>
          <w:szCs w:val="22"/>
        </w:rPr>
        <w:t>La respuesta proporcionada por el ayuntamiento de Toluca.</w:t>
      </w:r>
      <w:r w:rsidRPr="00E47D3E">
        <w:rPr>
          <w:rFonts w:ascii="Palatino Linotype" w:hAnsi="Palatino Linotype" w:cs="Arial"/>
          <w:i/>
          <w:sz w:val="22"/>
          <w:szCs w:val="22"/>
          <w:lang w:val="es-ES"/>
        </w:rPr>
        <w:t>” (Sic).</w:t>
      </w:r>
    </w:p>
    <w:p w14:paraId="223CEEAF" w14:textId="77777777" w:rsidR="00D262C2" w:rsidRPr="00E47D3E" w:rsidRDefault="00D262C2" w:rsidP="00A068B7">
      <w:pPr>
        <w:pStyle w:val="Prrafodelista"/>
        <w:tabs>
          <w:tab w:val="left" w:pos="426"/>
          <w:tab w:val="left" w:pos="993"/>
        </w:tabs>
        <w:ind w:left="567" w:right="539"/>
        <w:jc w:val="both"/>
        <w:rPr>
          <w:rFonts w:ascii="Palatino Linotype" w:hAnsi="Palatino Linotype" w:cs="Arial"/>
          <w:szCs w:val="22"/>
          <w:lang w:val="es-ES"/>
        </w:rPr>
      </w:pPr>
    </w:p>
    <w:p w14:paraId="169D7902" w14:textId="1EACE984" w:rsidR="00D262C2" w:rsidRPr="00E47D3E" w:rsidRDefault="00D262C2" w:rsidP="00A068B7">
      <w:pPr>
        <w:ind w:left="567" w:right="539"/>
        <w:jc w:val="both"/>
        <w:rPr>
          <w:rFonts w:ascii="Palatino Linotype" w:hAnsi="Palatino Linotype"/>
          <w:sz w:val="22"/>
          <w:szCs w:val="22"/>
        </w:rPr>
      </w:pPr>
      <w:r w:rsidRPr="00E47D3E">
        <w:rPr>
          <w:rFonts w:ascii="Palatino Linotype" w:hAnsi="Palatino Linotype" w:cs="Arial"/>
          <w:b/>
          <w:sz w:val="22"/>
          <w:szCs w:val="22"/>
          <w:lang w:val="es-ES"/>
        </w:rPr>
        <w:t>Razones o motivos de inconformidad</w:t>
      </w:r>
      <w:r w:rsidRPr="00E47D3E">
        <w:rPr>
          <w:rFonts w:ascii="Palatino Linotype" w:hAnsi="Palatino Linotype" w:cs="Arial"/>
          <w:b/>
          <w:i/>
          <w:sz w:val="22"/>
          <w:szCs w:val="22"/>
          <w:lang w:val="es-ES"/>
        </w:rPr>
        <w:t>:</w:t>
      </w:r>
      <w:r w:rsidRPr="00E47D3E">
        <w:rPr>
          <w:rFonts w:ascii="Palatino Linotype" w:hAnsi="Palatino Linotype" w:cs="Arial"/>
          <w:i/>
          <w:sz w:val="22"/>
          <w:szCs w:val="22"/>
          <w:lang w:val="es-ES"/>
        </w:rPr>
        <w:t xml:space="preserve"> “</w:t>
      </w:r>
      <w:r w:rsidR="00BF36FE" w:rsidRPr="00E47D3E">
        <w:rPr>
          <w:rFonts w:ascii="Palatino Linotype" w:hAnsi="Palatino Linotype"/>
          <w:i/>
          <w:color w:val="000000"/>
          <w:sz w:val="22"/>
          <w:szCs w:val="22"/>
        </w:rPr>
        <w:t>No me entregaron la información que solicite, la reservan por un tiempo, pero hay información que no es susceptible a reservarse en su totalidad. No me entregaron los oficios de respuesta de las Direcciones competentes para contestar la solicitud.</w:t>
      </w:r>
      <w:r w:rsidR="00CC0337" w:rsidRPr="00E47D3E">
        <w:rPr>
          <w:rFonts w:ascii="Palatino Linotype" w:hAnsi="Palatino Linotype"/>
          <w:i/>
          <w:color w:val="000000"/>
          <w:sz w:val="22"/>
          <w:szCs w:val="22"/>
        </w:rPr>
        <w:t>"</w:t>
      </w:r>
      <w:r w:rsidR="001A6EAB" w:rsidRPr="00E47D3E">
        <w:rPr>
          <w:rFonts w:ascii="Palatino Linotype" w:hAnsi="Palatino Linotype"/>
          <w:i/>
          <w:color w:val="000000"/>
          <w:sz w:val="22"/>
          <w:szCs w:val="22"/>
        </w:rPr>
        <w:t xml:space="preserve"> </w:t>
      </w:r>
      <w:r w:rsidRPr="00E47D3E">
        <w:rPr>
          <w:rFonts w:ascii="Palatino Linotype" w:hAnsi="Palatino Linotype" w:cs="Arial"/>
          <w:i/>
          <w:sz w:val="22"/>
          <w:szCs w:val="22"/>
          <w:lang w:val="es-ES"/>
        </w:rPr>
        <w:t>(Sic)</w:t>
      </w:r>
    </w:p>
    <w:p w14:paraId="3237F581" w14:textId="77777777" w:rsidR="0009677C" w:rsidRPr="00E47D3E" w:rsidRDefault="0009677C" w:rsidP="00A068B7">
      <w:pPr>
        <w:tabs>
          <w:tab w:val="left" w:pos="426"/>
          <w:tab w:val="left" w:pos="993"/>
        </w:tabs>
        <w:jc w:val="both"/>
        <w:rPr>
          <w:rStyle w:val="Ttulo2Car"/>
          <w:rFonts w:ascii="Palatino Linotype" w:eastAsia="Times New Roman" w:hAnsi="Palatino Linotype" w:cs="Arial"/>
          <w:i/>
          <w:color w:val="auto"/>
          <w:sz w:val="22"/>
          <w:szCs w:val="22"/>
          <w:lang w:val="es-ES"/>
        </w:rPr>
      </w:pPr>
    </w:p>
    <w:p w14:paraId="27D21D0C" w14:textId="77777777" w:rsidR="00D262C2" w:rsidRPr="00E47D3E"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47D3E">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E47D3E">
        <w:rPr>
          <w:rFonts w:ascii="Palatino Linotype" w:eastAsia="Calibri" w:hAnsi="Palatino Linotype" w:cs="Arial"/>
          <w:b/>
          <w:sz w:val="24"/>
          <w:lang w:val="es-ES"/>
        </w:rPr>
        <w:t>Ley de Transparencia y Acceso a la Información Pública del Estado de México y Municipios</w:t>
      </w:r>
      <w:r w:rsidR="005156AA" w:rsidRPr="00E47D3E">
        <w:rPr>
          <w:rFonts w:ascii="Palatino Linotype" w:eastAsia="Calibri" w:hAnsi="Palatino Linotype" w:cs="Arial"/>
          <w:sz w:val="24"/>
          <w:lang w:val="es-ES"/>
        </w:rPr>
        <w:t>, se turnó a la</w:t>
      </w:r>
      <w:r w:rsidRPr="00E47D3E">
        <w:rPr>
          <w:rFonts w:ascii="Palatino Linotype" w:eastAsia="Calibri" w:hAnsi="Palatino Linotype" w:cs="Arial"/>
          <w:sz w:val="24"/>
          <w:lang w:val="es-ES"/>
        </w:rPr>
        <w:t xml:space="preserve"> </w:t>
      </w:r>
      <w:r w:rsidR="005156AA" w:rsidRPr="00E47D3E">
        <w:rPr>
          <w:rFonts w:ascii="Palatino Linotype" w:eastAsia="Calibri" w:hAnsi="Palatino Linotype" w:cs="Arial"/>
          <w:b/>
          <w:sz w:val="24"/>
          <w:lang w:val="es-ES"/>
        </w:rPr>
        <w:t xml:space="preserve">Comisionada </w:t>
      </w:r>
      <w:r w:rsidR="00CC0337" w:rsidRPr="00E47D3E">
        <w:rPr>
          <w:rFonts w:ascii="Palatino Linotype" w:eastAsia="Calibri" w:hAnsi="Palatino Linotype" w:cs="Arial"/>
          <w:b/>
          <w:sz w:val="24"/>
          <w:lang w:val="es-ES"/>
        </w:rPr>
        <w:t>María del Rosario Mejía Ayala</w:t>
      </w:r>
      <w:r w:rsidRPr="00E47D3E">
        <w:rPr>
          <w:rFonts w:ascii="Palatino Linotype" w:eastAsia="Calibri" w:hAnsi="Palatino Linotype" w:cs="Arial"/>
          <w:sz w:val="24"/>
          <w:lang w:val="es-ES"/>
        </w:rPr>
        <w:t>, con el objeto de su análisis.</w:t>
      </w:r>
    </w:p>
    <w:p w14:paraId="246C2452" w14:textId="77777777" w:rsidR="00746A1A" w:rsidRPr="00E47D3E" w:rsidRDefault="00746A1A" w:rsidP="00746A1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31B02C7" w14:textId="0CFC5CC4" w:rsidR="00DF3EEA" w:rsidRPr="00E47D3E" w:rsidRDefault="001A6EAB" w:rsidP="00DF3EE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47D3E">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del </w:t>
      </w:r>
      <w:r w:rsidR="00746A1A" w:rsidRPr="00E47D3E">
        <w:rPr>
          <w:rFonts w:ascii="Palatino Linotype" w:eastAsia="Calibri" w:hAnsi="Palatino Linotype" w:cs="Arial"/>
          <w:sz w:val="24"/>
          <w:lang w:val="es-ES"/>
        </w:rPr>
        <w:t>tres (03</w:t>
      </w:r>
      <w:r w:rsidRPr="00E47D3E">
        <w:rPr>
          <w:rFonts w:ascii="Palatino Linotype" w:eastAsia="Calibri" w:hAnsi="Palatino Linotype" w:cs="Arial"/>
          <w:sz w:val="24"/>
          <w:lang w:val="es-ES"/>
        </w:rPr>
        <w:t xml:space="preserve">) de </w:t>
      </w:r>
      <w:r w:rsidR="00746A1A" w:rsidRPr="00E47D3E">
        <w:rPr>
          <w:rFonts w:ascii="Palatino Linotype" w:eastAsia="Calibri" w:hAnsi="Palatino Linotype" w:cs="Arial"/>
          <w:sz w:val="24"/>
          <w:lang w:val="es-ES"/>
        </w:rPr>
        <w:t>febrero</w:t>
      </w:r>
      <w:r w:rsidRPr="00E47D3E">
        <w:rPr>
          <w:rFonts w:ascii="Palatino Linotype" w:eastAsia="Calibri" w:hAnsi="Palatino Linotype" w:cs="Arial"/>
          <w:sz w:val="24"/>
          <w:lang w:val="es-ES"/>
        </w:rPr>
        <w:t xml:space="preserve"> de dos mil veintidós, puso a disposición de las partes el expediente electrónico </w:t>
      </w:r>
      <w:r w:rsidRPr="00E47D3E">
        <w:rPr>
          <w:rFonts w:ascii="Palatino Linotype" w:eastAsia="Calibri" w:hAnsi="Palatino Linotype" w:cs="Arial"/>
          <w:sz w:val="24"/>
        </w:rPr>
        <w:t xml:space="preserve">vía </w:t>
      </w:r>
      <w:r w:rsidRPr="00E47D3E">
        <w:rPr>
          <w:rFonts w:ascii="Palatino Linotype" w:eastAsia="Calibri" w:hAnsi="Palatino Linotype" w:cs="Arial"/>
          <w:sz w:val="24"/>
          <w:lang w:val="es-ES"/>
        </w:rPr>
        <w:t xml:space="preserve">Sistema de Acceso a la Información Mexiquense </w:t>
      </w:r>
      <w:r w:rsidRPr="00E47D3E">
        <w:rPr>
          <w:rFonts w:ascii="Palatino Linotype" w:eastAsia="Calibri" w:hAnsi="Palatino Linotype" w:cs="Arial"/>
          <w:b/>
          <w:sz w:val="24"/>
          <w:lang w:val="es-ES"/>
        </w:rPr>
        <w:t xml:space="preserve">SAIMEX </w:t>
      </w:r>
      <w:r w:rsidRPr="00E47D3E">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E47D3E">
        <w:rPr>
          <w:rFonts w:ascii="Palatino Linotype" w:eastAsia="Calibri" w:hAnsi="Palatino Linotype" w:cs="Arial"/>
          <w:b/>
          <w:sz w:val="24"/>
          <w:lang w:val="es-ES"/>
        </w:rPr>
        <w:t>SUJETO OBLIGADO</w:t>
      </w:r>
      <w:r w:rsidRPr="00E47D3E">
        <w:rPr>
          <w:rFonts w:ascii="Palatino Linotype" w:eastAsia="Calibri" w:hAnsi="Palatino Linotype" w:cs="Arial"/>
          <w:sz w:val="24"/>
          <w:lang w:val="es-ES"/>
        </w:rPr>
        <w:t xml:space="preserve"> presentara el Informe Justificado procedente.</w:t>
      </w:r>
    </w:p>
    <w:p w14:paraId="6B8FD1A1" w14:textId="77777777" w:rsidR="00DF3EEA" w:rsidRPr="00E47D3E" w:rsidRDefault="00DF3EEA" w:rsidP="00DF3EE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21A68C16" w14:textId="23EEA903" w:rsidR="00746A1A" w:rsidRPr="00E47D3E" w:rsidRDefault="00DF3EEA"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47D3E">
        <w:rPr>
          <w:rFonts w:ascii="Palatino Linotype" w:eastAsia="Calibri" w:hAnsi="Palatino Linotype" w:cs="Arial"/>
          <w:sz w:val="24"/>
          <w:lang w:val="es-ES"/>
        </w:rPr>
        <w:lastRenderedPageBreak/>
        <w:t xml:space="preserve">El </w:t>
      </w:r>
      <w:r w:rsidR="00746A1A" w:rsidRPr="00E47D3E">
        <w:rPr>
          <w:rFonts w:ascii="Palatino Linotype" w:eastAsiaTheme="minorEastAsia" w:hAnsi="Palatino Linotype"/>
          <w:b/>
          <w:sz w:val="24"/>
          <w:lang w:val="es-ES_tradnl" w:eastAsia="es-ES"/>
        </w:rPr>
        <w:t>SUJETO OBLIGADO</w:t>
      </w:r>
      <w:r w:rsidRPr="00E47D3E">
        <w:rPr>
          <w:rFonts w:ascii="Palatino Linotype" w:eastAsiaTheme="minorEastAsia" w:hAnsi="Palatino Linotype"/>
          <w:sz w:val="24"/>
          <w:lang w:val="es-ES_tradnl" w:eastAsia="es-ES"/>
        </w:rPr>
        <w:t xml:space="preserve"> rindió </w:t>
      </w:r>
      <w:r w:rsidR="00746A1A" w:rsidRPr="00E47D3E">
        <w:rPr>
          <w:rFonts w:ascii="Palatino Linotype" w:eastAsiaTheme="minorEastAsia" w:hAnsi="Palatino Linotype"/>
          <w:sz w:val="24"/>
          <w:lang w:val="es-ES_tradnl" w:eastAsia="es-ES"/>
        </w:rPr>
        <w:t xml:space="preserve">el </w:t>
      </w:r>
      <w:r w:rsidRPr="00E47D3E">
        <w:rPr>
          <w:rFonts w:ascii="Palatino Linotype" w:eastAsiaTheme="minorEastAsia" w:hAnsi="Palatino Linotype"/>
          <w:sz w:val="24"/>
          <w:lang w:val="es-ES_tradnl" w:eastAsia="es-ES"/>
        </w:rPr>
        <w:t>informe justificado para manifestar lo que a su derecho conviniera</w:t>
      </w:r>
      <w:r w:rsidR="00746A1A" w:rsidRPr="00E47D3E">
        <w:rPr>
          <w:rFonts w:ascii="Palatino Linotype" w:eastAsiaTheme="minorEastAsia" w:hAnsi="Palatino Linotype"/>
          <w:sz w:val="24"/>
          <w:lang w:val="es-ES_tradnl" w:eastAsia="es-ES"/>
        </w:rPr>
        <w:t>, a través de los siguientes archivos electrónicos:</w:t>
      </w:r>
    </w:p>
    <w:p w14:paraId="15D69CF4" w14:textId="77777777" w:rsidR="005313FB" w:rsidRPr="00E47D3E"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B513C36" w14:textId="0B8159D5" w:rsidR="00C164BC" w:rsidRPr="00E47D3E" w:rsidRDefault="0078469A" w:rsidP="00E95091">
      <w:pPr>
        <w:pStyle w:val="Prrafodelista"/>
        <w:numPr>
          <w:ilvl w:val="0"/>
          <w:numId w:val="18"/>
        </w:numPr>
        <w:jc w:val="both"/>
        <w:rPr>
          <w:rFonts w:ascii="Palatino Linotype" w:hAnsi="Palatino Linotype"/>
          <w:b/>
          <w:bCs/>
          <w:szCs w:val="22"/>
        </w:rPr>
      </w:pPr>
      <w:hyperlink r:id="rId11" w:history="1">
        <w:r w:rsidR="005313FB" w:rsidRPr="00E47D3E">
          <w:rPr>
            <w:rStyle w:val="Hipervnculo"/>
            <w:rFonts w:ascii="Palatino Linotype" w:eastAsiaTheme="majorEastAsia" w:hAnsi="Palatino Linotype" w:cs="Arial"/>
            <w:b/>
            <w:bCs/>
            <w:color w:val="auto"/>
            <w:szCs w:val="22"/>
            <w:u w:val="none"/>
          </w:rPr>
          <w:t>NF. JUST. 00458_2022.pdf</w:t>
        </w:r>
      </w:hyperlink>
      <w:r w:rsidR="005313FB" w:rsidRPr="00E47D3E">
        <w:rPr>
          <w:rFonts w:ascii="Palatino Linotype" w:hAnsi="Palatino Linotype"/>
          <w:b/>
          <w:bCs/>
          <w:szCs w:val="22"/>
        </w:rPr>
        <w:t>:</w:t>
      </w:r>
      <w:r w:rsidR="00C164BC" w:rsidRPr="00E47D3E">
        <w:rPr>
          <w:rFonts w:ascii="Palatino Linotype" w:hAnsi="Palatino Linotype"/>
          <w:b/>
          <w:bCs/>
          <w:szCs w:val="22"/>
        </w:rPr>
        <w:t xml:space="preserve"> </w:t>
      </w:r>
      <w:r w:rsidR="00B5242E" w:rsidRPr="00E47D3E">
        <w:rPr>
          <w:rFonts w:ascii="Palatino Linotype" w:hAnsi="Palatino Linotype"/>
          <w:szCs w:val="22"/>
        </w:rPr>
        <w:t>Oficio número UT/01</w:t>
      </w:r>
      <w:r w:rsidR="00C164BC" w:rsidRPr="00E47D3E">
        <w:rPr>
          <w:rFonts w:ascii="Palatino Linotype" w:hAnsi="Palatino Linotype"/>
          <w:szCs w:val="22"/>
        </w:rPr>
        <w:t>20/2022 del 15 de febrero de 2022, suscrito y signado por la Titular de la Unidad de Transparencia, por medio del cual</w:t>
      </w:r>
      <w:r w:rsidR="00E95091" w:rsidRPr="00E47D3E">
        <w:rPr>
          <w:rFonts w:ascii="Palatino Linotype" w:hAnsi="Palatino Linotype"/>
          <w:szCs w:val="22"/>
        </w:rPr>
        <w:t>,</w:t>
      </w:r>
      <w:r w:rsidR="00C164BC" w:rsidRPr="00E47D3E">
        <w:rPr>
          <w:rFonts w:ascii="Palatino Linotype" w:hAnsi="Palatino Linotype"/>
          <w:szCs w:val="22"/>
        </w:rPr>
        <w:t xml:space="preserve"> el SUJETO OBLIGADO rindió el informe justificado correspondiente y ratificó su respuesta inicial.</w:t>
      </w:r>
    </w:p>
    <w:p w14:paraId="1F27C9B1" w14:textId="4AF0886C" w:rsidR="00C164BC" w:rsidRPr="00E47D3E" w:rsidRDefault="0078469A" w:rsidP="00E95091">
      <w:pPr>
        <w:pStyle w:val="Prrafodelista"/>
        <w:numPr>
          <w:ilvl w:val="0"/>
          <w:numId w:val="18"/>
        </w:numPr>
        <w:jc w:val="both"/>
        <w:rPr>
          <w:rFonts w:ascii="Palatino Linotype" w:hAnsi="Palatino Linotype"/>
          <w:b/>
          <w:bCs/>
          <w:szCs w:val="22"/>
        </w:rPr>
      </w:pPr>
      <w:hyperlink r:id="rId12" w:history="1">
        <w:r w:rsidR="005313FB" w:rsidRPr="00E47D3E">
          <w:rPr>
            <w:rStyle w:val="Hipervnculo"/>
            <w:rFonts w:ascii="Palatino Linotype" w:eastAsiaTheme="majorEastAsia" w:hAnsi="Palatino Linotype" w:cs="Arial"/>
            <w:b/>
            <w:bCs/>
            <w:color w:val="auto"/>
            <w:szCs w:val="22"/>
            <w:u w:val="none"/>
          </w:rPr>
          <w:t>SAIMEX 154.1 (1).zip</w:t>
        </w:r>
      </w:hyperlink>
      <w:r w:rsidR="005313FB" w:rsidRPr="00E47D3E">
        <w:rPr>
          <w:rFonts w:ascii="Palatino Linotype" w:hAnsi="Palatino Linotype" w:cs="Arial"/>
          <w:b/>
          <w:bCs/>
          <w:szCs w:val="22"/>
        </w:rPr>
        <w:t>:</w:t>
      </w:r>
      <w:r w:rsidR="00C164BC" w:rsidRPr="00E47D3E">
        <w:rPr>
          <w:rFonts w:ascii="Palatino Linotype" w:hAnsi="Palatino Linotype" w:cs="Arial"/>
          <w:b/>
          <w:bCs/>
          <w:szCs w:val="22"/>
        </w:rPr>
        <w:t xml:space="preserve"> </w:t>
      </w:r>
      <w:r w:rsidR="00C164BC" w:rsidRPr="00E47D3E">
        <w:rPr>
          <w:rFonts w:ascii="Palatino Linotype" w:hAnsi="Palatino Linotype"/>
          <w:bCs/>
          <w:szCs w:val="22"/>
        </w:rPr>
        <w:t>Archivo electrónico que contiene información estadística referente a la dotación de gasolina para patrullas; asimismo, el padrón vehicular de los años 2013 a 2020.</w:t>
      </w:r>
    </w:p>
    <w:p w14:paraId="1A39CB3A" w14:textId="168336C2" w:rsidR="005313FB" w:rsidRPr="00E47D3E" w:rsidRDefault="0078469A" w:rsidP="00E95091">
      <w:pPr>
        <w:pStyle w:val="Prrafodelista"/>
        <w:numPr>
          <w:ilvl w:val="0"/>
          <w:numId w:val="18"/>
        </w:numPr>
        <w:jc w:val="both"/>
        <w:rPr>
          <w:rFonts w:ascii="Palatino Linotype" w:hAnsi="Palatino Linotype"/>
          <w:b/>
          <w:bCs/>
          <w:szCs w:val="22"/>
        </w:rPr>
      </w:pPr>
      <w:hyperlink r:id="rId13" w:history="1">
        <w:r w:rsidR="005313FB" w:rsidRPr="00E47D3E">
          <w:rPr>
            <w:rStyle w:val="Hipervnculo"/>
            <w:rFonts w:ascii="Palatino Linotype" w:eastAsiaTheme="majorEastAsia" w:hAnsi="Palatino Linotype" w:cs="Arial"/>
            <w:b/>
            <w:bCs/>
            <w:color w:val="auto"/>
            <w:szCs w:val="22"/>
            <w:u w:val="none"/>
          </w:rPr>
          <w:t>SAIMEX 00154 (1) (2).pdf</w:t>
        </w:r>
      </w:hyperlink>
      <w:r w:rsidR="005313FB" w:rsidRPr="00E47D3E">
        <w:rPr>
          <w:rFonts w:ascii="Palatino Linotype" w:hAnsi="Palatino Linotype"/>
          <w:b/>
          <w:bCs/>
          <w:szCs w:val="22"/>
        </w:rPr>
        <w:t>:</w:t>
      </w:r>
      <w:r w:rsidR="00C164BC" w:rsidRPr="00E47D3E">
        <w:rPr>
          <w:rFonts w:ascii="Palatino Linotype" w:hAnsi="Palatino Linotype"/>
          <w:b/>
          <w:bCs/>
          <w:szCs w:val="22"/>
        </w:rPr>
        <w:t xml:space="preserve"> </w:t>
      </w:r>
      <w:r w:rsidR="00C164BC" w:rsidRPr="00E47D3E">
        <w:rPr>
          <w:rFonts w:ascii="Palatino Linotype" w:hAnsi="Palatino Linotype"/>
          <w:szCs w:val="22"/>
        </w:rPr>
        <w:t>Oficio número 205017000/495/2022 del 28 de enero de 2022, suscrito y signado por el Director Jurídico y enlace de la Dirección General de Seguridad y Protección, dirigido a la Titular de la Unidad de Transparencia, por medio del cual</w:t>
      </w:r>
      <w:r w:rsidR="00E95091" w:rsidRPr="00E47D3E">
        <w:rPr>
          <w:rFonts w:ascii="Palatino Linotype" w:hAnsi="Palatino Linotype"/>
          <w:szCs w:val="22"/>
        </w:rPr>
        <w:t xml:space="preserve">, </w:t>
      </w:r>
      <w:r w:rsidR="00C164BC" w:rsidRPr="00E47D3E">
        <w:rPr>
          <w:rFonts w:ascii="Palatino Linotype" w:hAnsi="Palatino Linotype"/>
          <w:szCs w:val="22"/>
        </w:rPr>
        <w:t>informó la clasificación de los nombres y curriculum de los Comandantes de Seguridad Pública y Vialidad como información reservada, por el Comité de Transparencia, medienate acuerdo AT/CT/01/2022</w:t>
      </w:r>
      <w:r w:rsidR="00E95091" w:rsidRPr="00E47D3E">
        <w:rPr>
          <w:rFonts w:ascii="Palatino Linotype" w:hAnsi="Palatino Linotype"/>
          <w:szCs w:val="22"/>
        </w:rPr>
        <w:t>.</w:t>
      </w:r>
    </w:p>
    <w:p w14:paraId="170833BD" w14:textId="76D60D89" w:rsidR="005313FB" w:rsidRPr="00E47D3E" w:rsidRDefault="0078469A" w:rsidP="00E95091">
      <w:pPr>
        <w:pStyle w:val="Prrafodelista"/>
        <w:numPr>
          <w:ilvl w:val="0"/>
          <w:numId w:val="18"/>
        </w:numPr>
        <w:jc w:val="both"/>
        <w:rPr>
          <w:rFonts w:ascii="Palatino Linotype" w:hAnsi="Palatino Linotype" w:cs="Arial"/>
          <w:b/>
          <w:bCs/>
          <w:szCs w:val="22"/>
        </w:rPr>
      </w:pPr>
      <w:hyperlink r:id="rId14" w:history="1">
        <w:r w:rsidR="005313FB" w:rsidRPr="00E47D3E">
          <w:rPr>
            <w:rStyle w:val="Hipervnculo"/>
            <w:rFonts w:ascii="Palatino Linotype" w:eastAsiaTheme="majorEastAsia" w:hAnsi="Palatino Linotype" w:cs="Arial"/>
            <w:b/>
            <w:bCs/>
            <w:color w:val="auto"/>
            <w:szCs w:val="22"/>
            <w:u w:val="none"/>
          </w:rPr>
          <w:t>SAIMEX 00154 (2).pdf</w:t>
        </w:r>
      </w:hyperlink>
      <w:r w:rsidR="005313FB" w:rsidRPr="00E47D3E">
        <w:rPr>
          <w:rFonts w:ascii="Palatino Linotype" w:hAnsi="Palatino Linotype" w:cs="Arial"/>
          <w:b/>
          <w:bCs/>
          <w:szCs w:val="22"/>
        </w:rPr>
        <w:t>:</w:t>
      </w:r>
      <w:r w:rsidR="00E95091" w:rsidRPr="00E47D3E">
        <w:rPr>
          <w:rFonts w:ascii="Palatino Linotype" w:hAnsi="Palatino Linotype" w:cs="Arial"/>
          <w:b/>
          <w:bCs/>
          <w:szCs w:val="22"/>
        </w:rPr>
        <w:t xml:space="preserve"> </w:t>
      </w:r>
      <w:r w:rsidR="00E95091" w:rsidRPr="00E47D3E">
        <w:rPr>
          <w:rFonts w:ascii="Palatino Linotype" w:hAnsi="Palatino Linotype"/>
          <w:szCs w:val="22"/>
        </w:rPr>
        <w:t>Oficio número DGSYP/0021-1/2022 del 20 de enero de 2022, suscrito y signado por el Director General, dirigido al Director de la Dirección General, por medio del cual, informó el número de patrullas y policias al 31 de diciembre de 2021.</w:t>
      </w:r>
    </w:p>
    <w:p w14:paraId="180ED15C" w14:textId="22A08BA5" w:rsidR="005313FB" w:rsidRPr="00E47D3E" w:rsidRDefault="0078469A" w:rsidP="00E95091">
      <w:pPr>
        <w:pStyle w:val="Prrafodelista"/>
        <w:numPr>
          <w:ilvl w:val="0"/>
          <w:numId w:val="18"/>
        </w:numPr>
        <w:jc w:val="both"/>
        <w:rPr>
          <w:rFonts w:ascii="Palatino Linotype" w:hAnsi="Palatino Linotype"/>
          <w:b/>
          <w:bCs/>
          <w:szCs w:val="22"/>
        </w:rPr>
      </w:pPr>
      <w:hyperlink r:id="rId15" w:history="1">
        <w:r w:rsidR="005313FB" w:rsidRPr="00E47D3E">
          <w:rPr>
            <w:rStyle w:val="Hipervnculo"/>
            <w:rFonts w:ascii="Palatino Linotype" w:eastAsiaTheme="majorEastAsia" w:hAnsi="Palatino Linotype" w:cs="Arial"/>
            <w:b/>
            <w:bCs/>
            <w:color w:val="auto"/>
            <w:szCs w:val="22"/>
            <w:u w:val="none"/>
          </w:rPr>
          <w:t>SAIMJEX 154 (2).pdf</w:t>
        </w:r>
      </w:hyperlink>
      <w:r w:rsidR="005313FB" w:rsidRPr="00E47D3E">
        <w:rPr>
          <w:rFonts w:ascii="Palatino Linotype" w:hAnsi="Palatino Linotype"/>
          <w:b/>
          <w:bCs/>
          <w:szCs w:val="22"/>
        </w:rPr>
        <w:t>:</w:t>
      </w:r>
      <w:r w:rsidR="00E95091" w:rsidRPr="00E47D3E">
        <w:rPr>
          <w:rFonts w:ascii="Palatino Linotype" w:hAnsi="Palatino Linotype"/>
          <w:b/>
          <w:bCs/>
          <w:szCs w:val="22"/>
        </w:rPr>
        <w:t xml:space="preserve"> </w:t>
      </w:r>
      <w:r w:rsidR="00E95091" w:rsidRPr="00E47D3E">
        <w:rPr>
          <w:rFonts w:ascii="Palatino Linotype" w:hAnsi="Palatino Linotype"/>
          <w:szCs w:val="22"/>
        </w:rPr>
        <w:t>Oficio número DGSYP/00114/2022 del 25 de enero de 2022, suscrito y signado por el Director General de Servicios Públicos, dirigido a la Recurrente, por medio del cual, informó que no es atribución de la Dirección a su cargo lo correspondiente a los procesos administrativos para la adquisición de unidades, así como, lo relacionado al control patrimonial de bienes muebles, mantenimiento y suministro de combustible.</w:t>
      </w:r>
    </w:p>
    <w:p w14:paraId="4B8607AB" w14:textId="77777777" w:rsidR="005313FB" w:rsidRPr="00E47D3E"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rPr>
      </w:pPr>
    </w:p>
    <w:p w14:paraId="6E6B5D3B" w14:textId="38325791" w:rsidR="00746A1A" w:rsidRPr="00E47D3E" w:rsidRDefault="00746A1A"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47D3E">
        <w:rPr>
          <w:rFonts w:ascii="Palatino Linotype" w:eastAsiaTheme="minorEastAsia" w:hAnsi="Palatino Linotype"/>
          <w:sz w:val="24"/>
          <w:lang w:val="es-ES_tradnl" w:eastAsia="es-ES"/>
        </w:rPr>
        <w:t>P</w:t>
      </w:r>
      <w:r w:rsidR="00DF3EEA" w:rsidRPr="00E47D3E">
        <w:rPr>
          <w:rFonts w:ascii="Palatino Linotype" w:eastAsiaTheme="minorEastAsia" w:hAnsi="Palatino Linotype"/>
          <w:sz w:val="24"/>
          <w:lang w:val="es-ES_tradnl" w:eastAsia="es-ES"/>
        </w:rPr>
        <w:t>or su parte la R</w:t>
      </w:r>
      <w:r w:rsidR="005313FB" w:rsidRPr="00E47D3E">
        <w:rPr>
          <w:rFonts w:ascii="Palatino Linotype" w:eastAsiaTheme="minorEastAsia" w:hAnsi="Palatino Linotype"/>
          <w:sz w:val="24"/>
          <w:lang w:val="es-ES_tradnl" w:eastAsia="es-ES"/>
        </w:rPr>
        <w:t>ecurrente</w:t>
      </w:r>
      <w:r w:rsidR="00DF3EEA" w:rsidRPr="00E47D3E">
        <w:rPr>
          <w:rFonts w:ascii="Palatino Linotype" w:eastAsiaTheme="minorEastAsia" w:hAnsi="Palatino Linotype"/>
          <w:sz w:val="24"/>
          <w:lang w:val="es-ES_tradnl" w:eastAsia="es-ES"/>
        </w:rPr>
        <w:t xml:space="preserve"> no presentó alegatos ni ofreció medios de prueba, según constancias del Sistema de Acceso a la Información Mexiquense </w:t>
      </w:r>
      <w:r w:rsidR="00DF3EEA" w:rsidRPr="00E47D3E">
        <w:rPr>
          <w:rFonts w:ascii="Palatino Linotype" w:eastAsiaTheme="minorEastAsia" w:hAnsi="Palatino Linotype"/>
          <w:b/>
          <w:sz w:val="24"/>
          <w:lang w:val="es-ES_tradnl" w:eastAsia="es-ES"/>
        </w:rPr>
        <w:t>SAIMEX.</w:t>
      </w:r>
      <w:bookmarkStart w:id="3" w:name="_Toc461555889"/>
      <w:bookmarkStart w:id="4" w:name="_Toc466371858"/>
    </w:p>
    <w:p w14:paraId="7E563A73" w14:textId="77777777" w:rsidR="005313FB" w:rsidRPr="00E47D3E"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0605AB0D" w14:textId="17317CF7" w:rsidR="005313FB" w:rsidRPr="00E47D3E" w:rsidRDefault="005313FB"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47D3E">
        <w:rPr>
          <w:rFonts w:ascii="Palatino Linotype" w:eastAsiaTheme="minorEastAsia" w:hAnsi="Palatino Linotype"/>
          <w:sz w:val="24"/>
          <w:lang w:val="es-ES_tradnl" w:eastAsia="es-ES"/>
        </w:rPr>
        <w:t xml:space="preserve">El dos (02) de junio de dos mil veintidós, </w:t>
      </w:r>
      <w:r w:rsidRPr="00E47D3E">
        <w:rPr>
          <w:rFonts w:ascii="Palatino Linotype" w:hAnsi="Palatino Linotype" w:cs="Arial"/>
          <w:color w:val="000000" w:themeColor="text1"/>
          <w:sz w:val="24"/>
          <w:lang w:val="es-ES"/>
        </w:rPr>
        <w:t>con fundamento en el artículo 181, tercer párrafo, de la Ley de Transparencia y Acceso a la Información Pública del Estado de México y Municipios</w:t>
      </w:r>
      <w:r w:rsidRPr="00E47D3E">
        <w:rPr>
          <w:rFonts w:ascii="Palatino Linotype" w:hAnsi="Palatino Linotype" w:cs="Arial"/>
          <w:bCs/>
          <w:color w:val="000000" w:themeColor="text1"/>
          <w:sz w:val="24"/>
          <w:lang w:val="es-ES"/>
        </w:rPr>
        <w:t xml:space="preserve"> </w:t>
      </w:r>
      <w:r w:rsidRPr="00E47D3E">
        <w:rPr>
          <w:rFonts w:ascii="Palatino Linotype" w:hAnsi="Palatino Linotype" w:cs="Arial"/>
          <w:color w:val="000000" w:themeColor="text1"/>
          <w:sz w:val="24"/>
          <w:lang w:val="es-ES"/>
        </w:rPr>
        <w:t xml:space="preserve">se notificó que el plazo de treinta (30) días para resolver el </w:t>
      </w:r>
      <w:r w:rsidRPr="00E47D3E">
        <w:rPr>
          <w:rFonts w:ascii="Palatino Linotype" w:hAnsi="Palatino Linotype" w:cs="Arial"/>
          <w:color w:val="000000" w:themeColor="text1"/>
          <w:sz w:val="24"/>
          <w:lang w:val="es-ES"/>
        </w:rPr>
        <w:lastRenderedPageBreak/>
        <w:t>recurso de revisión sería ampliado por un periodo de quince (15) días hábiles adicionales.</w:t>
      </w:r>
    </w:p>
    <w:p w14:paraId="6093BBC9" w14:textId="77777777" w:rsidR="005313FB" w:rsidRPr="00E47D3E"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A6CC7B5" w14:textId="77777777" w:rsidR="005313FB" w:rsidRPr="00E47D3E"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47D3E">
        <w:rPr>
          <w:rFonts w:ascii="Palatino Linotype" w:hAnsi="Palatino Linotype"/>
          <w:color w:val="000000" w:themeColor="text1"/>
          <w:sz w:val="24"/>
        </w:rPr>
        <w:t xml:space="preserve">Este </w:t>
      </w:r>
      <w:r w:rsidRPr="00E47D3E">
        <w:rPr>
          <w:rFonts w:ascii="Palatino Linotype" w:hAnsi="Palatino Linotype"/>
          <w:sz w:val="24"/>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A363D53" w14:textId="77777777" w:rsidR="005313FB" w:rsidRPr="00E47D3E"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1DDB7970" w14:textId="77777777" w:rsidR="005313FB" w:rsidRPr="00E47D3E"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47D3E">
        <w:rPr>
          <w:rFonts w:ascii="Palatino Linotype" w:hAnsi="Palatino Linotype"/>
          <w:sz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7CE80D4" w14:textId="77777777" w:rsidR="005313FB" w:rsidRPr="00E47D3E"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1830EEE7" w14:textId="77777777" w:rsidR="005313FB" w:rsidRPr="00E47D3E"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47D3E">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49DC00" w14:textId="77777777" w:rsidR="005313FB" w:rsidRPr="00E47D3E"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3489BBCD" w14:textId="77777777" w:rsidR="005313FB" w:rsidRPr="00E47D3E"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47D3E">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F66C1C" w14:textId="77777777" w:rsidR="005313FB" w:rsidRPr="00E47D3E"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629E3055" w14:textId="77777777" w:rsidR="005313FB" w:rsidRPr="00E47D3E"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47D3E">
        <w:rPr>
          <w:rFonts w:ascii="Palatino Linotype" w:hAnsi="Palatino Linotype"/>
          <w:sz w:val="24"/>
        </w:rPr>
        <w:t>Por ello, excepcionalmente, si un asunto es resuelto con posterioridad a los plazos señalados por la norma debe analizarse la razonabilidad de dicha dilación atendiendo a los siguientes criterios:</w:t>
      </w:r>
    </w:p>
    <w:p w14:paraId="69B115A0" w14:textId="77777777" w:rsidR="005313FB" w:rsidRPr="00E47D3E" w:rsidRDefault="005313FB" w:rsidP="005313FB">
      <w:pPr>
        <w:pStyle w:val="Prrafodelista"/>
        <w:tabs>
          <w:tab w:val="left" w:pos="426"/>
        </w:tabs>
        <w:spacing w:line="360" w:lineRule="auto"/>
        <w:ind w:left="0" w:right="49"/>
        <w:jc w:val="both"/>
        <w:rPr>
          <w:rFonts w:ascii="Palatino Linotype" w:hAnsi="Palatino Linotype"/>
          <w:sz w:val="24"/>
        </w:rPr>
      </w:pPr>
    </w:p>
    <w:p w14:paraId="499798C8" w14:textId="77777777" w:rsidR="005313FB" w:rsidRPr="00E47D3E" w:rsidRDefault="005313FB" w:rsidP="005313FB">
      <w:pPr>
        <w:pStyle w:val="Prrafodelista"/>
        <w:numPr>
          <w:ilvl w:val="0"/>
          <w:numId w:val="19"/>
        </w:numPr>
        <w:ind w:left="851" w:right="616" w:hanging="284"/>
        <w:jc w:val="both"/>
        <w:rPr>
          <w:rFonts w:ascii="Palatino Linotype" w:hAnsi="Palatino Linotype"/>
          <w:szCs w:val="22"/>
        </w:rPr>
      </w:pPr>
      <w:r w:rsidRPr="00E47D3E">
        <w:rPr>
          <w:rFonts w:ascii="Palatino Linotype" w:hAnsi="Palatino Linotype"/>
          <w:szCs w:val="22"/>
        </w:rPr>
        <w:t xml:space="preserve">Complejidad del Asunto: La complejidad de la prueba, la pluralidad de sujetos procesales, el tiempo transcurrido, las características y contexto del recurso. </w:t>
      </w:r>
    </w:p>
    <w:p w14:paraId="57CCFB95" w14:textId="77777777" w:rsidR="005313FB" w:rsidRPr="00E47D3E" w:rsidRDefault="005313FB" w:rsidP="005313FB">
      <w:pPr>
        <w:pStyle w:val="Prrafodelista"/>
        <w:ind w:left="851" w:right="616" w:hanging="284"/>
        <w:jc w:val="both"/>
        <w:rPr>
          <w:rFonts w:ascii="Palatino Linotype" w:hAnsi="Palatino Linotype"/>
          <w:szCs w:val="22"/>
        </w:rPr>
      </w:pPr>
    </w:p>
    <w:p w14:paraId="6DDC758B" w14:textId="77777777" w:rsidR="005313FB" w:rsidRPr="00E47D3E" w:rsidRDefault="005313FB" w:rsidP="005313FB">
      <w:pPr>
        <w:pStyle w:val="Prrafodelista"/>
        <w:numPr>
          <w:ilvl w:val="0"/>
          <w:numId w:val="19"/>
        </w:numPr>
        <w:ind w:left="851" w:right="616" w:hanging="284"/>
        <w:jc w:val="both"/>
        <w:rPr>
          <w:rFonts w:ascii="Palatino Linotype" w:hAnsi="Palatino Linotype"/>
          <w:szCs w:val="22"/>
        </w:rPr>
      </w:pPr>
      <w:r w:rsidRPr="00E47D3E">
        <w:rPr>
          <w:rFonts w:ascii="Palatino Linotype" w:hAnsi="Palatino Linotype"/>
          <w:szCs w:val="22"/>
        </w:rPr>
        <w:t>Actividad Procesal del interesado. Acciones u omisiones del interesado.</w:t>
      </w:r>
    </w:p>
    <w:p w14:paraId="3D963D59" w14:textId="77777777" w:rsidR="005313FB" w:rsidRPr="00E47D3E" w:rsidRDefault="005313FB" w:rsidP="005313FB">
      <w:pPr>
        <w:ind w:left="851" w:right="616" w:hanging="284"/>
        <w:jc w:val="both"/>
        <w:rPr>
          <w:rFonts w:ascii="Palatino Linotype" w:hAnsi="Palatino Linotype"/>
          <w:sz w:val="22"/>
          <w:szCs w:val="22"/>
        </w:rPr>
      </w:pPr>
    </w:p>
    <w:p w14:paraId="47BC4FE1" w14:textId="77777777" w:rsidR="005313FB" w:rsidRPr="00E47D3E" w:rsidRDefault="005313FB" w:rsidP="005313FB">
      <w:pPr>
        <w:pStyle w:val="Prrafodelista"/>
        <w:numPr>
          <w:ilvl w:val="0"/>
          <w:numId w:val="19"/>
        </w:numPr>
        <w:ind w:left="851" w:right="616" w:hanging="284"/>
        <w:jc w:val="both"/>
        <w:rPr>
          <w:rFonts w:ascii="Palatino Linotype" w:hAnsi="Palatino Linotype"/>
          <w:szCs w:val="22"/>
        </w:rPr>
      </w:pPr>
      <w:r w:rsidRPr="00E47D3E">
        <w:rPr>
          <w:rFonts w:ascii="Palatino Linotype" w:hAnsi="Palatino Linotype"/>
          <w:szCs w:val="22"/>
        </w:rPr>
        <w:t>Conducta de la Autoridad: Las Acciones u omisiones realizadas en el procedimiento. Así como si la autoridad actuó con la debida diligencia.</w:t>
      </w:r>
    </w:p>
    <w:p w14:paraId="1E514EB2" w14:textId="77777777" w:rsidR="005313FB" w:rsidRPr="00E47D3E" w:rsidRDefault="005313FB" w:rsidP="005313FB">
      <w:pPr>
        <w:pStyle w:val="Prrafodelista"/>
        <w:ind w:left="851" w:right="616" w:hanging="284"/>
        <w:rPr>
          <w:rFonts w:ascii="Palatino Linotype" w:hAnsi="Palatino Linotype"/>
          <w:szCs w:val="22"/>
        </w:rPr>
      </w:pPr>
    </w:p>
    <w:p w14:paraId="3044C1FB" w14:textId="77777777" w:rsidR="005313FB" w:rsidRPr="00E47D3E" w:rsidRDefault="005313FB" w:rsidP="005313FB">
      <w:pPr>
        <w:ind w:left="851" w:right="616" w:hanging="284"/>
        <w:jc w:val="both"/>
        <w:rPr>
          <w:rFonts w:ascii="Palatino Linotype" w:hAnsi="Palatino Linotype"/>
          <w:sz w:val="22"/>
          <w:szCs w:val="22"/>
        </w:rPr>
      </w:pPr>
      <w:r w:rsidRPr="00E47D3E">
        <w:rPr>
          <w:rFonts w:ascii="Palatino Linotype" w:hAnsi="Palatino Linotype"/>
          <w:sz w:val="22"/>
          <w:szCs w:val="22"/>
        </w:rPr>
        <w:t>d) La afectación generada en la situación jurídica de la persona involucrada en el proceso: Violación a sus derechos humanos.</w:t>
      </w:r>
    </w:p>
    <w:p w14:paraId="58D28051" w14:textId="77777777" w:rsidR="005313FB" w:rsidRPr="00E47D3E"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1E917DDE" w14:textId="77777777" w:rsidR="005313FB" w:rsidRPr="00E47D3E"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47D3E">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966A57" w14:textId="77777777" w:rsidR="005313FB" w:rsidRPr="00E47D3E"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7B7A6A63" w14:textId="77777777" w:rsidR="005313FB" w:rsidRPr="00E47D3E"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47D3E">
        <w:rPr>
          <w:rFonts w:ascii="Palatino Linotype" w:hAnsi="Palatino Linotype"/>
          <w:sz w:val="24"/>
        </w:rPr>
        <w:t xml:space="preserve">Argumento que encuentra sustento en la jurisprudencia P./J. 32/92 emitida por el Pleno de la Suprema Corte de Justicia de la Nación de rubro </w:t>
      </w:r>
      <w:r w:rsidRPr="00E47D3E">
        <w:rPr>
          <w:rFonts w:ascii="Palatino Linotype" w:hAnsi="Palatino Linotype"/>
          <w:i/>
          <w:sz w:val="24"/>
        </w:rPr>
        <w:t xml:space="preserve">“TÉRMINOS </w:t>
      </w:r>
      <w:r w:rsidRPr="00E47D3E">
        <w:rPr>
          <w:rFonts w:ascii="Palatino Linotype" w:hAnsi="Palatino Linotype"/>
          <w:i/>
          <w:sz w:val="24"/>
        </w:rPr>
        <w:lastRenderedPageBreak/>
        <w:t>PROCESALES. PARA DETERMINAR SI UN FUNCIONARIO JUDICIAL ACTUÓ INDEBIDAMENTE POR NO RESPETARLOS SE DEBE ATENDER AL PRESUPUESTO QUE CONSIDERÓ EL LEGISLADOR AL FIJARLOS Y LAS CARACTERÍSTICAS DEL CASO.”</w:t>
      </w:r>
      <w:r w:rsidRPr="00E47D3E">
        <w:rPr>
          <w:rFonts w:ascii="Palatino Linotype" w:hAnsi="Palatino Linotype"/>
          <w:sz w:val="24"/>
        </w:rPr>
        <w:t>, visible en la Gaceta del Seminario Judicial de la Federación con el registro digital 205635.</w:t>
      </w:r>
    </w:p>
    <w:p w14:paraId="22504F8D" w14:textId="77777777" w:rsidR="005313FB" w:rsidRPr="00E47D3E"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7E08AA29" w14:textId="77777777" w:rsidR="005313FB" w:rsidRPr="00E47D3E"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47D3E">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74F436" w14:textId="77777777" w:rsidR="005313FB" w:rsidRPr="00E47D3E"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200A971D" w14:textId="041A078C" w:rsidR="005313FB" w:rsidRPr="00E47D3E"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47D3E">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75A027B9" w14:textId="77777777" w:rsidR="00E95091" w:rsidRPr="00E47D3E" w:rsidRDefault="00E95091" w:rsidP="00E95091">
      <w:pPr>
        <w:pStyle w:val="Prrafodelista"/>
        <w:tabs>
          <w:tab w:val="left" w:pos="426"/>
        </w:tabs>
        <w:spacing w:line="360" w:lineRule="auto"/>
        <w:ind w:left="0" w:right="49"/>
        <w:jc w:val="both"/>
        <w:rPr>
          <w:rFonts w:ascii="Palatino Linotype" w:hAnsi="Palatino Linotype" w:cs="Arial"/>
          <w:color w:val="000000" w:themeColor="text1"/>
          <w:sz w:val="24"/>
        </w:rPr>
      </w:pPr>
    </w:p>
    <w:p w14:paraId="5153EE81" w14:textId="77777777" w:rsidR="005313FB" w:rsidRPr="00E47D3E"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47D3E">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BF1A2D5" w14:textId="77777777" w:rsidR="005313FB" w:rsidRPr="00E47D3E" w:rsidRDefault="005313FB" w:rsidP="005313FB">
      <w:pPr>
        <w:pStyle w:val="Prrafodelista"/>
        <w:tabs>
          <w:tab w:val="left" w:pos="426"/>
        </w:tabs>
        <w:spacing w:line="360" w:lineRule="auto"/>
        <w:ind w:left="0" w:right="49"/>
        <w:jc w:val="both"/>
        <w:rPr>
          <w:rFonts w:ascii="Palatino Linotype" w:hAnsi="Palatino Linotype" w:cs="Arial"/>
          <w:color w:val="000000" w:themeColor="text1"/>
        </w:rPr>
      </w:pPr>
    </w:p>
    <w:p w14:paraId="2000824C" w14:textId="77777777" w:rsidR="005313FB" w:rsidRPr="00E47D3E" w:rsidRDefault="005313FB" w:rsidP="005313FB">
      <w:pPr>
        <w:ind w:left="567" w:right="616"/>
        <w:jc w:val="both"/>
        <w:rPr>
          <w:rFonts w:ascii="Palatino Linotype" w:hAnsi="Palatino Linotype"/>
          <w:sz w:val="22"/>
        </w:rPr>
      </w:pPr>
      <w:r w:rsidRPr="00E47D3E">
        <w:rPr>
          <w:rFonts w:ascii="Palatino Linotype" w:hAnsi="Palatino Linotype"/>
          <w:i/>
          <w:sz w:val="22"/>
        </w:rPr>
        <w:lastRenderedPageBreak/>
        <w:t>“PLAZO RAZONABLE PARA RESOLVER. DIMENSIÓN Y EFECTOS DE ESTE CONCEPTO CUANDO SE ADUCE EXCESIVA CARGA DE TRABAJO.”</w:t>
      </w:r>
      <w:r w:rsidRPr="00E47D3E">
        <w:rPr>
          <w:rFonts w:ascii="Palatino Linotype" w:hAnsi="Palatino Linotype"/>
          <w:sz w:val="22"/>
        </w:rPr>
        <w:t xml:space="preserve"> consultable en el Seminario Judicial de la Federación y su gaceta, con el registro digital 2002351.</w:t>
      </w:r>
    </w:p>
    <w:p w14:paraId="4E936AEF" w14:textId="77777777" w:rsidR="005313FB" w:rsidRPr="00E47D3E" w:rsidRDefault="005313FB" w:rsidP="005313FB">
      <w:pPr>
        <w:tabs>
          <w:tab w:val="left" w:pos="2070"/>
        </w:tabs>
        <w:ind w:left="567" w:right="616"/>
        <w:jc w:val="both"/>
        <w:rPr>
          <w:rFonts w:ascii="Palatino Linotype" w:hAnsi="Palatino Linotype"/>
          <w:b/>
          <w:sz w:val="22"/>
        </w:rPr>
      </w:pPr>
      <w:r w:rsidRPr="00E47D3E">
        <w:rPr>
          <w:rFonts w:ascii="Palatino Linotype" w:hAnsi="Palatino Linotype"/>
          <w:b/>
          <w:sz w:val="22"/>
        </w:rPr>
        <w:tab/>
      </w:r>
    </w:p>
    <w:p w14:paraId="087A3E0D" w14:textId="77777777" w:rsidR="005313FB" w:rsidRPr="00E47D3E" w:rsidRDefault="005313FB" w:rsidP="005313FB">
      <w:pPr>
        <w:ind w:left="567" w:right="616"/>
        <w:jc w:val="both"/>
        <w:rPr>
          <w:rFonts w:ascii="Palatino Linotype" w:hAnsi="Palatino Linotype"/>
          <w:sz w:val="22"/>
        </w:rPr>
      </w:pPr>
      <w:r w:rsidRPr="00E47D3E">
        <w:rPr>
          <w:rFonts w:ascii="Palatino Linotype" w:hAnsi="Palatino Linotype"/>
          <w:i/>
          <w:sz w:val="22"/>
        </w:rPr>
        <w:t>“PLAZO RAZONABLE PARA RESOLVER. CONCEPTO Y ELEMENTOS QUE LO INTEGRAN A LA LUZ DEL DERECHO INTERNACIONAL DE LOS DERECHOS HUMANOS.”</w:t>
      </w:r>
      <w:r w:rsidRPr="00E47D3E">
        <w:rPr>
          <w:rFonts w:ascii="Palatino Linotype" w:hAnsi="Palatino Linotype"/>
          <w:sz w:val="22"/>
        </w:rPr>
        <w:t>, visible en el Seminario Judicial de la Federación y su gaceta, con el registro digital 2002350.</w:t>
      </w:r>
    </w:p>
    <w:p w14:paraId="54AB296D" w14:textId="77777777" w:rsidR="005313FB" w:rsidRPr="00E47D3E" w:rsidRDefault="005313FB" w:rsidP="005313FB">
      <w:pPr>
        <w:rPr>
          <w:rFonts w:ascii="Palatino Linotype" w:hAnsi="Palatino Linotype"/>
        </w:rPr>
      </w:pPr>
    </w:p>
    <w:p w14:paraId="04427EC3" w14:textId="22145611" w:rsidR="005313FB" w:rsidRPr="00E47D3E" w:rsidRDefault="005313FB"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47D3E">
        <w:rPr>
          <w:rFonts w:ascii="Palatino Linotype" w:hAnsi="Palatino Linotype"/>
          <w:sz w:val="24"/>
        </w:rPr>
        <w:t>Por ello, este Organismo Garante comprometido con la tutela de los derechos humanos confiados, señala que este exceso de plazo legal para resolver el presente asunto, resulta de carácter excepcional.</w:t>
      </w:r>
    </w:p>
    <w:p w14:paraId="4C800C9E" w14:textId="77777777" w:rsidR="005313FB" w:rsidRPr="00E47D3E"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0F600A70" w14:textId="4953B435" w:rsidR="005313FB" w:rsidRPr="00E47D3E" w:rsidRDefault="00746A1A"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47D3E">
        <w:rPr>
          <w:rFonts w:ascii="Palatino Linotype" w:eastAsia="Calibri" w:hAnsi="Palatino Linotype" w:cs="Arial"/>
          <w:color w:val="000000" w:themeColor="text1"/>
          <w:sz w:val="24"/>
          <w:lang w:val="es-ES"/>
        </w:rPr>
        <w:t>El veintiséis (26) de septiembre de dos mil veintidós, l</w:t>
      </w:r>
      <w:r w:rsidR="00B57611" w:rsidRPr="00E47D3E">
        <w:rPr>
          <w:rFonts w:ascii="Palatino Linotype" w:eastAsia="Calibri" w:hAnsi="Palatino Linotype" w:cs="Arial"/>
          <w:color w:val="000000" w:themeColor="text1"/>
          <w:sz w:val="24"/>
          <w:lang w:val="es-ES"/>
        </w:rPr>
        <w:t>a</w:t>
      </w:r>
      <w:r w:rsidRPr="00E47D3E">
        <w:rPr>
          <w:rFonts w:ascii="Palatino Linotype" w:eastAsia="Calibri" w:hAnsi="Palatino Linotype" w:cs="Arial"/>
          <w:color w:val="000000" w:themeColor="text1"/>
          <w:sz w:val="24"/>
          <w:lang w:val="es-ES"/>
        </w:rPr>
        <w:t xml:space="preserve"> Recurrente se desistió del recurso de revisión.</w:t>
      </w:r>
    </w:p>
    <w:p w14:paraId="78840791" w14:textId="77777777" w:rsidR="005313FB" w:rsidRPr="00E47D3E"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57710A70" w14:textId="1D662778" w:rsidR="00CE5940" w:rsidRPr="00E47D3E" w:rsidRDefault="00D262C2"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47D3E">
        <w:rPr>
          <w:rFonts w:ascii="Palatino Linotype" w:eastAsia="Calibri" w:hAnsi="Palatino Linotype" w:cs="Arial"/>
          <w:sz w:val="24"/>
        </w:rPr>
        <w:t>E</w:t>
      </w:r>
      <w:r w:rsidRPr="00E47D3E">
        <w:rPr>
          <w:rFonts w:ascii="Palatino Linotype" w:eastAsia="Calibri" w:hAnsi="Palatino Linotype" w:cs="Arial"/>
          <w:sz w:val="24"/>
          <w:lang w:val="es-ES"/>
        </w:rPr>
        <w:t>l</w:t>
      </w:r>
      <w:r w:rsidRPr="00E47D3E">
        <w:rPr>
          <w:rFonts w:ascii="Palatino Linotype" w:hAnsi="Palatino Linotype"/>
          <w:sz w:val="24"/>
        </w:rPr>
        <w:t xml:space="preserve"> Comisionado Ponente decretó el cierre del periodo de instrucción</w:t>
      </w:r>
      <w:r w:rsidRPr="00E47D3E">
        <w:rPr>
          <w:rFonts w:ascii="Palatino Linotype" w:hAnsi="Palatino Linotype" w:cs="Arial"/>
          <w:sz w:val="24"/>
        </w:rPr>
        <w:t xml:space="preserve"> </w:t>
      </w:r>
      <w:r w:rsidR="00B00358" w:rsidRPr="00E47D3E">
        <w:rPr>
          <w:rFonts w:ascii="Palatino Linotype" w:hAnsi="Palatino Linotype"/>
          <w:sz w:val="24"/>
        </w:rPr>
        <w:t xml:space="preserve">mediante acuerdo de </w:t>
      </w:r>
      <w:r w:rsidR="005313FB" w:rsidRPr="00E47D3E">
        <w:rPr>
          <w:rFonts w:ascii="Palatino Linotype" w:hAnsi="Palatino Linotype"/>
          <w:sz w:val="24"/>
        </w:rPr>
        <w:t xml:space="preserve">diez </w:t>
      </w:r>
      <w:r w:rsidR="00D52A99" w:rsidRPr="00E47D3E">
        <w:rPr>
          <w:rFonts w:ascii="Palatino Linotype" w:hAnsi="Palatino Linotype"/>
          <w:sz w:val="24"/>
        </w:rPr>
        <w:t>(</w:t>
      </w:r>
      <w:r w:rsidR="005313FB" w:rsidRPr="00E47D3E">
        <w:rPr>
          <w:rFonts w:ascii="Palatino Linotype" w:hAnsi="Palatino Linotype"/>
          <w:sz w:val="24"/>
        </w:rPr>
        <w:t>10</w:t>
      </w:r>
      <w:r w:rsidR="00B00358" w:rsidRPr="00E47D3E">
        <w:rPr>
          <w:rFonts w:ascii="Palatino Linotype" w:hAnsi="Palatino Linotype"/>
          <w:sz w:val="24"/>
        </w:rPr>
        <w:t xml:space="preserve">) de </w:t>
      </w:r>
      <w:r w:rsidR="005313FB" w:rsidRPr="00E47D3E">
        <w:rPr>
          <w:rFonts w:ascii="Palatino Linotype" w:hAnsi="Palatino Linotype"/>
          <w:sz w:val="24"/>
        </w:rPr>
        <w:t>octubr</w:t>
      </w:r>
      <w:r w:rsidR="001A6EAB" w:rsidRPr="00E47D3E">
        <w:rPr>
          <w:rFonts w:ascii="Palatino Linotype" w:hAnsi="Palatino Linotype"/>
          <w:sz w:val="24"/>
        </w:rPr>
        <w:t>e</w:t>
      </w:r>
      <w:r w:rsidR="005156AA" w:rsidRPr="00E47D3E">
        <w:rPr>
          <w:rFonts w:ascii="Palatino Linotype" w:hAnsi="Palatino Linotype"/>
          <w:sz w:val="24"/>
        </w:rPr>
        <w:t xml:space="preserve"> de dos mil veinti</w:t>
      </w:r>
      <w:r w:rsidR="00577A5A" w:rsidRPr="00E47D3E">
        <w:rPr>
          <w:rFonts w:ascii="Palatino Linotype" w:hAnsi="Palatino Linotype"/>
          <w:sz w:val="24"/>
        </w:rPr>
        <w:t>dós</w:t>
      </w:r>
      <w:r w:rsidR="00CE5940" w:rsidRPr="00E47D3E">
        <w:rPr>
          <w:rFonts w:ascii="Palatino Linotype" w:hAnsi="Palatino Linotype"/>
          <w:sz w:val="24"/>
        </w:rPr>
        <w:t>.</w:t>
      </w:r>
    </w:p>
    <w:p w14:paraId="21CEA771" w14:textId="77777777" w:rsidR="00DF3EEA" w:rsidRPr="00E47D3E" w:rsidRDefault="00DF3EEA" w:rsidP="00B00358">
      <w:pPr>
        <w:pStyle w:val="Prrafodelista"/>
        <w:tabs>
          <w:tab w:val="left" w:pos="426"/>
        </w:tabs>
        <w:spacing w:line="360" w:lineRule="auto"/>
        <w:ind w:left="0"/>
        <w:jc w:val="both"/>
        <w:rPr>
          <w:rFonts w:ascii="Palatino Linotype" w:hAnsi="Palatino Linotype"/>
          <w:sz w:val="24"/>
        </w:rPr>
      </w:pPr>
    </w:p>
    <w:p w14:paraId="0F7C7F18" w14:textId="77777777" w:rsidR="00D262C2" w:rsidRPr="00E47D3E" w:rsidRDefault="00D262C2" w:rsidP="00D262C2">
      <w:pPr>
        <w:pStyle w:val="Ttulo2"/>
        <w:jc w:val="center"/>
        <w:rPr>
          <w:rFonts w:ascii="Palatino Linotype" w:hAnsi="Palatino Linotype"/>
          <w:b/>
          <w:color w:val="000000" w:themeColor="text1"/>
          <w:sz w:val="24"/>
        </w:rPr>
      </w:pPr>
      <w:bookmarkStart w:id="5" w:name="_Toc81233124"/>
      <w:r w:rsidRPr="00E47D3E">
        <w:rPr>
          <w:rFonts w:ascii="Palatino Linotype" w:hAnsi="Palatino Linotype"/>
          <w:b/>
          <w:color w:val="000000" w:themeColor="text1"/>
          <w:sz w:val="24"/>
        </w:rPr>
        <w:t>CONSIDERANDO</w:t>
      </w:r>
      <w:bookmarkEnd w:id="3"/>
      <w:bookmarkEnd w:id="4"/>
      <w:bookmarkEnd w:id="5"/>
    </w:p>
    <w:p w14:paraId="362468D4" w14:textId="77777777" w:rsidR="00D262C2" w:rsidRPr="00E47D3E" w:rsidRDefault="00D262C2" w:rsidP="00D262C2">
      <w:pPr>
        <w:rPr>
          <w:lang w:eastAsia="en-US"/>
        </w:rPr>
      </w:pPr>
    </w:p>
    <w:p w14:paraId="2DD64DD4" w14:textId="77777777" w:rsidR="00D262C2" w:rsidRPr="00E47D3E"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E47D3E">
        <w:rPr>
          <w:rFonts w:ascii="Palatino Linotype" w:hAnsi="Palatino Linotype"/>
          <w:b/>
          <w:color w:val="auto"/>
          <w:sz w:val="24"/>
        </w:rPr>
        <w:t>PRIMERO. De la competencia</w:t>
      </w:r>
      <w:bookmarkEnd w:id="6"/>
      <w:bookmarkEnd w:id="7"/>
      <w:bookmarkEnd w:id="8"/>
    </w:p>
    <w:p w14:paraId="11749C6E" w14:textId="77777777" w:rsidR="00D262C2" w:rsidRPr="00E47D3E" w:rsidRDefault="00D262C2" w:rsidP="00D262C2">
      <w:pPr>
        <w:rPr>
          <w:lang w:eastAsia="en-US"/>
        </w:rPr>
      </w:pPr>
    </w:p>
    <w:p w14:paraId="41A1D657" w14:textId="77777777" w:rsidR="00D262C2" w:rsidRPr="00E47D3E"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E47D3E">
        <w:rPr>
          <w:rFonts w:ascii="Palatino Linotype" w:eastAsia="Calibri" w:hAnsi="Palatino Linotype"/>
          <w:lang w:val="es-ES" w:eastAsia="es-ES"/>
        </w:rPr>
        <w:t xml:space="preserve">Este </w:t>
      </w:r>
      <w:r w:rsidR="00B00358" w:rsidRPr="00E47D3E">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w:t>
      </w:r>
      <w:r w:rsidR="00B00358" w:rsidRPr="00E47D3E">
        <w:rPr>
          <w:rFonts w:ascii="Palatino Linotype" w:eastAsia="Calibri" w:hAnsi="Palatino Linotype"/>
          <w:bCs/>
          <w:color w:val="000000" w:themeColor="text1"/>
        </w:rPr>
        <w:lastRenderedPageBreak/>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B00358" w:rsidRPr="00E47D3E">
        <w:rPr>
          <w:rFonts w:ascii="Palatino Linotype" w:eastAsiaTheme="minorEastAsia" w:hAnsi="Palatino Linotype"/>
          <w:lang w:val="es-ES_tradnl" w:eastAsia="es-ES"/>
        </w:rPr>
        <w:t>.</w:t>
      </w:r>
    </w:p>
    <w:p w14:paraId="78A8B226" w14:textId="77777777" w:rsidR="0009677C" w:rsidRPr="00E47D3E" w:rsidRDefault="0009677C" w:rsidP="0009677C">
      <w:pPr>
        <w:spacing w:line="360" w:lineRule="auto"/>
        <w:contextualSpacing/>
        <w:jc w:val="both"/>
        <w:rPr>
          <w:rFonts w:ascii="Palatino Linotype" w:eastAsiaTheme="minorEastAsia" w:hAnsi="Palatino Linotype"/>
          <w:lang w:val="es-ES_tradnl" w:eastAsia="es-ES"/>
        </w:rPr>
      </w:pPr>
    </w:p>
    <w:p w14:paraId="1C2E15B9" w14:textId="57460D89" w:rsidR="00DA55B8" w:rsidRPr="00E47D3E" w:rsidRDefault="00D262C2" w:rsidP="00E95091">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81233126"/>
      <w:r w:rsidRPr="00E47D3E">
        <w:rPr>
          <w:rFonts w:ascii="Palatino Linotype" w:hAnsi="Palatino Linotype"/>
          <w:b/>
          <w:color w:val="auto"/>
          <w:sz w:val="24"/>
          <w:szCs w:val="24"/>
        </w:rPr>
        <w:t>SEGUNDO. De la oportunidad y procedencia.</w:t>
      </w:r>
      <w:bookmarkEnd w:id="9"/>
      <w:bookmarkEnd w:id="10"/>
      <w:bookmarkEnd w:id="11"/>
    </w:p>
    <w:p w14:paraId="4A53D376" w14:textId="746D2D37" w:rsidR="00B315FF" w:rsidRPr="00E47D3E" w:rsidRDefault="00B315FF" w:rsidP="00B315FF">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E47D3E">
        <w:rPr>
          <w:rFonts w:ascii="Palatino Linotype" w:eastAsia="Calibri" w:hAnsi="Palatino Linotype" w:cs="Arial"/>
          <w:sz w:val="24"/>
        </w:rPr>
        <w:t xml:space="preserve">El medio de impugnación fue presentado a través del </w:t>
      </w:r>
      <w:r w:rsidRPr="00E47D3E">
        <w:rPr>
          <w:rFonts w:ascii="Palatino Linotype" w:eastAsia="Calibri" w:hAnsi="Palatino Linotype" w:cs="Arial"/>
          <w:b/>
          <w:sz w:val="24"/>
        </w:rPr>
        <w:t>SAIMEX</w:t>
      </w:r>
      <w:r w:rsidRPr="00E47D3E">
        <w:rPr>
          <w:rFonts w:ascii="Palatino Linotype" w:eastAsia="Calibri" w:hAnsi="Palatino Linotype" w:cs="Arial"/>
          <w:sz w:val="24"/>
        </w:rPr>
        <w:t xml:space="preserve"> en el formato previamente aprobado para tal efecto y dentro del plazo legal de quince días hábiles otorgados; siendo así que el </w:t>
      </w:r>
      <w:r w:rsidRPr="00E47D3E">
        <w:rPr>
          <w:rFonts w:ascii="Palatino Linotype" w:eastAsia="Calibri" w:hAnsi="Palatino Linotype" w:cs="Arial"/>
          <w:b/>
          <w:sz w:val="24"/>
        </w:rPr>
        <w:t>SUJETO OBLIGADO</w:t>
      </w:r>
      <w:r w:rsidRPr="00E47D3E">
        <w:rPr>
          <w:rFonts w:ascii="Palatino Linotype" w:eastAsia="Calibri" w:hAnsi="Palatino Linotype" w:cs="Arial"/>
          <w:sz w:val="24"/>
        </w:rPr>
        <w:t xml:space="preserve"> entregó respuesta el </w:t>
      </w:r>
      <w:r w:rsidR="00B57611" w:rsidRPr="00E47D3E">
        <w:rPr>
          <w:rFonts w:ascii="Palatino Linotype" w:eastAsia="Calibri" w:hAnsi="Palatino Linotype" w:cs="Arial"/>
          <w:sz w:val="24"/>
        </w:rPr>
        <w:t>treinta y uno</w:t>
      </w:r>
      <w:r w:rsidRPr="00E47D3E">
        <w:rPr>
          <w:rFonts w:ascii="Palatino Linotype" w:eastAsia="Calibri" w:hAnsi="Palatino Linotype" w:cs="Arial"/>
          <w:sz w:val="24"/>
        </w:rPr>
        <w:t xml:space="preserve"> (</w:t>
      </w:r>
      <w:r w:rsidR="00B57611" w:rsidRPr="00E47D3E">
        <w:rPr>
          <w:rFonts w:ascii="Palatino Linotype" w:eastAsia="Calibri" w:hAnsi="Palatino Linotype" w:cs="Arial"/>
          <w:sz w:val="24"/>
        </w:rPr>
        <w:t>31</w:t>
      </w:r>
      <w:r w:rsidRPr="00E47D3E">
        <w:rPr>
          <w:rFonts w:ascii="Palatino Linotype" w:eastAsia="Calibri" w:hAnsi="Palatino Linotype" w:cs="Arial"/>
          <w:sz w:val="24"/>
        </w:rPr>
        <w:t xml:space="preserve">) de </w:t>
      </w:r>
      <w:r w:rsidR="00B57611" w:rsidRPr="00E47D3E">
        <w:rPr>
          <w:rFonts w:ascii="Palatino Linotype" w:eastAsia="Calibri" w:hAnsi="Palatino Linotype" w:cs="Arial"/>
          <w:sz w:val="24"/>
        </w:rPr>
        <w:t>enero</w:t>
      </w:r>
      <w:r w:rsidRPr="00E47D3E">
        <w:rPr>
          <w:rFonts w:ascii="Palatino Linotype" w:eastAsia="Calibri" w:hAnsi="Palatino Linotype" w:cs="Arial"/>
          <w:sz w:val="24"/>
        </w:rPr>
        <w:t xml:space="preserve"> de dos mil veintidós, </w:t>
      </w:r>
      <w:r w:rsidRPr="00E47D3E">
        <w:rPr>
          <w:rFonts w:ascii="Palatino Linotype" w:hAnsi="Palatino Linotype" w:cs="Arial"/>
          <w:sz w:val="24"/>
        </w:rPr>
        <w:t xml:space="preserve">de tal forma que el plazo para interponer el recurso de revisión transcurrió del </w:t>
      </w:r>
      <w:r w:rsidR="00B57611" w:rsidRPr="00E47D3E">
        <w:rPr>
          <w:rFonts w:ascii="Palatino Linotype" w:hAnsi="Palatino Linotype" w:cs="Arial"/>
          <w:sz w:val="24"/>
        </w:rPr>
        <w:t>uno</w:t>
      </w:r>
      <w:r w:rsidRPr="00E47D3E">
        <w:rPr>
          <w:rFonts w:ascii="Palatino Linotype" w:hAnsi="Palatino Linotype" w:cs="Arial"/>
          <w:sz w:val="24"/>
        </w:rPr>
        <w:t xml:space="preserve"> (</w:t>
      </w:r>
      <w:r w:rsidR="00B57611" w:rsidRPr="00E47D3E">
        <w:rPr>
          <w:rFonts w:ascii="Palatino Linotype" w:hAnsi="Palatino Linotype" w:cs="Arial"/>
          <w:sz w:val="24"/>
        </w:rPr>
        <w:t>01</w:t>
      </w:r>
      <w:r w:rsidRPr="00E47D3E">
        <w:rPr>
          <w:rFonts w:ascii="Palatino Linotype" w:hAnsi="Palatino Linotype" w:cs="Arial"/>
          <w:sz w:val="24"/>
        </w:rPr>
        <w:t>) al veinti</w:t>
      </w:r>
      <w:r w:rsidR="00B57611" w:rsidRPr="00E47D3E">
        <w:rPr>
          <w:rFonts w:ascii="Palatino Linotype" w:hAnsi="Palatino Linotype" w:cs="Arial"/>
          <w:sz w:val="24"/>
        </w:rPr>
        <w:t>dós</w:t>
      </w:r>
      <w:r w:rsidRPr="00E47D3E">
        <w:rPr>
          <w:rFonts w:ascii="Palatino Linotype" w:hAnsi="Palatino Linotype" w:cs="Arial"/>
          <w:sz w:val="24"/>
        </w:rPr>
        <w:t xml:space="preserve"> (2</w:t>
      </w:r>
      <w:r w:rsidR="00B57611" w:rsidRPr="00E47D3E">
        <w:rPr>
          <w:rFonts w:ascii="Palatino Linotype" w:hAnsi="Palatino Linotype" w:cs="Arial"/>
          <w:sz w:val="24"/>
        </w:rPr>
        <w:t>2</w:t>
      </w:r>
      <w:r w:rsidRPr="00E47D3E">
        <w:rPr>
          <w:rFonts w:ascii="Palatino Linotype" w:hAnsi="Palatino Linotype" w:cs="Arial"/>
          <w:sz w:val="24"/>
        </w:rPr>
        <w:t xml:space="preserve">) de </w:t>
      </w:r>
      <w:r w:rsidR="00B57611" w:rsidRPr="00E47D3E">
        <w:rPr>
          <w:rFonts w:ascii="Palatino Linotype" w:hAnsi="Palatino Linotype" w:cs="Arial"/>
          <w:sz w:val="24"/>
        </w:rPr>
        <w:t>febrero</w:t>
      </w:r>
      <w:r w:rsidRPr="00E47D3E">
        <w:rPr>
          <w:rFonts w:ascii="Palatino Linotype" w:hAnsi="Palatino Linotype" w:cs="Arial"/>
          <w:sz w:val="24"/>
        </w:rPr>
        <w:t xml:space="preserve"> de dos mil veintidós,  en términos del artículo 3 fracción X de la </w:t>
      </w:r>
      <w:r w:rsidRPr="00E47D3E">
        <w:rPr>
          <w:rFonts w:ascii="Palatino Linotype" w:hAnsi="Palatino Linotype"/>
          <w:sz w:val="24"/>
        </w:rPr>
        <w:t>Ley de Transparencia y Acceso a la Información Pública del Estado de México y Municipios.</w:t>
      </w:r>
    </w:p>
    <w:p w14:paraId="0CE442F7" w14:textId="587B75B7" w:rsidR="00B315FF" w:rsidRPr="00E47D3E" w:rsidRDefault="00B315FF" w:rsidP="00B315FF">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E47D3E">
        <w:rPr>
          <w:rFonts w:ascii="Palatino Linotype" w:hAnsi="Palatino Linotype"/>
          <w:sz w:val="24"/>
        </w:rPr>
        <w:t xml:space="preserve">Luego entonces, si el recurso de revisión fue interpuesto el </w:t>
      </w:r>
      <w:r w:rsidR="00B57611" w:rsidRPr="00E47D3E">
        <w:rPr>
          <w:rFonts w:ascii="Palatino Linotype" w:hAnsi="Palatino Linotype"/>
          <w:sz w:val="24"/>
        </w:rPr>
        <w:t>treinta y uno</w:t>
      </w:r>
      <w:r w:rsidRPr="00E47D3E">
        <w:rPr>
          <w:rFonts w:ascii="Palatino Linotype" w:hAnsi="Palatino Linotype"/>
          <w:sz w:val="24"/>
        </w:rPr>
        <w:t xml:space="preserve"> (</w:t>
      </w:r>
      <w:r w:rsidR="00B57611" w:rsidRPr="00E47D3E">
        <w:rPr>
          <w:rFonts w:ascii="Palatino Linotype" w:hAnsi="Palatino Linotype"/>
          <w:sz w:val="24"/>
        </w:rPr>
        <w:t>31</w:t>
      </w:r>
      <w:r w:rsidRPr="00E47D3E">
        <w:rPr>
          <w:rFonts w:ascii="Palatino Linotype" w:hAnsi="Palatino Linotype"/>
          <w:sz w:val="24"/>
        </w:rPr>
        <w:t xml:space="preserve">) de </w:t>
      </w:r>
      <w:r w:rsidR="00B57611" w:rsidRPr="00E47D3E">
        <w:rPr>
          <w:rFonts w:ascii="Palatino Linotype" w:hAnsi="Palatino Linotype"/>
          <w:sz w:val="24"/>
        </w:rPr>
        <w:t>enero</w:t>
      </w:r>
      <w:r w:rsidRPr="00E47D3E">
        <w:rPr>
          <w:rFonts w:ascii="Palatino Linotype" w:hAnsi="Palatino Linotype"/>
          <w:sz w:val="24"/>
        </w:rPr>
        <w:t xml:space="preserve"> de dos mil veintidós, éste</w:t>
      </w:r>
      <w:r w:rsidRPr="00E47D3E">
        <w:rPr>
          <w:rFonts w:ascii="Palatino Linotype" w:hAnsi="Palatino Linotype" w:cs="Arial"/>
          <w:sz w:val="24"/>
        </w:rPr>
        <w:t xml:space="preserve"> se encuentra dentro de los márgenes temporales previstos en el artículo 178 de la Ley de Transparencia y Acceso a la Información Pública del Estado de México y Municipios</w:t>
      </w:r>
      <w:r w:rsidRPr="00E47D3E">
        <w:rPr>
          <w:rFonts w:ascii="Palatino Linotype" w:hAnsi="Palatino Linotype" w:cs="Arial"/>
          <w:b/>
          <w:sz w:val="24"/>
        </w:rPr>
        <w:t xml:space="preserve"> </w:t>
      </w:r>
      <w:r w:rsidRPr="00E47D3E">
        <w:rPr>
          <w:rFonts w:ascii="Palatino Linotype" w:hAnsi="Palatino Linotype" w:cs="Arial"/>
          <w:sz w:val="24"/>
        </w:rPr>
        <w:t>vigente.</w:t>
      </w:r>
    </w:p>
    <w:p w14:paraId="2BE9C331" w14:textId="77777777" w:rsidR="00B315FF" w:rsidRPr="00E47D3E" w:rsidRDefault="00B315FF" w:rsidP="00B315FF">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3755703A" w14:textId="41F1F0E3" w:rsidR="00DF3EEA" w:rsidRPr="00E47D3E" w:rsidRDefault="00B315FF" w:rsidP="00B315FF">
      <w:pPr>
        <w:pStyle w:val="Prrafodelista"/>
        <w:numPr>
          <w:ilvl w:val="0"/>
          <w:numId w:val="8"/>
        </w:numPr>
        <w:tabs>
          <w:tab w:val="left" w:pos="426"/>
        </w:tabs>
        <w:spacing w:line="360" w:lineRule="auto"/>
        <w:ind w:left="0" w:right="49" w:firstLine="0"/>
        <w:jc w:val="both"/>
        <w:rPr>
          <w:rFonts w:ascii="Palatino Linotype" w:hAnsi="Palatino Linotype"/>
          <w:sz w:val="24"/>
        </w:rPr>
      </w:pPr>
      <w:r w:rsidRPr="00E47D3E">
        <w:rPr>
          <w:rFonts w:ascii="Palatino Linotype" w:hAnsi="Palatino Linotype" w:cs="Arial"/>
          <w:sz w:val="24"/>
        </w:rPr>
        <w:t xml:space="preserve">Consecuencia </w:t>
      </w:r>
      <w:r w:rsidRPr="00E47D3E">
        <w:rPr>
          <w:rFonts w:ascii="Palatino Linotype" w:eastAsia="Calibri" w:hAnsi="Palatino Linotype" w:cs="Arial"/>
          <w:sz w:val="24"/>
        </w:rPr>
        <w:t xml:space="preserve">de lo anterior, esta Ponencia Resolutora reconoce que el escrito contiene las formalidades previstas por el artículo 180 último párrafo de la Ley de la materia actual, por lo que es procedente que este Instituto de Transparencia, Acceso </w:t>
      </w:r>
      <w:r w:rsidRPr="00E47D3E">
        <w:rPr>
          <w:rFonts w:ascii="Palatino Linotype" w:eastAsia="Calibri" w:hAnsi="Palatino Linotype" w:cs="Arial"/>
          <w:sz w:val="24"/>
        </w:rPr>
        <w:lastRenderedPageBreak/>
        <w:t>a la Información Pública y Protección de Datos Personales del Estado de México y Municipios, conozca y resuelva el presente recurso</w:t>
      </w:r>
      <w:r w:rsidR="00DF3EEA" w:rsidRPr="00E47D3E">
        <w:rPr>
          <w:rFonts w:ascii="Palatino Linotype" w:eastAsia="Calibri" w:hAnsi="Palatino Linotype" w:cs="Arial"/>
          <w:sz w:val="24"/>
          <w:lang w:val="es-ES_tradnl" w:eastAsia="es-ES"/>
        </w:rPr>
        <w:t>.</w:t>
      </w:r>
    </w:p>
    <w:p w14:paraId="086DBD47" w14:textId="77777777" w:rsidR="00DF3EEA" w:rsidRPr="00E47D3E" w:rsidRDefault="00DF3EEA" w:rsidP="00DF3EEA">
      <w:pPr>
        <w:pStyle w:val="Prrafodelista"/>
        <w:tabs>
          <w:tab w:val="left" w:pos="426"/>
        </w:tabs>
        <w:spacing w:line="360" w:lineRule="auto"/>
        <w:ind w:left="0" w:right="49"/>
        <w:jc w:val="both"/>
        <w:rPr>
          <w:rFonts w:ascii="Palatino Linotype" w:hAnsi="Palatino Linotype"/>
          <w:sz w:val="24"/>
          <w:szCs w:val="28"/>
        </w:rPr>
      </w:pPr>
    </w:p>
    <w:p w14:paraId="0359AD2D" w14:textId="77777777" w:rsidR="00D262C2" w:rsidRPr="00E47D3E"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E47D3E">
        <w:rPr>
          <w:rFonts w:ascii="Palatino Linotype" w:hAnsi="Palatino Linotype"/>
          <w:b/>
          <w:color w:val="auto"/>
          <w:sz w:val="24"/>
          <w:szCs w:val="24"/>
        </w:rPr>
        <w:t>TERCERO. De las causales del sobreseimiento.</w:t>
      </w:r>
      <w:bookmarkEnd w:id="12"/>
      <w:bookmarkEnd w:id="13"/>
    </w:p>
    <w:p w14:paraId="22554462" w14:textId="77777777" w:rsidR="00D262C2" w:rsidRPr="00E47D3E"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E47D3E">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E47D3E">
        <w:rPr>
          <w:rFonts w:ascii="Palatino Linotype" w:eastAsia="Calibri" w:hAnsi="Palatino Linotype" w:cs="Arial"/>
          <w:sz w:val="24"/>
        </w:rPr>
        <w:t>Transparencia, Acceso a la Información Pública del Estado de México y Municipios</w:t>
      </w:r>
      <w:r w:rsidRPr="00E47D3E">
        <w:rPr>
          <w:rFonts w:ascii="Palatino Linotype" w:hAnsi="Palatino Linotype" w:cs="Arial"/>
          <w:sz w:val="24"/>
          <w:szCs w:val="23"/>
        </w:rPr>
        <w:t xml:space="preserve">, y determinar la confirmación; revocación o modificación; desechamiento o </w:t>
      </w:r>
      <w:r w:rsidRPr="00E47D3E">
        <w:rPr>
          <w:rFonts w:ascii="Palatino Linotype" w:hAnsi="Palatino Linotype" w:cs="Arial"/>
          <w:b/>
          <w:sz w:val="24"/>
          <w:szCs w:val="23"/>
          <w:u w:val="single"/>
        </w:rPr>
        <w:t>sobreseimiento</w:t>
      </w:r>
      <w:r w:rsidRPr="00E47D3E">
        <w:rPr>
          <w:rFonts w:ascii="Palatino Linotype" w:hAnsi="Palatino Linotype" w:cs="Arial"/>
          <w:sz w:val="24"/>
          <w:szCs w:val="23"/>
        </w:rPr>
        <w:t xml:space="preserve">; y, en su caso, ordenar la entrega de la información respecto a la falta de respuesta por parte del </w:t>
      </w:r>
      <w:r w:rsidRPr="00E47D3E">
        <w:rPr>
          <w:rFonts w:ascii="Palatino Linotype" w:hAnsi="Palatino Linotype" w:cs="Arial"/>
          <w:b/>
          <w:sz w:val="24"/>
          <w:szCs w:val="23"/>
        </w:rPr>
        <w:t>SUJETO</w:t>
      </w:r>
      <w:r w:rsidRPr="00E47D3E">
        <w:rPr>
          <w:rFonts w:ascii="Palatino Linotype" w:hAnsi="Palatino Linotype" w:cs="Arial"/>
          <w:sz w:val="24"/>
          <w:szCs w:val="23"/>
        </w:rPr>
        <w:t xml:space="preserve"> </w:t>
      </w:r>
      <w:r w:rsidRPr="00E47D3E">
        <w:rPr>
          <w:rFonts w:ascii="Palatino Linotype" w:hAnsi="Palatino Linotype" w:cs="Arial"/>
          <w:b/>
          <w:sz w:val="24"/>
          <w:szCs w:val="23"/>
        </w:rPr>
        <w:t>OBLIGADO</w:t>
      </w:r>
      <w:r w:rsidRPr="00E47D3E">
        <w:rPr>
          <w:rFonts w:ascii="Palatino Linotype" w:hAnsi="Palatino Linotype" w:cs="Arial"/>
          <w:sz w:val="24"/>
          <w:szCs w:val="23"/>
        </w:rPr>
        <w:t>.</w:t>
      </w:r>
    </w:p>
    <w:p w14:paraId="3C2D1D72" w14:textId="77777777" w:rsidR="00D262C2" w:rsidRPr="00E47D3E"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18929849" w14:textId="6D1FD099" w:rsidR="00D262C2" w:rsidRPr="00E47D3E"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E47D3E">
        <w:rPr>
          <w:rFonts w:ascii="Palatino Linotype" w:eastAsia="Calibri" w:hAnsi="Palatino Linotype" w:cs="Arial"/>
          <w:sz w:val="24"/>
          <w:szCs w:val="22"/>
          <w:lang w:eastAsia="en-US"/>
        </w:rPr>
        <w:t xml:space="preserve">Asimismo, es de señalar que </w:t>
      </w:r>
      <w:r w:rsidRPr="00E47D3E">
        <w:rPr>
          <w:rFonts w:ascii="Palatino Linotype" w:eastAsia="MS Mincho" w:hAnsi="Palatino Linotype"/>
          <w:sz w:val="24"/>
        </w:rPr>
        <w:t xml:space="preserve">para actualizar el sobreseimiento de un recurso de revisión, el </w:t>
      </w:r>
      <w:r w:rsidRPr="00E47D3E">
        <w:rPr>
          <w:rFonts w:ascii="Palatino Linotype" w:eastAsia="MS Mincho" w:hAnsi="Palatino Linotype"/>
          <w:b/>
          <w:sz w:val="24"/>
        </w:rPr>
        <w:t>SUJETO OBLIGADO</w:t>
      </w:r>
      <w:r w:rsidRPr="00E47D3E">
        <w:rPr>
          <w:rFonts w:ascii="Palatino Linotype" w:eastAsia="MS Mincho" w:hAnsi="Palatino Linotype"/>
          <w:sz w:val="24"/>
        </w:rPr>
        <w:t xml:space="preserve"> puede entregar o completar la información al momento de rendir su informe justificado o, dentro de los siete días previstos paranifestar lo que a su derecho convenga</w:t>
      </w:r>
      <w:r w:rsidRPr="00E47D3E">
        <w:rPr>
          <w:rFonts w:ascii="Palatino Linotype" w:eastAsia="Calibri" w:hAnsi="Palatino Linotype" w:cs="Arial"/>
          <w:sz w:val="24"/>
          <w:lang w:val="es-ES"/>
        </w:rPr>
        <w:t>, ofrecer pruebas y alegatos; como se refiriera en párrafos anteriores.</w:t>
      </w:r>
    </w:p>
    <w:p w14:paraId="78927D08" w14:textId="77777777" w:rsidR="00E95091" w:rsidRPr="00E47D3E" w:rsidRDefault="00E95091" w:rsidP="00E95091">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32790E23" w14:textId="1D4A9CD8" w:rsidR="005004FF" w:rsidRPr="00E47D3E" w:rsidRDefault="00CE5940" w:rsidP="00B57611">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E47D3E">
        <w:rPr>
          <w:rFonts w:ascii="Palatino Linotype" w:eastAsia="MS Mincho" w:hAnsi="Palatino Linotype"/>
          <w:color w:val="000000"/>
          <w:sz w:val="24"/>
        </w:rPr>
        <w:t xml:space="preserve">Cabe destacar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B315FF" w:rsidRPr="00E47D3E">
        <w:rPr>
          <w:rFonts w:ascii="Palatino Linotype" w:eastAsia="MS Mincho" w:hAnsi="Palatino Linotype"/>
          <w:color w:val="000000"/>
          <w:sz w:val="24"/>
        </w:rPr>
        <w:t xml:space="preserve">que el motivo de inconformidad de la Recurrente sobre la negativa </w:t>
      </w:r>
      <w:r w:rsidR="00B57611" w:rsidRPr="00E47D3E">
        <w:rPr>
          <w:rFonts w:ascii="Palatino Linotype" w:eastAsia="MS Mincho" w:hAnsi="Palatino Linotype"/>
          <w:color w:val="000000"/>
          <w:sz w:val="24"/>
        </w:rPr>
        <w:t xml:space="preserve">y la clasificación </w:t>
      </w:r>
      <w:r w:rsidR="00B315FF" w:rsidRPr="00E47D3E">
        <w:rPr>
          <w:rFonts w:ascii="Palatino Linotype" w:eastAsia="MS Mincho" w:hAnsi="Palatino Linotype"/>
          <w:color w:val="000000"/>
          <w:sz w:val="24"/>
        </w:rPr>
        <w:t>de la información, actualiza la causal e improcedencia contenida en la fracción I</w:t>
      </w:r>
      <w:r w:rsidR="00B57611" w:rsidRPr="00E47D3E">
        <w:rPr>
          <w:rFonts w:ascii="Palatino Linotype" w:eastAsia="MS Mincho" w:hAnsi="Palatino Linotype"/>
          <w:color w:val="000000"/>
          <w:sz w:val="24"/>
        </w:rPr>
        <w:t xml:space="preserve"> y II</w:t>
      </w:r>
      <w:r w:rsidR="00B315FF" w:rsidRPr="00E47D3E">
        <w:rPr>
          <w:rFonts w:ascii="Palatino Linotype" w:eastAsia="MS Mincho" w:hAnsi="Palatino Linotype"/>
          <w:color w:val="000000"/>
          <w:sz w:val="24"/>
        </w:rPr>
        <w:t xml:space="preserve"> del artículo 179 de la Ley de Transparencia y Acceso a la Información Pública del Estado de México y Municipios, por lo que este Órgano Garante estaría en la posibilidad de analizar  el presente asunto; sin embargo, será inminentemente excusado el ingreso al estudio y análisis de la controversia en consecuencia de que, como quedara establecido, la Recurrente, por propio derecho, </w:t>
      </w:r>
      <w:r w:rsidR="00B315FF" w:rsidRPr="00E47D3E">
        <w:rPr>
          <w:rFonts w:ascii="Palatino Linotype" w:eastAsia="MS Mincho" w:hAnsi="Palatino Linotype"/>
          <w:b/>
          <w:color w:val="000000"/>
          <w:sz w:val="24"/>
        </w:rPr>
        <w:t xml:space="preserve">se desistió del recurso </w:t>
      </w:r>
      <w:r w:rsidR="00B315FF" w:rsidRPr="00E47D3E">
        <w:rPr>
          <w:rFonts w:ascii="Palatino Linotype" w:eastAsia="MS Mincho" w:hAnsi="Palatino Linotype"/>
          <w:b/>
          <w:color w:val="000000"/>
          <w:sz w:val="24"/>
        </w:rPr>
        <w:lastRenderedPageBreak/>
        <w:t>de revisión</w:t>
      </w:r>
      <w:r w:rsidR="00B315FF" w:rsidRPr="00E47D3E">
        <w:rPr>
          <w:rFonts w:ascii="Palatino Linotype" w:eastAsia="MS Mincho" w:hAnsi="Palatino Linotype"/>
          <w:color w:val="000000"/>
          <w:sz w:val="24"/>
        </w:rPr>
        <w:t xml:space="preserve"> que nos ocupa, vía </w:t>
      </w:r>
      <w:r w:rsidR="00B315FF" w:rsidRPr="00E47D3E">
        <w:rPr>
          <w:rFonts w:ascii="Palatino Linotype" w:eastAsia="MS Mincho" w:hAnsi="Palatino Linotype"/>
          <w:i/>
          <w:color w:val="000000"/>
          <w:sz w:val="24"/>
        </w:rPr>
        <w:t>SAIMEX</w:t>
      </w:r>
      <w:r w:rsidR="00B315FF" w:rsidRPr="00E47D3E">
        <w:rPr>
          <w:rFonts w:ascii="Palatino Linotype" w:eastAsia="MS Mincho" w:hAnsi="Palatino Linotype"/>
          <w:color w:val="000000"/>
          <w:sz w:val="24"/>
        </w:rPr>
        <w:t>, el veinti</w:t>
      </w:r>
      <w:r w:rsidR="00B57611" w:rsidRPr="00E47D3E">
        <w:rPr>
          <w:rFonts w:ascii="Palatino Linotype" w:eastAsia="MS Mincho" w:hAnsi="Palatino Linotype"/>
          <w:color w:val="000000"/>
          <w:sz w:val="24"/>
        </w:rPr>
        <w:t>seis</w:t>
      </w:r>
      <w:r w:rsidR="00B315FF" w:rsidRPr="00E47D3E">
        <w:rPr>
          <w:rFonts w:ascii="Palatino Linotype" w:eastAsia="MS Mincho" w:hAnsi="Palatino Linotype"/>
          <w:color w:val="000000"/>
          <w:sz w:val="24"/>
        </w:rPr>
        <w:t xml:space="preserve"> (2</w:t>
      </w:r>
      <w:r w:rsidR="00B57611" w:rsidRPr="00E47D3E">
        <w:rPr>
          <w:rFonts w:ascii="Palatino Linotype" w:eastAsia="MS Mincho" w:hAnsi="Palatino Linotype"/>
          <w:color w:val="000000"/>
          <w:sz w:val="24"/>
        </w:rPr>
        <w:t>6</w:t>
      </w:r>
      <w:r w:rsidR="00B315FF" w:rsidRPr="00E47D3E">
        <w:rPr>
          <w:rFonts w:ascii="Palatino Linotype" w:eastAsia="MS Mincho" w:hAnsi="Palatino Linotype"/>
          <w:color w:val="000000"/>
          <w:sz w:val="24"/>
        </w:rPr>
        <w:t xml:space="preserve">) de </w:t>
      </w:r>
      <w:r w:rsidR="00B57611" w:rsidRPr="00E47D3E">
        <w:rPr>
          <w:rFonts w:ascii="Palatino Linotype" w:eastAsia="MS Mincho" w:hAnsi="Palatino Linotype"/>
          <w:color w:val="000000"/>
          <w:sz w:val="24"/>
        </w:rPr>
        <w:t>septiembre</w:t>
      </w:r>
      <w:r w:rsidR="00B315FF" w:rsidRPr="00E47D3E">
        <w:rPr>
          <w:rFonts w:ascii="Palatino Linotype" w:eastAsia="MS Mincho" w:hAnsi="Palatino Linotype"/>
          <w:color w:val="000000"/>
          <w:sz w:val="24"/>
        </w:rPr>
        <w:t xml:space="preserve"> de dos mil veintidós, como se ilustra a continuación:</w:t>
      </w:r>
    </w:p>
    <w:p w14:paraId="323B70F1" w14:textId="77777777" w:rsidR="00B57611" w:rsidRPr="00E47D3E" w:rsidRDefault="00B57611" w:rsidP="00B57611">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3E8389B0" w14:textId="2F75C507" w:rsidR="00E95091" w:rsidRPr="00E47D3E" w:rsidRDefault="00E47D3E" w:rsidP="00B57611">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r w:rsidRPr="00E47D3E">
        <w:rPr>
          <w:noProof/>
        </w:rPr>
        <w:drawing>
          <wp:inline distT="0" distB="0" distL="0" distR="0" wp14:anchorId="47EAACAA" wp14:editId="3A92DEAF">
            <wp:extent cx="5896051" cy="293649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8415" t="27862" r="28371" b="33874"/>
                    <a:stretch/>
                  </pic:blipFill>
                  <pic:spPr bwMode="auto">
                    <a:xfrm>
                      <a:off x="0" y="0"/>
                      <a:ext cx="5932993" cy="2954891"/>
                    </a:xfrm>
                    <a:prstGeom prst="rect">
                      <a:avLst/>
                    </a:prstGeom>
                    <a:ln>
                      <a:noFill/>
                    </a:ln>
                    <a:extLst>
                      <a:ext uri="{53640926-AAD7-44D8-BBD7-CCE9431645EC}">
                        <a14:shadowObscured xmlns:a14="http://schemas.microsoft.com/office/drawing/2010/main"/>
                      </a:ext>
                    </a:extLst>
                  </pic:spPr>
                </pic:pic>
              </a:graphicData>
            </a:graphic>
          </wp:inline>
        </w:drawing>
      </w:r>
    </w:p>
    <w:p w14:paraId="1FE9568D" w14:textId="59CE8819" w:rsidR="00577A5A" w:rsidRPr="00E47D3E" w:rsidRDefault="00577A5A" w:rsidP="00387DD2">
      <w:pPr>
        <w:spacing w:before="240" w:after="240" w:line="360" w:lineRule="auto"/>
        <w:ind w:right="49"/>
        <w:jc w:val="center"/>
        <w:rPr>
          <w:rFonts w:ascii="Palatino Linotype" w:eastAsia="MS Mincho" w:hAnsi="Palatino Linotype"/>
          <w:color w:val="000000"/>
          <w:sz w:val="2"/>
          <w:szCs w:val="2"/>
        </w:rPr>
      </w:pPr>
    </w:p>
    <w:p w14:paraId="5DF6A8A9" w14:textId="08A4D7FC" w:rsidR="00D262C2" w:rsidRPr="00E47D3E"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E47D3E">
        <w:rPr>
          <w:rFonts w:ascii="Palatino Linotype" w:eastAsia="MS Mincho" w:hAnsi="Palatino Linotype"/>
          <w:color w:val="000000"/>
          <w:sz w:val="24"/>
        </w:rPr>
        <w:t xml:space="preserve">De la imágen inserta, se advierte que efectivamente </w:t>
      </w:r>
      <w:r w:rsidR="00B57611" w:rsidRPr="00E47D3E">
        <w:rPr>
          <w:rFonts w:ascii="Palatino Linotype" w:eastAsia="MS Mincho" w:hAnsi="Palatino Linotype"/>
          <w:color w:val="000000"/>
          <w:sz w:val="24"/>
        </w:rPr>
        <w:t>la Recurrente</w:t>
      </w:r>
      <w:r w:rsidRPr="00E47D3E">
        <w:rPr>
          <w:rFonts w:ascii="Palatino Linotype" w:eastAsia="MS Mincho" w:hAnsi="Palatino Linotype"/>
          <w:color w:val="000000"/>
          <w:sz w:val="24"/>
        </w:rPr>
        <w:t xml:space="preserve"> hizo uso de la opción </w:t>
      </w:r>
      <w:r w:rsidR="000F7407" w:rsidRPr="00E47D3E">
        <w:rPr>
          <w:rFonts w:ascii="Palatino Linotype" w:eastAsia="MS Mincho" w:hAnsi="Palatino Linotype"/>
          <w:b/>
          <w:color w:val="000000"/>
          <w:sz w:val="24"/>
        </w:rPr>
        <w:t>Desistir</w:t>
      </w:r>
      <w:r w:rsidRPr="00E47D3E">
        <w:rPr>
          <w:rFonts w:ascii="Palatino Linotype" w:eastAsia="MS Mincho" w:hAnsi="Palatino Linotype"/>
          <w:color w:val="000000"/>
          <w:sz w:val="24"/>
        </w:rPr>
        <w:t xml:space="preserve"> al recurso de revisión en el propio SAIMEX, opción que </w:t>
      </w:r>
      <w:r w:rsidR="000F7407" w:rsidRPr="00E47D3E">
        <w:rPr>
          <w:rFonts w:ascii="Palatino Linotype" w:eastAsia="MS Mincho" w:hAnsi="Palatino Linotype"/>
          <w:b/>
          <w:color w:val="000000"/>
          <w:sz w:val="24"/>
        </w:rPr>
        <w:t>únicamente</w:t>
      </w:r>
      <w:r w:rsidRPr="00E47D3E">
        <w:rPr>
          <w:rFonts w:ascii="Palatino Linotype" w:eastAsia="MS Mincho" w:hAnsi="Palatino Linotype"/>
          <w:color w:val="000000"/>
          <w:sz w:val="24"/>
        </w:rPr>
        <w:t xml:space="preserve"> puede hacer uso el usuario dueño de la cuenta, previo ingreso de su nombre de usuario y contraseña; así las cosas, cabe resaltar de igual manera que, al seleccionar la opción de </w:t>
      </w:r>
      <w:r w:rsidRPr="00E47D3E">
        <w:rPr>
          <w:rFonts w:ascii="Palatino Linotype" w:eastAsia="MS Mincho" w:hAnsi="Palatino Linotype"/>
          <w:b/>
          <w:color w:val="000000"/>
          <w:sz w:val="24"/>
        </w:rPr>
        <w:t>desistimiento</w:t>
      </w:r>
      <w:r w:rsidRPr="00E47D3E">
        <w:rPr>
          <w:rFonts w:ascii="Palatino Linotype" w:eastAsia="MS Mincho" w:hAnsi="Palatino Linotype"/>
          <w:color w:val="000000"/>
          <w:sz w:val="24"/>
        </w:rPr>
        <w:t xml:space="preserve">, aparece al usuario una ventana de alerta con el objeto de que confirme que efectivamente es su deseo </w:t>
      </w:r>
      <w:r w:rsidRPr="00E47D3E">
        <w:rPr>
          <w:rFonts w:ascii="Palatino Linotype" w:eastAsia="MS Mincho" w:hAnsi="Palatino Linotype"/>
          <w:b/>
          <w:color w:val="000000"/>
          <w:sz w:val="24"/>
        </w:rPr>
        <w:t>desistirse</w:t>
      </w:r>
      <w:r w:rsidRPr="00E47D3E">
        <w:rPr>
          <w:rFonts w:ascii="Palatino Linotype" w:eastAsia="MS Mincho" w:hAnsi="Palatino Linotype"/>
          <w:color w:val="000000"/>
          <w:sz w:val="24"/>
        </w:rPr>
        <w:t xml:space="preserve"> del recurso; </w:t>
      </w:r>
      <w:r w:rsidRPr="00E47D3E">
        <w:rPr>
          <w:rFonts w:ascii="Palatino Linotype" w:eastAsia="MS Mincho" w:hAnsi="Palatino Linotype"/>
          <w:b/>
          <w:color w:val="000000"/>
          <w:sz w:val="24"/>
        </w:rPr>
        <w:t>luego entonces no es hacedero suponer que fue por error involuntario, lo que se constituye como un desistimiento expreso</w:t>
      </w:r>
      <w:r w:rsidRPr="00E47D3E">
        <w:rPr>
          <w:rFonts w:ascii="Palatino Linotype" w:eastAsia="MS Mincho" w:hAnsi="Palatino Linotype"/>
          <w:color w:val="000000"/>
          <w:sz w:val="24"/>
        </w:rPr>
        <w:t>.</w:t>
      </w:r>
    </w:p>
    <w:p w14:paraId="5AB134A2" w14:textId="77777777" w:rsidR="002C7D83" w:rsidRPr="00E47D3E" w:rsidRDefault="002C7D83" w:rsidP="002C7D83">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50D555DB" w14:textId="37D6FC18" w:rsidR="00D262C2" w:rsidRPr="00E47D3E" w:rsidRDefault="00D262C2" w:rsidP="00E95091">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E47D3E">
        <w:rPr>
          <w:rFonts w:ascii="Palatino Linotype" w:eastAsia="MS Mincho" w:hAnsi="Palatino Linotype"/>
          <w:color w:val="000000"/>
          <w:sz w:val="24"/>
        </w:rPr>
        <w:lastRenderedPageBreak/>
        <w:t>En ese orden de ideas el art</w:t>
      </w:r>
      <w:r w:rsidR="00C111E7" w:rsidRPr="00E47D3E">
        <w:rPr>
          <w:rFonts w:ascii="Palatino Linotype" w:eastAsia="MS Mincho" w:hAnsi="Palatino Linotype"/>
          <w:color w:val="000000"/>
          <w:sz w:val="24"/>
        </w:rPr>
        <w:t>í</w:t>
      </w:r>
      <w:r w:rsidRPr="00E47D3E">
        <w:rPr>
          <w:rFonts w:ascii="Palatino Linotype" w:eastAsia="MS Mincho" w:hAnsi="Palatino Linotype"/>
          <w:color w:val="000000"/>
          <w:sz w:val="24"/>
        </w:rPr>
        <w:t xml:space="preserve">culo 192 </w:t>
      </w:r>
      <w:r w:rsidR="00C111E7" w:rsidRPr="00E47D3E">
        <w:rPr>
          <w:rFonts w:ascii="Palatino Linotype" w:eastAsia="MS Mincho" w:hAnsi="Palatino Linotype"/>
          <w:color w:val="000000"/>
          <w:sz w:val="24"/>
        </w:rPr>
        <w:t xml:space="preserve">fracción I de la </w:t>
      </w:r>
      <w:r w:rsidRPr="00E47D3E">
        <w:rPr>
          <w:rFonts w:ascii="Palatino Linotype" w:eastAsia="MS Mincho" w:hAnsi="Palatino Linotype"/>
          <w:color w:val="000000"/>
          <w:sz w:val="24"/>
        </w:rPr>
        <w:t>Ley de Transparencia y Acceso a la Información Pública del Estado de México y Municipios, establece lo siguiente:</w:t>
      </w:r>
    </w:p>
    <w:p w14:paraId="5E8AFE94" w14:textId="77777777" w:rsidR="00E95091" w:rsidRPr="00E47D3E" w:rsidRDefault="00E95091" w:rsidP="00E95091">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234BA427" w14:textId="77777777" w:rsidR="00D262C2" w:rsidRPr="00E47D3E" w:rsidRDefault="00D262C2" w:rsidP="00577A5A">
      <w:pPr>
        <w:pStyle w:val="Prrafodelista"/>
        <w:spacing w:before="240" w:after="240"/>
        <w:ind w:left="567" w:right="567"/>
        <w:jc w:val="both"/>
        <w:rPr>
          <w:rFonts w:ascii="Palatino Linotype" w:eastAsia="MS Mincho" w:hAnsi="Palatino Linotype"/>
          <w:i/>
          <w:color w:val="000000"/>
        </w:rPr>
      </w:pPr>
      <w:r w:rsidRPr="00E47D3E">
        <w:rPr>
          <w:rFonts w:ascii="Palatino Linotype" w:eastAsia="MS Mincho" w:hAnsi="Palatino Linotype"/>
          <w:i/>
          <w:color w:val="000000"/>
        </w:rPr>
        <w:t>“</w:t>
      </w:r>
      <w:r w:rsidRPr="00E47D3E">
        <w:rPr>
          <w:rFonts w:ascii="Palatino Linotype" w:eastAsia="MS Mincho" w:hAnsi="Palatino Linotype"/>
          <w:b/>
          <w:i/>
          <w:color w:val="000000"/>
        </w:rPr>
        <w:t>Artículo 192.</w:t>
      </w:r>
      <w:r w:rsidRPr="00E47D3E">
        <w:rPr>
          <w:rFonts w:ascii="Palatino Linotype" w:eastAsia="MS Mincho" w:hAnsi="Palatino Linotype"/>
          <w:i/>
          <w:color w:val="000000"/>
        </w:rPr>
        <w:t xml:space="preserve"> El recurso será sobreseído, en todo o en parte, cuando una vez admitido, se actualicen alguno de los siguientes supuestos:</w:t>
      </w:r>
    </w:p>
    <w:p w14:paraId="27E52DBB" w14:textId="77777777" w:rsidR="00D262C2" w:rsidRPr="00E47D3E" w:rsidRDefault="00D262C2" w:rsidP="00577A5A">
      <w:pPr>
        <w:pStyle w:val="Prrafodelista"/>
        <w:spacing w:before="240" w:after="240"/>
        <w:ind w:left="567" w:right="567"/>
        <w:jc w:val="both"/>
        <w:rPr>
          <w:rFonts w:ascii="Palatino Linotype" w:eastAsia="MS Mincho" w:hAnsi="Palatino Linotype"/>
          <w:i/>
          <w:color w:val="000000"/>
        </w:rPr>
      </w:pPr>
      <w:r w:rsidRPr="00E47D3E">
        <w:rPr>
          <w:rFonts w:ascii="Palatino Linotype" w:eastAsia="MS Mincho" w:hAnsi="Palatino Linotype"/>
          <w:b/>
          <w:i/>
          <w:color w:val="000000"/>
        </w:rPr>
        <w:t>I.</w:t>
      </w:r>
      <w:r w:rsidRPr="00E47D3E">
        <w:rPr>
          <w:rFonts w:ascii="Palatino Linotype" w:eastAsia="MS Mincho" w:hAnsi="Palatino Linotype"/>
          <w:i/>
          <w:color w:val="000000"/>
        </w:rPr>
        <w:t xml:space="preserve"> El recurrente se desista expresamente del recurso;</w:t>
      </w:r>
    </w:p>
    <w:p w14:paraId="0F0366CD" w14:textId="3F9AD41A" w:rsidR="00E95091" w:rsidRPr="00E47D3E" w:rsidRDefault="00D262C2" w:rsidP="00E95091">
      <w:pPr>
        <w:pStyle w:val="Prrafodelista"/>
        <w:spacing w:before="240" w:after="240"/>
        <w:ind w:left="567" w:right="567"/>
        <w:jc w:val="both"/>
        <w:rPr>
          <w:rFonts w:ascii="Palatino Linotype" w:eastAsia="MS Mincho" w:hAnsi="Palatino Linotype"/>
          <w:i/>
          <w:color w:val="000000"/>
        </w:rPr>
      </w:pPr>
      <w:r w:rsidRPr="00E47D3E">
        <w:rPr>
          <w:rFonts w:ascii="Palatino Linotype" w:eastAsia="MS Mincho" w:hAnsi="Palatino Linotype"/>
          <w:i/>
          <w:color w:val="000000"/>
        </w:rPr>
        <w:t>(…)”</w:t>
      </w:r>
      <w:r w:rsidR="00E95091" w:rsidRPr="00E47D3E">
        <w:rPr>
          <w:rFonts w:ascii="Palatino Linotype" w:eastAsia="MS Mincho" w:hAnsi="Palatino Linotype"/>
          <w:i/>
          <w:color w:val="000000"/>
        </w:rPr>
        <w:t xml:space="preserve"> </w:t>
      </w:r>
    </w:p>
    <w:p w14:paraId="31C7C0E3" w14:textId="77777777" w:rsidR="00E95091" w:rsidRPr="00E47D3E" w:rsidRDefault="00E95091" w:rsidP="00E95091">
      <w:pPr>
        <w:spacing w:before="240" w:after="240"/>
        <w:ind w:right="567"/>
        <w:jc w:val="both"/>
        <w:rPr>
          <w:rFonts w:ascii="Palatino Linotype" w:eastAsia="MS Mincho" w:hAnsi="Palatino Linotype"/>
          <w:i/>
          <w:color w:val="000000"/>
        </w:rPr>
      </w:pPr>
    </w:p>
    <w:p w14:paraId="5B69A7F1" w14:textId="77777777" w:rsidR="00D262C2" w:rsidRPr="00E47D3E"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E47D3E">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7F5CB0C6" w14:textId="77777777" w:rsidR="00D262C2" w:rsidRPr="00E47D3E" w:rsidRDefault="00D262C2" w:rsidP="00577A5A">
      <w:pPr>
        <w:pStyle w:val="Prrafodelista"/>
        <w:tabs>
          <w:tab w:val="left" w:pos="426"/>
        </w:tabs>
        <w:spacing w:before="240" w:after="240"/>
        <w:ind w:left="0" w:right="49"/>
        <w:jc w:val="both"/>
        <w:rPr>
          <w:rFonts w:ascii="Palatino Linotype" w:eastAsia="MS Mincho" w:hAnsi="Palatino Linotype"/>
          <w:color w:val="000000"/>
        </w:rPr>
      </w:pPr>
    </w:p>
    <w:p w14:paraId="7DF44A05" w14:textId="6C95473D" w:rsidR="00E95091" w:rsidRPr="00E47D3E" w:rsidRDefault="00D262C2" w:rsidP="00E95091">
      <w:pPr>
        <w:pStyle w:val="Sinespaciado"/>
        <w:ind w:left="567" w:right="567"/>
        <w:jc w:val="both"/>
        <w:rPr>
          <w:rFonts w:ascii="Palatino Linotype" w:hAnsi="Palatino Linotype"/>
          <w:i/>
        </w:rPr>
      </w:pPr>
      <w:r w:rsidRPr="00E47D3E">
        <w:rPr>
          <w:rFonts w:ascii="Palatino Linotype" w:hAnsi="Palatino Linotype"/>
          <w:b/>
          <w:i/>
        </w:rPr>
        <w:t>DESISTIMIENTO DEL RECURSO DE REVISIÓN EN AMPARO INDIRECTO. ES INNECESARIO QUE SE RATIFIQUE EL ESCRITO CORRESPONDIENTE, CUANDO SU REQUERIMIENTO SE NOTIFICÓ PERSONALMENTE.</w:t>
      </w:r>
      <w:r w:rsidRPr="00E47D3E">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35DACF12" w14:textId="77777777" w:rsidR="00E95091" w:rsidRPr="00E47D3E" w:rsidRDefault="00E95091" w:rsidP="00E95091">
      <w:pPr>
        <w:pStyle w:val="Sinespaciado"/>
        <w:ind w:right="567"/>
        <w:jc w:val="both"/>
        <w:rPr>
          <w:rFonts w:ascii="Palatino Linotype" w:hAnsi="Palatino Linotype"/>
          <w:i/>
        </w:rPr>
      </w:pPr>
    </w:p>
    <w:p w14:paraId="33886E3A" w14:textId="6050F9B6" w:rsidR="00D262C2" w:rsidRPr="00E47D3E"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E47D3E">
        <w:rPr>
          <w:rFonts w:ascii="Palatino Linotype" w:eastAsia="MS Mincho" w:hAnsi="Palatino Linotype"/>
          <w:color w:val="000000"/>
          <w:sz w:val="24"/>
        </w:rPr>
        <w:t>Por consiguiente, al existir un desistimiento expreso por parte de</w:t>
      </w:r>
      <w:r w:rsidR="00B57611" w:rsidRPr="00E47D3E">
        <w:rPr>
          <w:rFonts w:ascii="Palatino Linotype" w:eastAsia="MS Mincho" w:hAnsi="Palatino Linotype"/>
          <w:color w:val="000000"/>
          <w:sz w:val="24"/>
        </w:rPr>
        <w:t xml:space="preserve"> </w:t>
      </w:r>
      <w:r w:rsidRPr="00E47D3E">
        <w:rPr>
          <w:rFonts w:ascii="Palatino Linotype" w:eastAsia="MS Mincho" w:hAnsi="Palatino Linotype"/>
          <w:color w:val="000000"/>
          <w:sz w:val="24"/>
        </w:rPr>
        <w:t>l</w:t>
      </w:r>
      <w:r w:rsidR="00B57611" w:rsidRPr="00E47D3E">
        <w:rPr>
          <w:rFonts w:ascii="Palatino Linotype" w:eastAsia="MS Mincho" w:hAnsi="Palatino Linotype"/>
          <w:color w:val="000000"/>
          <w:sz w:val="24"/>
        </w:rPr>
        <w:t>a</w:t>
      </w:r>
      <w:r w:rsidRPr="00E47D3E">
        <w:rPr>
          <w:rFonts w:ascii="Palatino Linotype" w:eastAsia="MS Mincho" w:hAnsi="Palatino Linotype"/>
          <w:color w:val="000000"/>
          <w:sz w:val="24"/>
        </w:rPr>
        <w:t xml:space="preserve"> </w:t>
      </w:r>
      <w:r w:rsidRPr="00E47D3E">
        <w:rPr>
          <w:rFonts w:ascii="Palatino Linotype" w:eastAsia="MS Mincho" w:hAnsi="Palatino Linotype"/>
          <w:bCs/>
          <w:color w:val="000000"/>
          <w:sz w:val="24"/>
        </w:rPr>
        <w:t>R</w:t>
      </w:r>
      <w:r w:rsidR="00B315FF" w:rsidRPr="00E47D3E">
        <w:rPr>
          <w:rFonts w:ascii="Palatino Linotype" w:eastAsia="MS Mincho" w:hAnsi="Palatino Linotype"/>
          <w:bCs/>
          <w:color w:val="000000"/>
          <w:sz w:val="24"/>
        </w:rPr>
        <w:t>ecurrente</w:t>
      </w:r>
      <w:r w:rsidRPr="00E47D3E">
        <w:rPr>
          <w:rFonts w:ascii="Palatino Linotype" w:eastAsia="MS Mincho" w:hAnsi="Palatino Linotype"/>
          <w:bCs/>
          <w:color w:val="000000"/>
          <w:sz w:val="24"/>
        </w:rPr>
        <w:t>,</w:t>
      </w:r>
      <w:r w:rsidRPr="00E47D3E">
        <w:rPr>
          <w:rFonts w:ascii="Palatino Linotype" w:eastAsia="MS Mincho" w:hAnsi="Palatino Linotype"/>
          <w:color w:val="000000"/>
          <w:sz w:val="24"/>
        </w:rPr>
        <w:t xml:space="preserve"> este Pleno determina el </w:t>
      </w:r>
      <w:r w:rsidRPr="00E47D3E">
        <w:rPr>
          <w:rFonts w:ascii="Palatino Linotype" w:eastAsia="MS Mincho" w:hAnsi="Palatino Linotype"/>
          <w:b/>
          <w:color w:val="000000"/>
          <w:sz w:val="24"/>
        </w:rPr>
        <w:t>SOBRESEIMIENTO</w:t>
      </w:r>
      <w:r w:rsidRPr="00E47D3E">
        <w:rPr>
          <w:rFonts w:ascii="Palatino Linotype" w:eastAsia="MS Mincho" w:hAnsi="Palatino Linotype"/>
          <w:color w:val="000000"/>
          <w:sz w:val="24"/>
        </w:rPr>
        <w:t xml:space="preserve"> del presente recurso de revisión.</w:t>
      </w:r>
    </w:p>
    <w:p w14:paraId="13F978F8" w14:textId="77777777" w:rsidR="00D262C2" w:rsidRPr="00E47D3E"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1127E7E2" w14:textId="70F83E54" w:rsidR="00712A40" w:rsidRPr="00E47D3E" w:rsidRDefault="00D262C2" w:rsidP="00712A40">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E47D3E">
        <w:rPr>
          <w:rFonts w:ascii="Palatino Linotype" w:eastAsia="MS Mincho" w:hAnsi="Palatino Linotype"/>
          <w:color w:val="000000"/>
          <w:sz w:val="24"/>
        </w:rPr>
        <w:t>Por lo anteriormente expuesto</w:t>
      </w:r>
      <w:r w:rsidR="00FA6533" w:rsidRPr="00E47D3E">
        <w:rPr>
          <w:rFonts w:ascii="Palatino Linotype" w:eastAsia="MS Mincho" w:hAnsi="Palatino Linotype"/>
          <w:color w:val="000000"/>
          <w:sz w:val="24"/>
        </w:rPr>
        <w:t xml:space="preserve"> y fundado</w:t>
      </w:r>
      <w:r w:rsidRPr="00E47D3E">
        <w:rPr>
          <w:rFonts w:ascii="Palatino Linotype" w:eastAsia="MS Mincho" w:hAnsi="Palatino Linotype"/>
          <w:color w:val="000000"/>
          <w:sz w:val="24"/>
        </w:rPr>
        <w:t>, este Órgano Gar</w:t>
      </w:r>
      <w:r w:rsidR="00FA6533" w:rsidRPr="00E47D3E">
        <w:rPr>
          <w:rFonts w:ascii="Palatino Linotype" w:eastAsia="MS Mincho" w:hAnsi="Palatino Linotype"/>
          <w:color w:val="000000"/>
          <w:sz w:val="24"/>
        </w:rPr>
        <w:t xml:space="preserve">ante emite los siguientes: </w:t>
      </w:r>
    </w:p>
    <w:p w14:paraId="753492A8" w14:textId="77777777" w:rsidR="00D262C2" w:rsidRPr="00E47D3E"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E47D3E">
        <w:rPr>
          <w:rFonts w:ascii="Palatino Linotype" w:hAnsi="Palatino Linotype"/>
          <w:b/>
          <w:color w:val="000000" w:themeColor="text1"/>
          <w:sz w:val="24"/>
          <w:szCs w:val="24"/>
        </w:rPr>
        <w:t>R E S O L U T I V O S</w:t>
      </w:r>
      <w:bookmarkEnd w:id="38"/>
      <w:bookmarkEnd w:id="39"/>
      <w:bookmarkEnd w:id="40"/>
      <w:bookmarkEnd w:id="41"/>
      <w:bookmarkEnd w:id="42"/>
    </w:p>
    <w:p w14:paraId="7CEB1ECE" w14:textId="77777777" w:rsidR="00FA6533" w:rsidRPr="00E47D3E" w:rsidRDefault="00FA6533" w:rsidP="00FA6533"/>
    <w:p w14:paraId="6309B4B4" w14:textId="1E28C853" w:rsidR="00D262C2" w:rsidRPr="00E47D3E" w:rsidRDefault="00D262C2" w:rsidP="00D262C2">
      <w:pPr>
        <w:spacing w:after="240" w:line="360" w:lineRule="auto"/>
        <w:jc w:val="both"/>
        <w:rPr>
          <w:rFonts w:ascii="Palatino Linotype" w:hAnsi="Palatino Linotype"/>
        </w:rPr>
      </w:pPr>
      <w:r w:rsidRPr="00E47D3E">
        <w:rPr>
          <w:rFonts w:ascii="Palatino Linotype" w:hAnsi="Palatino Linotype"/>
          <w:b/>
        </w:rPr>
        <w:t>PRIMERO.</w:t>
      </w:r>
      <w:r w:rsidRPr="00E47D3E">
        <w:rPr>
          <w:rFonts w:ascii="Palatino Linotype" w:hAnsi="Palatino Linotype"/>
        </w:rPr>
        <w:t xml:space="preserve"> Se </w:t>
      </w:r>
      <w:r w:rsidRPr="00E47D3E">
        <w:rPr>
          <w:rFonts w:ascii="Palatino Linotype" w:hAnsi="Palatino Linotype"/>
          <w:b/>
        </w:rPr>
        <w:t>SOBRESEE</w:t>
      </w:r>
      <w:r w:rsidRPr="00E47D3E">
        <w:rPr>
          <w:rFonts w:ascii="Palatino Linotype" w:hAnsi="Palatino Linotype"/>
        </w:rPr>
        <w:t xml:space="preserve"> el recurso de revisión número </w:t>
      </w:r>
      <w:r w:rsidR="00B315FF" w:rsidRPr="00E47D3E">
        <w:rPr>
          <w:rFonts w:ascii="Palatino Linotype" w:hAnsi="Palatino Linotype"/>
          <w:b/>
        </w:rPr>
        <w:t>00458</w:t>
      </w:r>
      <w:r w:rsidR="00387DD2" w:rsidRPr="00E47D3E">
        <w:rPr>
          <w:rFonts w:ascii="Palatino Linotype" w:hAnsi="Palatino Linotype"/>
          <w:b/>
        </w:rPr>
        <w:t>/INFOEM/IP/RR/2022</w:t>
      </w:r>
      <w:r w:rsidRPr="00E47D3E">
        <w:rPr>
          <w:rFonts w:ascii="Palatino Linotype" w:hAnsi="Palatino Linotype"/>
        </w:rPr>
        <w:t xml:space="preserve">, </w:t>
      </w:r>
      <w:r w:rsidR="00C111E7" w:rsidRPr="00E47D3E">
        <w:rPr>
          <w:rFonts w:ascii="Palatino Linotype" w:hAnsi="Palatino Linotype"/>
        </w:rPr>
        <w:t xml:space="preserve">con fundamento en el </w:t>
      </w:r>
      <w:r w:rsidR="00C111E7" w:rsidRPr="00E47D3E">
        <w:rPr>
          <w:rFonts w:ascii="Palatino Linotype" w:eastAsia="MS Mincho" w:hAnsi="Palatino Linotype"/>
          <w:color w:val="000000"/>
        </w:rPr>
        <w:t>artículo 192 fracción I de la Ley de Transparencia y Acceso a la Información Pública del Estado de México y Municipios</w:t>
      </w:r>
      <w:r w:rsidR="00C111E7" w:rsidRPr="00E47D3E">
        <w:rPr>
          <w:rFonts w:ascii="Palatino Linotype" w:hAnsi="Palatino Linotype"/>
          <w:b/>
        </w:rPr>
        <w:t xml:space="preserve"> </w:t>
      </w:r>
      <w:r w:rsidRPr="00E47D3E">
        <w:rPr>
          <w:rFonts w:ascii="Palatino Linotype" w:hAnsi="Palatino Linotype"/>
          <w:b/>
        </w:rPr>
        <w:t xml:space="preserve">por haberse desistido expresamente </w:t>
      </w:r>
      <w:r w:rsidR="00B315FF" w:rsidRPr="00E47D3E">
        <w:rPr>
          <w:rFonts w:ascii="Palatino Linotype" w:hAnsi="Palatino Linotype"/>
          <w:b/>
        </w:rPr>
        <w:t>la</w:t>
      </w:r>
      <w:r w:rsidRPr="00E47D3E">
        <w:rPr>
          <w:rFonts w:ascii="Palatino Linotype" w:hAnsi="Palatino Linotype"/>
        </w:rPr>
        <w:t xml:space="preserve"> </w:t>
      </w:r>
      <w:r w:rsidRPr="00E47D3E">
        <w:rPr>
          <w:rFonts w:ascii="Palatino Linotype" w:hAnsi="Palatino Linotype"/>
          <w:b/>
        </w:rPr>
        <w:t>RECURRENTE</w:t>
      </w:r>
      <w:r w:rsidRPr="00E47D3E">
        <w:rPr>
          <w:rFonts w:ascii="Palatino Linotype" w:hAnsi="Palatino Linotype"/>
        </w:rPr>
        <w:t xml:space="preserve">, en términos del </w:t>
      </w:r>
      <w:r w:rsidRPr="00E47D3E">
        <w:rPr>
          <w:rFonts w:ascii="Palatino Linotype" w:hAnsi="Palatino Linotype"/>
          <w:b/>
        </w:rPr>
        <w:t>Considerando TERCERO</w:t>
      </w:r>
      <w:r w:rsidRPr="00E47D3E">
        <w:rPr>
          <w:rFonts w:ascii="Palatino Linotype" w:hAnsi="Palatino Linotype"/>
        </w:rPr>
        <w:t xml:space="preserve"> de la presente resolución.</w:t>
      </w:r>
    </w:p>
    <w:p w14:paraId="06663E94" w14:textId="77777777" w:rsidR="00D262C2" w:rsidRPr="00E47D3E"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E47D3E">
        <w:rPr>
          <w:rFonts w:ascii="Palatino Linotype" w:eastAsia="Calibri" w:hAnsi="Palatino Linotype" w:cs="Arial"/>
          <w:b/>
          <w:bCs/>
          <w:sz w:val="24"/>
          <w:szCs w:val="24"/>
          <w:lang w:val="es-ES"/>
        </w:rPr>
        <w:t xml:space="preserve">SEGUNDO. REMÍTASE </w:t>
      </w:r>
      <w:r w:rsidRPr="00E47D3E">
        <w:rPr>
          <w:rFonts w:ascii="Palatino Linotype" w:eastAsia="Calibri" w:hAnsi="Palatino Linotype" w:cs="Arial"/>
          <w:bCs/>
          <w:sz w:val="24"/>
          <w:szCs w:val="24"/>
          <w:lang w:val="es-ES"/>
        </w:rPr>
        <w:t xml:space="preserve">a través del Sistema de Acceso a la Información Mexiquense </w:t>
      </w:r>
      <w:r w:rsidRPr="00E47D3E">
        <w:rPr>
          <w:rFonts w:ascii="Palatino Linotype" w:eastAsia="Calibri" w:hAnsi="Palatino Linotype" w:cs="Arial"/>
          <w:b/>
          <w:bCs/>
          <w:sz w:val="24"/>
          <w:szCs w:val="24"/>
          <w:lang w:val="es-ES"/>
        </w:rPr>
        <w:t xml:space="preserve">(SAIMEX) </w:t>
      </w:r>
      <w:r w:rsidRPr="00E47D3E">
        <w:rPr>
          <w:rFonts w:ascii="Palatino Linotype" w:eastAsia="Calibri" w:hAnsi="Palatino Linotype" w:cs="Arial"/>
          <w:bCs/>
          <w:sz w:val="24"/>
          <w:szCs w:val="24"/>
          <w:lang w:val="es-ES"/>
        </w:rPr>
        <w:t>la presente resolución al Titular de la Unidad de Transparencia del</w:t>
      </w:r>
      <w:r w:rsidRPr="00E47D3E">
        <w:rPr>
          <w:rFonts w:ascii="Palatino Linotype" w:eastAsia="Calibri" w:hAnsi="Palatino Linotype" w:cs="Arial"/>
          <w:b/>
          <w:bCs/>
          <w:sz w:val="24"/>
          <w:szCs w:val="24"/>
          <w:lang w:val="es-ES"/>
        </w:rPr>
        <w:t xml:space="preserve"> SUJETO OBLIGADO. </w:t>
      </w:r>
    </w:p>
    <w:p w14:paraId="1B7B576F" w14:textId="5BA9EFCE" w:rsidR="00D262C2" w:rsidRPr="00E47D3E"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E47D3E">
        <w:rPr>
          <w:rFonts w:ascii="Palatino Linotype" w:eastAsia="Times New Roman" w:hAnsi="Palatino Linotype" w:cs="Arial"/>
          <w:b/>
          <w:sz w:val="24"/>
          <w:szCs w:val="24"/>
        </w:rPr>
        <w:t xml:space="preserve">TERCERO. </w:t>
      </w:r>
      <w:r w:rsidRPr="00E47D3E">
        <w:rPr>
          <w:rFonts w:ascii="Palatino Linotype" w:eastAsia="Times New Roman" w:hAnsi="Palatino Linotype" w:cs="Times New Roman"/>
          <w:b/>
          <w:bCs/>
          <w:sz w:val="24"/>
          <w:szCs w:val="24"/>
          <w:lang w:val="es-ES"/>
        </w:rPr>
        <w:t xml:space="preserve">Notifíquese </w:t>
      </w:r>
      <w:r w:rsidR="00B315FF" w:rsidRPr="00E47D3E">
        <w:rPr>
          <w:rFonts w:ascii="Palatino Linotype" w:eastAsia="Times New Roman" w:hAnsi="Palatino Linotype" w:cs="Times New Roman"/>
          <w:bCs/>
          <w:color w:val="222222"/>
          <w:sz w:val="24"/>
          <w:szCs w:val="24"/>
          <w:lang w:val="es-ES"/>
        </w:rPr>
        <w:t>la</w:t>
      </w:r>
      <w:r w:rsidRPr="00E47D3E">
        <w:rPr>
          <w:rFonts w:ascii="Palatino Linotype" w:eastAsia="Times New Roman" w:hAnsi="Palatino Linotype" w:cs="Times New Roman"/>
          <w:bCs/>
          <w:color w:val="222222"/>
          <w:sz w:val="24"/>
          <w:szCs w:val="24"/>
          <w:lang w:val="es-ES"/>
        </w:rPr>
        <w:t xml:space="preserve"> </w:t>
      </w:r>
      <w:r w:rsidR="00FA6533" w:rsidRPr="00E47D3E">
        <w:rPr>
          <w:rFonts w:ascii="Palatino Linotype" w:hAnsi="Palatino Linotype"/>
          <w:b/>
          <w:sz w:val="24"/>
          <w:szCs w:val="24"/>
        </w:rPr>
        <w:t>RECURRENTE</w:t>
      </w:r>
      <w:r w:rsidRPr="00E47D3E">
        <w:rPr>
          <w:rFonts w:ascii="Palatino Linotype" w:hAnsi="Palatino Linotype"/>
          <w:b/>
          <w:sz w:val="24"/>
          <w:szCs w:val="24"/>
        </w:rPr>
        <w:t xml:space="preserve"> </w:t>
      </w:r>
      <w:r w:rsidR="001F6479" w:rsidRPr="00E47D3E">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E47D3E">
        <w:rPr>
          <w:rFonts w:ascii="Palatino Linotype" w:eastAsia="Times New Roman" w:hAnsi="Palatino Linotype" w:cs="Times New Roman"/>
          <w:b/>
          <w:color w:val="222222"/>
          <w:sz w:val="24"/>
          <w:szCs w:val="24"/>
          <w:lang w:val="es-ES" w:eastAsia="es-MX"/>
        </w:rPr>
        <w:t>(SAIMEX).</w:t>
      </w:r>
    </w:p>
    <w:p w14:paraId="65D6027B" w14:textId="3612DF34" w:rsidR="00D262C2" w:rsidRPr="00E47D3E" w:rsidRDefault="00D262C2" w:rsidP="00D262C2">
      <w:pPr>
        <w:pStyle w:val="Prrafodelista"/>
        <w:spacing w:after="240" w:line="360" w:lineRule="auto"/>
        <w:ind w:left="0"/>
        <w:jc w:val="both"/>
        <w:rPr>
          <w:rFonts w:ascii="Palatino Linotype" w:eastAsia="MS Mincho" w:hAnsi="Palatino Linotype"/>
          <w:sz w:val="24"/>
          <w:lang w:val="es-ES"/>
        </w:rPr>
      </w:pPr>
      <w:r w:rsidRPr="00E47D3E">
        <w:rPr>
          <w:rFonts w:ascii="Palatino Linotype" w:eastAsia="MS Mincho" w:hAnsi="Palatino Linotype"/>
          <w:b/>
          <w:sz w:val="24"/>
        </w:rPr>
        <w:t>CUARTO.</w:t>
      </w:r>
      <w:r w:rsidRPr="00E47D3E">
        <w:rPr>
          <w:rFonts w:ascii="Palatino Linotype" w:eastAsia="MS Mincho" w:hAnsi="Palatino Linotype"/>
          <w:sz w:val="24"/>
        </w:rPr>
        <w:t xml:space="preserve"> </w:t>
      </w:r>
      <w:r w:rsidRPr="00E47D3E">
        <w:rPr>
          <w:rFonts w:ascii="Palatino Linotype" w:eastAsia="MS Mincho" w:hAnsi="Palatino Linotype"/>
          <w:sz w:val="24"/>
          <w:lang w:val="es-ES"/>
        </w:rPr>
        <w:t>Se hace del conocimiento de</w:t>
      </w:r>
      <w:r w:rsidR="00B315FF" w:rsidRPr="00E47D3E">
        <w:rPr>
          <w:rFonts w:ascii="Palatino Linotype" w:eastAsia="MS Mincho" w:hAnsi="Palatino Linotype"/>
          <w:sz w:val="24"/>
          <w:lang w:val="es-ES"/>
        </w:rPr>
        <w:t xml:space="preserve"> </w:t>
      </w:r>
      <w:r w:rsidR="00FA6533" w:rsidRPr="00E47D3E">
        <w:rPr>
          <w:rFonts w:ascii="Palatino Linotype" w:eastAsia="MS Mincho" w:hAnsi="Palatino Linotype"/>
          <w:sz w:val="24"/>
          <w:lang w:val="es-ES"/>
        </w:rPr>
        <w:t>l</w:t>
      </w:r>
      <w:r w:rsidR="00B315FF" w:rsidRPr="00E47D3E">
        <w:rPr>
          <w:rFonts w:ascii="Palatino Linotype" w:eastAsia="MS Mincho" w:hAnsi="Palatino Linotype"/>
          <w:sz w:val="24"/>
          <w:lang w:val="es-ES"/>
        </w:rPr>
        <w:t>a</w:t>
      </w:r>
      <w:r w:rsidRPr="00E47D3E">
        <w:rPr>
          <w:rFonts w:ascii="Palatino Linotype" w:eastAsia="MS Mincho" w:hAnsi="Palatino Linotype"/>
          <w:sz w:val="24"/>
          <w:lang w:val="es-ES"/>
        </w:rPr>
        <w:t xml:space="preserve"> </w:t>
      </w:r>
      <w:r w:rsidR="00FA6533" w:rsidRPr="00E47D3E">
        <w:rPr>
          <w:rFonts w:ascii="Palatino Linotype" w:hAnsi="Palatino Linotype"/>
          <w:b/>
          <w:sz w:val="24"/>
        </w:rPr>
        <w:t>RECURRENTE</w:t>
      </w:r>
      <w:r w:rsidRPr="00E47D3E">
        <w:rPr>
          <w:rFonts w:ascii="Palatino Linotype" w:hAnsi="Palatino Linotype"/>
          <w:b/>
          <w:sz w:val="24"/>
        </w:rPr>
        <w:t xml:space="preserve"> </w:t>
      </w:r>
      <w:r w:rsidRPr="00E47D3E">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47D3E">
        <w:rPr>
          <w:rFonts w:ascii="Palatino Linotype" w:eastAsia="MS Mincho" w:hAnsi="Palatino Linotype"/>
          <w:bCs/>
          <w:sz w:val="24"/>
          <w:lang w:val="es-ES"/>
        </w:rPr>
        <w:t xml:space="preserve">vía juicio de amparo </w:t>
      </w:r>
      <w:r w:rsidRPr="00E47D3E">
        <w:rPr>
          <w:rFonts w:ascii="Palatino Linotype" w:eastAsia="MS Mincho" w:hAnsi="Palatino Linotype"/>
          <w:sz w:val="24"/>
          <w:lang w:val="es-ES"/>
        </w:rPr>
        <w:t>en los términos de las leyes aplicables.</w:t>
      </w:r>
    </w:p>
    <w:p w14:paraId="5E2A1B9F" w14:textId="77777777" w:rsidR="00D262C2" w:rsidRPr="00E47D3E" w:rsidRDefault="00D262C2" w:rsidP="00D262C2">
      <w:pPr>
        <w:pStyle w:val="Prrafodelista"/>
        <w:spacing w:line="360" w:lineRule="auto"/>
        <w:ind w:left="0"/>
        <w:jc w:val="both"/>
        <w:rPr>
          <w:rFonts w:ascii="Palatino Linotype" w:hAnsi="Palatino Linotype"/>
          <w:color w:val="000000" w:themeColor="text1"/>
        </w:rPr>
      </w:pPr>
    </w:p>
    <w:p w14:paraId="39CC9BF6" w14:textId="77777777" w:rsidR="00AB53ED" w:rsidRDefault="00AB53ED" w:rsidP="00AB53ED">
      <w:pPr>
        <w:spacing w:before="240" w:after="240" w:line="360" w:lineRule="auto"/>
        <w:jc w:val="both"/>
        <w:rPr>
          <w:rFonts w:ascii="Palatino Linotype" w:hAnsi="Palatino Linotype"/>
        </w:rPr>
      </w:pPr>
      <w:r w:rsidRPr="00E47D3E">
        <w:rPr>
          <w:rFonts w:ascii="Palatino Linotype" w:hAnsi="Palatino Linotype"/>
        </w:rPr>
        <w:t xml:space="preserve">ASÍ LO RESUELVE, POR UNANIMIDAD DE VOTOS, EL PLENO DEL INSTITUTO DE TRANSPARENCIA, ACCESO A LA INFORMACIÓN PÚBLICA Y PROTECCIÓN </w:t>
      </w:r>
      <w:r w:rsidRPr="00E47D3E">
        <w:rPr>
          <w:rFonts w:ascii="Palatino Linotype" w:hAnsi="Palatino Linotype"/>
        </w:rPr>
        <w:lastRenderedPageBreak/>
        <w:t>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43" w:name="_GoBack"/>
      <w:bookmarkEnd w:id="43"/>
      <w:r w:rsidRPr="00624AAD">
        <w:rPr>
          <w:rFonts w:ascii="Palatino Linotype" w:hAnsi="Palatino Linotype"/>
        </w:rPr>
        <w:t xml:space="preserve"> </w:t>
      </w:r>
    </w:p>
    <w:p w14:paraId="27BF9B14" w14:textId="77777777" w:rsidR="00FA6533" w:rsidRDefault="00FA6533" w:rsidP="00D262C2"/>
    <w:p w14:paraId="7CAD05A2" w14:textId="77777777" w:rsidR="00FA6533" w:rsidRDefault="00FA6533" w:rsidP="00D262C2"/>
    <w:p w14:paraId="14BE20F9" w14:textId="77777777" w:rsidR="00FA6533" w:rsidRDefault="00FA6533" w:rsidP="00D262C2"/>
    <w:p w14:paraId="5D03B384" w14:textId="77777777" w:rsidR="00FA6533" w:rsidRDefault="00FA6533" w:rsidP="00D262C2"/>
    <w:p w14:paraId="720ABE98" w14:textId="77777777" w:rsidR="00FA6533" w:rsidRDefault="00FA6533" w:rsidP="00D262C2"/>
    <w:p w14:paraId="213EBFC9" w14:textId="77777777" w:rsidR="00FA6533" w:rsidRDefault="00FA6533" w:rsidP="00D262C2"/>
    <w:p w14:paraId="7F505184" w14:textId="77777777" w:rsidR="00FA6533" w:rsidRDefault="00FA6533" w:rsidP="00D262C2"/>
    <w:p w14:paraId="47542A71" w14:textId="77777777" w:rsidR="00FA6533" w:rsidRDefault="00FA6533" w:rsidP="00D262C2"/>
    <w:p w14:paraId="02ED03B3" w14:textId="77777777" w:rsidR="00FA6533" w:rsidRDefault="00FA6533" w:rsidP="00D262C2"/>
    <w:p w14:paraId="59B3AAEA" w14:textId="77777777" w:rsidR="00FA6533" w:rsidRDefault="00FA6533" w:rsidP="00D262C2"/>
    <w:p w14:paraId="5CB0B863" w14:textId="77777777" w:rsidR="00FA6533" w:rsidRDefault="00FA6533" w:rsidP="00D262C2"/>
    <w:p w14:paraId="029E9598" w14:textId="77777777" w:rsidR="00FA6533" w:rsidRDefault="00FA6533" w:rsidP="00D262C2"/>
    <w:p w14:paraId="18DDA3B7" w14:textId="77777777" w:rsidR="00FA6533" w:rsidRDefault="00FA6533" w:rsidP="00D262C2"/>
    <w:p w14:paraId="09DE5F81" w14:textId="77777777" w:rsidR="00FA6533" w:rsidRDefault="00FA6533" w:rsidP="00D262C2"/>
    <w:p w14:paraId="33028EF0" w14:textId="77777777" w:rsidR="00FA6533" w:rsidRDefault="00FA6533" w:rsidP="00D262C2"/>
    <w:p w14:paraId="04325413" w14:textId="77777777" w:rsidR="00FA6533" w:rsidRDefault="00FA6533" w:rsidP="00D262C2"/>
    <w:p w14:paraId="19D009F0" w14:textId="77777777" w:rsidR="00FA6533" w:rsidRDefault="00FA6533" w:rsidP="00D262C2"/>
    <w:p w14:paraId="5D19F608" w14:textId="77777777" w:rsidR="00FA6533" w:rsidRDefault="00FA6533" w:rsidP="00D262C2"/>
    <w:p w14:paraId="48007370" w14:textId="77777777" w:rsidR="00FA6533" w:rsidRDefault="00FA6533" w:rsidP="00D262C2"/>
    <w:p w14:paraId="5459640E" w14:textId="77777777" w:rsidR="00FA6533" w:rsidRDefault="00FA6533" w:rsidP="00D262C2"/>
    <w:p w14:paraId="04605B29" w14:textId="19018D02" w:rsidR="00FA6533" w:rsidRDefault="00FA6533" w:rsidP="00D262C2"/>
    <w:p w14:paraId="6B8B4351" w14:textId="58A2601A" w:rsidR="00577A5A" w:rsidRDefault="00577A5A" w:rsidP="00D262C2"/>
    <w:p w14:paraId="684DB204" w14:textId="77777777" w:rsidR="00577A5A" w:rsidRDefault="00577A5A" w:rsidP="00D262C2"/>
    <w:p w14:paraId="7F95E0D9" w14:textId="77777777" w:rsidR="00FA6533" w:rsidRDefault="00FA6533" w:rsidP="00D262C2"/>
    <w:p w14:paraId="33DFE470" w14:textId="77777777" w:rsidR="00FA6533" w:rsidRPr="00D262C2" w:rsidRDefault="00FA6533" w:rsidP="00D262C2"/>
    <w:sectPr w:rsidR="00FA6533" w:rsidRPr="00D262C2" w:rsidSect="00BB456B">
      <w:headerReference w:type="even" r:id="rId17"/>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5D9DA" w14:textId="77777777" w:rsidR="0078469A" w:rsidRDefault="0078469A" w:rsidP="00D262C2">
      <w:r>
        <w:separator/>
      </w:r>
    </w:p>
  </w:endnote>
  <w:endnote w:type="continuationSeparator" w:id="0">
    <w:p w14:paraId="65C84051" w14:textId="77777777" w:rsidR="0078469A" w:rsidRDefault="0078469A"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F84E"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E47D3E">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47D3E">
      <w:rPr>
        <w:b/>
        <w:bCs/>
        <w:noProof/>
      </w:rPr>
      <w:t>14</w:t>
    </w:r>
    <w:r>
      <w:rPr>
        <w:b/>
        <w:bCs/>
      </w:rPr>
      <w:fldChar w:fldCharType="end"/>
    </w:r>
  </w:p>
  <w:p w14:paraId="17618EB2" w14:textId="77777777" w:rsidR="00BB456B" w:rsidRDefault="00BB4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EEE7"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E47D3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47D3E">
      <w:rPr>
        <w:b/>
        <w:bCs/>
        <w:noProof/>
      </w:rPr>
      <w:t>14</w:t>
    </w:r>
    <w:r>
      <w:rPr>
        <w:b/>
        <w:bCs/>
      </w:rPr>
      <w:fldChar w:fldCharType="end"/>
    </w:r>
  </w:p>
  <w:p w14:paraId="09FCC526" w14:textId="77777777" w:rsidR="00BB456B" w:rsidRDefault="00BB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DCC2F" w14:textId="77777777" w:rsidR="0078469A" w:rsidRDefault="0078469A" w:rsidP="00D262C2">
      <w:r>
        <w:separator/>
      </w:r>
    </w:p>
  </w:footnote>
  <w:footnote w:type="continuationSeparator" w:id="0">
    <w:p w14:paraId="17D39B20" w14:textId="77777777" w:rsidR="0078469A" w:rsidRDefault="0078469A" w:rsidP="00D2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E9EA" w14:textId="77777777" w:rsidR="00BB456B" w:rsidRDefault="0078469A">
    <w:pPr>
      <w:pStyle w:val="Encabezado"/>
    </w:pPr>
    <w:r>
      <w:rPr>
        <w:noProof/>
      </w:rPr>
      <w:pict w14:anchorId="3531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14:paraId="45B1AC77" w14:textId="77777777" w:rsidTr="00BB456B">
      <w:trPr>
        <w:trHeight w:val="1435"/>
      </w:trPr>
      <w:tc>
        <w:tcPr>
          <w:tcW w:w="2268" w:type="dxa"/>
          <w:shd w:val="clear" w:color="auto" w:fill="auto"/>
        </w:tcPr>
        <w:p w14:paraId="00A7C613"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3F667E20" w14:textId="77777777" w:rsidR="00BB456B" w:rsidRDefault="00BB456B" w:rsidP="00BB456B"/>
        <w:tbl>
          <w:tblPr>
            <w:tblW w:w="6662" w:type="dxa"/>
            <w:tblInd w:w="40" w:type="dxa"/>
            <w:tblLayout w:type="fixed"/>
            <w:tblLook w:val="0420" w:firstRow="1" w:lastRow="0" w:firstColumn="0" w:lastColumn="0" w:noHBand="0" w:noVBand="1"/>
          </w:tblPr>
          <w:tblGrid>
            <w:gridCol w:w="3254"/>
            <w:gridCol w:w="3408"/>
          </w:tblGrid>
          <w:tr w:rsidR="00BB456B" w14:paraId="335BDDD9" w14:textId="77777777" w:rsidTr="00F83CD8">
            <w:trPr>
              <w:trHeight w:val="150"/>
            </w:trPr>
            <w:tc>
              <w:tcPr>
                <w:tcW w:w="3254" w:type="dxa"/>
                <w:shd w:val="clear" w:color="auto" w:fill="auto"/>
              </w:tcPr>
              <w:p w14:paraId="5A016672"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408" w:type="dxa"/>
                <w:shd w:val="clear" w:color="auto" w:fill="auto"/>
              </w:tcPr>
              <w:p w14:paraId="02C3FA09" w14:textId="568CD0DA" w:rsidR="00BB456B" w:rsidRPr="00020E73" w:rsidRDefault="00BF36FE" w:rsidP="00BF36FE">
                <w:pPr>
                  <w:tabs>
                    <w:tab w:val="right" w:pos="8838"/>
                  </w:tabs>
                  <w:ind w:left="-108" w:right="-102"/>
                  <w:jc w:val="right"/>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00458</w:t>
                </w:r>
                <w:r w:rsidR="005F45F7">
                  <w:rPr>
                    <w:rFonts w:ascii="Palatino Linotype" w:eastAsia="Calibri" w:hAnsi="Palatino Linotype" w:cs="Tahoma"/>
                    <w:bCs/>
                    <w:sz w:val="22"/>
                    <w:szCs w:val="22"/>
                    <w:lang w:eastAsia="en-US"/>
                  </w:rPr>
                  <w:t>/INFOEM/IP/RR/2022</w:t>
                </w:r>
              </w:p>
            </w:tc>
          </w:tr>
          <w:tr w:rsidR="00BB456B" w14:paraId="04498333" w14:textId="77777777" w:rsidTr="00F83CD8">
            <w:trPr>
              <w:trHeight w:val="295"/>
            </w:trPr>
            <w:tc>
              <w:tcPr>
                <w:tcW w:w="3254" w:type="dxa"/>
                <w:shd w:val="clear" w:color="auto" w:fill="auto"/>
              </w:tcPr>
              <w:p w14:paraId="665A989C"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408" w:type="dxa"/>
                <w:shd w:val="clear" w:color="auto" w:fill="auto"/>
              </w:tcPr>
              <w:p w14:paraId="3C9D9427" w14:textId="70C2E82B" w:rsidR="00BB456B" w:rsidRPr="00020E73" w:rsidRDefault="00BF36FE" w:rsidP="00BF36FE">
                <w:pPr>
                  <w:tabs>
                    <w:tab w:val="left" w:pos="2834"/>
                    <w:tab w:val="right" w:pos="8838"/>
                  </w:tabs>
                  <w:ind w:right="-102"/>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Toluca</w:t>
                </w:r>
              </w:p>
            </w:tc>
          </w:tr>
          <w:tr w:rsidR="00BB456B" w14:paraId="6FEB3D53" w14:textId="77777777" w:rsidTr="00F83CD8">
            <w:trPr>
              <w:trHeight w:val="295"/>
            </w:trPr>
            <w:tc>
              <w:tcPr>
                <w:tcW w:w="3254" w:type="dxa"/>
                <w:shd w:val="clear" w:color="auto" w:fill="auto"/>
              </w:tcPr>
              <w:p w14:paraId="133AE5A4"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408" w:type="dxa"/>
                <w:shd w:val="clear" w:color="auto" w:fill="auto"/>
              </w:tcPr>
              <w:p w14:paraId="55887B33" w14:textId="77777777" w:rsidR="00BB456B" w:rsidRPr="00020E73" w:rsidRDefault="00BB456B" w:rsidP="00BF36FE">
                <w:pPr>
                  <w:tabs>
                    <w:tab w:val="right" w:pos="8838"/>
                  </w:tabs>
                  <w:ind w:left="-108" w:right="171"/>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2E9C8546"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4C32297F" w14:textId="77777777" w:rsidR="00BB456B" w:rsidRPr="00443C6B" w:rsidRDefault="0078469A" w:rsidP="00BB456B">
    <w:pPr>
      <w:pStyle w:val="Encabezado"/>
      <w:rPr>
        <w:sz w:val="14"/>
      </w:rPr>
    </w:pPr>
    <w:r>
      <w:rPr>
        <w:noProof/>
        <w:sz w:val="14"/>
      </w:rPr>
      <w:pict w14:anchorId="6E78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14:paraId="749A1EA7" w14:textId="77777777" w:rsidTr="00BB456B">
      <w:trPr>
        <w:trHeight w:val="1435"/>
      </w:trPr>
      <w:tc>
        <w:tcPr>
          <w:tcW w:w="2268" w:type="dxa"/>
          <w:shd w:val="clear" w:color="auto" w:fill="auto"/>
        </w:tcPr>
        <w:p w14:paraId="27478FA3"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3538"/>
            <w:gridCol w:w="3124"/>
            <w:gridCol w:w="4218"/>
          </w:tblGrid>
          <w:tr w:rsidR="00BB456B" w:rsidRPr="00330DA7" w14:paraId="6471265A" w14:textId="77777777" w:rsidTr="00F83CD8">
            <w:trPr>
              <w:trHeight w:val="144"/>
            </w:trPr>
            <w:tc>
              <w:tcPr>
                <w:tcW w:w="3538" w:type="dxa"/>
                <w:shd w:val="clear" w:color="auto" w:fill="auto"/>
              </w:tcPr>
              <w:p w14:paraId="7F5E19C2" w14:textId="77777777" w:rsidR="00BB456B" w:rsidRPr="00020E73" w:rsidRDefault="00BB456B" w:rsidP="00BF36FE">
                <w:pPr>
                  <w:tabs>
                    <w:tab w:val="right" w:pos="8838"/>
                  </w:tabs>
                  <w:ind w:left="-264" w:right="-105" w:firstLine="19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124" w:type="dxa"/>
                <w:shd w:val="clear" w:color="auto" w:fill="auto"/>
              </w:tcPr>
              <w:p w14:paraId="580F147F" w14:textId="1D45A50E" w:rsidR="00BB456B" w:rsidRPr="00020E73" w:rsidRDefault="00BF36FE" w:rsidP="00BF36FE">
                <w:pPr>
                  <w:tabs>
                    <w:tab w:val="right" w:pos="8838"/>
                  </w:tabs>
                  <w:ind w:left="-74" w:right="-105"/>
                  <w:jc w:val="right"/>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00458</w:t>
                </w:r>
                <w:r w:rsidR="005F45F7">
                  <w:rPr>
                    <w:rFonts w:ascii="Palatino Linotype" w:eastAsia="Calibri" w:hAnsi="Palatino Linotype" w:cs="Tahoma"/>
                    <w:sz w:val="22"/>
                    <w:szCs w:val="22"/>
                    <w:lang w:eastAsia="en-US"/>
                  </w:rPr>
                  <w:t>/INFOEM/IP/RR/2022</w:t>
                </w:r>
              </w:p>
            </w:tc>
            <w:tc>
              <w:tcPr>
                <w:tcW w:w="4218" w:type="dxa"/>
              </w:tcPr>
              <w:p w14:paraId="55923110"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E97639B" w14:textId="77777777" w:rsidTr="00F83CD8">
            <w:trPr>
              <w:trHeight w:val="144"/>
            </w:trPr>
            <w:tc>
              <w:tcPr>
                <w:tcW w:w="3538" w:type="dxa"/>
                <w:shd w:val="clear" w:color="auto" w:fill="auto"/>
              </w:tcPr>
              <w:p w14:paraId="63D927FB"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124" w:type="dxa"/>
                <w:shd w:val="clear" w:color="auto" w:fill="auto"/>
              </w:tcPr>
              <w:p w14:paraId="1CDFA77F" w14:textId="642BCD9A" w:rsidR="00BB456B" w:rsidRPr="00020E73" w:rsidRDefault="00E47D3E" w:rsidP="00BF36FE">
                <w:pPr>
                  <w:tabs>
                    <w:tab w:val="left" w:pos="3122"/>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 XXXX XXXXX</w:t>
                </w:r>
              </w:p>
            </w:tc>
            <w:tc>
              <w:tcPr>
                <w:tcW w:w="4218" w:type="dxa"/>
              </w:tcPr>
              <w:p w14:paraId="4B296869"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3F57861B" w14:textId="77777777" w:rsidTr="00F83CD8">
            <w:trPr>
              <w:trHeight w:val="283"/>
            </w:trPr>
            <w:tc>
              <w:tcPr>
                <w:tcW w:w="3538" w:type="dxa"/>
                <w:shd w:val="clear" w:color="auto" w:fill="auto"/>
              </w:tcPr>
              <w:p w14:paraId="60D4F485"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124" w:type="dxa"/>
                <w:shd w:val="clear" w:color="auto" w:fill="auto"/>
              </w:tcPr>
              <w:p w14:paraId="64B56988" w14:textId="0CD9D575" w:rsidR="00BB456B" w:rsidRPr="009E7B0A" w:rsidRDefault="00BF36FE" w:rsidP="00BF36FE">
                <w:pPr>
                  <w:tabs>
                    <w:tab w:val="left" w:pos="2834"/>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Toluca</w:t>
                </w:r>
              </w:p>
            </w:tc>
            <w:tc>
              <w:tcPr>
                <w:tcW w:w="4218" w:type="dxa"/>
              </w:tcPr>
              <w:p w14:paraId="1E9E70BB"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265CD2BF" w14:textId="77777777" w:rsidTr="00F83CD8">
            <w:trPr>
              <w:trHeight w:val="283"/>
            </w:trPr>
            <w:tc>
              <w:tcPr>
                <w:tcW w:w="3538" w:type="dxa"/>
                <w:shd w:val="clear" w:color="auto" w:fill="auto"/>
              </w:tcPr>
              <w:p w14:paraId="1BC0A149"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124" w:type="dxa"/>
                <w:shd w:val="clear" w:color="auto" w:fill="auto"/>
              </w:tcPr>
              <w:p w14:paraId="47F84170"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19F35050"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520DC061"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5796EF91" w14:textId="77777777" w:rsidR="00BB456B" w:rsidRPr="00827FA0" w:rsidRDefault="0078469A" w:rsidP="00BB456B">
    <w:pPr>
      <w:pStyle w:val="Encabezado"/>
      <w:rPr>
        <w:sz w:val="2"/>
        <w:szCs w:val="22"/>
      </w:rPr>
    </w:pPr>
    <w:r>
      <w:rPr>
        <w:noProof/>
        <w:sz w:val="2"/>
        <w:szCs w:val="22"/>
      </w:rPr>
      <w:pict w14:anchorId="40DE7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5A3C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D3DAA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25061"/>
    <w:multiLevelType w:val="hybridMultilevel"/>
    <w:tmpl w:val="BA641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7D2599"/>
    <w:multiLevelType w:val="hybridMultilevel"/>
    <w:tmpl w:val="20EE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B94EDB"/>
    <w:multiLevelType w:val="hybridMultilevel"/>
    <w:tmpl w:val="FCBEB39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010608F"/>
    <w:multiLevelType w:val="hybridMultilevel"/>
    <w:tmpl w:val="12CC5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69BC26E4"/>
    <w:multiLevelType w:val="multilevel"/>
    <w:tmpl w:val="430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077F5"/>
    <w:multiLevelType w:val="hybridMultilevel"/>
    <w:tmpl w:val="A4EE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5"/>
  </w:num>
  <w:num w:numId="3">
    <w:abstractNumId w:val="9"/>
  </w:num>
  <w:num w:numId="4">
    <w:abstractNumId w:val="18"/>
  </w:num>
  <w:num w:numId="5">
    <w:abstractNumId w:val="13"/>
  </w:num>
  <w:num w:numId="6">
    <w:abstractNumId w:val="17"/>
  </w:num>
  <w:num w:numId="7">
    <w:abstractNumId w:val="7"/>
  </w:num>
  <w:num w:numId="8">
    <w:abstractNumId w:val="6"/>
  </w:num>
  <w:num w:numId="9">
    <w:abstractNumId w:val="10"/>
  </w:num>
  <w:num w:numId="10">
    <w:abstractNumId w:val="12"/>
  </w:num>
  <w:num w:numId="11">
    <w:abstractNumId w:val="4"/>
  </w:num>
  <w:num w:numId="12">
    <w:abstractNumId w:val="15"/>
  </w:num>
  <w:num w:numId="13">
    <w:abstractNumId w:val="8"/>
  </w:num>
  <w:num w:numId="14">
    <w:abstractNumId w:val="16"/>
  </w:num>
  <w:num w:numId="15">
    <w:abstractNumId w:val="1"/>
  </w:num>
  <w:num w:numId="16">
    <w:abstractNumId w:val="0"/>
  </w:num>
  <w:num w:numId="17">
    <w:abstractNumId w:val="3"/>
  </w:num>
  <w:num w:numId="18">
    <w:abstractNumId w:val="2"/>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C2"/>
    <w:rsid w:val="000027D6"/>
    <w:rsid w:val="0002693A"/>
    <w:rsid w:val="00067992"/>
    <w:rsid w:val="0009677C"/>
    <w:rsid w:val="000C77B0"/>
    <w:rsid w:val="000F7407"/>
    <w:rsid w:val="00123E3C"/>
    <w:rsid w:val="001A6EAB"/>
    <w:rsid w:val="001C55F3"/>
    <w:rsid w:val="001E6AD4"/>
    <w:rsid w:val="001F6479"/>
    <w:rsid w:val="002A2D7B"/>
    <w:rsid w:val="002B01A1"/>
    <w:rsid w:val="002C7D83"/>
    <w:rsid w:val="00335000"/>
    <w:rsid w:val="00340B0D"/>
    <w:rsid w:val="00385055"/>
    <w:rsid w:val="00387DD2"/>
    <w:rsid w:val="0041112A"/>
    <w:rsid w:val="00450649"/>
    <w:rsid w:val="00461C0A"/>
    <w:rsid w:val="004A0FA1"/>
    <w:rsid w:val="004C7EF4"/>
    <w:rsid w:val="004D3E46"/>
    <w:rsid w:val="004F5B11"/>
    <w:rsid w:val="005004FF"/>
    <w:rsid w:val="005156AA"/>
    <w:rsid w:val="005313FB"/>
    <w:rsid w:val="00576026"/>
    <w:rsid w:val="00577A5A"/>
    <w:rsid w:val="005C109E"/>
    <w:rsid w:val="005F45F7"/>
    <w:rsid w:val="006D21B6"/>
    <w:rsid w:val="006E42A6"/>
    <w:rsid w:val="00712A40"/>
    <w:rsid w:val="00737830"/>
    <w:rsid w:val="00746A1A"/>
    <w:rsid w:val="0078469A"/>
    <w:rsid w:val="00826C6C"/>
    <w:rsid w:val="00844B62"/>
    <w:rsid w:val="00897AD3"/>
    <w:rsid w:val="008A657A"/>
    <w:rsid w:val="008D7D0D"/>
    <w:rsid w:val="008E30E8"/>
    <w:rsid w:val="008F30AD"/>
    <w:rsid w:val="00914A15"/>
    <w:rsid w:val="00994ACC"/>
    <w:rsid w:val="009963C6"/>
    <w:rsid w:val="00A03080"/>
    <w:rsid w:val="00A068B7"/>
    <w:rsid w:val="00A3119D"/>
    <w:rsid w:val="00A47DE0"/>
    <w:rsid w:val="00A840AB"/>
    <w:rsid w:val="00AB53ED"/>
    <w:rsid w:val="00AD153C"/>
    <w:rsid w:val="00AE26A4"/>
    <w:rsid w:val="00B00358"/>
    <w:rsid w:val="00B315FF"/>
    <w:rsid w:val="00B4318F"/>
    <w:rsid w:val="00B5242E"/>
    <w:rsid w:val="00B55BE4"/>
    <w:rsid w:val="00B57611"/>
    <w:rsid w:val="00BB456B"/>
    <w:rsid w:val="00BF36FE"/>
    <w:rsid w:val="00C00F5A"/>
    <w:rsid w:val="00C054FF"/>
    <w:rsid w:val="00C111E7"/>
    <w:rsid w:val="00C164BC"/>
    <w:rsid w:val="00CA4101"/>
    <w:rsid w:val="00CC0337"/>
    <w:rsid w:val="00CE5940"/>
    <w:rsid w:val="00D262C2"/>
    <w:rsid w:val="00D35E86"/>
    <w:rsid w:val="00D36816"/>
    <w:rsid w:val="00D51ED8"/>
    <w:rsid w:val="00D52A99"/>
    <w:rsid w:val="00D9126C"/>
    <w:rsid w:val="00DA55B8"/>
    <w:rsid w:val="00DB1ED4"/>
    <w:rsid w:val="00DE2AA8"/>
    <w:rsid w:val="00DF11B4"/>
    <w:rsid w:val="00DF3EEA"/>
    <w:rsid w:val="00E07D34"/>
    <w:rsid w:val="00E33D40"/>
    <w:rsid w:val="00E47D3E"/>
    <w:rsid w:val="00E62564"/>
    <w:rsid w:val="00E86044"/>
    <w:rsid w:val="00E95091"/>
    <w:rsid w:val="00EC3CB7"/>
    <w:rsid w:val="00ED53F1"/>
    <w:rsid w:val="00F44700"/>
    <w:rsid w:val="00F70D85"/>
    <w:rsid w:val="00F83CD8"/>
    <w:rsid w:val="00F84E06"/>
    <w:rsid w:val="00F95C94"/>
    <w:rsid w:val="00FA6533"/>
    <w:rsid w:val="00FB10D7"/>
    <w:rsid w:val="00FD3F5F"/>
    <w:rsid w:val="00FE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5D447"/>
  <w15:chartTrackingRefBased/>
  <w15:docId w15:val="{350E2736-2F59-42F0-A873-06609174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A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26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C109E"/>
    <w:pPr>
      <w:autoSpaceDE w:val="0"/>
      <w:autoSpaceDN w:val="0"/>
      <w:adjustRightInd w:val="0"/>
      <w:spacing w:after="0" w:line="240" w:lineRule="auto"/>
    </w:pPr>
    <w:rPr>
      <w:rFonts w:ascii="Calibri Light" w:hAnsi="Calibri Light" w:cs="Calibri Light"/>
      <w:color w:val="000000"/>
      <w:sz w:val="24"/>
      <w:szCs w:val="24"/>
    </w:rPr>
  </w:style>
  <w:style w:type="paragraph" w:styleId="Textodeglobo">
    <w:name w:val="Balloon Text"/>
    <w:basedOn w:val="Normal"/>
    <w:link w:val="TextodegloboCar"/>
    <w:uiPriority w:val="99"/>
    <w:semiHidden/>
    <w:unhideWhenUsed/>
    <w:rsid w:val="00531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13FB"/>
    <w:rPr>
      <w:rFonts w:ascii="Lucida Grande" w:eastAsia="Times New Roman" w:hAnsi="Lucida Grande" w:cs="Lucida Grande"/>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1501">
      <w:bodyDiv w:val="1"/>
      <w:marLeft w:val="0"/>
      <w:marRight w:val="0"/>
      <w:marTop w:val="0"/>
      <w:marBottom w:val="0"/>
      <w:divBdr>
        <w:top w:val="none" w:sz="0" w:space="0" w:color="auto"/>
        <w:left w:val="none" w:sz="0" w:space="0" w:color="auto"/>
        <w:bottom w:val="none" w:sz="0" w:space="0" w:color="auto"/>
        <w:right w:val="none" w:sz="0" w:space="0" w:color="auto"/>
      </w:divBdr>
    </w:div>
    <w:div w:id="215433711">
      <w:bodyDiv w:val="1"/>
      <w:marLeft w:val="0"/>
      <w:marRight w:val="0"/>
      <w:marTop w:val="0"/>
      <w:marBottom w:val="0"/>
      <w:divBdr>
        <w:top w:val="none" w:sz="0" w:space="0" w:color="auto"/>
        <w:left w:val="none" w:sz="0" w:space="0" w:color="auto"/>
        <w:bottom w:val="none" w:sz="0" w:space="0" w:color="auto"/>
        <w:right w:val="none" w:sz="0" w:space="0" w:color="auto"/>
      </w:divBdr>
    </w:div>
    <w:div w:id="287276475">
      <w:bodyDiv w:val="1"/>
      <w:marLeft w:val="0"/>
      <w:marRight w:val="0"/>
      <w:marTop w:val="0"/>
      <w:marBottom w:val="0"/>
      <w:divBdr>
        <w:top w:val="none" w:sz="0" w:space="0" w:color="auto"/>
        <w:left w:val="none" w:sz="0" w:space="0" w:color="auto"/>
        <w:bottom w:val="none" w:sz="0" w:space="0" w:color="auto"/>
        <w:right w:val="none" w:sz="0" w:space="0" w:color="auto"/>
      </w:divBdr>
    </w:div>
    <w:div w:id="417947370">
      <w:bodyDiv w:val="1"/>
      <w:marLeft w:val="0"/>
      <w:marRight w:val="0"/>
      <w:marTop w:val="0"/>
      <w:marBottom w:val="0"/>
      <w:divBdr>
        <w:top w:val="none" w:sz="0" w:space="0" w:color="auto"/>
        <w:left w:val="none" w:sz="0" w:space="0" w:color="auto"/>
        <w:bottom w:val="none" w:sz="0" w:space="0" w:color="auto"/>
        <w:right w:val="none" w:sz="0" w:space="0" w:color="auto"/>
      </w:divBdr>
    </w:div>
    <w:div w:id="423108445">
      <w:bodyDiv w:val="1"/>
      <w:marLeft w:val="0"/>
      <w:marRight w:val="0"/>
      <w:marTop w:val="0"/>
      <w:marBottom w:val="0"/>
      <w:divBdr>
        <w:top w:val="none" w:sz="0" w:space="0" w:color="auto"/>
        <w:left w:val="none" w:sz="0" w:space="0" w:color="auto"/>
        <w:bottom w:val="none" w:sz="0" w:space="0" w:color="auto"/>
        <w:right w:val="none" w:sz="0" w:space="0" w:color="auto"/>
      </w:divBdr>
    </w:div>
    <w:div w:id="424763406">
      <w:bodyDiv w:val="1"/>
      <w:marLeft w:val="0"/>
      <w:marRight w:val="0"/>
      <w:marTop w:val="0"/>
      <w:marBottom w:val="0"/>
      <w:divBdr>
        <w:top w:val="none" w:sz="0" w:space="0" w:color="auto"/>
        <w:left w:val="none" w:sz="0" w:space="0" w:color="auto"/>
        <w:bottom w:val="none" w:sz="0" w:space="0" w:color="auto"/>
        <w:right w:val="none" w:sz="0" w:space="0" w:color="auto"/>
      </w:divBdr>
    </w:div>
    <w:div w:id="449279355">
      <w:bodyDiv w:val="1"/>
      <w:marLeft w:val="0"/>
      <w:marRight w:val="0"/>
      <w:marTop w:val="0"/>
      <w:marBottom w:val="0"/>
      <w:divBdr>
        <w:top w:val="none" w:sz="0" w:space="0" w:color="auto"/>
        <w:left w:val="none" w:sz="0" w:space="0" w:color="auto"/>
        <w:bottom w:val="none" w:sz="0" w:space="0" w:color="auto"/>
        <w:right w:val="none" w:sz="0" w:space="0" w:color="auto"/>
      </w:divBdr>
    </w:div>
    <w:div w:id="741876056">
      <w:bodyDiv w:val="1"/>
      <w:marLeft w:val="0"/>
      <w:marRight w:val="0"/>
      <w:marTop w:val="0"/>
      <w:marBottom w:val="0"/>
      <w:divBdr>
        <w:top w:val="none" w:sz="0" w:space="0" w:color="auto"/>
        <w:left w:val="none" w:sz="0" w:space="0" w:color="auto"/>
        <w:bottom w:val="none" w:sz="0" w:space="0" w:color="auto"/>
        <w:right w:val="none" w:sz="0" w:space="0" w:color="auto"/>
      </w:divBdr>
    </w:div>
    <w:div w:id="781922786">
      <w:bodyDiv w:val="1"/>
      <w:marLeft w:val="0"/>
      <w:marRight w:val="0"/>
      <w:marTop w:val="0"/>
      <w:marBottom w:val="0"/>
      <w:divBdr>
        <w:top w:val="none" w:sz="0" w:space="0" w:color="auto"/>
        <w:left w:val="none" w:sz="0" w:space="0" w:color="auto"/>
        <w:bottom w:val="none" w:sz="0" w:space="0" w:color="auto"/>
        <w:right w:val="none" w:sz="0" w:space="0" w:color="auto"/>
      </w:divBdr>
    </w:div>
    <w:div w:id="918247618">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413695829">
      <w:bodyDiv w:val="1"/>
      <w:marLeft w:val="0"/>
      <w:marRight w:val="0"/>
      <w:marTop w:val="0"/>
      <w:marBottom w:val="0"/>
      <w:divBdr>
        <w:top w:val="none" w:sz="0" w:space="0" w:color="auto"/>
        <w:left w:val="none" w:sz="0" w:space="0" w:color="auto"/>
        <w:bottom w:val="none" w:sz="0" w:space="0" w:color="auto"/>
        <w:right w:val="none" w:sz="0" w:space="0" w:color="auto"/>
      </w:divBdr>
    </w:div>
    <w:div w:id="1568955609">
      <w:bodyDiv w:val="1"/>
      <w:marLeft w:val="0"/>
      <w:marRight w:val="0"/>
      <w:marTop w:val="0"/>
      <w:marBottom w:val="0"/>
      <w:divBdr>
        <w:top w:val="none" w:sz="0" w:space="0" w:color="auto"/>
        <w:left w:val="none" w:sz="0" w:space="0" w:color="auto"/>
        <w:bottom w:val="none" w:sz="0" w:space="0" w:color="auto"/>
        <w:right w:val="none" w:sz="0" w:space="0" w:color="auto"/>
      </w:divBdr>
    </w:div>
    <w:div w:id="1612781111">
      <w:bodyDiv w:val="1"/>
      <w:marLeft w:val="0"/>
      <w:marRight w:val="0"/>
      <w:marTop w:val="0"/>
      <w:marBottom w:val="0"/>
      <w:divBdr>
        <w:top w:val="none" w:sz="0" w:space="0" w:color="auto"/>
        <w:left w:val="none" w:sz="0" w:space="0" w:color="auto"/>
        <w:bottom w:val="none" w:sz="0" w:space="0" w:color="auto"/>
        <w:right w:val="none" w:sz="0" w:space="0" w:color="auto"/>
      </w:divBdr>
    </w:div>
    <w:div w:id="2004233116">
      <w:bodyDiv w:val="1"/>
      <w:marLeft w:val="0"/>
      <w:marRight w:val="0"/>
      <w:marTop w:val="0"/>
      <w:marBottom w:val="0"/>
      <w:divBdr>
        <w:top w:val="none" w:sz="0" w:space="0" w:color="auto"/>
        <w:left w:val="none" w:sz="0" w:space="0" w:color="auto"/>
        <w:bottom w:val="none" w:sz="0" w:space="0" w:color="auto"/>
        <w:right w:val="none" w:sz="0" w:space="0" w:color="auto"/>
      </w:divBdr>
    </w:div>
    <w:div w:id="2069986964">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 w:id="21419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17993.page" TargetMode="External"/><Relationship Id="rId13" Type="http://schemas.openxmlformats.org/officeDocument/2006/relationships/hyperlink" Target="https://saimex.org.mx/saimex/solicitud/downloadAttach/1335743.pag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saimex.org.mx/saimex/solicitud/downloadAttach/1335742.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335744.page" TargetMode="External"/><Relationship Id="rId5" Type="http://schemas.openxmlformats.org/officeDocument/2006/relationships/footnotes" Target="footnotes.xml"/><Relationship Id="rId15" Type="http://schemas.openxmlformats.org/officeDocument/2006/relationships/hyperlink" Target="https://saimex.org.mx/saimex/solicitud/downloadAttach/1335746.page" TargetMode="External"/><Relationship Id="rId23" Type="http://schemas.openxmlformats.org/officeDocument/2006/relationships/theme" Target="theme/theme1.xml"/><Relationship Id="rId10" Type="http://schemas.openxmlformats.org/officeDocument/2006/relationships/hyperlink" Target="https://saimex.org.mx/saimex/solicitud/downloadAttach/1318484.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1318483.page" TargetMode="External"/><Relationship Id="rId14" Type="http://schemas.openxmlformats.org/officeDocument/2006/relationships/hyperlink" Target="https://saimex.org.mx/saimex/solicitud/downloadAttach/1335745.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3187</Words>
  <Characters>17533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2022-10-05T21:51:00Z</dcterms:created>
  <dcterms:modified xsi:type="dcterms:W3CDTF">2022-11-04T20:59:00Z</dcterms:modified>
</cp:coreProperties>
</file>