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6CAD9"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dieciocho de mayo del dos mil veintidós</w:t>
      </w:r>
      <w:r>
        <w:rPr>
          <w:rFonts w:ascii="Palatino Linotype" w:eastAsia="Palatino Linotype" w:hAnsi="Palatino Linotype" w:cs="Palatino Linotype"/>
        </w:rPr>
        <w:t>.</w:t>
      </w:r>
    </w:p>
    <w:p w14:paraId="15E0DA39"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02254/INFOEM/IP/RR/2022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E208C0E" w14:textId="77777777" w:rsidR="00882498" w:rsidRDefault="00DB48F3">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71A9DCA2"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diez de enero de dos mil veintidós, </w:t>
      </w:r>
      <w:r>
        <w:rPr>
          <w:rFonts w:ascii="Palatino Linotype" w:eastAsia="Palatino Linotype" w:hAnsi="Palatino Linotype" w:cs="Palatino Linotype"/>
        </w:rPr>
        <w:t xml:space="preserve">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00311/METEPEC/IP/2022, </w:t>
      </w:r>
      <w:r>
        <w:rPr>
          <w:rFonts w:ascii="Palatino Linotype" w:eastAsia="Palatino Linotype" w:hAnsi="Palatino Linotype" w:cs="Palatino Linotype"/>
        </w:rPr>
        <w:t xml:space="preserve">mediante la cual requirió la información siguiente: </w:t>
      </w:r>
    </w:p>
    <w:p w14:paraId="1C823441" w14:textId="349800AE" w:rsidR="00882498" w:rsidRDefault="00DB48F3">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“Es mi deseo </w:t>
      </w:r>
      <w:r>
        <w:rPr>
          <w:rFonts w:ascii="Palatino Linotype" w:eastAsia="Palatino Linotype" w:hAnsi="Palatino Linotype" w:cs="Palatino Linotype"/>
          <w:b/>
          <w:i/>
          <w:sz w:val="22"/>
          <w:szCs w:val="22"/>
        </w:rPr>
        <w:t xml:space="preserve">saber si el C. </w:t>
      </w:r>
      <w:bookmarkStart w:id="0" w:name="_GoBack"/>
      <w:bookmarkEnd w:id="0"/>
      <w:r w:rsidR="00304CD9">
        <w:rPr>
          <w:rFonts w:ascii="Palatino Linotype" w:eastAsia="Palatino Linotype" w:hAnsi="Palatino Linotype" w:cs="Palatino Linotype"/>
          <w:b/>
          <w:i/>
          <w:sz w:val="22"/>
          <w:szCs w:val="22"/>
        </w:rPr>
        <w:t>XXXXXXX XXXXXX XXXXXX</w:t>
      </w:r>
      <w:r>
        <w:rPr>
          <w:rFonts w:ascii="Palatino Linotype" w:eastAsia="Palatino Linotype" w:hAnsi="Palatino Linotype" w:cs="Palatino Linotype"/>
          <w:b/>
          <w:i/>
          <w:sz w:val="22"/>
          <w:szCs w:val="22"/>
        </w:rPr>
        <w:t xml:space="preserve"> labora en el H. Ayuntamiento de Metepec. De ser afirmativa la respuesta, se requiere su movimiento de alta, salario bruto y neto, área de adscripción, curriculum vitae, tipo de plaza (base/confianza). Igual se solicita todos los contratos celebrados entre el Ayuntamiento y el individuo referido, ya sean de prestación de servicios, honorarios</w:t>
      </w:r>
      <w:r>
        <w:rPr>
          <w:rFonts w:ascii="Palatino Linotype" w:eastAsia="Palatino Linotype" w:hAnsi="Palatino Linotype" w:cs="Palatino Linotype"/>
          <w:i/>
          <w:sz w:val="22"/>
          <w:szCs w:val="22"/>
        </w:rPr>
        <w:t>, etc.” (Sic) (Énfasis añadido)</w:t>
      </w:r>
    </w:p>
    <w:p w14:paraId="4A1B6FC3"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t xml:space="preserve"> </w:t>
      </w:r>
    </w:p>
    <w:p w14:paraId="199B76FD" w14:textId="77777777" w:rsidR="00882498" w:rsidRDefault="00882498">
      <w:pPr>
        <w:spacing w:before="240" w:after="240" w:line="360" w:lineRule="auto"/>
        <w:ind w:right="49"/>
        <w:jc w:val="both"/>
        <w:rPr>
          <w:rFonts w:ascii="Palatino Linotype" w:eastAsia="Palatino Linotype" w:hAnsi="Palatino Linotype" w:cs="Palatino Linotype"/>
          <w:b/>
        </w:rPr>
      </w:pPr>
    </w:p>
    <w:p w14:paraId="7C309801"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2. Prórroga</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Sujeto Obligado notificó la prórroga para atender la solicitud de información, medularmente en los siguientes términos: </w:t>
      </w:r>
    </w:p>
    <w:p w14:paraId="6F44653B" w14:textId="77777777" w:rsidR="00882498" w:rsidRDefault="00DB48F3">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DEC86D7" w14:textId="77777777" w:rsidR="00882498" w:rsidRDefault="00DB48F3">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65FDAA10" w14:textId="77777777" w:rsidR="00882498" w:rsidRDefault="00DB48F3">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4F721E59" w14:textId="77777777" w:rsidR="00882498" w:rsidRDefault="00DB48F3">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680323CE" w14:textId="77777777" w:rsidR="00882498" w:rsidRDefault="00DB48F3">
      <w:pPr>
        <w:spacing w:before="240" w:after="240"/>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5B81901E" w14:textId="77777777" w:rsidR="00882498" w:rsidRDefault="00DB48F3">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Consistente de diecisiete fojas en la que se aprecia el Acta de la Primera Sesión Extraordinaria del Comité de Transparencia, la cual se celebró el veintiuno de enero de dos mil veintidós y tuvo por objeto aprobar la prórroga para atender diversas solicitudes de información, entre ellas, la que recayó al presente recurso de revisión.</w:t>
      </w:r>
    </w:p>
    <w:p w14:paraId="1482B986" w14:textId="77777777" w:rsidR="00882498" w:rsidRDefault="00DB48F3">
      <w:pPr>
        <w:spacing w:before="240" w:after="240" w:line="360" w:lineRule="auto"/>
        <w:ind w:left="567" w:right="851"/>
        <w:jc w:val="both"/>
        <w:rPr>
          <w:rFonts w:ascii="Palatino Linotype" w:eastAsia="Palatino Linotype" w:hAnsi="Palatino Linotype" w:cs="Palatino Linotype"/>
          <w:sz w:val="22"/>
          <w:szCs w:val="22"/>
        </w:rPr>
      </w:pPr>
      <w:r>
        <w:object w:dxaOrig="7410" w:dyaOrig="11445" w14:anchorId="54105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573pt" o:ole="">
            <v:imagedata r:id="rId8" o:title=""/>
          </v:shape>
          <o:OLEObject Type="Embed" ProgID="Paint.Picture.1" ShapeID="_x0000_i1025" DrawAspect="Content" ObjectID="_1716108284" r:id="rId9"/>
        </w:object>
      </w:r>
      <w:r>
        <w:rPr>
          <w:noProof/>
          <w:lang w:val="es-MX"/>
        </w:rPr>
        <w:drawing>
          <wp:inline distT="0" distB="0" distL="0" distR="0" wp14:anchorId="11FDE10E" wp14:editId="53AF8058">
            <wp:extent cx="4800600" cy="603885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800600" cy="6038850"/>
                    </a:xfrm>
                    <a:prstGeom prst="rect">
                      <a:avLst/>
                    </a:prstGeom>
                    <a:ln/>
                  </pic:spPr>
                </pic:pic>
              </a:graphicData>
            </a:graphic>
          </wp:inline>
        </w:drawing>
      </w:r>
      <w:r>
        <w:object w:dxaOrig="8310" w:dyaOrig="10740" w14:anchorId="0EDB9AE5">
          <v:shape id="_x0000_i1026" type="#_x0000_t75" style="width:414.75pt;height:536.25pt" o:ole="">
            <v:imagedata r:id="rId11" o:title=""/>
          </v:shape>
          <o:OLEObject Type="Embed" ProgID="Paint.Picture.1" ShapeID="_x0000_i1026" DrawAspect="Content" ObjectID="_1716108285" r:id="rId12"/>
        </w:object>
      </w:r>
      <w:r>
        <w:rPr>
          <w:noProof/>
          <w:lang w:val="es-MX"/>
        </w:rPr>
        <mc:AlternateContent>
          <mc:Choice Requires="wpg">
            <w:drawing>
              <wp:anchor distT="0" distB="0" distL="114300" distR="114300" simplePos="0" relativeHeight="251658240" behindDoc="0" locked="0" layoutInCell="1" hidden="0" allowOverlap="1" wp14:anchorId="19D1FE63" wp14:editId="2818E279">
                <wp:simplePos x="0" y="0"/>
                <wp:positionH relativeFrom="column">
                  <wp:posOffset>3175000</wp:posOffset>
                </wp:positionH>
                <wp:positionV relativeFrom="paragraph">
                  <wp:posOffset>3352800</wp:posOffset>
                </wp:positionV>
                <wp:extent cx="1152525" cy="161925"/>
                <wp:effectExtent l="0" t="0" r="0" b="0"/>
                <wp:wrapNone/>
                <wp:docPr id="73" name="Rectángulo 73"/>
                <wp:cNvGraphicFramePr/>
                <a:graphic xmlns:a="http://schemas.openxmlformats.org/drawingml/2006/main">
                  <a:graphicData uri="http://schemas.microsoft.com/office/word/2010/wordprocessingShape">
                    <wps:wsp>
                      <wps:cNvSpPr/>
                      <wps:spPr>
                        <a:xfrm>
                          <a:off x="4779263" y="3708563"/>
                          <a:ext cx="1133475" cy="142875"/>
                        </a:xfrm>
                        <a:prstGeom prst="rect">
                          <a:avLst/>
                        </a:prstGeom>
                        <a:noFill/>
                        <a:ln w="19050" cap="flat" cmpd="sng">
                          <a:solidFill>
                            <a:srgbClr val="002060"/>
                          </a:solidFill>
                          <a:prstDash val="solid"/>
                          <a:round/>
                          <a:headEnd type="none" w="sm" len="sm"/>
                          <a:tailEnd type="none" w="sm" len="sm"/>
                        </a:ln>
                      </wps:spPr>
                      <wps:txbx>
                        <w:txbxContent>
                          <w:p w14:paraId="4FA3376C" w14:textId="77777777" w:rsidR="00882498" w:rsidRDefault="0088249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3175000</wp:posOffset>
                </wp:positionH>
                <wp:positionV relativeFrom="paragraph">
                  <wp:posOffset>3352800</wp:posOffset>
                </wp:positionV>
                <wp:extent cx="1152525" cy="161925"/>
                <wp:effectExtent b="0" l="0" r="0" t="0"/>
                <wp:wrapNone/>
                <wp:docPr id="73"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1152525" cy="161925"/>
                        </a:xfrm>
                        <a:prstGeom prst="rect"/>
                        <a:ln/>
                      </pic:spPr>
                    </pic:pic>
                  </a:graphicData>
                </a:graphic>
              </wp:anchor>
            </w:drawing>
          </mc:Fallback>
        </mc:AlternateContent>
      </w:r>
    </w:p>
    <w:p w14:paraId="76140F5C" w14:textId="77777777" w:rsidR="00882498" w:rsidRDefault="00882498">
      <w:pPr>
        <w:spacing w:before="240" w:after="240"/>
        <w:ind w:left="567" w:right="851"/>
        <w:jc w:val="both"/>
        <w:rPr>
          <w:rFonts w:ascii="Palatino Linotype" w:eastAsia="Palatino Linotype" w:hAnsi="Palatino Linotype" w:cs="Palatino Linotype"/>
          <w:sz w:val="22"/>
          <w:szCs w:val="22"/>
        </w:rPr>
      </w:pPr>
    </w:p>
    <w:p w14:paraId="7A9E39C6" w14:textId="77777777" w:rsidR="00882498" w:rsidRDefault="00DB48F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3.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diecisiete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su respuesta a la solicitud de información sustancialmente en los siguientes términos: </w:t>
      </w:r>
    </w:p>
    <w:p w14:paraId="231B5CCA" w14:textId="77777777" w:rsidR="00882498" w:rsidRDefault="00DB48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C36E99" w14:textId="77777777" w:rsidR="00882498" w:rsidRDefault="00DB48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00311/METEPEC/IP/2022,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w:t>
      </w:r>
    </w:p>
    <w:p w14:paraId="4376CCC8" w14:textId="77777777" w:rsidR="00882498" w:rsidRDefault="00DB48F3">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b/>
          <w:i/>
        </w:rPr>
        <w:t>“folio 311 2022.pdf”:</w:t>
      </w:r>
      <w:r>
        <w:rPr>
          <w:rFonts w:ascii="Palatino Linotype" w:eastAsia="Palatino Linotype" w:hAnsi="Palatino Linotype" w:cs="Palatino Linotype"/>
        </w:rPr>
        <w:t xml:space="preserve"> Documento de una foja, consistente en un oficio signado por el Director de Administración, mediante el cual remite su respuesta a la solicitud de información, medularmente en los términos siguientes:</w:t>
      </w:r>
    </w:p>
    <w:p w14:paraId="3F9AEF65" w14:textId="77777777" w:rsidR="00882498" w:rsidRDefault="00DB48F3">
      <w:pPr>
        <w:spacing w:before="240" w:after="240" w:line="360" w:lineRule="auto"/>
        <w:ind w:left="567" w:right="900"/>
        <w:jc w:val="both"/>
        <w:rPr>
          <w:rFonts w:ascii="Palatino Linotype" w:eastAsia="Palatino Linotype" w:hAnsi="Palatino Linotype" w:cs="Palatino Linotype"/>
          <w:color w:val="000000"/>
        </w:rPr>
      </w:pPr>
      <w:r>
        <w:object w:dxaOrig="8580" w:dyaOrig="11115" w14:anchorId="5DB512DF">
          <v:shape id="_x0000_i1027" type="#_x0000_t75" style="width:428.25pt;height:555.75pt" o:ole="">
            <v:imagedata r:id="rId30" o:title=""/>
          </v:shape>
          <o:OLEObject Type="Embed" ProgID="Paint.Picture.1" ShapeID="_x0000_i1027" DrawAspect="Content" ObjectID="_1716108286" r:id="rId31"/>
        </w:object>
      </w:r>
    </w:p>
    <w:p w14:paraId="35DECE42"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3F9B8847" w14:textId="77777777" w:rsidR="00882498" w:rsidRDefault="00DB48F3">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4CC7DE83" w14:textId="77777777" w:rsidR="00882498" w:rsidRDefault="00882498">
      <w:pPr>
        <w:ind w:right="567"/>
        <w:jc w:val="both"/>
        <w:rPr>
          <w:rFonts w:ascii="Palatino Linotype" w:eastAsia="Palatino Linotype" w:hAnsi="Palatino Linotype" w:cs="Palatino Linotype"/>
          <w:i/>
          <w:sz w:val="22"/>
          <w:szCs w:val="22"/>
        </w:rPr>
      </w:pPr>
    </w:p>
    <w:p w14:paraId="2AB035D0" w14:textId="77777777" w:rsidR="00882498" w:rsidRDefault="00DB48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450D2775" w14:textId="77777777" w:rsidR="00882498" w:rsidRDefault="00DB48F3">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24AF8481" w14:textId="77777777" w:rsidR="00882498" w:rsidRDefault="00DB48F3">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w:t>
      </w:r>
      <w:r>
        <w:rPr>
          <w:rFonts w:ascii="Palatino Linotype" w:eastAsia="Palatino Linotype" w:hAnsi="Palatino Linotype" w:cs="Palatino Linotype"/>
          <w:i/>
          <w:sz w:val="22"/>
          <w:szCs w:val="22"/>
        </w:rPr>
        <w:t xml:space="preserve">.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w:t>
      </w:r>
      <w:r>
        <w:rPr>
          <w:rFonts w:ascii="Palatino Linotype" w:eastAsia="Palatino Linotype" w:hAnsi="Palatino Linotype" w:cs="Palatino Linotype"/>
          <w:i/>
          <w:sz w:val="22"/>
          <w:szCs w:val="22"/>
        </w:rPr>
        <w:lastRenderedPageBreak/>
        <w:t>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7C7B09E6" w14:textId="77777777" w:rsidR="00882498" w:rsidRDefault="00882498">
      <w:pPr>
        <w:ind w:right="49"/>
        <w:jc w:val="both"/>
        <w:rPr>
          <w:rFonts w:ascii="Palatino Linotype" w:eastAsia="Palatino Linotype" w:hAnsi="Palatino Linotype" w:cs="Palatino Linotype"/>
          <w:i/>
          <w:sz w:val="22"/>
          <w:szCs w:val="22"/>
        </w:rPr>
      </w:pPr>
    </w:p>
    <w:p w14:paraId="1737AFDF" w14:textId="77777777" w:rsidR="00882498" w:rsidRDefault="00DB48F3">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4E62C678" w14:textId="77777777" w:rsidR="00882498" w:rsidRDefault="00882498">
      <w:pPr>
        <w:widowControl w:val="0"/>
        <w:spacing w:line="360" w:lineRule="auto"/>
        <w:ind w:right="49"/>
        <w:jc w:val="both"/>
        <w:rPr>
          <w:rFonts w:ascii="Palatino Linotype" w:eastAsia="Palatino Linotype" w:hAnsi="Palatino Linotype" w:cs="Palatino Linotype"/>
        </w:rPr>
      </w:pPr>
    </w:p>
    <w:p w14:paraId="3E64B5DF" w14:textId="77777777" w:rsidR="00882498" w:rsidRDefault="00DB48F3">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38A20268" w14:textId="77777777" w:rsidR="00882498" w:rsidRDefault="00882498">
      <w:pPr>
        <w:widowControl w:val="0"/>
        <w:spacing w:line="360" w:lineRule="auto"/>
        <w:ind w:right="49"/>
        <w:jc w:val="both"/>
        <w:rPr>
          <w:rFonts w:ascii="Palatino Linotype" w:eastAsia="Palatino Linotype" w:hAnsi="Palatino Linotype" w:cs="Palatino Linotype"/>
        </w:rPr>
      </w:pPr>
    </w:p>
    <w:p w14:paraId="3A4313D1" w14:textId="77777777" w:rsidR="00882498" w:rsidRDefault="00DB48F3">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w:t>
      </w:r>
      <w:r>
        <w:rPr>
          <w:rFonts w:ascii="Palatino Linotype" w:eastAsia="Palatino Linotype" w:hAnsi="Palatino Linotype" w:cs="Palatino Linotype"/>
        </w:rPr>
        <w:lastRenderedPageBreak/>
        <w:t xml:space="preserve">denominado </w:t>
      </w:r>
      <w:r>
        <w:rPr>
          <w:rFonts w:ascii="Palatino Linotype" w:eastAsia="Palatino Linotype" w:hAnsi="Palatino Linotype" w:cs="Palatino Linotype"/>
          <w:b/>
          <w:i/>
        </w:rPr>
        <w:t>“Informe Solicitud 311-2022.pdf”</w:t>
      </w:r>
      <w:r>
        <w:rPr>
          <w:rFonts w:ascii="Palatino Linotype" w:eastAsia="Palatino Linotype" w:hAnsi="Palatino Linotype" w:cs="Palatino Linotype"/>
        </w:rPr>
        <w:t>, el cual consiste en un documento de doce fojas que medu</w:t>
      </w:r>
      <w:r w:rsidR="00B04271">
        <w:rPr>
          <w:rFonts w:ascii="Palatino Linotype" w:eastAsia="Palatino Linotype" w:hAnsi="Palatino Linotype" w:cs="Palatino Linotype"/>
        </w:rPr>
        <w:t>larmente ratifica la respuesta, e</w:t>
      </w:r>
      <w:r>
        <w:rPr>
          <w:rFonts w:ascii="Palatino Linotype" w:eastAsia="Palatino Linotype" w:hAnsi="Palatino Linotype" w:cs="Palatino Linotype"/>
        </w:rPr>
        <w:t>s de precisar que tras ser analizada esta documentación, se puso a disposición del particular mediante acuerdo emitido por la Comisionada Ponente en fecha doce de mayo de dos mil veintidós.</w:t>
      </w:r>
    </w:p>
    <w:p w14:paraId="3A5C1011" w14:textId="77777777" w:rsidR="00882498" w:rsidRDefault="00DB48F3">
      <w:pPr>
        <w:widowControl w:val="0"/>
        <w:spacing w:line="360" w:lineRule="auto"/>
        <w:ind w:right="49"/>
        <w:jc w:val="both"/>
        <w:rPr>
          <w:rFonts w:ascii="Palatino Linotype" w:eastAsia="Palatino Linotype" w:hAnsi="Palatino Linotype" w:cs="Palatino Linotype"/>
        </w:rPr>
      </w:pPr>
      <w:r>
        <w:object w:dxaOrig="8790" w:dyaOrig="2955" w14:anchorId="06A1E9D4">
          <v:shape id="_x0000_i1028" type="#_x0000_t75" style="width:439.5pt;height:147pt" o:ole="">
            <v:imagedata r:id="rId32" o:title=""/>
          </v:shape>
          <o:OLEObject Type="Embed" ProgID="Paint.Picture.1" ShapeID="_x0000_i1028" DrawAspect="Content" ObjectID="_1716108287" r:id="rId33"/>
        </w:object>
      </w:r>
    </w:p>
    <w:p w14:paraId="78E13F87" w14:textId="77777777" w:rsidR="00882498" w:rsidRDefault="00DB48F3">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cabe señalar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fue omisa en emitir pronunciamientos, ofrecer pruebas o alegatos, por lo que se tiene por precluido su derecho para tal efecto.</w:t>
      </w:r>
    </w:p>
    <w:p w14:paraId="744F18B3"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doce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9737235"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w:t>
      </w:r>
      <w:r>
        <w:rPr>
          <w:rFonts w:ascii="Palatino Linotype" w:eastAsia="Palatino Linotype" w:hAnsi="Palatino Linotype" w:cs="Palatino Linotype"/>
        </w:rPr>
        <w:lastRenderedPageBreak/>
        <w:t xml:space="preserve">Transparencia y Acceso a la Información Pública del Estado de México y Municipios, el día </w:t>
      </w:r>
      <w:r>
        <w:rPr>
          <w:rFonts w:ascii="Palatino Linotype" w:eastAsia="Palatino Linotype" w:hAnsi="Palatino Linotype" w:cs="Palatino Linotype"/>
          <w:b/>
        </w:rPr>
        <w:t>dieciocho</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7CF1135F"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7812596" w14:textId="77777777" w:rsidR="00882498" w:rsidRDefault="00DB48F3">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408BD1EB" w14:textId="77777777" w:rsidR="00882498" w:rsidRDefault="00DB48F3">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F0109D3"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w:t>
      </w:r>
      <w:r>
        <w:rPr>
          <w:rFonts w:ascii="Palatino Linotype" w:eastAsia="Palatino Linotype" w:hAnsi="Palatino Linotype" w:cs="Palatino Linotype"/>
        </w:rPr>
        <w:lastRenderedPageBreak/>
        <w:t xml:space="preserve">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de información el día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mientras que la parte solicitante presentó su recurso de revisión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séptimo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14:paraId="75E2BB3E" w14:textId="77777777" w:rsidR="00DB48F3" w:rsidRDefault="00DB48F3" w:rsidP="00DB48F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6362054" w14:textId="77777777" w:rsidR="00DB48F3" w:rsidRPr="00DB48F3" w:rsidRDefault="00DB48F3" w:rsidP="00DB48F3">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582F216"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rPr>
        <w:lastRenderedPageBreak/>
        <w:t>Municipios, en atención a que fue presentado mediante el formato visible en el SAIMEX.</w:t>
      </w:r>
    </w:p>
    <w:p w14:paraId="7B8DF8FA" w14:textId="77777777" w:rsidR="00882498" w:rsidRDefault="00DB48F3">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rPr>
        <w:t>Recurrente en sus motivos de inconformidad, de acuerdo al artículo 179, fracción I del ordenamiento legal citado, que a la letra dice: </w:t>
      </w:r>
    </w:p>
    <w:p w14:paraId="10957780" w14:textId="77777777" w:rsidR="00882498" w:rsidRDefault="00DB48F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1161389" w14:textId="77777777" w:rsidR="00882498" w:rsidRDefault="00DB48F3">
      <w:pPr>
        <w:spacing w:before="240" w:after="240"/>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 La negativa a la información solicitada;</w:t>
      </w:r>
    </w:p>
    <w:p w14:paraId="56F844C9" w14:textId="77777777" w:rsidR="00882498" w:rsidRDefault="00DB48F3">
      <w:pPr>
        <w:spacing w:before="240" w:after="240"/>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0D73C0F1" w14:textId="77777777" w:rsidR="00882498" w:rsidRDefault="00DB48F3">
      <w:pPr>
        <w:spacing w:before="240" w:after="240"/>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2CBDA2F0"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02208C4F" w14:textId="77777777" w:rsidR="00882498" w:rsidRDefault="00DB48F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Pr>
          <w:rFonts w:ascii="Palatino Linotype" w:eastAsia="Palatino Linotype" w:hAnsi="Palatino Linotype" w:cs="Palatino Linotype"/>
        </w:rPr>
        <w:lastRenderedPageBreak/>
        <w:t>específicamente a nivel Constitucional, tal y como lo prevén los arábigos 1 párrafos primero, segundo y tercero y 6 apartado A fracciones I, II, III, IV, V, VI y VII que a la letra señalan:</w:t>
      </w:r>
    </w:p>
    <w:p w14:paraId="35B3723D" w14:textId="77777777" w:rsidR="00882498" w:rsidRDefault="00DB48F3">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0326933" w14:textId="77777777" w:rsidR="00882498" w:rsidRDefault="00DB48F3">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8FAAE9A" w14:textId="77777777" w:rsidR="00882498" w:rsidRDefault="00DB48F3">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4094B6B" w14:textId="77777777" w:rsidR="00882498" w:rsidRDefault="00DB48F3">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39F4348" w14:textId="77777777" w:rsidR="00882498" w:rsidRDefault="00DB48F3">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2FE4DAED" w14:textId="77777777" w:rsidR="00882498" w:rsidRDefault="00DB48F3">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9AF91A8" w14:textId="77777777" w:rsidR="00882498" w:rsidRDefault="00DB48F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F73D8E2" w14:textId="77777777" w:rsidR="00882498" w:rsidRDefault="00DB48F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w:t>
      </w:r>
      <w:r>
        <w:rPr>
          <w:rFonts w:ascii="Palatino Linotype" w:eastAsia="Palatino Linotype" w:hAnsi="Palatino Linotype" w:cs="Palatino Linotype"/>
          <w:i/>
          <w:sz w:val="22"/>
          <w:szCs w:val="22"/>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5443DE" w14:textId="77777777" w:rsidR="00882498" w:rsidRDefault="00DB48F3">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DBC9FD3" w14:textId="77777777" w:rsidR="00882498" w:rsidRDefault="00DB48F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184C2504" w14:textId="77777777" w:rsidR="00882498" w:rsidRDefault="00DB48F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C34C93E" w14:textId="77777777" w:rsidR="00882498" w:rsidRDefault="00DB48F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019319B" w14:textId="77777777" w:rsidR="00882498" w:rsidRDefault="00DB48F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190D83A" w14:textId="77777777" w:rsidR="00882498" w:rsidRDefault="00DB48F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CC42FDD"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D6D28CB" w14:textId="77777777" w:rsidR="00882498" w:rsidRDefault="00DB48F3">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FC2E916" w14:textId="77777777" w:rsidR="00882498" w:rsidRDefault="00DB48F3">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74B5DA" w14:textId="77777777" w:rsidR="00882498" w:rsidRDefault="00DB48F3">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F714342"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672E3DB9" w14:textId="77777777" w:rsidR="00882498" w:rsidRDefault="00DB48F3">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02E10F" w14:textId="77777777" w:rsidR="00882498" w:rsidRDefault="00DB48F3">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D80EA25" w14:textId="77777777" w:rsidR="00882498" w:rsidRDefault="00DB48F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45A36449" w14:textId="77777777" w:rsidR="00882498" w:rsidRDefault="00DB48F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84B0C01" w14:textId="77777777" w:rsidR="00882498" w:rsidRDefault="00DB48F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621840C7"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w:t>
      </w:r>
      <w:r>
        <w:rPr>
          <w:rFonts w:ascii="Palatino Linotype" w:eastAsia="Palatino Linotype" w:hAnsi="Palatino Linotype" w:cs="Palatino Linotype"/>
          <w:i/>
          <w:sz w:val="22"/>
          <w:szCs w:val="22"/>
        </w:rPr>
        <w:lastRenderedPageBreak/>
        <w:t>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779F7E5" w14:textId="77777777" w:rsidR="00882498" w:rsidRDefault="00DB48F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27F1B7"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70FE68"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w:t>
      </w:r>
      <w:r>
        <w:rPr>
          <w:rFonts w:ascii="Palatino Linotype" w:eastAsia="Palatino Linotype" w:hAnsi="Palatino Linotype" w:cs="Palatino Linotype"/>
        </w:rPr>
        <w:lastRenderedPageBreak/>
        <w:t xml:space="preserve">que, podrán estar en cualquier medio, sea escrito, impreso, sonoro, visual, electrónico, informático u holográfico de conformidad con el artículo 3, fracción XI de la Ley de la materia, el cual señala lo siguiente: </w:t>
      </w:r>
    </w:p>
    <w:p w14:paraId="09DC9841"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EC99921"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047013" w14:textId="77777777" w:rsidR="00882498" w:rsidRDefault="00DB48F3">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104C6C7C"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EA93E2" w14:textId="77777777" w:rsidR="00882498" w:rsidRDefault="00DB48F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8381FD6"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4C2A53AC"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ED8BBCA" w14:textId="77777777" w:rsidR="00882498" w:rsidRDefault="00DB48F3">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2BA8E0BE" w14:textId="77777777" w:rsidR="00882498" w:rsidRDefault="00DB48F3">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08C2A0E2" w14:textId="77777777" w:rsidR="00882498" w:rsidRDefault="00DB48F3">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DA2B8FF"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569FDFA2"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4E533141" w14:textId="77777777" w:rsidR="00882498" w:rsidRDefault="00DB48F3">
      <w:pPr>
        <w:tabs>
          <w:tab w:val="left" w:pos="7513"/>
        </w:tabs>
        <w:ind w:left="567" w:right="851"/>
        <w:jc w:val="both"/>
        <w:rPr>
          <w:rFonts w:ascii="Palatino Linotype" w:eastAsia="Palatino Linotype" w:hAnsi="Palatino Linotype" w:cs="Palatino Linotype"/>
          <w:b/>
        </w:rPr>
      </w:pPr>
      <w:r>
        <w:rPr>
          <w:rFonts w:ascii="Palatino Linotype" w:eastAsia="Palatino Linotype" w:hAnsi="Palatino Linotype" w:cs="Palatino Linotype"/>
          <w:b/>
        </w:rPr>
        <w:t xml:space="preserve">Saber si el C. Rodrigo Chávez Chávez labora en el H. Ayuntamiento de Metepec. </w:t>
      </w:r>
    </w:p>
    <w:p w14:paraId="68955790" w14:textId="77777777" w:rsidR="00882498" w:rsidRDefault="00DB48F3">
      <w:pPr>
        <w:tabs>
          <w:tab w:val="left" w:pos="7513"/>
        </w:tabs>
        <w:spacing w:line="360" w:lineRule="auto"/>
        <w:ind w:left="567" w:right="851"/>
        <w:jc w:val="both"/>
        <w:rPr>
          <w:rFonts w:ascii="Palatino Linotype" w:eastAsia="Palatino Linotype" w:hAnsi="Palatino Linotype" w:cs="Palatino Linotype"/>
          <w:b/>
        </w:rPr>
      </w:pPr>
      <w:r>
        <w:rPr>
          <w:rFonts w:ascii="Palatino Linotype" w:eastAsia="Palatino Linotype" w:hAnsi="Palatino Linotype" w:cs="Palatino Linotype"/>
          <w:b/>
        </w:rPr>
        <w:t>De ser afirmativa la respuesta, se requiere:</w:t>
      </w:r>
    </w:p>
    <w:p w14:paraId="444D1E0E" w14:textId="77777777" w:rsidR="00882498" w:rsidRDefault="00DB48F3">
      <w:pPr>
        <w:numPr>
          <w:ilvl w:val="0"/>
          <w:numId w:val="2"/>
        </w:numPr>
        <w:pBdr>
          <w:top w:val="nil"/>
          <w:left w:val="nil"/>
          <w:bottom w:val="nil"/>
          <w:right w:val="nil"/>
          <w:between w:val="nil"/>
        </w:pBdr>
        <w:tabs>
          <w:tab w:val="left" w:pos="7513"/>
        </w:tabs>
        <w:spacing w:line="360" w:lineRule="auto"/>
        <w:ind w:left="567" w:right="851"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Movimiento de alta</w:t>
      </w:r>
    </w:p>
    <w:p w14:paraId="5D86EAC2" w14:textId="77777777" w:rsidR="00882498" w:rsidRDefault="00DB48F3">
      <w:pPr>
        <w:numPr>
          <w:ilvl w:val="0"/>
          <w:numId w:val="2"/>
        </w:numPr>
        <w:pBdr>
          <w:top w:val="nil"/>
          <w:left w:val="nil"/>
          <w:bottom w:val="nil"/>
          <w:right w:val="nil"/>
          <w:between w:val="nil"/>
        </w:pBdr>
        <w:tabs>
          <w:tab w:val="left" w:pos="7513"/>
        </w:tabs>
        <w:spacing w:line="360" w:lineRule="auto"/>
        <w:ind w:left="567" w:right="851"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Salario bruto y neto</w:t>
      </w:r>
    </w:p>
    <w:p w14:paraId="1BE8EEFE" w14:textId="77777777" w:rsidR="00882498" w:rsidRDefault="00DB48F3">
      <w:pPr>
        <w:numPr>
          <w:ilvl w:val="0"/>
          <w:numId w:val="2"/>
        </w:numPr>
        <w:pBdr>
          <w:top w:val="nil"/>
          <w:left w:val="nil"/>
          <w:bottom w:val="nil"/>
          <w:right w:val="nil"/>
          <w:between w:val="nil"/>
        </w:pBdr>
        <w:tabs>
          <w:tab w:val="left" w:pos="7513"/>
        </w:tabs>
        <w:spacing w:line="360" w:lineRule="auto"/>
        <w:ind w:left="567" w:right="851"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Área de adscripción </w:t>
      </w:r>
    </w:p>
    <w:p w14:paraId="522549EF" w14:textId="77777777" w:rsidR="00882498" w:rsidRDefault="00DB48F3">
      <w:pPr>
        <w:numPr>
          <w:ilvl w:val="0"/>
          <w:numId w:val="2"/>
        </w:numPr>
        <w:pBdr>
          <w:top w:val="nil"/>
          <w:left w:val="nil"/>
          <w:bottom w:val="nil"/>
          <w:right w:val="nil"/>
          <w:between w:val="nil"/>
        </w:pBdr>
        <w:tabs>
          <w:tab w:val="left" w:pos="7513"/>
        </w:tabs>
        <w:spacing w:line="360" w:lineRule="auto"/>
        <w:ind w:left="567" w:right="851"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Curriculum vitae</w:t>
      </w:r>
    </w:p>
    <w:p w14:paraId="7B92307C" w14:textId="77777777" w:rsidR="00882498" w:rsidRDefault="00DB48F3">
      <w:pPr>
        <w:numPr>
          <w:ilvl w:val="0"/>
          <w:numId w:val="2"/>
        </w:numPr>
        <w:pBdr>
          <w:top w:val="nil"/>
          <w:left w:val="nil"/>
          <w:bottom w:val="nil"/>
          <w:right w:val="nil"/>
          <w:between w:val="nil"/>
        </w:pBdr>
        <w:tabs>
          <w:tab w:val="left" w:pos="7513"/>
        </w:tabs>
        <w:spacing w:line="360" w:lineRule="auto"/>
        <w:ind w:left="567" w:right="851"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Tipo de plaza (base/confianza)</w:t>
      </w:r>
    </w:p>
    <w:p w14:paraId="325AFD02" w14:textId="77777777" w:rsidR="00882498" w:rsidRDefault="00DB48F3">
      <w:pPr>
        <w:numPr>
          <w:ilvl w:val="0"/>
          <w:numId w:val="2"/>
        </w:numPr>
        <w:pBdr>
          <w:top w:val="nil"/>
          <w:left w:val="nil"/>
          <w:bottom w:val="nil"/>
          <w:right w:val="nil"/>
          <w:between w:val="nil"/>
        </w:pBdr>
        <w:tabs>
          <w:tab w:val="left" w:pos="7513"/>
        </w:tabs>
        <w:ind w:left="567" w:right="1843"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Todos los contratos celebrados entre el Ayuntamiento y el individuo referido, ya sean de prestación de servicios, honorarios, etc.</w:t>
      </w:r>
    </w:p>
    <w:p w14:paraId="67A90838" w14:textId="77777777" w:rsidR="00882498" w:rsidRDefault="00882498">
      <w:pPr>
        <w:tabs>
          <w:tab w:val="left" w:pos="7513"/>
        </w:tabs>
        <w:spacing w:line="360" w:lineRule="auto"/>
        <w:ind w:right="49"/>
        <w:jc w:val="both"/>
        <w:rPr>
          <w:rFonts w:ascii="Palatino Linotype" w:eastAsia="Palatino Linotype" w:hAnsi="Palatino Linotype" w:cs="Palatino Linotype"/>
        </w:rPr>
      </w:pPr>
    </w:p>
    <w:p w14:paraId="5AAD4C05" w14:textId="77777777" w:rsidR="00882498" w:rsidRDefault="00DB48F3">
      <w:pPr>
        <w:tabs>
          <w:tab w:val="left" w:pos="7513"/>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del Director de Administración que </w:t>
      </w:r>
      <w:r>
        <w:rPr>
          <w:rFonts w:ascii="Palatino Linotype" w:eastAsia="Palatino Linotype" w:hAnsi="Palatino Linotype" w:cs="Palatino Linotype"/>
          <w:b/>
        </w:rPr>
        <w:t xml:space="preserve">habiendo realizado una búsqueda exhaustiva de la información en los archivos de la citada Dirección, no se localizó información relacionada con lo solicitado. </w:t>
      </w:r>
    </w:p>
    <w:p w14:paraId="454A4970" w14:textId="77777777" w:rsidR="00882498" w:rsidRDefault="00DB48F3">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w:t>
      </w:r>
      <w:r>
        <w:rPr>
          <w:rFonts w:ascii="Palatino Linotype" w:eastAsia="Palatino Linotype" w:hAnsi="Palatino Linotype" w:cs="Palatino Linotype"/>
          <w:b/>
          <w:i/>
          <w:u w:val="single"/>
        </w:rPr>
        <w:lastRenderedPageBreak/>
        <w:t xml:space="preserve">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rPr>
        <w:t xml:space="preserve"> (Sic) (Énfasis añadido)</w:t>
      </w:r>
    </w:p>
    <w:p w14:paraId="4DF01D8F"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cual ratificó su respuesta, asimismo se tiene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0FAAE8EB"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2AB63D6A"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a efecto de determinar si la razón asiste al particular, este Instituto procedió a analizar 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lo cual se obtuvo lo siguiente: </w:t>
      </w:r>
    </w:p>
    <w:p w14:paraId="2C5ECE45"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Dirección de Administración, para efecto de que su Servidor Público Habilitado competente, </w:t>
      </w:r>
      <w:r>
        <w:rPr>
          <w:rFonts w:ascii="Palatino Linotype" w:eastAsia="Palatino Linotype" w:hAnsi="Palatino Linotype" w:cs="Palatino Linotype"/>
        </w:rPr>
        <w:t xml:space="preserve">emitiera el pronunciamiento que diera respuesta a la solicitud de información, para mayor referencia resulta importante traer a colación las siguientes capturas de pantalla: </w:t>
      </w:r>
    </w:p>
    <w:p w14:paraId="4C1C00D6" w14:textId="77777777" w:rsidR="00882498" w:rsidRDefault="00DB48F3">
      <w:pPr>
        <w:spacing w:before="240" w:after="240" w:line="360" w:lineRule="auto"/>
        <w:jc w:val="both"/>
        <w:rPr>
          <w:rFonts w:ascii="Palatino Linotype" w:eastAsia="Palatino Linotype" w:hAnsi="Palatino Linotype" w:cs="Palatino Linotype"/>
        </w:rPr>
      </w:pPr>
      <w:r>
        <w:object w:dxaOrig="8775" w:dyaOrig="1665" w14:anchorId="0C942450">
          <v:shape id="_x0000_i1029" type="#_x0000_t75" style="width:438.75pt;height:83.25pt" o:ole="">
            <v:imagedata r:id="rId34" o:title=""/>
          </v:shape>
          <o:OLEObject Type="Embed" ProgID="Paint.Picture.1" ShapeID="_x0000_i1029" DrawAspect="Content" ObjectID="_1716108288" r:id="rId35"/>
        </w:object>
      </w:r>
      <w:r>
        <w:rPr>
          <w:noProof/>
          <w:lang w:val="es-MX"/>
        </w:rPr>
        <mc:AlternateContent>
          <mc:Choice Requires="wpg">
            <w:drawing>
              <wp:anchor distT="0" distB="0" distL="114300" distR="114300" simplePos="0" relativeHeight="251659264" behindDoc="0" locked="0" layoutInCell="1" hidden="0" allowOverlap="1" wp14:anchorId="2A41D0AE" wp14:editId="39EF5EDB">
                <wp:simplePos x="0" y="0"/>
                <wp:positionH relativeFrom="column">
                  <wp:posOffset>962025</wp:posOffset>
                </wp:positionH>
                <wp:positionV relativeFrom="paragraph">
                  <wp:posOffset>38100</wp:posOffset>
                </wp:positionV>
                <wp:extent cx="914400" cy="590550"/>
                <wp:effectExtent l="0" t="0" r="0" b="0"/>
                <wp:wrapNone/>
                <wp:docPr id="72" name="Rectángulo 72"/>
                <wp:cNvGraphicFramePr/>
                <a:graphic xmlns:a="http://schemas.openxmlformats.org/drawingml/2006/main">
                  <a:graphicData uri="http://schemas.microsoft.com/office/word/2010/wordprocessingShape">
                    <wps:wsp>
                      <wps:cNvSpPr/>
                      <wps:spPr>
                        <a:xfrm>
                          <a:off x="4898325" y="3494250"/>
                          <a:ext cx="895350" cy="571500"/>
                        </a:xfrm>
                        <a:prstGeom prst="rect">
                          <a:avLst/>
                        </a:prstGeom>
                        <a:noFill/>
                        <a:ln w="19050" cap="flat" cmpd="sng">
                          <a:solidFill>
                            <a:srgbClr val="002060"/>
                          </a:solidFill>
                          <a:prstDash val="solid"/>
                          <a:round/>
                          <a:headEnd type="none" w="sm" len="sm"/>
                          <a:tailEnd type="none" w="sm" len="sm"/>
                        </a:ln>
                      </wps:spPr>
                      <wps:txbx>
                        <w:txbxContent>
                          <w:p w14:paraId="541D79CA" w14:textId="77777777" w:rsidR="00882498" w:rsidRDefault="0088249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962025</wp:posOffset>
                </wp:positionH>
                <wp:positionV relativeFrom="paragraph">
                  <wp:posOffset>38100</wp:posOffset>
                </wp:positionV>
                <wp:extent cx="914400" cy="590550"/>
                <wp:effectExtent b="0" l="0" r="0" t="0"/>
                <wp:wrapNone/>
                <wp:docPr id="72"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914400" cy="590550"/>
                        </a:xfrm>
                        <a:prstGeom prst="rect"/>
                        <a:ln/>
                      </pic:spPr>
                    </pic:pic>
                  </a:graphicData>
                </a:graphic>
              </wp:anchor>
            </w:drawing>
          </mc:Fallback>
        </mc:AlternateContent>
      </w:r>
    </w:p>
    <w:p w14:paraId="6958EE6D" w14:textId="77777777" w:rsidR="00882498" w:rsidRDefault="00DB48F3">
      <w:pPr>
        <w:spacing w:before="240" w:after="240" w:line="360" w:lineRule="auto"/>
        <w:jc w:val="both"/>
        <w:rPr>
          <w:rFonts w:ascii="Palatino Linotype" w:eastAsia="Palatino Linotype" w:hAnsi="Palatino Linotype" w:cs="Palatino Linotype"/>
        </w:rPr>
      </w:pPr>
      <w:r>
        <w:object w:dxaOrig="7890" w:dyaOrig="4455" w14:anchorId="2F16C184">
          <v:shape id="_x0000_i1030" type="#_x0000_t75" style="width:394.5pt;height:222.75pt" o:ole="">
            <v:imagedata r:id="rId37" o:title=""/>
          </v:shape>
          <o:OLEObject Type="Embed" ProgID="Paint.Picture.1" ShapeID="_x0000_i1030" DrawAspect="Content" ObjectID="_1716108289" r:id="rId38"/>
        </w:object>
      </w:r>
    </w:p>
    <w:p w14:paraId="13BFBFE4" w14:textId="77777777" w:rsidR="00882498" w:rsidRDefault="00DB48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conviene apuntar que la Dirección de Administración es la unidad administrativa competente para atender el requerimiento del particular, en virtud de que los </w:t>
      </w:r>
      <w:r w:rsidRPr="00B04271">
        <w:rPr>
          <w:rFonts w:ascii="Palatino Linotype" w:eastAsia="Palatino Linotype" w:hAnsi="Palatino Linotype" w:cs="Palatino Linotype"/>
        </w:rPr>
        <w:t xml:space="preserve">artículos 3.79, 3.80, 3.81 y 3.82, </w:t>
      </w:r>
      <w:r w:rsidR="00B04271">
        <w:rPr>
          <w:rFonts w:ascii="Palatino Linotype" w:eastAsia="Palatino Linotype" w:hAnsi="Palatino Linotype" w:cs="Palatino Linotype"/>
        </w:rPr>
        <w:t>del Código de Reglamentación Municipal de Metepec, Estado d</w:t>
      </w:r>
      <w:r w:rsidR="00B04271" w:rsidRPr="00B04271">
        <w:rPr>
          <w:rFonts w:ascii="Palatino Linotype" w:eastAsia="Palatino Linotype" w:hAnsi="Palatino Linotype" w:cs="Palatino Linotype"/>
        </w:rPr>
        <w:t xml:space="preserve">e México </w:t>
      </w:r>
      <w:r>
        <w:rPr>
          <w:rFonts w:ascii="Palatino Linotype" w:eastAsia="Palatino Linotype" w:hAnsi="Palatino Linotype" w:cs="Palatino Linotype"/>
        </w:rPr>
        <w:t xml:space="preserve">dotan de facultades para la actualización y resguardo de los expedientes del personal, por ello resulta pertinente traer a colación el contenido de estos preceptos: </w:t>
      </w:r>
    </w:p>
    <w:p w14:paraId="3E313DB5" w14:textId="77777777" w:rsidR="00882498" w:rsidRDefault="00DB48F3">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CAPÍTULO V </w:t>
      </w:r>
    </w:p>
    <w:p w14:paraId="02192538" w14:textId="77777777" w:rsidR="00882498" w:rsidRDefault="00DB48F3">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Dirección de Administración</w:t>
      </w:r>
    </w:p>
    <w:p w14:paraId="19B58E5E" w14:textId="77777777" w:rsidR="00882498" w:rsidRDefault="00DB48F3">
      <w:pPr>
        <w:spacing w:before="240" w:after="240"/>
        <w:ind w:left="567" w:right="851"/>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 xml:space="preserve">Artículo 3.79.- </w:t>
      </w:r>
      <w:r>
        <w:rPr>
          <w:rFonts w:ascii="Palatino Linotype" w:eastAsia="Palatino Linotype" w:hAnsi="Palatino Linotype" w:cs="Palatino Linotype"/>
          <w:b/>
          <w:i/>
          <w:sz w:val="22"/>
          <w:szCs w:val="22"/>
        </w:rPr>
        <w:t>La Dirección de Administración es la encargada de dar soporte</w:t>
      </w:r>
      <w:r>
        <w:rPr>
          <w:rFonts w:ascii="Palatino Linotype" w:eastAsia="Palatino Linotype" w:hAnsi="Palatino Linotype" w:cs="Palatino Linotype"/>
          <w:i/>
          <w:sz w:val="22"/>
          <w:szCs w:val="22"/>
        </w:rPr>
        <w:t xml:space="preserve"> material, técnico, </w:t>
      </w:r>
      <w:r>
        <w:rPr>
          <w:rFonts w:ascii="Palatino Linotype" w:eastAsia="Palatino Linotype" w:hAnsi="Palatino Linotype" w:cs="Palatino Linotype"/>
          <w:b/>
          <w:i/>
          <w:sz w:val="22"/>
          <w:szCs w:val="22"/>
        </w:rPr>
        <w:t>humano</w:t>
      </w:r>
      <w:r>
        <w:rPr>
          <w:rFonts w:ascii="Palatino Linotype" w:eastAsia="Palatino Linotype" w:hAnsi="Palatino Linotype" w:cs="Palatino Linotype"/>
          <w:i/>
          <w:sz w:val="22"/>
          <w:szCs w:val="22"/>
        </w:rPr>
        <w:t xml:space="preserve">, administrativo, organizacional e informático, </w:t>
      </w:r>
      <w:r>
        <w:rPr>
          <w:rFonts w:ascii="Palatino Linotype" w:eastAsia="Palatino Linotype" w:hAnsi="Palatino Linotype" w:cs="Palatino Linotype"/>
          <w:b/>
          <w:i/>
          <w:sz w:val="22"/>
          <w:szCs w:val="22"/>
        </w:rPr>
        <w:t xml:space="preserve">que </w:t>
      </w:r>
      <w:r>
        <w:rPr>
          <w:rFonts w:ascii="Palatino Linotype" w:eastAsia="Palatino Linotype" w:hAnsi="Palatino Linotype" w:cs="Palatino Linotype"/>
          <w:b/>
          <w:i/>
          <w:sz w:val="22"/>
          <w:szCs w:val="22"/>
        </w:rPr>
        <w:lastRenderedPageBreak/>
        <w:t xml:space="preserve">permita a las y los servidores públicos de la Administración Pública Municipal, atender las demandas ciudadanas y cumplir con sus atribuciones, así como para optimizar las funciones de la misma. </w:t>
      </w:r>
    </w:p>
    <w:p w14:paraId="65236864" w14:textId="77777777" w:rsidR="00882498" w:rsidRDefault="00DB48F3">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3.80.- La Dirección de Administración tiene a su cargo las siguientes atribuciones: </w:t>
      </w:r>
    </w:p>
    <w:p w14:paraId="1A68B6AC" w14:textId="77777777" w:rsidR="00882498" w:rsidRDefault="00DB48F3">
      <w:pPr>
        <w:numPr>
          <w:ilvl w:val="0"/>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Coordinar de y dirigir los sistemas de reclutamiento, selección, contratación y desarrollo de personal las diferentes unidades administrativas de la administración pública municipal</w:t>
      </w:r>
      <w:r>
        <w:rPr>
          <w:rFonts w:ascii="Palatino Linotype" w:eastAsia="Palatino Linotype" w:hAnsi="Palatino Linotype" w:cs="Palatino Linotype"/>
          <w:i/>
          <w:color w:val="000000"/>
          <w:sz w:val="22"/>
          <w:szCs w:val="22"/>
        </w:rPr>
        <w:t xml:space="preserve">; </w:t>
      </w:r>
    </w:p>
    <w:p w14:paraId="3E349F01" w14:textId="77777777" w:rsidR="00882498" w:rsidRDefault="00DB48F3">
      <w:pPr>
        <w:pBdr>
          <w:top w:val="nil"/>
          <w:left w:val="nil"/>
          <w:bottom w:val="nil"/>
          <w:right w:val="nil"/>
          <w:between w:val="nil"/>
        </w:pBdr>
        <w:spacing w:before="240" w:after="240" w:line="276" w:lineRule="auto"/>
        <w:ind w:left="56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b/>
          <w:i/>
          <w:sz w:val="22"/>
          <w:szCs w:val="22"/>
        </w:rPr>
        <w:t>Llevar a cabo</w:t>
      </w:r>
      <w:r>
        <w:rPr>
          <w:rFonts w:ascii="Palatino Linotype" w:eastAsia="Palatino Linotype" w:hAnsi="Palatino Linotype" w:cs="Palatino Linotype"/>
          <w:i/>
          <w:sz w:val="22"/>
          <w:szCs w:val="22"/>
        </w:rPr>
        <w:t xml:space="preserve"> las adquisiciones de bienes, arrendamiento de bienes muebles y </w:t>
      </w:r>
      <w:r>
        <w:rPr>
          <w:rFonts w:ascii="Palatino Linotype" w:eastAsia="Palatino Linotype" w:hAnsi="Palatino Linotype" w:cs="Palatino Linotype"/>
          <w:b/>
          <w:i/>
          <w:sz w:val="22"/>
          <w:szCs w:val="22"/>
          <w:u w:val="single"/>
        </w:rPr>
        <w:t>la contratación de servicios que requieran las distintas áreas</w:t>
      </w:r>
      <w:r>
        <w:rPr>
          <w:rFonts w:ascii="Palatino Linotype" w:eastAsia="Palatino Linotype" w:hAnsi="Palatino Linotype" w:cs="Palatino Linotype"/>
          <w:i/>
          <w:sz w:val="22"/>
          <w:szCs w:val="22"/>
        </w:rPr>
        <w:t>, ajustándose en su caso a las decisiones del Comité de Adquisiciones y Servicios y Comité de Arrendamientos, Adquisiciones de Inmuebles y Enajenaciones, vigilando su cumplimiento, en estricto apego a las disposiciones legales de la materia;</w:t>
      </w:r>
    </w:p>
    <w:p w14:paraId="03C4BDE3" w14:textId="77777777" w:rsidR="00882498" w:rsidRDefault="00DB48F3">
      <w:pPr>
        <w:pBdr>
          <w:top w:val="nil"/>
          <w:left w:val="nil"/>
          <w:bottom w:val="nil"/>
          <w:right w:val="nil"/>
          <w:between w:val="nil"/>
        </w:pBdr>
        <w:spacing w:before="240" w:after="240" w:line="276" w:lineRule="auto"/>
        <w:ind w:left="56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rPr>
        <w:t xml:space="preserve">Coordinar la integración del Padrón de Proveedores para identificar de manera ágil la prestación de los servicios </w:t>
      </w:r>
      <w:r>
        <w:rPr>
          <w:rFonts w:ascii="Palatino Linotype" w:eastAsia="Palatino Linotype" w:hAnsi="Palatino Linotype" w:cs="Palatino Linotype"/>
          <w:i/>
          <w:sz w:val="22"/>
          <w:szCs w:val="22"/>
        </w:rPr>
        <w:t>en cuanto a oportunidad, menor impacto ambiental, calidad y precio;</w:t>
      </w:r>
    </w:p>
    <w:p w14:paraId="2DB55CBF" w14:textId="77777777" w:rsidR="00882498" w:rsidRDefault="00DB48F3">
      <w:pPr>
        <w:pBdr>
          <w:top w:val="nil"/>
          <w:left w:val="nil"/>
          <w:bottom w:val="nil"/>
          <w:right w:val="nil"/>
          <w:between w:val="nil"/>
        </w:pBdr>
        <w:spacing w:before="240" w:after="240" w:line="276" w:lineRule="auto"/>
        <w:ind w:left="56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p>
    <w:p w14:paraId="21B3D678" w14:textId="77777777" w:rsidR="00882498" w:rsidRDefault="00DB48F3">
      <w:pPr>
        <w:pBdr>
          <w:top w:val="nil"/>
          <w:left w:val="nil"/>
          <w:bottom w:val="nil"/>
          <w:right w:val="nil"/>
          <w:between w:val="nil"/>
        </w:pBdr>
        <w:spacing w:before="240" w:after="240" w:line="276" w:lineRule="auto"/>
        <w:ind w:left="56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Dirigir las acciones inherentes a la organización y funcionamiento del Comité de Adquisiciones y Servicios y Comité de Arrendamientos, Adquisiciones de Inmuebles y Enajenaciones;</w:t>
      </w:r>
    </w:p>
    <w:p w14:paraId="0B376D39" w14:textId="77777777" w:rsidR="00882498" w:rsidRDefault="00DB48F3">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 Coordinar el resguardo y actualización del archivo de personal salvaguardando la información en términos de las disposiciones legales</w:t>
      </w:r>
      <w:r>
        <w:rPr>
          <w:rFonts w:ascii="Palatino Linotype" w:eastAsia="Palatino Linotype" w:hAnsi="Palatino Linotype" w:cs="Palatino Linotype"/>
          <w:i/>
          <w:color w:val="000000"/>
          <w:sz w:val="22"/>
          <w:szCs w:val="22"/>
        </w:rPr>
        <w:t xml:space="preserve">; </w:t>
      </w:r>
    </w:p>
    <w:p w14:paraId="6865DCF3" w14:textId="77777777" w:rsidR="00882498" w:rsidRDefault="00DB48F3">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Suscribir contratos de adquisiciones de bienes muebles y servicios, conforme a los acuerdos tomados en el Comité de Adquisiciones y Servicios;</w:t>
      </w:r>
    </w:p>
    <w:p w14:paraId="26DA4DCA" w14:textId="77777777" w:rsidR="00882498" w:rsidRDefault="00DB48F3">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Artículo 3.81.- </w:t>
      </w:r>
      <w:r>
        <w:rPr>
          <w:rFonts w:ascii="Palatino Linotype" w:eastAsia="Palatino Linotype" w:hAnsi="Palatino Linotype" w:cs="Palatino Linotype"/>
          <w:b/>
          <w:i/>
          <w:color w:val="000000"/>
          <w:sz w:val="22"/>
          <w:szCs w:val="22"/>
        </w:rPr>
        <w:t>Para el cumplimiento de sus atribuciones y facultades la Dirección de Administración, contará con:</w:t>
      </w:r>
      <w:r>
        <w:rPr>
          <w:rFonts w:ascii="Palatino Linotype" w:eastAsia="Palatino Linotype" w:hAnsi="Palatino Linotype" w:cs="Palatino Linotype"/>
          <w:i/>
          <w:color w:val="000000"/>
          <w:sz w:val="22"/>
          <w:szCs w:val="22"/>
        </w:rPr>
        <w:t xml:space="preserve"> </w:t>
      </w:r>
    </w:p>
    <w:p w14:paraId="1FE70D5C" w14:textId="77777777" w:rsidR="00882498" w:rsidRDefault="00DB48F3">
      <w:pPr>
        <w:spacing w:before="240" w:after="240" w:line="360" w:lineRule="auto"/>
        <w:ind w:right="49"/>
        <w:jc w:val="both"/>
        <w:rPr>
          <w:rFonts w:ascii="Palatino Linotype" w:eastAsia="Palatino Linotype" w:hAnsi="Palatino Linotype" w:cs="Palatino Linotype"/>
        </w:rPr>
      </w:pPr>
      <w:r w:rsidRPr="00B04271">
        <w:rPr>
          <w:rFonts w:ascii="Palatino Linotype" w:eastAsia="Palatino Linotype" w:hAnsi="Palatino Linotype" w:cs="Palatino Linotype"/>
        </w:rPr>
        <w:t>Bajo esta lógica, se tiene que  la respuesta fue vertida por la unidad administrativa competente, ello en virtud de que la Dirección de Administración es la encargada de coordinar y dirigir los sistemas de reclutamiento, selección, contratación y desarrollo de personal de las diferentes unidades administrativas de la Adminis</w:t>
      </w:r>
      <w:r w:rsidR="00B04271" w:rsidRPr="00B04271">
        <w:rPr>
          <w:rFonts w:ascii="Palatino Linotype" w:eastAsia="Palatino Linotype" w:hAnsi="Palatino Linotype" w:cs="Palatino Linotype"/>
        </w:rPr>
        <w:t>tración Pública Municipal, así</w:t>
      </w:r>
      <w:r w:rsidR="00B04271">
        <w:rPr>
          <w:rFonts w:ascii="Palatino Linotype" w:eastAsia="Palatino Linotype" w:hAnsi="Palatino Linotype" w:cs="Palatino Linotype"/>
        </w:rPr>
        <w:t xml:space="preserve"> como encargarse de suscribir contratos para contratar servicios </w:t>
      </w:r>
      <w:r>
        <w:rPr>
          <w:rFonts w:ascii="Palatino Linotype" w:eastAsia="Palatino Linotype" w:hAnsi="Palatino Linotype" w:cs="Palatino Linotype"/>
        </w:rPr>
        <w:t>por lo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7DF84721" w14:textId="77777777" w:rsidR="00882498" w:rsidRDefault="00DB48F3">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Pr>
          <w:rFonts w:ascii="Palatino Linotype" w:eastAsia="Palatino Linotype" w:hAnsi="Palatino Linotype" w:cs="Palatino Linotype"/>
          <w:i/>
          <w:sz w:val="22"/>
          <w:szCs w:val="22"/>
        </w:rPr>
        <w:lastRenderedPageBreak/>
        <w:t>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14:paraId="38CDAC7B"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Determinado lo anterior es pertinente mencionar que de las actuaciones que integran el expediente electrónico, referidas con antelación, este Instituto advierte que al manifestar que</w:t>
      </w:r>
      <w:r>
        <w:t xml:space="preserve"> </w:t>
      </w:r>
      <w:r>
        <w:rPr>
          <w:rFonts w:ascii="Palatino Linotype" w:eastAsia="Palatino Linotype" w:hAnsi="Palatino Linotype" w:cs="Palatino Linotype"/>
        </w:rPr>
        <w:t xml:space="preserve">no se genera la información solicitada en virtud de que se está solicitando la ficha curricular de un servidor público que fue designado por elección popular, no hay manera de dar satisfacción a la información específica requerida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debido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estas circunstancias no resulta exigible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requerirle la entrega de información que no obra en sus archivos.   </w:t>
      </w:r>
    </w:p>
    <w:p w14:paraId="455ECF50"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cabe traer a cuenta lo previsto por el artículo 12, párrafo segundo de la Ley de Transparencia y Acceso a la Información Pública del Estado de México y Municipios que la letra establece:</w:t>
      </w:r>
    </w:p>
    <w:p w14:paraId="614407BA" w14:textId="77777777" w:rsidR="00882498" w:rsidRDefault="00DB48F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 </w:t>
      </w:r>
    </w:p>
    <w:p w14:paraId="09E95858"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7EEDF6A"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interpretado a </w:t>
      </w:r>
      <w:r>
        <w:rPr>
          <w:rFonts w:ascii="Palatino Linotype" w:eastAsia="Palatino Linotype" w:hAnsi="Palatino Linotype" w:cs="Palatino Linotype"/>
          <w:b/>
          <w:i/>
        </w:rPr>
        <w:t>contrario sensu</w:t>
      </w:r>
      <w:r>
        <w:rPr>
          <w:rFonts w:ascii="Palatino Linotype" w:eastAsia="Palatino Linotype" w:hAnsi="Palatino Linotype" w:cs="Palatino Linotype"/>
        </w:rPr>
        <w:t xml:space="preserve">, se actualiza el supuesto de un hecho de naturaleza negativa, el cual no puede acreditarse documentalmente, ya que no puede probarse un hecho negativo por ser lógica y materialmente imposible, discernimiento que encuentra apoyo en la siguiente tesis: </w:t>
      </w:r>
    </w:p>
    <w:p w14:paraId="01FDCF3C"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 xml:space="preserve">. </w:t>
      </w:r>
    </w:p>
    <w:p w14:paraId="0103EF97" w14:textId="77777777" w:rsidR="00882498" w:rsidRDefault="00DB48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Tratándose de un hecho negativo, el Juez no tiene por qué invocar prueba alguna de la que se desprenda, ya que es bien sabido que esta clase de hechos no son susceptibles de demostración.</w:t>
      </w:r>
    </w:p>
    <w:p w14:paraId="0F0B2F94" w14:textId="77777777" w:rsidR="00882498" w:rsidRDefault="00DB48F3">
      <w:pPr>
        <w:spacing w:before="240" w:after="240" w:line="360" w:lineRule="auto"/>
        <w:ind w:left="567" w:right="146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3B2D0253"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48BEEE65" w14:textId="77777777" w:rsidR="00882498" w:rsidRDefault="00DB48F3">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5FCC663E" w14:textId="77777777" w:rsidR="00882498" w:rsidRDefault="00DB48F3">
      <w:pPr>
        <w:widowControl w:val="0"/>
        <w:tabs>
          <w:tab w:val="left" w:pos="1701"/>
          <w:tab w:val="left" w:pos="184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w:t>
      </w:r>
      <w:r>
        <w:rPr>
          <w:rFonts w:ascii="Palatino Linotype" w:eastAsia="Palatino Linotype" w:hAnsi="Palatino Linotype" w:cs="Palatino Linotype"/>
        </w:rPr>
        <w:lastRenderedPageBreak/>
        <w:t xml:space="preserve">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3F7B324A"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74450B95" w14:textId="77777777" w:rsidR="00882498" w:rsidRDefault="00DB48F3">
      <w:pPr>
        <w:numPr>
          <w:ilvl w:val="0"/>
          <w:numId w:val="4"/>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17DA5701" w14:textId="77777777" w:rsidR="00882498" w:rsidRDefault="00DB48F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02254/INFOEM/IP/RR/2022,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2E488F37" w14:textId="77777777" w:rsidR="00882498" w:rsidRDefault="00DB48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al Titular de la Unidad de Transparencia, vía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para su conocimiento.</w:t>
      </w:r>
    </w:p>
    <w:p w14:paraId="30AB0042" w14:textId="77777777" w:rsidR="00882498" w:rsidRDefault="00DB48F3">
      <w:pPr>
        <w:spacing w:before="240" w:after="240" w:line="360" w:lineRule="auto"/>
        <w:jc w:val="both"/>
        <w:rPr>
          <w:rFonts w:ascii="Palatino Linotype" w:eastAsia="Palatino Linotype" w:hAnsi="Palatino Linotype" w:cs="Palatino Linotype"/>
          <w:b/>
          <w:color w:val="FF0000"/>
          <w:highlight w:val="yellow"/>
        </w:rPr>
      </w:pPr>
      <w:bookmarkStart w:id="3" w:name="_heading=h.gjdgxs" w:colFirst="0" w:colLast="0"/>
      <w:bookmarkEnd w:id="3"/>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Sistema de Acceso a la Información Mexiquense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2B359E33" w14:textId="62B59F54" w:rsidR="00882498" w:rsidRDefault="0029370E">
      <w:pPr>
        <w:spacing w:before="240" w:after="240" w:line="360" w:lineRule="auto"/>
        <w:jc w:val="both"/>
        <w:rPr>
          <w:rFonts w:ascii="Palatino Linotype" w:eastAsia="Palatino Linotype" w:hAnsi="Palatino Linotype" w:cs="Palatino Linotype"/>
        </w:rPr>
        <w:sectPr w:rsidR="00882498">
          <w:headerReference w:type="default" r:id="rId39"/>
          <w:footerReference w:type="default" r:id="rId40"/>
          <w:headerReference w:type="first" r:id="rId41"/>
          <w:footerReference w:type="first" r:id="rId42"/>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170AA325" wp14:editId="0E219324">
                <wp:simplePos x="0" y="0"/>
                <wp:positionH relativeFrom="column">
                  <wp:posOffset>81915</wp:posOffset>
                </wp:positionH>
                <wp:positionV relativeFrom="paragraph">
                  <wp:posOffset>2689224</wp:posOffset>
                </wp:positionV>
                <wp:extent cx="5238750" cy="48291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238750" cy="4829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12FFF1"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pt,211.75pt" to="418.9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" strokecolor="black [3040]"/>
            </w:pict>
          </mc:Fallback>
        </mc:AlternateContent>
      </w:r>
      <w:r w:rsidR="00DB48F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2214FD">
        <w:rPr>
          <w:rFonts w:ascii="Palatino Linotype" w:eastAsia="Palatino Linotype" w:hAnsi="Palatino Linotype" w:cs="Palatino Linotype"/>
        </w:rPr>
        <w:t xml:space="preserve">MARÍA DEL ROSARIO MEJÍA AYALA; </w:t>
      </w:r>
      <w:r w:rsidR="00DB48F3">
        <w:rPr>
          <w:rFonts w:ascii="Palatino Linotype" w:eastAsia="Palatino Linotype" w:hAnsi="Palatino Linotype" w:cs="Palatino Linotype"/>
        </w:rPr>
        <w:t>SHARON CRISTINA MORALES MARTÍNEZ, LUIS GUSTAVO PARRA NORIEGA Y GUADALUPE RAMÍREZ PEÑA; EN LA DÉCIMO OCTAVA SESIÓN ORDINARIA CELEBRADA EL DIECIOCHO DE MAYO DEL DOS MIL VEINTIDÓS, ANTE EL SECRETARIO TÉCNICO DEL PLENO, ALEXIS TAPIA RAMÍREZ.</w:t>
      </w:r>
    </w:p>
    <w:p w14:paraId="4302C32C" w14:textId="77777777" w:rsidR="00882498" w:rsidRDefault="0088249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5C06551C" w14:textId="77777777" w:rsidR="00882498" w:rsidRDefault="0088249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79FC031D" w14:textId="77777777" w:rsidR="00882498" w:rsidRDefault="0088249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882498">
      <w:headerReference w:type="first" r:id="rId43"/>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0535C" w14:textId="77777777" w:rsidR="00E66DBA" w:rsidRDefault="00E66DBA">
      <w:r>
        <w:separator/>
      </w:r>
    </w:p>
  </w:endnote>
  <w:endnote w:type="continuationSeparator" w:id="0">
    <w:p w14:paraId="665972C6" w14:textId="77777777" w:rsidR="00E66DBA" w:rsidRDefault="00E6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31D8F" w14:textId="77777777" w:rsidR="00882498" w:rsidRDefault="00DB48F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04CD9">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04CD9">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3691FE6C" w14:textId="77777777" w:rsidR="00882498" w:rsidRDefault="00882498">
    <w:pPr>
      <w:pBdr>
        <w:top w:val="nil"/>
        <w:left w:val="nil"/>
        <w:bottom w:val="nil"/>
        <w:right w:val="nil"/>
        <w:between w:val="nil"/>
      </w:pBdr>
      <w:tabs>
        <w:tab w:val="center" w:pos="4252"/>
        <w:tab w:val="right" w:pos="8504"/>
      </w:tabs>
      <w:rPr>
        <w:color w:val="000000"/>
      </w:rPr>
    </w:pPr>
  </w:p>
  <w:p w14:paraId="19DA384C" w14:textId="77777777" w:rsidR="00882498" w:rsidRDefault="0088249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459AE" w14:textId="77777777" w:rsidR="00882498" w:rsidRDefault="00DB48F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04CD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04CD9">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51D12966" w14:textId="77777777" w:rsidR="00882498" w:rsidRDefault="0088249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84D3E" w14:textId="77777777" w:rsidR="00E66DBA" w:rsidRDefault="00E66DBA">
      <w:r>
        <w:separator/>
      </w:r>
    </w:p>
  </w:footnote>
  <w:footnote w:type="continuationSeparator" w:id="0">
    <w:p w14:paraId="688937D5" w14:textId="77777777" w:rsidR="00E66DBA" w:rsidRDefault="00E66DBA">
      <w:r>
        <w:continuationSeparator/>
      </w:r>
    </w:p>
  </w:footnote>
  <w:footnote w:id="1">
    <w:p w14:paraId="2EE45626" w14:textId="77777777" w:rsidR="00882498" w:rsidRDefault="00DB48F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8C9C4DA" w14:textId="77777777" w:rsidR="00882498" w:rsidRDefault="00DB48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81967" w14:textId="77777777" w:rsidR="00882498" w:rsidRDefault="00DB48F3">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E0318B3" wp14:editId="47D75FC5">
          <wp:simplePos x="0" y="0"/>
          <wp:positionH relativeFrom="column">
            <wp:posOffset>-1080134</wp:posOffset>
          </wp:positionH>
          <wp:positionV relativeFrom="paragraph">
            <wp:posOffset>-347344</wp:posOffset>
          </wp:positionV>
          <wp:extent cx="7635600" cy="9943200"/>
          <wp:effectExtent l="0" t="0" r="0" b="0"/>
          <wp:wrapNone/>
          <wp:docPr id="7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746" w:type="dxa"/>
      <w:tblLayout w:type="fixed"/>
      <w:tblLook w:val="0400" w:firstRow="0" w:lastRow="0" w:firstColumn="0" w:lastColumn="0" w:noHBand="0" w:noVBand="1"/>
    </w:tblPr>
    <w:tblGrid>
      <w:gridCol w:w="2553"/>
      <w:gridCol w:w="3687"/>
    </w:tblGrid>
    <w:tr w:rsidR="00882498" w14:paraId="7FF070BD" w14:textId="77777777">
      <w:tc>
        <w:tcPr>
          <w:tcW w:w="2553" w:type="dxa"/>
          <w:vAlign w:val="center"/>
        </w:tcPr>
        <w:p w14:paraId="73136BE4"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B1F0430"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02254/INFOEM/IP/RR/2022</w:t>
          </w:r>
        </w:p>
      </w:tc>
    </w:tr>
    <w:tr w:rsidR="00882498" w14:paraId="74FF68A6" w14:textId="77777777">
      <w:trPr>
        <w:trHeight w:val="228"/>
      </w:trPr>
      <w:tc>
        <w:tcPr>
          <w:tcW w:w="2553" w:type="dxa"/>
          <w:vAlign w:val="center"/>
        </w:tcPr>
        <w:p w14:paraId="4621F18E"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F3CA7D5" w14:textId="77777777" w:rsidR="00882498" w:rsidRDefault="00DB48F3">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882498" w14:paraId="7FE56815" w14:textId="77777777">
      <w:tc>
        <w:tcPr>
          <w:tcW w:w="2553" w:type="dxa"/>
          <w:vAlign w:val="center"/>
        </w:tcPr>
        <w:p w14:paraId="055E9315"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83D39F7" w14:textId="77777777" w:rsidR="00882498" w:rsidRDefault="00DB48F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D6E60B" w14:textId="77777777" w:rsidR="00882498" w:rsidRDefault="00DB48F3">
    <w:pPr>
      <w:rPr>
        <w:rFonts w:ascii="Cambria" w:eastAsia="Cambria" w:hAnsi="Cambria" w:cs="Cambria"/>
        <w:color w:val="000000"/>
      </w:rPr>
    </w:pPr>
    <w:r>
      <w:rPr>
        <w:rFonts w:ascii="Cambria" w:eastAsia="Cambria" w:hAnsi="Cambria" w:cs="Cambria"/>
        <w:color w:val="000000"/>
      </w:rPr>
      <w:tab/>
    </w:r>
  </w:p>
  <w:p w14:paraId="3543E394" w14:textId="77777777" w:rsidR="00882498" w:rsidRDefault="00882498">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CEB08" w14:textId="77777777" w:rsidR="00882498" w:rsidRDefault="00DB48F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C81F31E" wp14:editId="1058849E">
          <wp:simplePos x="0" y="0"/>
          <wp:positionH relativeFrom="column">
            <wp:posOffset>-888999</wp:posOffset>
          </wp:positionH>
          <wp:positionV relativeFrom="paragraph">
            <wp:posOffset>-190499</wp:posOffset>
          </wp:positionV>
          <wp:extent cx="7635600" cy="9943200"/>
          <wp:effectExtent l="0" t="0" r="0" b="0"/>
          <wp:wrapNone/>
          <wp:docPr id="7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882498" w14:paraId="3703AA0A" w14:textId="77777777">
      <w:tc>
        <w:tcPr>
          <w:tcW w:w="2553" w:type="dxa"/>
          <w:vAlign w:val="center"/>
        </w:tcPr>
        <w:p w14:paraId="0B416155"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63FC208"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02254/INFOEM/IP/RR/2022</w:t>
          </w:r>
        </w:p>
      </w:tc>
    </w:tr>
    <w:tr w:rsidR="00882498" w14:paraId="3F58A4D5" w14:textId="77777777">
      <w:tc>
        <w:tcPr>
          <w:tcW w:w="2553" w:type="dxa"/>
          <w:vAlign w:val="center"/>
        </w:tcPr>
        <w:p w14:paraId="229F0226"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49222E57" w14:textId="77777777" w:rsidR="00882498" w:rsidRDefault="00882498">
          <w:pPr>
            <w:rPr>
              <w:rFonts w:ascii="Palatino Linotype" w:eastAsia="Palatino Linotype" w:hAnsi="Palatino Linotype" w:cs="Palatino Linotype"/>
              <w:b/>
              <w:sz w:val="22"/>
              <w:szCs w:val="22"/>
            </w:rPr>
          </w:pPr>
        </w:p>
      </w:tc>
    </w:tr>
    <w:tr w:rsidR="00882498" w14:paraId="110EE9A6" w14:textId="77777777">
      <w:trPr>
        <w:trHeight w:val="228"/>
      </w:trPr>
      <w:tc>
        <w:tcPr>
          <w:tcW w:w="2553" w:type="dxa"/>
          <w:vAlign w:val="center"/>
        </w:tcPr>
        <w:p w14:paraId="46B8686E"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B8B10C4" w14:textId="77777777" w:rsidR="00882498" w:rsidRDefault="00DB48F3">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882498" w14:paraId="7CB2BBDA" w14:textId="77777777">
      <w:tc>
        <w:tcPr>
          <w:tcW w:w="2553" w:type="dxa"/>
          <w:vAlign w:val="center"/>
        </w:tcPr>
        <w:p w14:paraId="042652DC" w14:textId="77777777" w:rsidR="00882498" w:rsidRDefault="00DB48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D457552" w14:textId="77777777" w:rsidR="00882498" w:rsidRDefault="00DB48F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DD9E11" w14:textId="77777777" w:rsidR="00882498" w:rsidRDefault="00882498">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EC0D" w14:textId="77777777" w:rsidR="00882498" w:rsidRDefault="00DB48F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3A819B25" w14:textId="77777777" w:rsidR="00882498" w:rsidRDefault="0088249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76141"/>
    <w:multiLevelType w:val="multilevel"/>
    <w:tmpl w:val="AD00767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2B632989"/>
    <w:multiLevelType w:val="multilevel"/>
    <w:tmpl w:val="439879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04A498F"/>
    <w:multiLevelType w:val="multilevel"/>
    <w:tmpl w:val="7D0CA97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47AB3360"/>
    <w:multiLevelType w:val="multilevel"/>
    <w:tmpl w:val="673005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498"/>
    <w:rsid w:val="002214FD"/>
    <w:rsid w:val="0029370E"/>
    <w:rsid w:val="00304CD9"/>
    <w:rsid w:val="00882498"/>
    <w:rsid w:val="009134F7"/>
    <w:rsid w:val="00992137"/>
    <w:rsid w:val="00B04271"/>
    <w:rsid w:val="00D11A80"/>
    <w:rsid w:val="00DB48F3"/>
    <w:rsid w:val="00E66D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95A22"/>
  <w15:docId w15:val="{316177C1-8004-4671-86AA-166C12BB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0"/>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header" Target="header1.xml"/><Relationship Id="rId3" Type="http://schemas.openxmlformats.org/officeDocument/2006/relationships/styles" Target="styles.xm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36"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30" Type="http://schemas.openxmlformats.org/officeDocument/2006/relationships/image" Target="media/image4.png"/><Relationship Id="rId35" Type="http://schemas.openxmlformats.org/officeDocument/2006/relationships/oleObject" Target="embeddings/oleObject5.bin"/><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k264fZ+tI3fw9F/6udZaeuc7OA==">AMUW2mVrb/pmEQuUDpNR/fZ3q8ejtC9GSHMgxJjTBW3MDZSTL5Ggiwkq9EQ1lhSbwvIAK1/4W/RRlg2mkpohPXlE1fEb1Eae6r+pZh/k8K1oY185kjVNwjEpNFISIcbNW0PPk2FpA0lxvTzI2zuFEig9JGGn5TiLyA==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6309</Words>
  <Characters>34700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2022-05-22T05:23:00Z</cp:lastPrinted>
  <dcterms:created xsi:type="dcterms:W3CDTF">2022-06-07T16:58:00Z</dcterms:created>
  <dcterms:modified xsi:type="dcterms:W3CDTF">2022-06-07T16:58:00Z</dcterms:modified>
</cp:coreProperties>
</file>