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veinte de abril de dos mil veintidós.</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los expediente relativos a los recursos de revisión </w:t>
      </w:r>
      <w:r>
        <w:rPr>
          <w:rFonts w:ascii="Palatino Linotype" w:eastAsia="Palatino Linotype" w:hAnsi="Palatino Linotype" w:cs="Palatino Linotype"/>
          <w:b/>
          <w:sz w:val="24"/>
          <w:szCs w:val="24"/>
        </w:rPr>
        <w:t xml:space="preserve">00764/INFOEM/IP/RR/2022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00766/INFOEM/IP/RR/2022</w:t>
      </w:r>
      <w:r>
        <w:rPr>
          <w:rFonts w:ascii="Palatino Linotype" w:eastAsia="Palatino Linotype" w:hAnsi="Palatino Linotype" w:cs="Palatino Linotype"/>
          <w:sz w:val="24"/>
          <w:szCs w:val="24"/>
        </w:rPr>
        <w:t>, interpuestos por</w:t>
      </w:r>
      <w:r>
        <w:rPr>
          <w:rFonts w:ascii="Palatino Linotype" w:eastAsia="Palatino Linotype" w:hAnsi="Palatino Linotype" w:cs="Palatino Linotype"/>
          <w:b/>
          <w:color w:val="000000"/>
          <w:sz w:val="24"/>
          <w:szCs w:val="24"/>
        </w:rPr>
        <w:t xml:space="preserve"> </w:t>
      </w:r>
      <w:r w:rsidR="00281B35">
        <w:rPr>
          <w:rFonts w:ascii="Palatino Linotype" w:eastAsia="Palatino Linotype" w:hAnsi="Palatino Linotype" w:cs="Palatino Linotype"/>
          <w:b/>
          <w:color w:val="000000"/>
          <w:sz w:val="24"/>
          <w:szCs w:val="24"/>
        </w:rPr>
        <w:t>XXXX</w:t>
      </w:r>
      <w:r>
        <w:rPr>
          <w:rFonts w:ascii="Palatino Linotype" w:eastAsia="Palatino Linotype" w:hAnsi="Palatino Linotype" w:cs="Palatino Linotype"/>
          <w:b/>
          <w:color w:val="000000"/>
          <w:sz w:val="24"/>
          <w:szCs w:val="24"/>
        </w:rPr>
        <w:t xml:space="preserve"> </w:t>
      </w:r>
      <w:r w:rsidR="00281B35">
        <w:rPr>
          <w:rFonts w:ascii="Palatino Linotype" w:eastAsia="Palatino Linotype" w:hAnsi="Palatino Linotype" w:cs="Palatino Linotype"/>
          <w:b/>
          <w:color w:val="000000"/>
          <w:sz w:val="24"/>
          <w:szCs w:val="24"/>
        </w:rPr>
        <w:t>XXXXX</w:t>
      </w:r>
      <w:r>
        <w:rPr>
          <w:rFonts w:ascii="Palatino Linotype" w:eastAsia="Palatino Linotype" w:hAnsi="Palatino Linotype" w:cs="Palatino Linotype"/>
          <w:b/>
          <w:color w:val="000000"/>
          <w:sz w:val="24"/>
          <w:szCs w:val="24"/>
        </w:rPr>
        <w:t xml:space="preserve"> </w:t>
      </w:r>
      <w:r w:rsidR="00281B35">
        <w:rPr>
          <w:rFonts w:ascii="Palatino Linotype" w:eastAsia="Palatino Linotype" w:hAnsi="Palatino Linotype" w:cs="Palatino Linotype"/>
          <w:b/>
          <w:color w:val="000000"/>
          <w:sz w:val="24"/>
          <w:szCs w:val="24"/>
        </w:rPr>
        <w:t>X</w:t>
      </w:r>
      <w:r>
        <w:rPr>
          <w:rFonts w:ascii="Palatino Linotype" w:eastAsia="Palatino Linotype" w:hAnsi="Palatino Linotype" w:cs="Palatino Linotype"/>
          <w:sz w:val="24"/>
          <w:szCs w:val="24"/>
        </w:rPr>
        <w:t xml:space="preserve">, a la cual en lo sucesivo se le denominara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en contra de la falta de respuesta a las solicitudes de informaci</w:t>
      </w:r>
      <w:r>
        <w:rPr>
          <w:rFonts w:ascii="Palatino Linotype" w:eastAsia="Palatino Linotype" w:hAnsi="Palatino Linotype" w:cs="Palatino Linotype"/>
          <w:sz w:val="24"/>
          <w:szCs w:val="24"/>
        </w:rPr>
        <w:t xml:space="preserve">ón con número de folio </w:t>
      </w:r>
      <w:r>
        <w:rPr>
          <w:rFonts w:ascii="Palatino Linotype" w:eastAsia="Palatino Linotype" w:hAnsi="Palatino Linotype" w:cs="Palatino Linotype"/>
          <w:b/>
          <w:color w:val="0D0D0D"/>
          <w:sz w:val="24"/>
          <w:szCs w:val="24"/>
        </w:rPr>
        <w:t xml:space="preserve">00044/NAUCALPA/IP/2022 </w:t>
      </w:r>
      <w:r>
        <w:rPr>
          <w:rFonts w:ascii="Palatino Linotype" w:eastAsia="Palatino Linotype" w:hAnsi="Palatino Linotype" w:cs="Palatino Linotype"/>
          <w:color w:val="0D0D0D"/>
          <w:sz w:val="24"/>
          <w:szCs w:val="24"/>
        </w:rPr>
        <w:t>y</w:t>
      </w:r>
      <w:r>
        <w:rPr>
          <w:rFonts w:ascii="Palatino Linotype" w:eastAsia="Palatino Linotype" w:hAnsi="Palatino Linotype" w:cs="Palatino Linotype"/>
          <w:b/>
          <w:color w:val="0D0D0D"/>
          <w:sz w:val="24"/>
          <w:szCs w:val="24"/>
        </w:rPr>
        <w:t xml:space="preserve"> 00041/NAUCALPA/IP/2022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w:t>
      </w:r>
      <w:r>
        <w:rPr>
          <w:rFonts w:ascii="Palatino Linotype" w:eastAsia="Palatino Linotype" w:hAnsi="Palatino Linotype" w:cs="Palatino Linotype"/>
          <w:b/>
          <w:sz w:val="24"/>
          <w:szCs w:val="24"/>
        </w:rPr>
        <w:t xml:space="preserve"> Ayuntamiento de Naucalpan de Juárez</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rsidR="00B36041" w:rsidRDefault="00243587">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 T E C E D E N T E S</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w:t>
      </w:r>
      <w:r>
        <w:rPr>
          <w:rFonts w:ascii="Palatino Linotype" w:eastAsia="Palatino Linotype" w:hAnsi="Palatino Linotype" w:cs="Palatino Linotype"/>
          <w:b/>
          <w:sz w:val="24"/>
          <w:szCs w:val="24"/>
        </w:rPr>
        <w:t>E LA SOLICITUD DE INFORMACIÓN.</w:t>
      </w:r>
      <w:r>
        <w:rPr>
          <w:rFonts w:ascii="Palatino Linotype" w:eastAsia="Palatino Linotype" w:hAnsi="Palatino Linotype" w:cs="Palatino Linotype"/>
          <w:sz w:val="24"/>
          <w:szCs w:val="24"/>
        </w:rPr>
        <w:t xml:space="preserve"> Con fecha trece de enero de dos mil veintidós,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solicitudes de acceso a la información pública, registradas b</w:t>
      </w:r>
      <w:r>
        <w:rPr>
          <w:rFonts w:ascii="Palatino Linotype" w:eastAsia="Palatino Linotype" w:hAnsi="Palatino Linotype" w:cs="Palatino Linotype"/>
          <w:sz w:val="24"/>
          <w:szCs w:val="24"/>
        </w:rPr>
        <w:t>ajo los números de expediente</w:t>
      </w:r>
      <w:r>
        <w:rPr>
          <w:rFonts w:ascii="Verdana" w:eastAsia="Verdana" w:hAnsi="Verdana" w:cs="Verdana"/>
          <w:b/>
          <w:color w:val="FF0000"/>
        </w:rPr>
        <w:t> </w:t>
      </w:r>
      <w:r>
        <w:rPr>
          <w:rFonts w:ascii="Palatino Linotype" w:eastAsia="Palatino Linotype" w:hAnsi="Palatino Linotype" w:cs="Palatino Linotype"/>
          <w:b/>
          <w:color w:val="0D0D0D"/>
          <w:sz w:val="24"/>
          <w:szCs w:val="24"/>
        </w:rPr>
        <w:t xml:space="preserve">00044/NAUCALPA/IP/2022 </w:t>
      </w:r>
      <w:r>
        <w:rPr>
          <w:rFonts w:ascii="Palatino Linotype" w:eastAsia="Palatino Linotype" w:hAnsi="Palatino Linotype" w:cs="Palatino Linotype"/>
          <w:color w:val="0D0D0D"/>
          <w:sz w:val="24"/>
          <w:szCs w:val="24"/>
        </w:rPr>
        <w:t>y</w:t>
      </w:r>
      <w:r>
        <w:rPr>
          <w:rFonts w:ascii="Palatino Linotype" w:eastAsia="Palatino Linotype" w:hAnsi="Palatino Linotype" w:cs="Palatino Linotype"/>
          <w:b/>
          <w:color w:val="0D0D0D"/>
          <w:sz w:val="24"/>
          <w:szCs w:val="24"/>
        </w:rPr>
        <w:t xml:space="preserve"> 00041/NAUCALPA/IP/2022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las cual solicitó información en el tenor siguiente:</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Verdana" w:eastAsia="Verdana" w:hAnsi="Verdana" w:cs="Verdana"/>
          <w:b/>
          <w:color w:val="FF0000"/>
        </w:rPr>
        <w:t> </w:t>
      </w:r>
      <w:r>
        <w:rPr>
          <w:rFonts w:ascii="Palatino Linotype" w:eastAsia="Palatino Linotype" w:hAnsi="Palatino Linotype" w:cs="Palatino Linotype"/>
          <w:b/>
          <w:color w:val="0D0D0D"/>
          <w:sz w:val="24"/>
          <w:szCs w:val="24"/>
        </w:rPr>
        <w:t>00044/NAUCALPA/IP/2022:</w:t>
      </w:r>
    </w:p>
    <w:p w:rsidR="00B36041" w:rsidRDefault="00243587">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EL NOMBRE Y CARGOS DE TODO EL PERSONAL DE LA DIRECCIÓN GENERAL DE EDUCACION Y CULTURA NUMERO DE </w:t>
      </w:r>
      <w:r>
        <w:rPr>
          <w:rFonts w:ascii="Palatino Linotype" w:eastAsia="Palatino Linotype" w:hAnsi="Palatino Linotype" w:cs="Palatino Linotype"/>
          <w:i/>
          <w:color w:val="000000"/>
        </w:rPr>
        <w:lastRenderedPageBreak/>
        <w:t>FUNCIONARIOS NUMERO DE EMPLEADOS DE CONFIANZA EN EL CASO DE LOS FUNCIONARIOS SOLICITO SU PERFIL PROFESIONAL QUE SUSTENTE EL CARGO (Sic.)”</w:t>
      </w:r>
    </w:p>
    <w:p w:rsidR="00B36041" w:rsidRDefault="00243587">
      <w:pPr>
        <w:spacing w:before="240" w:after="240" w:line="360" w:lineRule="auto"/>
        <w:jc w:val="both"/>
        <w:rPr>
          <w:rFonts w:ascii="Palatino Linotype" w:eastAsia="Palatino Linotype" w:hAnsi="Palatino Linotype" w:cs="Palatino Linotype"/>
          <w:b/>
          <w:color w:val="0D0D0D"/>
          <w:sz w:val="24"/>
          <w:szCs w:val="24"/>
        </w:rPr>
      </w:pPr>
      <w:r>
        <w:rPr>
          <w:rFonts w:ascii="Palatino Linotype" w:eastAsia="Palatino Linotype" w:hAnsi="Palatino Linotype" w:cs="Palatino Linotype"/>
          <w:b/>
          <w:color w:val="0D0D0D"/>
          <w:sz w:val="24"/>
          <w:szCs w:val="24"/>
        </w:rPr>
        <w:t>00041/NAUCAL</w:t>
      </w:r>
      <w:r>
        <w:rPr>
          <w:rFonts w:ascii="Palatino Linotype" w:eastAsia="Palatino Linotype" w:hAnsi="Palatino Linotype" w:cs="Palatino Linotype"/>
          <w:b/>
          <w:color w:val="0D0D0D"/>
          <w:sz w:val="24"/>
          <w:szCs w:val="24"/>
        </w:rPr>
        <w:t>PA/IP/2022:</w:t>
      </w:r>
    </w:p>
    <w:p w:rsidR="00B36041" w:rsidRDefault="00243587">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“SOLICITA EL PERFIL PROFESIONAL QUE ACREDITE LA EXPERIENCIA Y CAPACIDAD DE LA DIRECTORA GENERAL DE EDUCACIÓN Y CULTURA, ESPECIFICANDO AÑOS DEBIDAMENTE ACREDITADOS COMO FUNCIONARIA PUBLICA, ASI COMO SU TITULO PROFESIONAL O DOCUMENTO QUE ACREDITE</w:t>
      </w:r>
      <w:r>
        <w:rPr>
          <w:rFonts w:ascii="Palatino Linotype" w:eastAsia="Palatino Linotype" w:hAnsi="Palatino Linotype" w:cs="Palatino Linotype"/>
          <w:i/>
          <w:color w:val="000000"/>
        </w:rPr>
        <w:t xml:space="preserve"> SU NIVEL DE ESCOLARIDAD. ASIMISMO SOLICITO TODOS Y CADA UNO DE LOS REQUISITOS QUE EXIJE LA LEY ORGANICA MUNICIPAL DEL ESTADO DE MEXICO, PARA SER FUNCIONARIA DE LA DIRECCIÓN GENERAL DE EDUCACION Y CULTURA, Y EN CASO DE NO ACREDITARLOS CUAL ES EL FUNDAMENTO</w:t>
      </w:r>
      <w:r>
        <w:rPr>
          <w:rFonts w:ascii="Palatino Linotype" w:eastAsia="Palatino Linotype" w:hAnsi="Palatino Linotype" w:cs="Palatino Linotype"/>
          <w:i/>
          <w:color w:val="000000"/>
        </w:rPr>
        <w:t xml:space="preserve"> LEGAL POR EL CUAL LA C, LETICIA BUITRON TIENE UN NOMBRAMIENTO SIN ACREDITAR DICHOS REQUISITOS. SOLICITO COPIA SIMPLE DE CADA DOCUMENTO QUE ACREDITE QUE EL NOMBRAMIENTO DE LA DIRECTORA GENERAL DE EDUCACION Y CULTURA FUE CONFORME A LA LEY ORGANICA MUNICIPAL</w:t>
      </w:r>
      <w:r>
        <w:rPr>
          <w:rFonts w:ascii="Palatino Linotype" w:eastAsia="Palatino Linotype" w:hAnsi="Palatino Linotype" w:cs="Palatino Linotype"/>
          <w:i/>
          <w:color w:val="000000"/>
        </w:rPr>
        <w:t xml:space="preserve"> DEL ESTADO DE MEXICO Y SUS MUNICIPIOS. (Sic.)”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Modalidad elegida por el solicitante para la entrega de la información: Vía SAIMEX.</w:t>
      </w:r>
    </w:p>
    <w:p w:rsidR="00B36041" w:rsidRDefault="00243587">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2. RESPUESTA.</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 xml:space="preserve">De las constancias que obran en SAIMEX, se observa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emitió respuestas a las solicitud</w:t>
      </w:r>
      <w:r>
        <w:rPr>
          <w:rFonts w:ascii="Palatino Linotype" w:eastAsia="Palatino Linotype" w:hAnsi="Palatino Linotype" w:cs="Palatino Linotype"/>
          <w:sz w:val="24"/>
          <w:szCs w:val="24"/>
        </w:rPr>
        <w:t xml:space="preserve">es de información formuladas por la parte </w:t>
      </w:r>
      <w:r>
        <w:rPr>
          <w:rFonts w:ascii="Palatino Linotype" w:eastAsia="Palatino Linotype" w:hAnsi="Palatino Linotype" w:cs="Palatino Linotype"/>
          <w:b/>
          <w:sz w:val="24"/>
          <w:szCs w:val="24"/>
        </w:rPr>
        <w:t>RECURRENTE.</w:t>
      </w:r>
    </w:p>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 xml:space="preserve">Inconforme con la falta respuestas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 xml:space="preserve">interpuso los recursos de revisión, en fecha once </w:t>
      </w:r>
      <w:r>
        <w:rPr>
          <w:rFonts w:ascii="Palatino Linotype" w:eastAsia="Palatino Linotype" w:hAnsi="Palatino Linotype" w:cs="Palatino Linotype"/>
          <w:sz w:val="24"/>
          <w:szCs w:val="24"/>
        </w:rPr>
        <w:lastRenderedPageBreak/>
        <w:t>de febrero dos mil veintidós, los cuales fueron regist</w:t>
      </w:r>
      <w:r>
        <w:rPr>
          <w:rFonts w:ascii="Palatino Linotype" w:eastAsia="Palatino Linotype" w:hAnsi="Palatino Linotype" w:cs="Palatino Linotype"/>
          <w:sz w:val="24"/>
          <w:szCs w:val="24"/>
        </w:rPr>
        <w:t>rados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los expedientes número </w:t>
      </w:r>
      <w:r>
        <w:rPr>
          <w:rFonts w:ascii="Palatino Linotype" w:eastAsia="Palatino Linotype" w:hAnsi="Palatino Linotype" w:cs="Palatino Linotype"/>
          <w:b/>
          <w:color w:val="000000"/>
          <w:sz w:val="24"/>
          <w:szCs w:val="24"/>
        </w:rPr>
        <w:t>00764/INFOEM/IP/RR/2022 y 00766/INFOEM/IP/RR/2022</w:t>
      </w:r>
      <w:r>
        <w:rPr>
          <w:rFonts w:ascii="Palatino Linotype" w:eastAsia="Palatino Linotype" w:hAnsi="Palatino Linotype" w:cs="Palatino Linotype"/>
          <w:sz w:val="24"/>
          <w:szCs w:val="24"/>
        </w:rPr>
        <w:t>, en el cual manifiesta, lo siguiente:</w:t>
      </w: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260"/>
        <w:gridCol w:w="3119"/>
      </w:tblGrid>
      <w:tr w:rsidR="00B36041">
        <w:trPr>
          <w:trHeight w:val="578"/>
        </w:trPr>
        <w:tc>
          <w:tcPr>
            <w:tcW w:w="2972" w:type="dxa"/>
          </w:tcPr>
          <w:p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Folio Recurso de Revisión</w:t>
            </w:r>
          </w:p>
        </w:tc>
        <w:tc>
          <w:tcPr>
            <w:tcW w:w="3260" w:type="dxa"/>
          </w:tcPr>
          <w:p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tc>
        <w:tc>
          <w:tcPr>
            <w:tcW w:w="3119" w:type="dxa"/>
          </w:tcPr>
          <w:p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Razones o Motivos de Inconformidad</w:t>
            </w:r>
          </w:p>
        </w:tc>
      </w:tr>
      <w:tr w:rsidR="00B36041">
        <w:trPr>
          <w:trHeight w:val="578"/>
        </w:trPr>
        <w:tc>
          <w:tcPr>
            <w:tcW w:w="2972" w:type="dxa"/>
          </w:tcPr>
          <w:p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00764/INFOEM/IP/RR/2022</w:t>
            </w:r>
          </w:p>
        </w:tc>
        <w:tc>
          <w:tcPr>
            <w:tcW w:w="3260" w:type="dxa"/>
          </w:tcPr>
          <w:p w:rsidR="00B36041" w:rsidRDefault="00243587">
            <w:pPr>
              <w:spacing w:line="360" w:lineRule="auto"/>
              <w:ind w:right="-234"/>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r>
              <w:rPr>
                <w:rFonts w:ascii="Palatino Linotype" w:eastAsia="Palatino Linotype" w:hAnsi="Palatino Linotype" w:cs="Palatino Linotype"/>
                <w:i/>
                <w:color w:val="000000"/>
              </w:rPr>
              <w:t>Falta de respuesta a la solicitud</w:t>
            </w:r>
          </w:p>
          <w:p w:rsidR="00B36041" w:rsidRDefault="00243587">
            <w:pPr>
              <w:spacing w:line="360" w:lineRule="auto"/>
              <w:ind w:right="-23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de información.</w:t>
            </w:r>
            <w:r>
              <w:rPr>
                <w:rFonts w:ascii="Palatino Linotype" w:eastAsia="Palatino Linotype" w:hAnsi="Palatino Linotype" w:cs="Palatino Linotype"/>
                <w:i/>
              </w:rPr>
              <w:t>” [sic]</w:t>
            </w:r>
          </w:p>
        </w:tc>
        <w:tc>
          <w:tcPr>
            <w:tcW w:w="3119" w:type="dxa"/>
          </w:tcPr>
          <w:p w:rsidR="00B36041" w:rsidRDefault="00243587">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color w:val="000000"/>
              </w:rPr>
              <w:t>“El sujeto obligado no dio respuesta a la solicitud de información en los plazos que indica la Ley en la materia” [Sic]</w:t>
            </w:r>
          </w:p>
        </w:tc>
      </w:tr>
      <w:tr w:rsidR="00B36041">
        <w:trPr>
          <w:trHeight w:val="578"/>
        </w:trPr>
        <w:tc>
          <w:tcPr>
            <w:tcW w:w="2972" w:type="dxa"/>
          </w:tcPr>
          <w:p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00766/INFOEM/IP/RR/2022</w:t>
            </w:r>
          </w:p>
        </w:tc>
        <w:tc>
          <w:tcPr>
            <w:tcW w:w="3260" w:type="dxa"/>
          </w:tcPr>
          <w:p w:rsidR="00B36041" w:rsidRDefault="00243587">
            <w:pPr>
              <w:spacing w:before="120" w:after="120"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Falta de respuesta a la solicitud de información</w:t>
            </w:r>
            <w:r>
              <w:rPr>
                <w:rFonts w:ascii="Palatino Linotype" w:eastAsia="Palatino Linotype" w:hAnsi="Palatino Linotype" w:cs="Palatino Linotype"/>
                <w:i/>
              </w:rPr>
              <w:t>” [s</w:t>
            </w:r>
            <w:r>
              <w:rPr>
                <w:rFonts w:ascii="Palatino Linotype" w:eastAsia="Palatino Linotype" w:hAnsi="Palatino Linotype" w:cs="Palatino Linotype"/>
                <w:i/>
              </w:rPr>
              <w:t>ic]</w:t>
            </w:r>
          </w:p>
        </w:tc>
        <w:tc>
          <w:tcPr>
            <w:tcW w:w="3119" w:type="dxa"/>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“El sujeto obligado no dio respuesta a la solicitud de información en el plazo que establece la legislación en la materia.” </w:t>
            </w:r>
            <w:r>
              <w:rPr>
                <w:rFonts w:ascii="Palatino Linotype" w:eastAsia="Palatino Linotype" w:hAnsi="Palatino Linotype" w:cs="Palatino Linotype"/>
                <w:i/>
              </w:rPr>
              <w:t>[sic]</w:t>
            </w:r>
          </w:p>
        </w:tc>
      </w:tr>
    </w:tbl>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De conformidad con el artículo 185 Fracción I de la Ley Transparencia y Acceso a la Información Pública, el rec</w:t>
      </w:r>
      <w:r>
        <w:rPr>
          <w:rFonts w:ascii="Palatino Linotype" w:eastAsia="Palatino Linotype" w:hAnsi="Palatino Linotype" w:cs="Palatino Linotype"/>
          <w:sz w:val="24"/>
          <w:szCs w:val="24"/>
        </w:rPr>
        <w:t xml:space="preserve">urso de revisión número </w:t>
      </w:r>
      <w:r>
        <w:rPr>
          <w:rFonts w:ascii="Palatino Linotype" w:eastAsia="Palatino Linotype" w:hAnsi="Palatino Linotype" w:cs="Palatino Linotype"/>
          <w:b/>
          <w:sz w:val="24"/>
          <w:szCs w:val="24"/>
        </w:rPr>
        <w:t>00764/INFOEM/IP/RR/2022</w:t>
      </w:r>
      <w:r>
        <w:rPr>
          <w:rFonts w:ascii="Palatino Linotype" w:eastAsia="Palatino Linotype" w:hAnsi="Palatino Linotype" w:cs="Palatino Linotype"/>
          <w:sz w:val="24"/>
          <w:szCs w:val="24"/>
        </w:rPr>
        <w:t xml:space="preserve"> fue turnado a la Comisionada Guadalupe Ramírez Peña y el recurso y </w:t>
      </w:r>
      <w:r>
        <w:rPr>
          <w:rFonts w:ascii="Palatino Linotype" w:eastAsia="Palatino Linotype" w:hAnsi="Palatino Linotype" w:cs="Palatino Linotype"/>
          <w:b/>
          <w:sz w:val="24"/>
          <w:szCs w:val="24"/>
        </w:rPr>
        <w:t>00766/INFOEM/IP/RR/2021</w:t>
      </w:r>
      <w:r>
        <w:rPr>
          <w:rFonts w:ascii="Palatino Linotype" w:eastAsia="Palatino Linotype" w:hAnsi="Palatino Linotype" w:cs="Palatino Linotype"/>
          <w:sz w:val="24"/>
          <w:szCs w:val="24"/>
        </w:rPr>
        <w:t xml:space="preserve"> al Comisionado Luis Gustavo Parra Noriega; a efecto de presentar al Pleno el proyecto de resolución correspondiente.</w:t>
      </w:r>
    </w:p>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 xml:space="preserve">En fecha dieciséis de febrero de dos mil veintidós, en términos de lo dispuesto en el artículo 185 fracciones I, II y IV de la Ley de Transparencia y </w:t>
      </w:r>
      <w:r>
        <w:rPr>
          <w:rFonts w:ascii="Palatino Linotype" w:eastAsia="Palatino Linotype" w:hAnsi="Palatino Linotype" w:cs="Palatino Linotype"/>
          <w:sz w:val="24"/>
          <w:szCs w:val="24"/>
        </w:rPr>
        <w:lastRenderedPageBreak/>
        <w:t>Acceso a la Información Pública del Estado de México y Municipios, se admitieron a trámite lo</w:t>
      </w:r>
      <w:r>
        <w:rPr>
          <w:rFonts w:ascii="Palatino Linotype" w:eastAsia="Palatino Linotype" w:hAnsi="Palatino Linotype" w:cs="Palatino Linotype"/>
          <w:sz w:val="24"/>
          <w:szCs w:val="24"/>
        </w:rPr>
        <w:t>s recursos de revisión al rubro indicados.</w:t>
      </w:r>
    </w:p>
    <w:p w:rsidR="00B36041" w:rsidRDefault="0024358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7. DE LA ACUMULACIÓN. </w:t>
      </w:r>
      <w:r>
        <w:rPr>
          <w:rFonts w:ascii="Palatino Linotype" w:eastAsia="Palatino Linotype" w:hAnsi="Palatino Linotype" w:cs="Palatino Linotype"/>
          <w:color w:val="000000"/>
          <w:sz w:val="24"/>
          <w:szCs w:val="24"/>
        </w:rPr>
        <w:t>Posteriormente por acuerdo del Pleno del Instituto, en la Séptima Sesión Ordinaria, de fecha veintitrés de febrero de dos mil veintidós, se determinó acumular los recursos de revisión en estudio, ya que existe identidad de la solicitante, del sujeto obliga</w:t>
      </w:r>
      <w:r>
        <w:rPr>
          <w:rFonts w:ascii="Palatino Linotype" w:eastAsia="Palatino Linotype" w:hAnsi="Palatino Linotype" w:cs="Palatino Linotype"/>
          <w:color w:val="000000"/>
          <w:sz w:val="24"/>
          <w:szCs w:val="24"/>
        </w:rPr>
        <w:t xml:space="preserve">do y similitud de causas y objeto de solicitud. </w:t>
      </w:r>
    </w:p>
    <w:p w:rsidR="00B36041" w:rsidRDefault="00B3604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36041" w:rsidRDefault="0024358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w:t>
      </w:r>
      <w:r>
        <w:rPr>
          <w:rFonts w:ascii="Palatino Linotype" w:eastAsia="Palatino Linotype" w:hAnsi="Palatino Linotype" w:cs="Palatino Linotype"/>
          <w:sz w:val="24"/>
          <w:szCs w:val="24"/>
        </w:rPr>
        <w:t>os Administrativos del Estado de México, los cuales establecen respectivamente:</w:t>
      </w:r>
    </w:p>
    <w:p w:rsidR="00B36041" w:rsidRDefault="00243587">
      <w:pPr>
        <w:spacing w:before="240" w:line="360" w:lineRule="auto"/>
        <w:ind w:left="851" w:right="851"/>
        <w:jc w:val="center"/>
        <w:rPr>
          <w:rFonts w:ascii="Palatino Linotype" w:eastAsia="Palatino Linotype" w:hAnsi="Palatino Linotype" w:cs="Palatino Linotype"/>
          <w:b/>
          <w:i/>
        </w:rPr>
      </w:pPr>
      <w:r>
        <w:rPr>
          <w:rFonts w:ascii="Palatino Linotype" w:eastAsia="Palatino Linotype" w:hAnsi="Palatino Linotype" w:cs="Palatino Linotype"/>
          <w:b/>
          <w:i/>
        </w:rPr>
        <w:t>Ley de Transparencia y Acceso a la Información Pública del Estado de México y Municipios</w:t>
      </w:r>
    </w:p>
    <w:p w:rsidR="00B36041" w:rsidRDefault="00243587">
      <w:pPr>
        <w:spacing w:before="240" w:line="360"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“Artículo 195. En la tramitación del recurso de revisión se aplicarán supletoriamente l</w:t>
      </w:r>
      <w:r>
        <w:rPr>
          <w:rFonts w:ascii="Palatino Linotype" w:eastAsia="Palatino Linotype" w:hAnsi="Palatino Linotype" w:cs="Palatino Linotype"/>
          <w:i/>
        </w:rPr>
        <w:t xml:space="preserve">as disposiciones contenidas en el </w:t>
      </w:r>
      <w:r>
        <w:rPr>
          <w:rFonts w:ascii="Palatino Linotype" w:eastAsia="Palatino Linotype" w:hAnsi="Palatino Linotype" w:cs="Palatino Linotype"/>
          <w:b/>
          <w:i/>
          <w:u w:val="single"/>
        </w:rPr>
        <w:t>Código de Procedimientos Administrativos del Estado de México</w:t>
      </w:r>
      <w:r>
        <w:rPr>
          <w:rFonts w:ascii="Palatino Linotype" w:eastAsia="Palatino Linotype" w:hAnsi="Palatino Linotype" w:cs="Palatino Linotype"/>
          <w:i/>
        </w:rPr>
        <w:t xml:space="preserve">.” </w:t>
      </w:r>
      <w:r>
        <w:rPr>
          <w:rFonts w:ascii="Palatino Linotype" w:eastAsia="Palatino Linotype" w:hAnsi="Palatino Linotype" w:cs="Palatino Linotype"/>
          <w:b/>
          <w:i/>
        </w:rPr>
        <w:t>[Sic]</w:t>
      </w:r>
    </w:p>
    <w:p w:rsidR="00B36041" w:rsidRDefault="00243587">
      <w:pPr>
        <w:spacing w:before="240" w:line="360" w:lineRule="auto"/>
        <w:ind w:left="851" w:right="851"/>
        <w:jc w:val="center"/>
        <w:rPr>
          <w:rFonts w:ascii="Palatino Linotype" w:eastAsia="Palatino Linotype" w:hAnsi="Palatino Linotype" w:cs="Palatino Linotype"/>
          <w:b/>
          <w:i/>
        </w:rPr>
      </w:pPr>
      <w:r>
        <w:rPr>
          <w:rFonts w:ascii="Palatino Linotype" w:eastAsia="Palatino Linotype" w:hAnsi="Palatino Linotype" w:cs="Palatino Linotype"/>
          <w:b/>
          <w:i/>
        </w:rPr>
        <w:t>Código de Procedimientos Administrativos del Estado de México</w:t>
      </w:r>
    </w:p>
    <w:p w:rsidR="00B36041" w:rsidRDefault="00243587">
      <w:pPr>
        <w:spacing w:before="240" w:line="360"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“Artículo 18.- </w:t>
      </w:r>
      <w:r>
        <w:rPr>
          <w:rFonts w:ascii="Palatino Linotype" w:eastAsia="Palatino Linotype" w:hAnsi="Palatino Linotype" w:cs="Palatino Linotype"/>
          <w:b/>
          <w:i/>
          <w:u w:val="single"/>
        </w:rPr>
        <w:t>La autoridad administrativa</w:t>
      </w:r>
      <w:r>
        <w:rPr>
          <w:rFonts w:ascii="Palatino Linotype" w:eastAsia="Palatino Linotype" w:hAnsi="Palatino Linotype" w:cs="Palatino Linotype"/>
          <w:i/>
        </w:rPr>
        <w:t xml:space="preserve"> o el Tribunal </w:t>
      </w:r>
      <w:r>
        <w:rPr>
          <w:rFonts w:ascii="Palatino Linotype" w:eastAsia="Palatino Linotype" w:hAnsi="Palatino Linotype" w:cs="Palatino Linotype"/>
          <w:b/>
          <w:i/>
          <w:u w:val="single"/>
        </w:rPr>
        <w:t>acordarán la acumulación</w:t>
      </w:r>
      <w:r>
        <w:rPr>
          <w:rFonts w:ascii="Palatino Linotype" w:eastAsia="Palatino Linotype" w:hAnsi="Palatino Linotype" w:cs="Palatino Linotype"/>
          <w:i/>
        </w:rPr>
        <w:t xml:space="preserve"> de los e</w:t>
      </w:r>
      <w:r>
        <w:rPr>
          <w:rFonts w:ascii="Palatino Linotype" w:eastAsia="Palatino Linotype" w:hAnsi="Palatino Linotype" w:cs="Palatino Linotype"/>
          <w:i/>
        </w:rPr>
        <w:t>xpedientes del procedimiento y proceso administrativo que ante ellos se sigan</w:t>
      </w:r>
      <w:r>
        <w:rPr>
          <w:rFonts w:ascii="Palatino Linotype" w:eastAsia="Palatino Linotype" w:hAnsi="Palatino Linotype" w:cs="Palatino Linotype"/>
          <w:b/>
          <w:i/>
          <w:u w:val="single"/>
        </w:rPr>
        <w:t>, de oficio</w:t>
      </w:r>
      <w:r>
        <w:rPr>
          <w:rFonts w:ascii="Palatino Linotype" w:eastAsia="Palatino Linotype" w:hAnsi="Palatino Linotype" w:cs="Palatino Linotype"/>
          <w:i/>
        </w:rPr>
        <w:t xml:space="preserve"> o a petición de parte, </w:t>
      </w:r>
      <w:r>
        <w:rPr>
          <w:rFonts w:ascii="Palatino Linotype" w:eastAsia="Palatino Linotype" w:hAnsi="Palatino Linotype" w:cs="Palatino Linotype"/>
          <w:b/>
          <w:i/>
          <w:u w:val="single"/>
        </w:rPr>
        <w:t xml:space="preserve">cuando las partes o los actos administrativos sean iguales, se trate de actos conexos o resulte </w:t>
      </w:r>
      <w:r>
        <w:rPr>
          <w:rFonts w:ascii="Palatino Linotype" w:eastAsia="Palatino Linotype" w:hAnsi="Palatino Linotype" w:cs="Palatino Linotype"/>
          <w:b/>
          <w:i/>
          <w:u w:val="single"/>
        </w:rPr>
        <w:lastRenderedPageBreak/>
        <w:t>conveniente el trámite unificado de los asuntos</w:t>
      </w:r>
      <w:r>
        <w:rPr>
          <w:rFonts w:ascii="Palatino Linotype" w:eastAsia="Palatino Linotype" w:hAnsi="Palatino Linotype" w:cs="Palatino Linotype"/>
          <w:i/>
        </w:rPr>
        <w:t>,</w:t>
      </w:r>
      <w:r>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Pr>
          <w:rFonts w:ascii="Palatino Linotype" w:eastAsia="Palatino Linotype" w:hAnsi="Palatino Linotype" w:cs="Palatino Linotype"/>
          <w:b/>
          <w:i/>
        </w:rPr>
        <w:t>[Sic]</w:t>
      </w:r>
    </w:p>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veintiocho de febrero de dos mil veintidós, se recibió, a través del Sistema de Acceso a la Información Mexiquense (SAIMEX), los Informes Justificados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de la siguiente manera:</w:t>
      </w:r>
    </w:p>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00764/INFOEM/IP/RR/2022 </w:t>
      </w:r>
      <w:r>
        <w:rPr>
          <w:rFonts w:ascii="Palatino Linotype" w:eastAsia="Palatino Linotype" w:hAnsi="Palatino Linotype" w:cs="Palatino Linotype"/>
          <w:sz w:val="24"/>
          <w:szCs w:val="24"/>
        </w:rPr>
        <w:t>para tal efecto adjunto el archiv</w:t>
      </w:r>
      <w:r>
        <w:rPr>
          <w:rFonts w:ascii="Palatino Linotype" w:eastAsia="Palatino Linotype" w:hAnsi="Palatino Linotype" w:cs="Palatino Linotype"/>
          <w:sz w:val="24"/>
          <w:szCs w:val="24"/>
        </w:rPr>
        <w:t xml:space="preserve">o denominado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D0D0D"/>
          <w:sz w:val="24"/>
          <w:szCs w:val="24"/>
          <w:u w:val="single"/>
        </w:rPr>
        <w:t>DGCYE-221-2022.pdf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el cual contiene lo siguiente: </w:t>
      </w:r>
    </w:p>
    <w:p w:rsidR="00B36041" w:rsidRDefault="00243587">
      <w:pPr>
        <w:jc w:val="center"/>
      </w:pPr>
      <w:r>
        <w:rPr>
          <w:noProof/>
        </w:rPr>
        <w:lastRenderedPageBreak/>
        <w:drawing>
          <wp:inline distT="0" distB="0" distL="0" distR="0">
            <wp:extent cx="5475245" cy="4825418"/>
            <wp:effectExtent l="0" t="0" r="0" b="0"/>
            <wp:docPr id="1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43958" t="13579" r="28716" b="9474"/>
                    <a:stretch>
                      <a:fillRect/>
                    </a:stretch>
                  </pic:blipFill>
                  <pic:spPr>
                    <a:xfrm>
                      <a:off x="0" y="0"/>
                      <a:ext cx="5475245" cy="4825418"/>
                    </a:xfrm>
                    <a:prstGeom prst="rect">
                      <a:avLst/>
                    </a:prstGeom>
                    <a:ln/>
                  </pic:spPr>
                </pic:pic>
              </a:graphicData>
            </a:graphic>
          </wp:inline>
        </w:drawing>
      </w:r>
    </w:p>
    <w:p w:rsidR="00B36041" w:rsidRDefault="00243587">
      <w:pPr>
        <w:jc w:val="center"/>
      </w:pPr>
      <w:r>
        <w:rPr>
          <w:noProof/>
        </w:rPr>
        <w:lastRenderedPageBreak/>
        <w:drawing>
          <wp:inline distT="0" distB="0" distL="0" distR="0">
            <wp:extent cx="5374569" cy="7340782"/>
            <wp:effectExtent l="0" t="0" r="0" b="0"/>
            <wp:docPr id="1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3787" t="21726" r="28717" b="5551"/>
                    <a:stretch>
                      <a:fillRect/>
                    </a:stretch>
                  </pic:blipFill>
                  <pic:spPr>
                    <a:xfrm>
                      <a:off x="0" y="0"/>
                      <a:ext cx="5374569" cy="7340782"/>
                    </a:xfrm>
                    <a:prstGeom prst="rect">
                      <a:avLst/>
                    </a:prstGeom>
                    <a:ln/>
                  </pic:spPr>
                </pic:pic>
              </a:graphicData>
            </a:graphic>
          </wp:inline>
        </w:drawing>
      </w:r>
    </w:p>
    <w:p w:rsidR="00B36041" w:rsidRDefault="00243587">
      <w:pPr>
        <w:jc w:val="center"/>
      </w:pPr>
      <w:r>
        <w:rPr>
          <w:noProof/>
        </w:rPr>
        <w:lastRenderedPageBreak/>
        <w:drawing>
          <wp:inline distT="0" distB="0" distL="0" distR="0">
            <wp:extent cx="5403611" cy="7408485"/>
            <wp:effectExtent l="0" t="0" r="0" b="0"/>
            <wp:docPr id="1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4128" t="11768" r="29056" b="17621"/>
                    <a:stretch>
                      <a:fillRect/>
                    </a:stretch>
                  </pic:blipFill>
                  <pic:spPr>
                    <a:xfrm>
                      <a:off x="0" y="0"/>
                      <a:ext cx="5403611" cy="7408485"/>
                    </a:xfrm>
                    <a:prstGeom prst="rect">
                      <a:avLst/>
                    </a:prstGeom>
                    <a:ln/>
                  </pic:spPr>
                </pic:pic>
              </a:graphicData>
            </a:graphic>
          </wp:inline>
        </w:drawing>
      </w:r>
    </w:p>
    <w:p w:rsidR="00B36041" w:rsidRDefault="00243587">
      <w:pPr>
        <w:jc w:val="center"/>
      </w:pPr>
      <w:r>
        <w:rPr>
          <w:noProof/>
        </w:rPr>
        <w:lastRenderedPageBreak/>
        <w:drawing>
          <wp:inline distT="0" distB="0" distL="0" distR="0">
            <wp:extent cx="5545799" cy="7279856"/>
            <wp:effectExtent l="0" t="0" r="0" b="0"/>
            <wp:docPr id="1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43789" t="12974" r="28377" b="14302"/>
                    <a:stretch>
                      <a:fillRect/>
                    </a:stretch>
                  </pic:blipFill>
                  <pic:spPr>
                    <a:xfrm>
                      <a:off x="0" y="0"/>
                      <a:ext cx="5545799" cy="7279856"/>
                    </a:xfrm>
                    <a:prstGeom prst="rect">
                      <a:avLst/>
                    </a:prstGeom>
                    <a:ln/>
                  </pic:spPr>
                </pic:pic>
              </a:graphicData>
            </a:graphic>
          </wp:inline>
        </w:drawing>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00766/INFOEM/IP/RR/2022 </w:t>
      </w:r>
      <w:r>
        <w:rPr>
          <w:rFonts w:ascii="Palatino Linotype" w:eastAsia="Palatino Linotype" w:hAnsi="Palatino Linotype" w:cs="Palatino Linotype"/>
          <w:sz w:val="24"/>
          <w:szCs w:val="24"/>
        </w:rPr>
        <w:t xml:space="preserve">para tal efecto adjunto el archivo denominado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D0D0D"/>
          <w:sz w:val="24"/>
          <w:szCs w:val="24"/>
          <w:u w:val="single"/>
        </w:rPr>
        <w:t>DGCYE-223-2022.pdf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el cual contiene lo siguiente:</w:t>
      </w:r>
    </w:p>
    <w:p w:rsidR="00B36041" w:rsidRDefault="00243587">
      <w:pPr>
        <w:spacing w:before="240" w:after="240" w:line="360" w:lineRule="auto"/>
        <w:jc w:val="center"/>
        <w:rPr>
          <w:rFonts w:ascii="Palatino Linotype" w:eastAsia="Palatino Linotype" w:hAnsi="Palatino Linotype" w:cs="Palatino Linotype"/>
          <w:b/>
        </w:rPr>
      </w:pPr>
      <w:r>
        <w:rPr>
          <w:noProof/>
        </w:rPr>
        <w:lastRenderedPageBreak/>
        <w:drawing>
          <wp:inline distT="0" distB="0" distL="0" distR="0">
            <wp:extent cx="4750819" cy="6308935"/>
            <wp:effectExtent l="0" t="0" r="0" b="0"/>
            <wp:docPr id="1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43788" t="14182" r="29055" b="9474"/>
                    <a:stretch>
                      <a:fillRect/>
                    </a:stretch>
                  </pic:blipFill>
                  <pic:spPr>
                    <a:xfrm>
                      <a:off x="0" y="0"/>
                      <a:ext cx="4750819" cy="6308935"/>
                    </a:xfrm>
                    <a:prstGeom prst="rect">
                      <a:avLst/>
                    </a:prstGeom>
                    <a:ln/>
                  </pic:spPr>
                </pic:pic>
              </a:graphicData>
            </a:graphic>
          </wp:inline>
        </w:drawing>
      </w:r>
    </w:p>
    <w:p w:rsidR="00B36041" w:rsidRDefault="00243587">
      <w:pPr>
        <w:spacing w:before="240" w:after="240" w:line="360" w:lineRule="auto"/>
        <w:jc w:val="center"/>
        <w:rPr>
          <w:rFonts w:ascii="Palatino Linotype" w:eastAsia="Palatino Linotype" w:hAnsi="Palatino Linotype" w:cs="Palatino Linotype"/>
          <w:b/>
        </w:rPr>
      </w:pPr>
      <w:r>
        <w:rPr>
          <w:noProof/>
        </w:rPr>
        <w:lastRenderedPageBreak/>
        <w:drawing>
          <wp:inline distT="0" distB="0" distL="0" distR="0">
            <wp:extent cx="4869851" cy="7259962"/>
            <wp:effectExtent l="0" t="0" r="0" b="0"/>
            <wp:docPr id="1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43958" t="21726" r="28376" b="4949"/>
                    <a:stretch>
                      <a:fillRect/>
                    </a:stretch>
                  </pic:blipFill>
                  <pic:spPr>
                    <a:xfrm>
                      <a:off x="0" y="0"/>
                      <a:ext cx="4869851" cy="7259962"/>
                    </a:xfrm>
                    <a:prstGeom prst="rect">
                      <a:avLst/>
                    </a:prstGeom>
                    <a:ln/>
                  </pic:spPr>
                </pic:pic>
              </a:graphicData>
            </a:graphic>
          </wp:inline>
        </w:drawing>
      </w:r>
    </w:p>
    <w:p w:rsidR="00B36041" w:rsidRDefault="00243587">
      <w:pPr>
        <w:spacing w:before="240" w:after="240" w:line="360" w:lineRule="auto"/>
        <w:jc w:val="center"/>
        <w:rPr>
          <w:rFonts w:ascii="Palatino Linotype" w:eastAsia="Palatino Linotype" w:hAnsi="Palatino Linotype" w:cs="Palatino Linotype"/>
          <w:b/>
        </w:rPr>
      </w:pPr>
      <w:r>
        <w:rPr>
          <w:noProof/>
        </w:rPr>
        <w:lastRenderedPageBreak/>
        <w:drawing>
          <wp:inline distT="0" distB="0" distL="0" distR="0">
            <wp:extent cx="5487166" cy="7339761"/>
            <wp:effectExtent l="0" t="0" r="0" b="0"/>
            <wp:docPr id="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43619" t="13879" r="29226" b="8268"/>
                    <a:stretch>
                      <a:fillRect/>
                    </a:stretch>
                  </pic:blipFill>
                  <pic:spPr>
                    <a:xfrm>
                      <a:off x="0" y="0"/>
                      <a:ext cx="5487166" cy="7339761"/>
                    </a:xfrm>
                    <a:prstGeom prst="rect">
                      <a:avLst/>
                    </a:prstGeom>
                    <a:ln/>
                  </pic:spPr>
                </pic:pic>
              </a:graphicData>
            </a:graphic>
          </wp:inline>
        </w:drawing>
      </w:r>
    </w:p>
    <w:p w:rsidR="00B36041" w:rsidRDefault="0024358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8. ALCANCE A LA ENTREGA DE LA INFORMACIÓN DEL RECURSO DE REVISIÓN.  </w:t>
      </w:r>
    </w:p>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uno de marzo de dos mil veintidós, se recibió, a través del Sistema de Acceso a la Información Mexiquense (SAIMEX), los alcances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de la siguiente manera:</w:t>
      </w:r>
    </w:p>
    <w:p w:rsidR="00B36041" w:rsidRPr="00281B35" w:rsidRDefault="00243587">
      <w:pPr>
        <w:spacing w:before="240" w:after="240" w:line="360" w:lineRule="auto"/>
        <w:jc w:val="both"/>
        <w:rPr>
          <w:rFonts w:ascii="Palatino Linotype" w:eastAsia="Palatino Linotype" w:hAnsi="Palatino Linotype" w:cs="Palatino Linotype"/>
          <w:b/>
          <w:color w:val="000000"/>
          <w:sz w:val="24"/>
          <w:szCs w:val="24"/>
          <w:lang w:val="en-US"/>
        </w:rPr>
      </w:pPr>
      <w:r w:rsidRPr="00281B35">
        <w:rPr>
          <w:rFonts w:ascii="Palatino Linotype" w:eastAsia="Palatino Linotype" w:hAnsi="Palatino Linotype" w:cs="Palatino Linotype"/>
          <w:b/>
          <w:sz w:val="24"/>
          <w:szCs w:val="24"/>
          <w:lang w:val="en-US"/>
        </w:rPr>
        <w:t>00764/INFO</w:t>
      </w:r>
      <w:r w:rsidRPr="00281B35">
        <w:rPr>
          <w:rFonts w:ascii="Palatino Linotype" w:eastAsia="Palatino Linotype" w:hAnsi="Palatino Linotype" w:cs="Palatino Linotype"/>
          <w:b/>
          <w:sz w:val="24"/>
          <w:szCs w:val="24"/>
          <w:lang w:val="en-US"/>
        </w:rPr>
        <w:t>EM/IP/RR/2022:</w:t>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sidRPr="00281B35">
        <w:rPr>
          <w:rFonts w:ascii="Palatino Linotype" w:eastAsia="Palatino Linotype" w:hAnsi="Palatino Linotype" w:cs="Palatino Linotype"/>
          <w:b/>
          <w:color w:val="000000"/>
          <w:sz w:val="24"/>
          <w:szCs w:val="24"/>
          <w:lang w:val="en-US"/>
        </w:rPr>
        <w:t>“</w:t>
      </w:r>
      <w:r w:rsidRPr="00281B35">
        <w:rPr>
          <w:rFonts w:ascii="Palatino Linotype" w:eastAsia="Palatino Linotype" w:hAnsi="Palatino Linotype" w:cs="Palatino Linotype"/>
          <w:b/>
          <w:color w:val="000000"/>
          <w:sz w:val="24"/>
          <w:szCs w:val="24"/>
          <w:u w:val="single"/>
          <w:lang w:val="en-US"/>
        </w:rPr>
        <w:t>DGA-SRH-M-0080-2022.pdf</w:t>
      </w:r>
      <w:r w:rsidRPr="00281B35">
        <w:rPr>
          <w:rFonts w:ascii="Palatino Linotype" w:eastAsia="Palatino Linotype" w:hAnsi="Palatino Linotype" w:cs="Palatino Linotype"/>
          <w:b/>
          <w:color w:val="000000"/>
          <w:sz w:val="24"/>
          <w:szCs w:val="24"/>
          <w:lang w:val="en-US"/>
        </w:rPr>
        <w:t xml:space="preserve">”. </w:t>
      </w:r>
      <w:r>
        <w:rPr>
          <w:rFonts w:ascii="Palatino Linotype" w:eastAsia="Palatino Linotype" w:hAnsi="Palatino Linotype" w:cs="Palatino Linotype"/>
          <w:color w:val="000000"/>
          <w:sz w:val="24"/>
          <w:szCs w:val="24"/>
        </w:rPr>
        <w:t>Contiene el oficio DGA/SRH/M/0080/2022 a través del cual la Directora General de Administración precisa que envía, nombre y cargo de todo el personal de la Dirección General de Educación y Cultura, número de funcio</w:t>
      </w:r>
      <w:r>
        <w:rPr>
          <w:rFonts w:ascii="Palatino Linotype" w:eastAsia="Palatino Linotype" w:hAnsi="Palatino Linotype" w:cs="Palatino Linotype"/>
          <w:color w:val="000000"/>
          <w:sz w:val="24"/>
          <w:szCs w:val="24"/>
        </w:rPr>
        <w:t>narios y número de empleados de confianza, así mismo precisa que adjunta ocho archivos de fichas curriculares.</w:t>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u w:val="single"/>
        </w:rPr>
        <w:t>“plantilla EDUCACION CULTURA 2022.pdf”</w:t>
      </w:r>
      <w:r>
        <w:rPr>
          <w:rFonts w:ascii="Palatino Linotype" w:eastAsia="Palatino Linotype" w:hAnsi="Palatino Linotype" w:cs="Palatino Linotype"/>
          <w:color w:val="000000"/>
          <w:sz w:val="24"/>
          <w:szCs w:val="24"/>
        </w:rPr>
        <w:t>. Contiene lo siguiente:</w:t>
      </w:r>
      <w:r>
        <w:rPr>
          <w:noProof/>
        </w:rPr>
        <mc:AlternateContent>
          <mc:Choice Requires="wpg">
            <w:drawing>
              <wp:anchor distT="0" distB="0" distL="114300" distR="114300" simplePos="0" relativeHeight="251658240" behindDoc="0" locked="0" layoutInCell="1" hidden="0" allowOverlap="1">
                <wp:simplePos x="0" y="0"/>
                <wp:positionH relativeFrom="column">
                  <wp:posOffset>-101599</wp:posOffset>
                </wp:positionH>
                <wp:positionV relativeFrom="paragraph">
                  <wp:posOffset>495300</wp:posOffset>
                </wp:positionV>
                <wp:extent cx="5638800" cy="2905125"/>
                <wp:effectExtent l="0" t="0" r="0" b="0"/>
                <wp:wrapNone/>
                <wp:docPr id="126" name="Conector recto de flecha 126"/>
                <wp:cNvGraphicFramePr/>
                <a:graphic xmlns:a="http://schemas.openxmlformats.org/drawingml/2006/main">
                  <a:graphicData uri="http://schemas.microsoft.com/office/word/2010/wordprocessingShape">
                    <wps:wsp>
                      <wps:cNvCnPr/>
                      <wps:spPr>
                        <a:xfrm>
                          <a:off x="2536125" y="2336963"/>
                          <a:ext cx="5619750" cy="2886075"/>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495300</wp:posOffset>
                </wp:positionV>
                <wp:extent cx="5638800" cy="2905125"/>
                <wp:effectExtent b="0" l="0" r="0" t="0"/>
                <wp:wrapNone/>
                <wp:docPr id="126"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5638800" cy="2905125"/>
                        </a:xfrm>
                        <a:prstGeom prst="rect"/>
                        <a:ln/>
                      </pic:spPr>
                    </pic:pic>
                  </a:graphicData>
                </a:graphic>
              </wp:anchor>
            </w:drawing>
          </mc:Fallback>
        </mc:AlternateContent>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extent cx="5658721" cy="4279856"/>
            <wp:effectExtent l="0" t="0" r="0" b="0"/>
            <wp:docPr id="1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30888" t="13579" r="15478" b="14302"/>
                    <a:stretch>
                      <a:fillRect/>
                    </a:stretch>
                  </pic:blipFill>
                  <pic:spPr>
                    <a:xfrm>
                      <a:off x="0" y="0"/>
                      <a:ext cx="5658721" cy="4279856"/>
                    </a:xfrm>
                    <a:prstGeom prst="rect">
                      <a:avLst/>
                    </a:prstGeom>
                    <a:ln/>
                  </pic:spPr>
                </pic:pic>
              </a:graphicData>
            </a:graphic>
          </wp:inline>
        </w:drawing>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color w:val="000000"/>
          <w:sz w:val="24"/>
          <w:szCs w:val="24"/>
          <w:u w:val="single"/>
        </w:rPr>
        <w:t>1 F curric ED CULTURA MENDEZ MARCOS GIOVANI.pdf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w:t>
      </w:r>
      <w:r>
        <w:rPr>
          <w:rFonts w:ascii="Palatino Linotype" w:eastAsia="Palatino Linotype" w:hAnsi="Palatino Linotype" w:cs="Palatino Linotype"/>
          <w:color w:val="000000"/>
          <w:sz w:val="24"/>
          <w:szCs w:val="24"/>
        </w:rPr>
        <w:t>r de Giovani Mendez Marcos, Jefe de Departamento de Vinculación y Eventos.</w:t>
      </w:r>
    </w:p>
    <w:p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MENCHACA OLIVIER JUAN LUIS.pdf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Juan Luis Menchaca Olivier, Subdirector de Cultura.</w:t>
      </w:r>
    </w:p>
    <w:p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w:t>
      </w:r>
      <w:r>
        <w:rPr>
          <w:rFonts w:ascii="Palatino Linotype" w:eastAsia="Palatino Linotype" w:hAnsi="Palatino Linotype" w:cs="Palatino Linotype"/>
          <w:b/>
          <w:color w:val="000000"/>
          <w:sz w:val="24"/>
          <w:szCs w:val="24"/>
          <w:u w:val="single"/>
        </w:rPr>
        <w:t>1 F curric ED CULTURA HERNANDEZ HERNANDEZ DANIEL DE JESUS.pdf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Daniel De Jesus Hernandez Hernandez, Jefe de Departamento de Gestión Educativa.</w:t>
      </w:r>
    </w:p>
    <w:p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PEREZ RAMOS ABIU.pdf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Ab</w:t>
      </w:r>
      <w:r>
        <w:rPr>
          <w:rFonts w:ascii="Palatino Linotype" w:eastAsia="Palatino Linotype" w:hAnsi="Palatino Linotype" w:cs="Palatino Linotype"/>
          <w:color w:val="000000"/>
          <w:sz w:val="24"/>
          <w:szCs w:val="24"/>
        </w:rPr>
        <w:t xml:space="preserve">iu Perez Ramos, Jefe de Departamento de Promoción y Difusión. </w:t>
      </w:r>
    </w:p>
    <w:p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JIJON CRUZ MINERVA.pdf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la ficha Curricular de Minerva Jijon Cruz, Subdirectora de Educación. </w:t>
      </w:r>
    </w:p>
    <w:p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NAYELI CISNEROS GARCIA.pdf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w:t>
      </w:r>
      <w:r>
        <w:rPr>
          <w:rFonts w:ascii="Palatino Linotype" w:eastAsia="Palatino Linotype" w:hAnsi="Palatino Linotype" w:cs="Palatino Linotype"/>
          <w:color w:val="000000"/>
          <w:sz w:val="24"/>
          <w:szCs w:val="24"/>
        </w:rPr>
        <w:t xml:space="preserve">icha Curricular de Nayeli Cisneros Garcia, Coordinadora Administrativa. </w:t>
      </w:r>
    </w:p>
    <w:p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MAYER ANAYA CARLOS GUILLERMO MARCIAL.pdf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Carlos Guillermo Marcial Mayer Anaya, Jefe de Departamento de Bibliotecas.</w:t>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w:t>
      </w:r>
      <w:r>
        <w:rPr>
          <w:rFonts w:ascii="Palatino Linotype" w:eastAsia="Palatino Linotype" w:hAnsi="Palatino Linotype" w:cs="Palatino Linotype"/>
          <w:b/>
          <w:color w:val="000000"/>
          <w:sz w:val="24"/>
          <w:szCs w:val="24"/>
          <w:u w:val="single"/>
        </w:rPr>
        <w:t>c ED CULTURA BUITRON CORNEJO LETICIA.pdf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Leticia Buitron Cornejo, Directora de Cultura y Educación.</w:t>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Dichos documentos fueron puestos a la vista de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fecha veintinueve de marzo de dos mil veintidós. </w:t>
      </w:r>
    </w:p>
    <w:p w:rsidR="00B36041" w:rsidRPr="00281B35" w:rsidRDefault="00243587">
      <w:pPr>
        <w:spacing w:before="240" w:after="240" w:line="360" w:lineRule="auto"/>
        <w:jc w:val="both"/>
        <w:rPr>
          <w:rFonts w:ascii="Palatino Linotype" w:eastAsia="Palatino Linotype" w:hAnsi="Palatino Linotype" w:cs="Palatino Linotype"/>
          <w:b/>
          <w:color w:val="000000"/>
          <w:sz w:val="24"/>
          <w:szCs w:val="24"/>
          <w:lang w:val="en-US"/>
        </w:rPr>
      </w:pPr>
      <w:r w:rsidRPr="00281B35">
        <w:rPr>
          <w:rFonts w:ascii="Palatino Linotype" w:eastAsia="Palatino Linotype" w:hAnsi="Palatino Linotype" w:cs="Palatino Linotype"/>
          <w:b/>
          <w:sz w:val="24"/>
          <w:szCs w:val="24"/>
          <w:lang w:val="en-US"/>
        </w:rPr>
        <w:t>00766/IN</w:t>
      </w:r>
      <w:r w:rsidRPr="00281B35">
        <w:rPr>
          <w:rFonts w:ascii="Palatino Linotype" w:eastAsia="Palatino Linotype" w:hAnsi="Palatino Linotype" w:cs="Palatino Linotype"/>
          <w:b/>
          <w:sz w:val="24"/>
          <w:szCs w:val="24"/>
          <w:lang w:val="en-US"/>
        </w:rPr>
        <w:t>FOEM/IP/RR/2022:</w:t>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sidRPr="00281B35">
        <w:rPr>
          <w:rFonts w:ascii="Palatino Linotype" w:eastAsia="Palatino Linotype" w:hAnsi="Palatino Linotype" w:cs="Palatino Linotype"/>
          <w:b/>
          <w:color w:val="000000"/>
          <w:sz w:val="24"/>
          <w:szCs w:val="24"/>
          <w:lang w:val="en-US"/>
        </w:rPr>
        <w:lastRenderedPageBreak/>
        <w:t>“</w:t>
      </w:r>
      <w:r w:rsidRPr="00281B35">
        <w:rPr>
          <w:rFonts w:ascii="Palatino Linotype" w:eastAsia="Palatino Linotype" w:hAnsi="Palatino Linotype" w:cs="Palatino Linotype"/>
          <w:b/>
          <w:color w:val="000000"/>
          <w:sz w:val="24"/>
          <w:szCs w:val="24"/>
          <w:u w:val="single"/>
          <w:lang w:val="en-US"/>
        </w:rPr>
        <w:t>DGA-SRH-M-0079-2022.pdf</w:t>
      </w:r>
      <w:r w:rsidRPr="00281B35">
        <w:rPr>
          <w:rFonts w:ascii="Palatino Linotype" w:eastAsia="Palatino Linotype" w:hAnsi="Palatino Linotype" w:cs="Palatino Linotype"/>
          <w:b/>
          <w:color w:val="000000"/>
          <w:sz w:val="24"/>
          <w:szCs w:val="24"/>
          <w:lang w:val="en-US"/>
        </w:rPr>
        <w:t xml:space="preserve">”. </w:t>
      </w:r>
      <w:r>
        <w:rPr>
          <w:rFonts w:ascii="Palatino Linotype" w:eastAsia="Palatino Linotype" w:hAnsi="Palatino Linotype" w:cs="Palatino Linotype"/>
          <w:color w:val="000000"/>
          <w:sz w:val="24"/>
          <w:szCs w:val="24"/>
        </w:rPr>
        <w:t>Contiene el oficio DGA/SRH/M/0079/2022 a través del cual la Directora General de Administración precisa que envía, la información solicitada  de la Directora General de Educación y Cultura, como se observa a cont</w:t>
      </w:r>
      <w:r>
        <w:rPr>
          <w:rFonts w:ascii="Palatino Linotype" w:eastAsia="Palatino Linotype" w:hAnsi="Palatino Linotype" w:cs="Palatino Linotype"/>
          <w:color w:val="000000"/>
          <w:sz w:val="24"/>
          <w:szCs w:val="24"/>
        </w:rPr>
        <w:t>inuación:</w:t>
      </w:r>
    </w:p>
    <w:p w:rsidR="00B36041" w:rsidRDefault="00B36041">
      <w:pPr>
        <w:spacing w:before="240" w:after="240" w:line="360" w:lineRule="auto"/>
        <w:jc w:val="both"/>
        <w:rPr>
          <w:rFonts w:ascii="Palatino Linotype" w:eastAsia="Palatino Linotype" w:hAnsi="Palatino Linotype" w:cs="Palatino Linotype"/>
          <w:color w:val="000000"/>
          <w:sz w:val="24"/>
          <w:szCs w:val="24"/>
        </w:rPr>
      </w:pPr>
    </w:p>
    <w:p w:rsidR="00B36041" w:rsidRDefault="00243587">
      <w:pPr>
        <w:spacing w:before="240" w:after="24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extent cx="4529067" cy="5876175"/>
            <wp:effectExtent l="0" t="0" r="0" b="0"/>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41073" t="13579" r="25832" b="10077"/>
                    <a:stretch>
                      <a:fillRect/>
                    </a:stretch>
                  </pic:blipFill>
                  <pic:spPr>
                    <a:xfrm>
                      <a:off x="0" y="0"/>
                      <a:ext cx="4529067" cy="5876175"/>
                    </a:xfrm>
                    <a:prstGeom prst="rect">
                      <a:avLst/>
                    </a:prstGeom>
                    <a:ln/>
                  </pic:spPr>
                </pic:pic>
              </a:graphicData>
            </a:graphic>
          </wp:inline>
        </w:drawing>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extent cx="5401059" cy="6920955"/>
            <wp:effectExtent l="0" t="0" r="0" b="0"/>
            <wp:docPr id="1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l="40733" t="18105" r="25492" b="4948"/>
                    <a:stretch>
                      <a:fillRect/>
                    </a:stretch>
                  </pic:blipFill>
                  <pic:spPr>
                    <a:xfrm>
                      <a:off x="0" y="0"/>
                      <a:ext cx="5401059" cy="6920955"/>
                    </a:xfrm>
                    <a:prstGeom prst="rect">
                      <a:avLst/>
                    </a:prstGeom>
                    <a:ln/>
                  </pic:spPr>
                </pic:pic>
              </a:graphicData>
            </a:graphic>
          </wp:inline>
        </w:drawing>
      </w:r>
    </w:p>
    <w:p w:rsidR="00B36041" w:rsidRDefault="00B36041">
      <w:pPr>
        <w:spacing w:before="240" w:after="240" w:line="360" w:lineRule="auto"/>
        <w:jc w:val="both"/>
        <w:rPr>
          <w:rFonts w:ascii="Palatino Linotype" w:eastAsia="Palatino Linotype" w:hAnsi="Palatino Linotype" w:cs="Palatino Linotype"/>
          <w:color w:val="000000"/>
          <w:sz w:val="24"/>
          <w:szCs w:val="24"/>
        </w:rPr>
      </w:pP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Así mismo,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color w:val="000000"/>
          <w:sz w:val="24"/>
          <w:szCs w:val="24"/>
        </w:rPr>
        <w:t xml:space="preserve">contiene la ficha Curricular de Leticia Buitron Cornejo, Directora de Cultura y Educación, precisado en el archivo denominado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BUITRON CORNEJO LETICIA.pdf</w:t>
      </w:r>
      <w:r>
        <w:rPr>
          <w:rFonts w:ascii="Palatino Linotype" w:eastAsia="Palatino Linotype" w:hAnsi="Palatino Linotype" w:cs="Palatino Linotype"/>
          <w:b/>
          <w:color w:val="000000"/>
          <w:sz w:val="24"/>
          <w:szCs w:val="24"/>
        </w:rPr>
        <w:t>”</w:t>
      </w:r>
    </w:p>
    <w:p w:rsidR="00B36041" w:rsidRDefault="00243587">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DEL CIERRE DE INSTRUCCIÓN. </w:t>
      </w:r>
      <w:r>
        <w:rPr>
          <w:rFonts w:ascii="Palatino Linotype" w:eastAsia="Palatino Linotype" w:hAnsi="Palatino Linotype" w:cs="Palatino Linotype"/>
          <w:color w:val="000000"/>
          <w:sz w:val="24"/>
          <w:szCs w:val="24"/>
        </w:rPr>
        <w:t xml:space="preserve">El siete de abril de dos mil veintidós, al no existir diligencias pendientes por desahogar, se emitió el acuerdo por medio del cual se declaró cerrada la instrucción y se determinó pasar el expediente a resolución, en términos del artículo 185 fracción VI </w:t>
      </w:r>
      <w:r>
        <w:rPr>
          <w:rFonts w:ascii="Palatino Linotype" w:eastAsia="Palatino Linotype" w:hAnsi="Palatino Linotype" w:cs="Palatino Linotype"/>
          <w:color w:val="000000"/>
          <w:sz w:val="24"/>
          <w:szCs w:val="24"/>
        </w:rPr>
        <w:t>y VIII de la Ley de Transparencia y Acceso a la Información Pública del Estado de México y Municipios, iniciando el término legal para dictar resolución definitiva del asunto.</w:t>
      </w:r>
    </w:p>
    <w:p w:rsidR="00B36041" w:rsidRDefault="00243587">
      <w:pPr>
        <w:spacing w:before="240" w:after="240"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b/>
          <w:sz w:val="24"/>
          <w:szCs w:val="24"/>
        </w:rPr>
        <w:t>10. DE LA AMPLIACIÓN DE PLAZO.</w:t>
      </w:r>
      <w:r>
        <w:rPr>
          <w:rFonts w:ascii="Palatino Linotype" w:eastAsia="Palatino Linotype" w:hAnsi="Palatino Linotype" w:cs="Palatino Linotype"/>
          <w:color w:val="202124"/>
          <w:highlight w:val="white"/>
        </w:rPr>
        <w:t xml:space="preserve"> </w:t>
      </w:r>
      <w:r>
        <w:rPr>
          <w:rFonts w:ascii="Palatino Linotype" w:eastAsia="Palatino Linotype" w:hAnsi="Palatino Linotype" w:cs="Palatino Linotype"/>
          <w:color w:val="202124"/>
          <w:sz w:val="24"/>
          <w:szCs w:val="24"/>
          <w:highlight w:val="white"/>
        </w:rPr>
        <w:t xml:space="preserve">En fecha </w:t>
      </w:r>
      <w:r>
        <w:rPr>
          <w:rFonts w:ascii="Palatino Linotype" w:eastAsia="Palatino Linotype" w:hAnsi="Palatino Linotype" w:cs="Palatino Linotype"/>
          <w:color w:val="000000"/>
          <w:sz w:val="24"/>
          <w:szCs w:val="24"/>
        </w:rPr>
        <w:t xml:space="preserve">siete de abril </w:t>
      </w:r>
      <w:r>
        <w:rPr>
          <w:rFonts w:ascii="Palatino Linotype" w:eastAsia="Palatino Linotype" w:hAnsi="Palatino Linotype" w:cs="Palatino Linotype"/>
          <w:color w:val="202124"/>
          <w:sz w:val="24"/>
          <w:szCs w:val="24"/>
          <w:highlight w:val="white"/>
        </w:rPr>
        <w:t>del dos mil veintidós, es</w:t>
      </w:r>
      <w:r>
        <w:rPr>
          <w:rFonts w:ascii="Palatino Linotype" w:eastAsia="Palatino Linotype" w:hAnsi="Palatino Linotype" w:cs="Palatino Linotype"/>
          <w:color w:val="202124"/>
          <w:sz w:val="24"/>
          <w:szCs w:val="24"/>
          <w:highlight w:val="white"/>
        </w:rPr>
        <w:t>te Instituto con fundamento en el artículo 181, párrafo tercero de la Ley de Transparencia y Acceso a la Información Pública del Estado de México y Municipios, determinó mediante el acuerdo respectivo, ampliar por quince días hábiles adicionales el plazo p</w:t>
      </w:r>
      <w:r>
        <w:rPr>
          <w:rFonts w:ascii="Palatino Linotype" w:eastAsia="Palatino Linotype" w:hAnsi="Palatino Linotype" w:cs="Palatino Linotype"/>
          <w:color w:val="202124"/>
          <w:sz w:val="24"/>
          <w:szCs w:val="24"/>
          <w:highlight w:val="white"/>
        </w:rPr>
        <w:t>ara emitir la presente resolución a fin de realizar un mejor estudio del asunto.</w:t>
      </w:r>
    </w:p>
    <w:p w:rsidR="00B36041" w:rsidRDefault="00B36041">
      <w:pPr>
        <w:spacing w:before="240" w:after="240" w:line="360" w:lineRule="auto"/>
        <w:ind w:right="49"/>
        <w:jc w:val="both"/>
        <w:rPr>
          <w:rFonts w:ascii="Palatino Linotype" w:eastAsia="Palatino Linotype" w:hAnsi="Palatino Linotype" w:cs="Palatino Linotype"/>
          <w:color w:val="000000"/>
          <w:sz w:val="24"/>
          <w:szCs w:val="24"/>
        </w:rPr>
      </w:pPr>
    </w:p>
    <w:p w:rsidR="00B36041" w:rsidRDefault="00243587">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w:t>
      </w:r>
      <w:r>
        <w:rPr>
          <w:rFonts w:ascii="Palatino Linotype" w:eastAsia="Palatino Linotype" w:hAnsi="Palatino Linotype" w:cs="Palatino Linotype"/>
          <w:sz w:val="24"/>
          <w:szCs w:val="24"/>
        </w:rPr>
        <w:t>mpetente para conocer y resolver los presentes recursos de revisión, conforme a lo dispuesto en los artículos 6, apartado A, fracción IV, de la Constitución Política de los Estados Unidos Mexicanos; 5, párrafos trigésimo, trigésimo primero y trigésimo segu</w:t>
      </w:r>
      <w:r>
        <w:rPr>
          <w:rFonts w:ascii="Palatino Linotype" w:eastAsia="Palatino Linotype" w:hAnsi="Palatino Linotype" w:cs="Palatino Linotype"/>
          <w:sz w:val="24"/>
          <w:szCs w:val="24"/>
        </w:rPr>
        <w:t>ndo, fracciones IV y V, de la Constitución Política del Estado Libre y Soberano de México; artículos 1, 2 fracción II, 13, 29, 36 fracciones I y II, 176, 178, 179, 181 párrafo tercero y 185, 186 y 188 de la Ley de Transparencia y Acceso a la Información Pú</w:t>
      </w:r>
      <w:r>
        <w:rPr>
          <w:rFonts w:ascii="Palatino Linotype" w:eastAsia="Palatino Linotype" w:hAnsi="Palatino Linotype" w:cs="Palatino Linotype"/>
          <w:sz w:val="24"/>
          <w:szCs w:val="24"/>
        </w:rPr>
        <w:t>blica del Estado de México y Municipios; y 10, 7, 9 fracciones I y XXIV y 11, del Reglamento Interior del Instituto de Transparencia, Acceso a la Información Pública y Protección de Datos Personales del Estado de México y Municipios.</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w:t>
      </w:r>
      <w:r>
        <w:rPr>
          <w:rFonts w:ascii="Palatino Linotype" w:eastAsia="Palatino Linotype" w:hAnsi="Palatino Linotype" w:cs="Palatino Linotype"/>
          <w:b/>
          <w:sz w:val="24"/>
          <w:szCs w:val="24"/>
        </w:rPr>
        <w:t xml:space="preserve"> PROCEDIBILIDAD.</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Es de precisar que la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Ley de Transparencia y Acceso a la Información Pública del Estado de México y Municipios, describe el mecanismo de procedencia de los recursos de revisión, como se dispone en los artículos 163 y 166, del tenor literal siguiente: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163. </w:t>
      </w:r>
      <w:r>
        <w:rPr>
          <w:rFonts w:ascii="Palatino Linotype" w:eastAsia="Palatino Linotype" w:hAnsi="Palatino Linotype" w:cs="Palatino Linotype"/>
          <w:i/>
        </w:rPr>
        <w:t>La Unidad d</w:t>
      </w:r>
      <w:r>
        <w:rPr>
          <w:rFonts w:ascii="Palatino Linotype" w:eastAsia="Palatino Linotype" w:hAnsi="Palatino Linotype" w:cs="Palatino Linotype"/>
          <w:i/>
        </w:rPr>
        <w:t xml:space="preserve">e Transparencia deberá notificar la respuesta a la solicitud al interesado en el menor tiempo posible, que no podrá exceder de quince días hábiles, contados a partir del día siguiente a la presentación de aquélla.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166.</w:t>
      </w:r>
      <w:r>
        <w:rPr>
          <w:rFonts w:ascii="Palatino Linotype" w:eastAsia="Palatino Linotype" w:hAnsi="Palatino Linotype" w:cs="Palatino Linotype"/>
          <w:i/>
        </w:rPr>
        <w:t xml:space="preserve">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Cuando el sujeto obli</w:t>
      </w:r>
      <w:r>
        <w:rPr>
          <w:rFonts w:ascii="Palatino Linotype" w:eastAsia="Palatino Linotype" w:hAnsi="Palatino Linotype" w:cs="Palatino Linotype"/>
          <w:i/>
        </w:rPr>
        <w:t xml:space="preserve">gado no entregue la respuesta a la solicitud dentro del plazo previsto en la Ley, la solicitud se entenderá negada y el solicitante podrá interponer el recurso de revisión previsto en este ordenamiento.” </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interpretación sistemática a los preceptos le</w:t>
      </w:r>
      <w:r>
        <w:rPr>
          <w:rFonts w:ascii="Palatino Linotype" w:eastAsia="Palatino Linotype" w:hAnsi="Palatino Linotype" w:cs="Palatino Linotype"/>
          <w:sz w:val="24"/>
          <w:szCs w:val="24"/>
        </w:rPr>
        <w:t>gales insertos, se obtiene que el plazo que les asiste a los Sujetos Obligados para entregar la respuesta a una solicitud de información pública es de quince días hábiles posteriores a la presentación de ésta; sin embargo, en aquellos casos en que transcur</w:t>
      </w:r>
      <w:r>
        <w:rPr>
          <w:rFonts w:ascii="Palatino Linotype" w:eastAsia="Palatino Linotype" w:hAnsi="Palatino Linotype" w:cs="Palatino Linotype"/>
          <w:sz w:val="24"/>
          <w:szCs w:val="24"/>
        </w:rPr>
        <w:t>re el referido plazo de quince días hábiles, sin que los Sujetos Obligados entreguen la respuesta a la solicitud de información, ésta se considera negada; por lo que al solicitante le asiste el derecho para presentar el recurso de revisión.</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Derivado de lo </w:t>
      </w:r>
      <w:r>
        <w:rPr>
          <w:rFonts w:ascii="Palatino Linotype" w:eastAsia="Palatino Linotype" w:hAnsi="Palatino Linotype" w:cs="Palatino Linotype"/>
          <w:sz w:val="24"/>
          <w:szCs w:val="24"/>
        </w:rPr>
        <w:t>anterior, se constituye lo que en la doctrina se conoce como negativa ficta, figura jurídica cuya esencia consiste en atribuir un efecto negativo al silencio de la autoridad administrativa frente a las instancias y solicitudes que hagan los particulares.</w:t>
      </w:r>
    </w:p>
    <w:p w:rsidR="00B36041" w:rsidRDefault="00243587">
      <w:pPr>
        <w:spacing w:before="240" w:after="24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P</w:t>
      </w:r>
      <w:r>
        <w:rPr>
          <w:rFonts w:ascii="Palatino Linotype" w:eastAsia="Palatino Linotype" w:hAnsi="Palatino Linotype" w:cs="Palatino Linotype"/>
          <w:sz w:val="24"/>
          <w:szCs w:val="24"/>
        </w:rPr>
        <w:t>or su parte, el artículo 178 del citado ordenamiento, establece:</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178. </w:t>
      </w:r>
      <w:r>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w:t>
      </w:r>
      <w:r>
        <w:rPr>
          <w:rFonts w:ascii="Palatino Linotype" w:eastAsia="Palatino Linotype" w:hAnsi="Palatino Linotype" w:cs="Palatino Linotype"/>
          <w:i/>
        </w:rPr>
        <w:t>d de Transparencia que haya conocido de la solicitud dentro de los quince días hábiles, siguientes a la fecha de la notificación de la respuesta</w:t>
      </w:r>
      <w:r>
        <w:rPr>
          <w:rFonts w:ascii="Palatino Linotype" w:eastAsia="Palatino Linotype" w:hAnsi="Palatino Linotype" w:cs="Palatino Linotype"/>
          <w:b/>
          <w:i/>
        </w:rPr>
        <w:t>.”</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advierte que el recurso de revisión se ha de interponer dentro del plazo de quince días há</w:t>
      </w:r>
      <w:r>
        <w:rPr>
          <w:rFonts w:ascii="Palatino Linotype" w:eastAsia="Palatino Linotype" w:hAnsi="Palatino Linotype" w:cs="Palatino Linotype"/>
          <w:sz w:val="24"/>
          <w:szCs w:val="24"/>
        </w:rPr>
        <w:t xml:space="preserve">biles, a partir de la fecha en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da respuesta a la solicitud de información; sin embargo, tratándose de negativa ficta no </w:t>
      </w:r>
      <w:r>
        <w:rPr>
          <w:rFonts w:ascii="Palatino Linotype" w:eastAsia="Palatino Linotype" w:hAnsi="Palatino Linotype" w:cs="Palatino Linotype"/>
          <w:sz w:val="24"/>
          <w:szCs w:val="24"/>
        </w:rPr>
        <w:lastRenderedPageBreak/>
        <w:t>existe resolución que se haga del conocimiento del particular a partir de la cual pueda computarse dicho plazo, p</w:t>
      </w:r>
      <w:r>
        <w:rPr>
          <w:rFonts w:ascii="Palatino Linotype" w:eastAsia="Palatino Linotype" w:hAnsi="Palatino Linotype" w:cs="Palatino Linotype"/>
          <w:sz w:val="24"/>
          <w:szCs w:val="24"/>
        </w:rPr>
        <w:t>or lo que se concluye que la interposición del recurso de revisión puede ser en cualquier momento.</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La negativa ficta constituye una presunción legal, en el entendido de que donde no hubo respuesta por parte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existe por lo tanto, una reso</w:t>
      </w:r>
      <w:r>
        <w:rPr>
          <w:rFonts w:ascii="Palatino Linotype" w:eastAsia="Palatino Linotype" w:hAnsi="Palatino Linotype" w:cs="Palatino Linotype"/>
          <w:sz w:val="24"/>
          <w:szCs w:val="24"/>
        </w:rPr>
        <w:t>lución de rechazo ante la solicitud del ciudadano; ya que efectivamente, dicha figura se encuentra íntimamente vinculada con el Derecho de Petición, consagrado en nuestra Carta Magna, es por ello que constituye un instrumento que garantiza la posibilidad d</w:t>
      </w:r>
      <w:r>
        <w:rPr>
          <w:rFonts w:ascii="Palatino Linotype" w:eastAsia="Palatino Linotype" w:hAnsi="Palatino Linotype" w:cs="Palatino Linotype"/>
          <w:sz w:val="24"/>
          <w:szCs w:val="24"/>
        </w:rPr>
        <w:t>e defensa del particular en contra de la incertidumbre jurídica y que tiende a realizar ese Estado de Derecho en el que, el particular, tiene siempre una vía de defensa en contra de los actos autoritarios que le perjudican.</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marco del derecho de acces</w:t>
      </w:r>
      <w:r>
        <w:rPr>
          <w:rFonts w:ascii="Palatino Linotype" w:eastAsia="Palatino Linotype" w:hAnsi="Palatino Linotype" w:cs="Palatino Linotype"/>
          <w:sz w:val="24"/>
          <w:szCs w:val="24"/>
        </w:rPr>
        <w:t>o a la información pública, la figura de la negativa ficta brinda al ciudadano la oportunidad de inconformarse en los casos en que estime violentado su derecho; permitiendo a este Instituto cumplir los principios por los cuales la misma ley se rige que ati</w:t>
      </w:r>
      <w:r>
        <w:rPr>
          <w:rFonts w:ascii="Palatino Linotype" w:eastAsia="Palatino Linotype" w:hAnsi="Palatino Linotype" w:cs="Palatino Linotype"/>
          <w:sz w:val="24"/>
          <w:szCs w:val="24"/>
        </w:rPr>
        <w:t>enden a la simplicidad y rapidez al acceso a la información, por lo tanto antes de que se actualice un recurso extemporáneo, se actualiza la omisión del Sujeto Obligado de dar respuesta, por lo que este Organismo Garante del derecho de acceso a la informac</w:t>
      </w:r>
      <w:r>
        <w:rPr>
          <w:rFonts w:ascii="Palatino Linotype" w:eastAsia="Palatino Linotype" w:hAnsi="Palatino Linotype" w:cs="Palatino Linotype"/>
          <w:sz w:val="24"/>
          <w:szCs w:val="24"/>
        </w:rPr>
        <w:t>ión y en aras de privilegiar el principio de máxima publicidad deberá dar entrada al estudio del fondo del recurso interpuesto en dichos casos y no optar por el desechamiento del mismo.</w:t>
      </w:r>
    </w:p>
    <w:p w:rsidR="00B36041" w:rsidRDefault="00243587">
      <w:pPr>
        <w:spacing w:before="240" w:after="24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lastRenderedPageBreak/>
        <w:t xml:space="preserve">Por lo tanto, con la finalidad de no reducir ni limitar el derecho de </w:t>
      </w:r>
      <w:r>
        <w:rPr>
          <w:rFonts w:ascii="Palatino Linotype" w:eastAsia="Palatino Linotype" w:hAnsi="Palatino Linotype" w:cs="Palatino Linotype"/>
          <w:sz w:val="24"/>
          <w:szCs w:val="24"/>
        </w:rPr>
        <w:t xml:space="preserve">acceso a la información y concederle una protección más eficaz al solicitante para impugnar el silencio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éste tiene la posibilidad de impugnar dicha omisión en cualquier tiempo mediante el recurso de revisión y con ello satisfacer su pr</w:t>
      </w:r>
      <w:r>
        <w:rPr>
          <w:rFonts w:ascii="Palatino Linotype" w:eastAsia="Palatino Linotype" w:hAnsi="Palatino Linotype" w:cs="Palatino Linotype"/>
          <w:sz w:val="24"/>
          <w:szCs w:val="24"/>
        </w:rPr>
        <w:t>etensión; postura que ha sido adoptada mediante criterio número 001-15, aprobado por el Pleno del Instituto de Transparencia, Acceso a la Información Pública y Protección de Datos Personales del Estado de México y Municipios y publicado en el Periódico Ofi</w:t>
      </w:r>
      <w:r>
        <w:rPr>
          <w:rFonts w:ascii="Palatino Linotype" w:eastAsia="Palatino Linotype" w:hAnsi="Palatino Linotype" w:cs="Palatino Linotype"/>
          <w:sz w:val="24"/>
          <w:szCs w:val="24"/>
        </w:rPr>
        <w:t>cial del Estado de México “Gaceta del Gobierno”, el veintitrés de abril de dos mil quince, que establece:</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“CRITERIO 0001-15. NEGATIVA FICTA. PLAZO PARA INTERPONER EL RECURSO DE REVISIÓN TRATÁNDOSE DE</w:t>
      </w:r>
      <w:r>
        <w:rPr>
          <w:rFonts w:ascii="Palatino Linotype" w:eastAsia="Palatino Linotype" w:hAnsi="Palatino Linotype" w:cs="Palatino Linotype"/>
          <w:i/>
        </w:rPr>
        <w:t>. El artículo 48, párrafo tercero de la Ley de Transparen</w:t>
      </w:r>
      <w:r>
        <w:rPr>
          <w:rFonts w:ascii="Palatino Linotype" w:eastAsia="Palatino Linotype" w:hAnsi="Palatino Linotype" w:cs="Palatino Linotype"/>
          <w:i/>
        </w:rPr>
        <w:t>cia y Acceso a la Información Pública del Estado de México y Municipios establece que, cuando no se entregue la respuesta a la solicitud dentro del plazo de 15 días establecidos en el artículo 46 de la Ley de la materia, se entenderá por negada la solicitu</w:t>
      </w:r>
      <w:r>
        <w:rPr>
          <w:rFonts w:ascii="Palatino Linotype" w:eastAsia="Palatino Linotype" w:hAnsi="Palatino Linotype" w:cs="Palatino Linotype"/>
          <w:i/>
        </w:rPr>
        <w:t xml:space="preserve">d y podrá interponerse el recurso correspondiente. Por su parte, el artículo 72 del mismo ordenamiento legal establece el plazo de 15 días para interponer el recurso de revisión a partir del día siguiente al que tuvo conocimiento de la respuesta recaída a </w:t>
      </w:r>
      <w:r>
        <w:rPr>
          <w:rFonts w:ascii="Palatino Linotype" w:eastAsia="Palatino Linotype" w:hAnsi="Palatino Linotype" w:cs="Palatino Linotype"/>
          <w:i/>
        </w:rPr>
        <w:t>su solicitud, sin que se establezca excepción alguna tratándose de una falta de respuesta del sujeto obligado. Así, entonces, resulta evidente que, al no emitirse respuesta dentro del plazo establecido, se genera la ficción legal de una respuesta en sentid</w:t>
      </w:r>
      <w:r>
        <w:rPr>
          <w:rFonts w:ascii="Palatino Linotype" w:eastAsia="Palatino Linotype" w:hAnsi="Palatino Linotype" w:cs="Palatino Linotype"/>
          <w:i/>
        </w:rPr>
        <w:t>o negativo; en el entendido de que el plazo para impugnar esa negativa podrá ser en cualquier tiempo y hasta en tanto no se dicte resolución expresa; es decir, mientras no haya respuesta por parte del Sujeto Obligado, momento a partir del cual deberá compu</w:t>
      </w:r>
      <w:r>
        <w:rPr>
          <w:rFonts w:ascii="Palatino Linotype" w:eastAsia="Palatino Linotype" w:hAnsi="Palatino Linotype" w:cs="Palatino Linotype"/>
          <w:i/>
        </w:rPr>
        <w:t xml:space="preserve">tarse el plazo previsto en el artículo 72 de la citada Ley.” </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mismo tiempo, por cuanto hace a la procedibilidad del recurso de revisión, una vez realizado el análisis de los formatos de interposición del recurso, se concluye la </w:t>
      </w:r>
      <w:r>
        <w:rPr>
          <w:rFonts w:ascii="Palatino Linotype" w:eastAsia="Palatino Linotype" w:hAnsi="Palatino Linotype" w:cs="Palatino Linotype"/>
          <w:sz w:val="24"/>
          <w:szCs w:val="24"/>
        </w:rPr>
        <w:lastRenderedPageBreak/>
        <w:t>acreditación plena de los</w:t>
      </w:r>
      <w:r>
        <w:rPr>
          <w:rFonts w:ascii="Palatino Linotype" w:eastAsia="Palatino Linotype" w:hAnsi="Palatino Linotype" w:cs="Palatino Linotype"/>
          <w:sz w:val="24"/>
          <w:szCs w:val="24"/>
        </w:rPr>
        <w:t xml:space="preserve"> elementos formales precisados por el artículo 180 de la Ley de Transparencia y Acceso a la Información Pública del Estado de México y Municipios, en atención a que fue presentado mediante el formato visible en el SAIMEX.</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 efecto de sustentar lo anterior,</w:t>
      </w:r>
      <w:r>
        <w:rPr>
          <w:rFonts w:ascii="Palatino Linotype" w:eastAsia="Palatino Linotype" w:hAnsi="Palatino Linotype" w:cs="Palatino Linotype"/>
          <w:sz w:val="24"/>
          <w:szCs w:val="24"/>
        </w:rPr>
        <w:t xml:space="preserve"> es de suma importancia mencionar que si bien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proporcionó como nombre </w:t>
      </w:r>
      <w:r w:rsidR="00281B35" w:rsidRPr="00281B35">
        <w:rPr>
          <w:rFonts w:ascii="Palatino Linotype" w:eastAsia="Palatino Linotype" w:hAnsi="Palatino Linotype" w:cs="Palatino Linotype"/>
          <w:sz w:val="24"/>
          <w:szCs w:val="24"/>
        </w:rPr>
        <w:t>XXXX XXXXX X</w:t>
      </w:r>
      <w:bookmarkStart w:id="1" w:name="_GoBack"/>
      <w:bookmarkEnd w:id="1"/>
      <w:r>
        <w:rPr>
          <w:rFonts w:ascii="Palatino Linotype" w:eastAsia="Palatino Linotype" w:hAnsi="Palatino Linotype" w:cs="Palatino Linotype"/>
          <w:sz w:val="24"/>
          <w:szCs w:val="24"/>
        </w:rPr>
        <w:t xml:space="preserve"> con el cual desea identificarse como se advierte en el detalle de seguimiento del SAIMEX, sin embargo, el no proporcionar un nombre completo no es motivo</w:t>
      </w:r>
      <w:r>
        <w:rPr>
          <w:rFonts w:ascii="Palatino Linotype" w:eastAsia="Palatino Linotype" w:hAnsi="Palatino Linotype" w:cs="Palatino Linotype"/>
          <w:sz w:val="24"/>
          <w:szCs w:val="24"/>
        </w:rPr>
        <w:t xml:space="preserve"> para archivar la solicitud de acceso a la información pública como concluida, conforme a lo previsto en el artículo 155, penúltimo párrafo de la Ley de Transparencia y Acceso a la Información Pública del Estado de México y Municipios que establece lo sigu</w:t>
      </w:r>
      <w:r>
        <w:rPr>
          <w:rFonts w:ascii="Palatino Linotype" w:eastAsia="Palatino Linotype" w:hAnsi="Palatino Linotype" w:cs="Palatino Linotype"/>
          <w:sz w:val="24"/>
          <w:szCs w:val="24"/>
        </w:rPr>
        <w:t>iente:</w:t>
      </w:r>
    </w:p>
    <w:p w:rsidR="00B36041" w:rsidRDefault="00243587">
      <w:pP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i/>
        </w:rPr>
        <w:t xml:space="preserve">"Las solicitudes anónimas, </w:t>
      </w:r>
      <w:r>
        <w:rPr>
          <w:rFonts w:ascii="Palatino Linotype" w:eastAsia="Palatino Linotype" w:hAnsi="Palatino Linotype" w:cs="Palatino Linotype"/>
          <w:b/>
          <w:i/>
        </w:rPr>
        <w:t>con nombre incompleto o seudónimo 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w:t>
      </w:r>
      <w:r>
        <w:rPr>
          <w:rFonts w:ascii="Palatino Linotype" w:eastAsia="Palatino Linotype" w:hAnsi="Palatino Linotype" w:cs="Palatino Linotype"/>
          <w:sz w:val="24"/>
          <w:szCs w:val="24"/>
        </w:rPr>
        <w:t xml:space="preserve">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por lo que, en el presente caso, al haber sido presentado el recurso de revisión vía SAIMEX, dicho requisito resulta innecesario.</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antes de entrar al estudio de la presente resolución es preciso determinar si resulta proc</w:t>
      </w:r>
      <w:r>
        <w:rPr>
          <w:rFonts w:ascii="Palatino Linotype" w:eastAsia="Palatino Linotype" w:hAnsi="Palatino Linotype" w:cs="Palatino Linotype"/>
          <w:sz w:val="24"/>
          <w:szCs w:val="24"/>
        </w:rPr>
        <w:t xml:space="preserve">edente la interposición del recurso de revisión, toda vez </w:t>
      </w:r>
      <w:r>
        <w:rPr>
          <w:rFonts w:ascii="Palatino Linotype" w:eastAsia="Palatino Linotype" w:hAnsi="Palatino Linotype" w:cs="Palatino Linotype"/>
          <w:sz w:val="24"/>
          <w:szCs w:val="24"/>
        </w:rPr>
        <w:lastRenderedPageBreak/>
        <w:t>que se actualizan la hipótesis prevista en el artículo 179, fracción VII de la ley de la materia, que a la letra dice:</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179. </w:t>
      </w:r>
      <w:r>
        <w:rPr>
          <w:rFonts w:ascii="Palatino Linotype" w:eastAsia="Palatino Linotype" w:hAnsi="Palatino Linotype" w:cs="Palatino Linotype"/>
          <w:i/>
        </w:rPr>
        <w:t>El recurso de revisión es un medio de protección que la Ley otor</w:t>
      </w:r>
      <w:r>
        <w:rPr>
          <w:rFonts w:ascii="Palatino Linotype" w:eastAsia="Palatino Linotype" w:hAnsi="Palatino Linotype" w:cs="Palatino Linotype"/>
          <w:i/>
        </w:rPr>
        <w:t>ga a los particulares, para hacer valer su derecho de acceso a la información pública, y procederá en contra de las siguientes causas:</w:t>
      </w:r>
    </w:p>
    <w:p w:rsidR="00B36041" w:rsidRDefault="00243587">
      <w:pPr>
        <w:ind w:left="1134"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falta de respuesta a una solicitud de acceso a la información;</w:t>
      </w:r>
    </w:p>
    <w:p w:rsidR="00B36041" w:rsidRDefault="00243587">
      <w:pPr>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w:t>
      </w:r>
      <w:r>
        <w:rPr>
          <w:rFonts w:ascii="Palatino Linotype" w:eastAsia="Palatino Linotype" w:hAnsi="Palatino Linotype" w:cs="Palatino Linotype"/>
          <w:i/>
        </w:rPr>
        <w:t>”</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precepto legal citado, establece como supu</w:t>
      </w:r>
      <w:r>
        <w:rPr>
          <w:rFonts w:ascii="Palatino Linotype" w:eastAsia="Palatino Linotype" w:hAnsi="Palatino Linotype" w:cs="Palatino Linotype"/>
          <w:sz w:val="24"/>
          <w:szCs w:val="24"/>
        </w:rPr>
        <w:t xml:space="preserve">esto de procedencia del recurso de revisión, en aquellos casos en que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estime negado el acceso a la información por la falta de respuesta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en este asunto se actualiza la hipótesis jurídica citada, en atención a que</w:t>
      </w:r>
      <w:r>
        <w:rPr>
          <w:rFonts w:ascii="Palatino Linotype" w:eastAsia="Palatino Linotype" w:hAnsi="Palatino Linotype" w:cs="Palatino Linotype"/>
          <w:sz w:val="24"/>
          <w:szCs w:val="24"/>
        </w:rPr>
        <w:t xml:space="preserv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combate falta de trámite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y expresa motivos de inconformidad en contra de dicha circunstancia.</w:t>
      </w:r>
    </w:p>
    <w:p w:rsidR="00B36041" w:rsidRDefault="0024358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TERCERO. Materia de la Revisión. </w:t>
      </w:r>
      <w:r>
        <w:rPr>
          <w:rFonts w:ascii="Palatino Linotype" w:eastAsia="Palatino Linotype" w:hAnsi="Palatino Linotype" w:cs="Palatino Linotype"/>
          <w:sz w:val="24"/>
          <w:szCs w:val="24"/>
        </w:rPr>
        <w:t>Una vez realizado el análisis de las constancias y documentos que obran en expediente</w:t>
      </w:r>
      <w:r>
        <w:rPr>
          <w:rFonts w:ascii="Palatino Linotype" w:eastAsia="Palatino Linotype" w:hAnsi="Palatino Linotype" w:cs="Palatino Linotype"/>
          <w:sz w:val="24"/>
          <w:szCs w:val="24"/>
        </w:rPr>
        <w:t xml:space="preserve"> electrónico, en que se actúa, se advierte que el tema sobre el que este Organismo Garante de Transparencia y Acceso a la Información se pronunciará será: verificar si la respuesta otorgada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mediante informe justificado y alcance al m</w:t>
      </w:r>
      <w:r>
        <w:rPr>
          <w:rFonts w:ascii="Palatino Linotype" w:eastAsia="Palatino Linotype" w:hAnsi="Palatino Linotype" w:cs="Palatino Linotype"/>
          <w:sz w:val="24"/>
          <w:szCs w:val="24"/>
        </w:rPr>
        <w:t>ismo es adecuada y suficiente para satisfacer el derecho de acceso a la información pública de la</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o en su defecto, en caso de ser procedente, ordenar la entrega de información oportuna.</w:t>
      </w:r>
    </w:p>
    <w:p w:rsidR="00B36041" w:rsidRDefault="0024358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sz w:val="28"/>
          <w:szCs w:val="28"/>
        </w:rPr>
        <w:lastRenderedPageBreak/>
        <w:t>CUARTO. Estudio y resolución del Asunto.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Antes de entrar a</w:t>
      </w:r>
      <w:r>
        <w:rPr>
          <w:rFonts w:ascii="Palatino Linotype" w:eastAsia="Palatino Linotype" w:hAnsi="Palatino Linotype" w:cs="Palatino Linotype"/>
          <w:sz w:val="24"/>
          <w:szCs w:val="24"/>
        </w:rPr>
        <w:t xml:space="preserve">l análisis de los pronunciamientos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los informes justificados y alcances a los mismos, es necesario mencionar que el derecho de acceso a la información está consagrado en instrumentos internacionales de los cuales el Estado Mexicano s</w:t>
      </w:r>
      <w:r>
        <w:rPr>
          <w:rFonts w:ascii="Palatino Linotype" w:eastAsia="Palatino Linotype" w:hAnsi="Palatino Linotype" w:cs="Palatino Linotype"/>
          <w:sz w:val="24"/>
          <w:szCs w:val="24"/>
        </w:rPr>
        <w:t>e ha adherido, sin oponer reserva alguna sobre lo que nos interesa, adoptando dichas disposiciones al Derecho Interno, específicamente a nivel Constitucional, tal y como lo prevén los arábigos 1 párrafos primero, segundo y tercero y 6 apartado A fracciones</w:t>
      </w:r>
      <w:r>
        <w:rPr>
          <w:rFonts w:ascii="Palatino Linotype" w:eastAsia="Palatino Linotype" w:hAnsi="Palatino Linotype" w:cs="Palatino Linotype"/>
          <w:sz w:val="24"/>
          <w:szCs w:val="24"/>
        </w:rPr>
        <w:t xml:space="preserve"> I, II, III, IV, V, VI y VII que a la letra señalan:</w:t>
      </w:r>
    </w:p>
    <w:p w:rsidR="00B36041" w:rsidRDefault="00243587">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B36041" w:rsidRDefault="00243587">
      <w:pPr>
        <w:tabs>
          <w:tab w:val="left" w:pos="709"/>
        </w:tabs>
        <w:spacing w:before="240" w:after="240"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B36041" w:rsidRDefault="00243587">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w:t>
      </w:r>
      <w:r>
        <w:rPr>
          <w:rFonts w:ascii="Palatino Linotype" w:eastAsia="Palatino Linotype" w:hAnsi="Palatino Linotype" w:cs="Palatino Linotype"/>
          <w:b/>
          <w:i/>
          <w:u w:val="single"/>
        </w:rPr>
        <w:t>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w:t>
      </w:r>
      <w:r>
        <w:rPr>
          <w:rFonts w:ascii="Palatino Linotype" w:eastAsia="Palatino Linotype" w:hAnsi="Palatino Linotype" w:cs="Palatino Linotype"/>
          <w:i/>
        </w:rPr>
        <w:t>tigar, sancionar y reparar las violaciones a los derechos humanos, en los términos que establezca la ley</w:t>
      </w:r>
    </w:p>
    <w:p w:rsidR="00B36041" w:rsidRDefault="00243587">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spacing w:before="240" w:after="24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6o.</w:t>
      </w:r>
    </w:p>
    <w:p w:rsidR="00B36041" w:rsidRDefault="00243587">
      <w:pPr>
        <w:spacing w:before="240" w:after="24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w:t>
      </w:r>
      <w:r>
        <w:rPr>
          <w:rFonts w:ascii="Palatino Linotype" w:eastAsia="Palatino Linotype" w:hAnsi="Palatino Linotype" w:cs="Palatino Linotype"/>
          <w:i/>
        </w:rPr>
        <w:t>pectivas competencias, se regirán por los siguientes principios y bases:</w:t>
      </w:r>
    </w:p>
    <w:p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órganos autónomos, partidos políticos, fideic</w:t>
      </w:r>
      <w:r>
        <w:rPr>
          <w:rFonts w:ascii="Palatino Linotype" w:eastAsia="Palatino Linotype" w:hAnsi="Palatino Linotype" w:cs="Palatino Linotype"/>
          <w:i/>
        </w:rPr>
        <w:t xml:space="preserve">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 xml:space="preserve">es pública y sólo podrá ser reservada temporalmente por razones </w:t>
      </w:r>
      <w:r>
        <w:rPr>
          <w:rFonts w:ascii="Palatino Linotype" w:eastAsia="Palatino Linotype" w:hAnsi="Palatino Linotype" w:cs="Palatino Linotype"/>
          <w:b/>
          <w:i/>
        </w:rPr>
        <w:t>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w:t>
      </w:r>
      <w:r>
        <w:rPr>
          <w:rFonts w:ascii="Palatino Linotype" w:eastAsia="Palatino Linotype" w:hAnsi="Palatino Linotype" w:cs="Palatino Linotype"/>
          <w:i/>
        </w:rPr>
        <w:t>tades, competencias o funciones, la ley determinará los supuestos específicos bajo los cuales procederá la declaración de inexistencia de la información.</w:t>
      </w:r>
    </w:p>
    <w:p w:rsidR="00B36041" w:rsidRDefault="00243587">
      <w:pPr>
        <w:spacing w:before="240" w:after="24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w:t>
      </w:r>
      <w:r>
        <w:rPr>
          <w:rFonts w:ascii="Palatino Linotype" w:eastAsia="Palatino Linotype" w:hAnsi="Palatino Linotype" w:cs="Palatino Linotype"/>
          <w:b/>
          <w:i/>
        </w:rPr>
        <w:t>II. La información que se refiere a la vida privada y los datos personales será protegida en los térm</w:t>
      </w:r>
      <w:r>
        <w:rPr>
          <w:rFonts w:ascii="Palatino Linotype" w:eastAsia="Palatino Linotype" w:hAnsi="Palatino Linotype" w:cs="Palatino Linotype"/>
          <w:b/>
          <w:i/>
        </w:rPr>
        <w:t>inos y con las excepciones que fijen las leyes.</w:t>
      </w:r>
    </w:p>
    <w:p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w:t>
      </w:r>
      <w:r>
        <w:rPr>
          <w:rFonts w:ascii="Palatino Linotype" w:eastAsia="Palatino Linotype" w:hAnsi="Palatino Linotype" w:cs="Palatino Linotype"/>
          <w:i/>
        </w:rPr>
        <w:t>cerán mecanismos de acceso a la información y procedimientos de revisión expeditos que se sustanciarán ante los organismos autónomos especializados e imparciales que establece esta Constitución.</w:t>
      </w:r>
    </w:p>
    <w:p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 xml:space="preserve">Los sujetos obligados deberán preservar sus documentos en </w:t>
      </w:r>
      <w:r>
        <w:rPr>
          <w:rFonts w:ascii="Palatino Linotype" w:eastAsia="Palatino Linotype" w:hAnsi="Palatino Linotype" w:cs="Palatino Linotype"/>
          <w:i/>
        </w:rPr>
        <w:t xml:space="preserve">archivos administrativos actualizados y publicarán, a través de los medios electrónicos disponibles, la información completa y actualizada sobre el ejercicio de los recursos </w:t>
      </w:r>
      <w:r>
        <w:rPr>
          <w:rFonts w:ascii="Palatino Linotype" w:eastAsia="Palatino Linotype" w:hAnsi="Palatino Linotype" w:cs="Palatino Linotype"/>
          <w:i/>
        </w:rPr>
        <w:lastRenderedPageBreak/>
        <w:t>públicos y los indicadores que permitan rendir cuenta del cumplimiento de sus obje</w:t>
      </w:r>
      <w:r>
        <w:rPr>
          <w:rFonts w:ascii="Palatino Linotype" w:eastAsia="Palatino Linotype" w:hAnsi="Palatino Linotype" w:cs="Palatino Linotype"/>
          <w:i/>
        </w:rPr>
        <w:t>tivos y de los resultados obtenidos.</w:t>
      </w:r>
    </w:p>
    <w:p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w:t>
      </w:r>
      <w:r>
        <w:rPr>
          <w:rFonts w:ascii="Palatino Linotype" w:eastAsia="Palatino Linotype" w:hAnsi="Palatino Linotype" w:cs="Palatino Linotype"/>
          <w:i/>
        </w:rPr>
        <w:t>ones en materia de acceso a la información pública será sancionada en los términos que dispongan las leyes. [...]</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w:t>
      </w:r>
      <w:r>
        <w:rPr>
          <w:rFonts w:ascii="Palatino Linotype" w:eastAsia="Palatino Linotype" w:hAnsi="Palatino Linotype" w:cs="Palatino Linotype"/>
          <w:sz w:val="24"/>
          <w:szCs w:val="24"/>
        </w:rPr>
        <w:t xml:space="preserve">enida, adquirida, transformada, administrada o en posesión de los Sujetos Obligados, como así también lo señala la Ley de Transparencia y Acceso a la Información Pública del Estado de México y Municipios en su artículo 4, que toda la información generada, </w:t>
      </w:r>
      <w:r>
        <w:rPr>
          <w:rFonts w:ascii="Palatino Linotype" w:eastAsia="Palatino Linotype" w:hAnsi="Palatino Linotype" w:cs="Palatino Linotype"/>
          <w:sz w:val="24"/>
          <w:szCs w:val="24"/>
        </w:rPr>
        <w:t>obtenida, adquirida, transformada, administrada o en posesión de los sujetos obligados, es pública y accesible, de manera permanente a cualquier persona, privilegiando el principio de máxima publicidad, como así lo establece dicha determinación, que a cont</w:t>
      </w:r>
      <w:r>
        <w:rPr>
          <w:rFonts w:ascii="Palatino Linotype" w:eastAsia="Palatino Linotype" w:hAnsi="Palatino Linotype" w:cs="Palatino Linotype"/>
          <w:sz w:val="24"/>
          <w:szCs w:val="24"/>
        </w:rPr>
        <w:t>inuación se transcribe para un mejor entendimiento:</w:t>
      </w:r>
    </w:p>
    <w:p w:rsidR="00B36041" w:rsidRDefault="00243587">
      <w:pPr>
        <w:spacing w:before="240" w:after="24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El derecho humano de acceso a la información pública es la prerrogativa de las personas para buscar, difundir, investigar, recabar, recibir y solicitar información pública, sin necesidad de a</w:t>
      </w:r>
      <w:r>
        <w:rPr>
          <w:rFonts w:ascii="Palatino Linotype" w:eastAsia="Palatino Linotype" w:hAnsi="Palatino Linotype" w:cs="Palatino Linotype"/>
          <w:i/>
        </w:rPr>
        <w:t xml:space="preserve">creditar personalidad ni interés jurídico. </w:t>
      </w:r>
    </w:p>
    <w:p w:rsidR="00B36041" w:rsidRDefault="00243587">
      <w:pPr>
        <w:spacing w:before="240" w:after="240" w:line="276" w:lineRule="auto"/>
        <w:ind w:left="709" w:right="7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manera permanente a cualquier persona, en los términos y condiciones </w:t>
      </w:r>
      <w:r>
        <w:rPr>
          <w:rFonts w:ascii="Palatino Linotype" w:eastAsia="Palatino Linotype" w:hAnsi="Palatino Linotype" w:cs="Palatino Linotype"/>
          <w:b/>
          <w:i/>
        </w:rPr>
        <w:t xml:space="preserve">que se establezcan en los tratados internacionales de los que el Estado mexicano sea parte, en la Ley General, la presente Ley y demás disposiciones </w:t>
      </w:r>
      <w:r>
        <w:rPr>
          <w:rFonts w:ascii="Palatino Linotype" w:eastAsia="Palatino Linotype" w:hAnsi="Palatino Linotype" w:cs="Palatino Linotype"/>
          <w:b/>
          <w:i/>
        </w:rPr>
        <w:lastRenderedPageBreak/>
        <w:t>de la materia, privilegiando el principio de máxima publicidad de la información. Solo podrá ser clasificad</w:t>
      </w:r>
      <w:r>
        <w:rPr>
          <w:rFonts w:ascii="Palatino Linotype" w:eastAsia="Palatino Linotype" w:hAnsi="Palatino Linotype" w:cs="Palatino Linotype"/>
          <w:b/>
          <w:i/>
        </w:rPr>
        <w:t>a excepcionalmente Ley de Transparencia y Acceso a la Información Pública del Estado de México y Municipios 29 como reservada temporalmente por razones de interés público, en los términos de las causas legítimas y estrictamente necesarias previstas por est</w:t>
      </w:r>
      <w:r>
        <w:rPr>
          <w:rFonts w:ascii="Palatino Linotype" w:eastAsia="Palatino Linotype" w:hAnsi="Palatino Linotype" w:cs="Palatino Linotype"/>
          <w:b/>
          <w:i/>
        </w:rPr>
        <w:t>a Ley.</w:t>
      </w:r>
    </w:p>
    <w:p w:rsidR="00B36041" w:rsidRDefault="00243587">
      <w:pPr>
        <w:spacing w:before="240" w:after="24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precedente, se de</w:t>
      </w:r>
      <w:r>
        <w:rPr>
          <w:rFonts w:ascii="Palatino Linotype" w:eastAsia="Palatino Linotype" w:hAnsi="Palatino Linotype" w:cs="Palatino Linotype"/>
          <w:sz w:val="24"/>
          <w:szCs w:val="24"/>
        </w:rPr>
        <w:t>sprende que los Sujetos Obligados tiene la obligación o deber de atender las solicitudes de acceso a la información pública que se les hagan de su conocimiento y proporcionar la información pública que obren en su poder como así lo establece el artículo 12</w:t>
      </w:r>
      <w:r>
        <w:rPr>
          <w:rFonts w:ascii="Palatino Linotype" w:eastAsia="Palatino Linotype" w:hAnsi="Palatino Linotype" w:cs="Palatino Linotype"/>
          <w:sz w:val="24"/>
          <w:szCs w:val="24"/>
        </w:rPr>
        <w:t xml:space="preserve"> de la Ley de Transparencia y Acceso a la Información Pública del Estado de México y Municipios, el cual a la letra dice:</w:t>
      </w:r>
    </w:p>
    <w:p w:rsidR="00B36041" w:rsidRDefault="00243587">
      <w:pPr>
        <w:spacing w:before="240" w:after="24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B36041" w:rsidRDefault="00243587">
      <w:pPr>
        <w:spacing w:before="240" w:after="24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w:t>
      </w:r>
      <w:r>
        <w:rPr>
          <w:rFonts w:ascii="Palatino Linotype" w:eastAsia="Palatino Linotype" w:hAnsi="Palatino Linotype" w:cs="Palatino Linotype"/>
          <w:i/>
        </w:rPr>
        <w:t>ca que se les requiera y que obre en sus archivos y en el estado en que ésta se encuentre. La obligación de proporcionar información no comprende el procesamiento de la misma, ni el presentarla conforme al interés del solicitante; no estarán obligados a ge</w:t>
      </w:r>
      <w:r>
        <w:rPr>
          <w:rFonts w:ascii="Palatino Linotype" w:eastAsia="Palatino Linotype" w:hAnsi="Palatino Linotype" w:cs="Palatino Linotype"/>
          <w:i/>
        </w:rPr>
        <w:t>nerarla, resumirla, efectuar cálculos o practicar investigaciones.” (Sic)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w:t>
      </w:r>
      <w:r>
        <w:rPr>
          <w:rFonts w:ascii="Palatino Linotype" w:eastAsia="Palatino Linotype" w:hAnsi="Palatino Linotype" w:cs="Palatino Linotype"/>
          <w:sz w:val="24"/>
          <w:szCs w:val="24"/>
        </w:rPr>
        <w:t>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w:t>
      </w:r>
      <w:r>
        <w:rPr>
          <w:rFonts w:ascii="Palatino Linotype" w:eastAsia="Palatino Linotype" w:hAnsi="Palatino Linotype" w:cs="Palatino Linotype"/>
          <w:sz w:val="24"/>
          <w:szCs w:val="24"/>
        </w:rPr>
        <w:lastRenderedPageBreak/>
        <w:t xml:space="preserve">la información pública con el grado de detalle solicitado; esto es, que no tienen el deber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 como</w:t>
      </w:r>
      <w:r>
        <w:rPr>
          <w:rFonts w:ascii="Palatino Linotype" w:eastAsia="Palatino Linotype" w:hAnsi="Palatino Linotype" w:cs="Palatino Linotype"/>
          <w:sz w:val="24"/>
          <w:szCs w:val="24"/>
        </w:rPr>
        <w:t xml:space="preserve"> así lo establece</w:t>
      </w:r>
      <w:r>
        <w:rPr>
          <w:rFonts w:ascii="Palatino Linotype" w:eastAsia="Palatino Linotype" w:hAnsi="Palatino Linotype" w:cs="Palatino Linotype"/>
          <w:strike/>
          <w:color w:val="FF0000"/>
          <w:sz w:val="24"/>
          <w:szCs w:val="24"/>
        </w:rPr>
        <w:t xml:space="preserve"> </w:t>
      </w:r>
      <w:r>
        <w:rPr>
          <w:rFonts w:ascii="Palatino Linotype" w:eastAsia="Palatino Linotype" w:hAnsi="Palatino Linotype" w:cs="Palatino Linotype"/>
          <w:sz w:val="24"/>
          <w:szCs w:val="24"/>
        </w:rPr>
        <w:t>el criterio 03/17 emitido por el Instituto Nacional de Transparencia, Acceso a la Información Pública y Protección de Datos Personales, los cuales señalan lo siguiente:</w:t>
      </w:r>
    </w:p>
    <w:p w:rsidR="00B36041" w:rsidRDefault="00243587">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03/17</w:t>
      </w:r>
    </w:p>
    <w:p w:rsidR="00B36041" w:rsidRDefault="00243587">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“NO EXISTE OBLIGACIÓN DE ELABORAR DOCUMENTOS AD HOC PARA ATENDE</w:t>
      </w:r>
      <w:r>
        <w:rPr>
          <w:rFonts w:ascii="Palatino Linotype" w:eastAsia="Palatino Linotype" w:hAnsi="Palatino Linotype" w:cs="Palatino Linotype"/>
          <w:b/>
          <w:i/>
        </w:rPr>
        <w:t>R LAS SOLICITUDES DE ACCESO A LA INFORMACIÓN.</w:t>
      </w:r>
    </w:p>
    <w:p w:rsidR="00B36041" w:rsidRDefault="0024358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w:t>
      </w:r>
      <w:r>
        <w:rPr>
          <w:rFonts w:ascii="Palatino Linotype" w:eastAsia="Palatino Linotype" w:hAnsi="Palatino Linotype" w:cs="Palatino Linotype"/>
          <w:i/>
        </w:rPr>
        <w:t>dos deberán otorgar acceso a los documentos que se encuentren en sus archivos o que estén obligados a documentar, de acuerdo con sus facultades, competencias o funciones, conforme a Las características físicas de la información o del lugar donde se encuent</w:t>
      </w:r>
      <w:r>
        <w:rPr>
          <w:rFonts w:ascii="Palatino Linotype" w:eastAsia="Palatino Linotype" w:hAnsi="Palatino Linotype" w:cs="Palatino Linotype"/>
          <w:i/>
        </w:rPr>
        <w:t>re. Por lo anterior, los sujetos obligados deben garantizar el derecho de acceso a la información del particular, proporcionando la información con la que cuentan en el formato en que la misma obre en sus archivos; sin necesidad de elaborar documentos ad h</w:t>
      </w:r>
      <w:r>
        <w:rPr>
          <w:rFonts w:ascii="Palatino Linotype" w:eastAsia="Palatino Linotype" w:hAnsi="Palatino Linotype" w:cs="Palatino Linotype"/>
          <w:i/>
        </w:rPr>
        <w:t>oc para atender las solicitudes de información."(Sic)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w:t>
      </w:r>
      <w:r>
        <w:rPr>
          <w:rFonts w:ascii="Palatino Linotype" w:eastAsia="Palatino Linotype" w:hAnsi="Palatino Linotype" w:cs="Palatino Linotype"/>
          <w:sz w:val="24"/>
          <w:szCs w:val="24"/>
        </w:rPr>
        <w:t xml:space="preserve"> o posean en el ejercicio de sus atribuciones; por consiguiente, la información pública se encuentra a disposición de cualquier persona, lo que implica que es deber de los Sujetos Obligados, garantizar el Derecho de Acceso a la Información Pública.</w:t>
      </w:r>
    </w:p>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Siempre</w:t>
      </w:r>
      <w:r>
        <w:rPr>
          <w:rFonts w:ascii="Palatino Linotype" w:eastAsia="Palatino Linotype" w:hAnsi="Palatino Linotype" w:cs="Palatino Linotype"/>
          <w:sz w:val="24"/>
          <w:szCs w:val="24"/>
        </w:rPr>
        <w:t xml:space="preserve"> y cuando no se trate de información reservada o clasificada, que difundirla pondría en riesgo la seguridad jurídica y física del titular de la información, debiendo tener audacia los Sujetos Obligados para cuidar esta información a través del acuerdo clas</w:t>
      </w:r>
      <w:r>
        <w:rPr>
          <w:rFonts w:ascii="Palatino Linotype" w:eastAsia="Palatino Linotype" w:hAnsi="Palatino Linotype" w:cs="Palatino Linotype"/>
          <w:sz w:val="24"/>
          <w:szCs w:val="24"/>
        </w:rPr>
        <w:t>ificatorio del comité de transparencia y la versión pública que emita el servidor público habilitado de cada Sujeto Obligado; como así se establece en la Ley de Transparencia y Acceso a la Información Pública del Estado de México y Municipios.</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conclusió</w:t>
      </w:r>
      <w:r>
        <w:rPr>
          <w:rFonts w:ascii="Palatino Linotype" w:eastAsia="Palatino Linotype" w:hAnsi="Palatino Linotype" w:cs="Palatino Linotype"/>
          <w:sz w:val="24"/>
          <w:szCs w:val="24"/>
        </w:rPr>
        <w:t>n, el derecho de acceso a la información pública, consiste en que la información solicitada conste en un documento en cualquiera de sus formas, a saber: expedientes, reportes, estudios, actas, resoluciones, oficios, correspondencia, acuerdos, directivas, d</w:t>
      </w:r>
      <w:r>
        <w:rPr>
          <w:rFonts w:ascii="Palatino Linotype" w:eastAsia="Palatino Linotype" w:hAnsi="Palatino Linotype" w:cs="Palatino Linotype"/>
          <w:sz w:val="24"/>
          <w:szCs w:val="24"/>
        </w:rPr>
        <w:t xml:space="preserve">irectrices, circulares, contratos, convenios, instructivos, notas, memorandos, estadísticas o bien, cualquier otro registro que documente el ejercicio de las facultades, funciones y competencias de los Sujetos Obligados; los que, podrán estar en cualquier </w:t>
      </w:r>
      <w:r>
        <w:rPr>
          <w:rFonts w:ascii="Palatino Linotype" w:eastAsia="Palatino Linotype" w:hAnsi="Palatino Linotype" w:cs="Palatino Linotype"/>
          <w:sz w:val="24"/>
          <w:szCs w:val="24"/>
        </w:rPr>
        <w:t xml:space="preserve">medio, sea escrito, impreso, sonoro, visual, electrónico, informático u holográfico de conformidad con el artículo 3, fracción XI de la Ley de la materia, el cual señala lo siguiente: </w:t>
      </w:r>
    </w:p>
    <w:p w:rsidR="00B36041" w:rsidRDefault="00243587">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B36041" w:rsidRDefault="00243587">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b/>
          <w:i/>
        </w:rPr>
        <w:t>. Documento:</w:t>
      </w:r>
      <w:r>
        <w:rPr>
          <w:rFonts w:ascii="Palatino Linotype" w:eastAsia="Palatino Linotype" w:hAnsi="Palatino Linotype" w:cs="Palatino Linotype"/>
          <w:i/>
        </w:rPr>
        <w:t xml:space="preserve"> Los expedientes, reportes, estudios, </w:t>
      </w:r>
      <w:r>
        <w:rPr>
          <w:rFonts w:ascii="Palatino Linotype" w:eastAsia="Palatino Linotype" w:hAnsi="Palatino Linotype" w:cs="Palatino Linotype"/>
          <w:b/>
          <w:i/>
        </w:rPr>
        <w:t>actas,</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w:t>
      </w:r>
      <w:r>
        <w:rPr>
          <w:rFonts w:ascii="Palatino Linotype" w:eastAsia="Palatino Linotype" w:hAnsi="Palatino Linotype" w:cs="Palatino Linotype"/>
          <w:i/>
        </w:rPr>
        <w:t xml:space="preserve">e el ejercicio de las facultades, funciones y competencias de </w:t>
      </w:r>
      <w:r>
        <w:rPr>
          <w:rFonts w:ascii="Palatino Linotype" w:eastAsia="Palatino Linotype" w:hAnsi="Palatino Linotype" w:cs="Palatino Linotype"/>
          <w:i/>
        </w:rPr>
        <w:lastRenderedPageBreak/>
        <w:t>los sujetos obligados, sus servidores públicos e integrantes, sin importar su fuente o fecha de elaboración. Los documentos podrán estar en cualquier medio, sea escrito, impreso, sonoro, visual,</w:t>
      </w:r>
      <w:r>
        <w:rPr>
          <w:rFonts w:ascii="Palatino Linotype" w:eastAsia="Palatino Linotype" w:hAnsi="Palatino Linotype" w:cs="Palatino Linotype"/>
          <w:i/>
        </w:rPr>
        <w:t xml:space="preserve">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 (Sic)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w:t>
      </w:r>
      <w:r>
        <w:rPr>
          <w:rFonts w:ascii="Palatino Linotype" w:eastAsia="Palatino Linotype" w:hAnsi="Palatino Linotype" w:cs="Palatino Linotype"/>
          <w:sz w:val="24"/>
          <w:szCs w:val="24"/>
        </w:rPr>
        <w:t xml:space="preserve"> Municipios; publicado en el Periódico Oficial del Gobierno del Estado Libre y Soberano de México “Gaceta del Gobierno”, el diecinueve de octubre de dos mil once, cuyo rubro y texto refieren lo siguiente:</w:t>
      </w:r>
    </w:p>
    <w:p w:rsidR="00B36041" w:rsidRDefault="00243587">
      <w:pPr>
        <w:spacing w:before="240" w:after="240" w:line="276" w:lineRule="auto"/>
        <w:ind w:left="567"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B36041" w:rsidRDefault="00243587">
      <w:p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w:t>
      </w:r>
      <w:r>
        <w:rPr>
          <w:rFonts w:ascii="Palatino Linotype" w:eastAsia="Palatino Linotype" w:hAnsi="Palatino Linotype" w:cs="Palatino Linotype"/>
          <w:i/>
        </w:rPr>
        <w:t>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rPr>
        <w:t xml:space="preserve"> su fuente, soporte o fecha de elaboración.</w:t>
      </w:r>
    </w:p>
    <w:p w:rsidR="00B36041" w:rsidRDefault="00243587">
      <w:p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B36041" w:rsidRDefault="00243587">
      <w:pPr>
        <w:numPr>
          <w:ilvl w:val="0"/>
          <w:numId w:val="7"/>
        </w:numPr>
        <w:spacing w:before="240" w:after="240" w:line="276" w:lineRule="auto"/>
        <w:ind w:left="567" w:right="899"/>
        <w:jc w:val="both"/>
        <w:rPr>
          <w:rFonts w:ascii="Palatino Linotype" w:eastAsia="Palatino Linotype" w:hAnsi="Palatino Linotype" w:cs="Palatino Linotype"/>
          <w:b/>
          <w:i/>
        </w:rPr>
      </w:pPr>
      <w:r>
        <w:rPr>
          <w:rFonts w:ascii="Palatino Linotype" w:eastAsia="Palatino Linotype" w:hAnsi="Palatino Linotype" w:cs="Palatino Linotype"/>
          <w:b/>
          <w:i/>
        </w:rPr>
        <w:t>Que se trate de información registrada en cualquier soporte documental, que en ejercicio de las atribuciones conferidas, sea generada por los Sujetos Obligados;</w:t>
      </w:r>
    </w:p>
    <w:p w:rsidR="00B36041" w:rsidRDefault="00243587">
      <w:pPr>
        <w:numPr>
          <w:ilvl w:val="0"/>
          <w:numId w:val="7"/>
        </w:numPr>
        <w:spacing w:before="240" w:after="240" w:line="276" w:lineRule="auto"/>
        <w:ind w:left="851" w:right="899" w:firstLine="0"/>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w:t>
      </w:r>
      <w:r>
        <w:rPr>
          <w:rFonts w:ascii="Palatino Linotype" w:eastAsia="Palatino Linotype" w:hAnsi="Palatino Linotype" w:cs="Palatino Linotype"/>
          <w:i/>
        </w:rPr>
        <w:t xml:space="preserve"> atribuciones conferidas, sea administrada por los Sujetos Obligados, y</w:t>
      </w:r>
    </w:p>
    <w:p w:rsidR="00B36041" w:rsidRDefault="00243587">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 (Sic)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w:t>
      </w:r>
      <w:r>
        <w:rPr>
          <w:rFonts w:ascii="Palatino Linotype" w:eastAsia="Palatino Linotype" w:hAnsi="Palatino Linotype" w:cs="Palatino Linotype"/>
          <w:sz w:val="24"/>
          <w:szCs w:val="24"/>
        </w:rPr>
        <w:t xml:space="preserve"> ahí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más aún si la misma se trata de información pública de oficio la cua</w:t>
      </w:r>
      <w:r>
        <w:rPr>
          <w:rFonts w:ascii="Palatino Linotype" w:eastAsia="Palatino Linotype" w:hAnsi="Palatino Linotype" w:cs="Palatino Linotype"/>
          <w:sz w:val="24"/>
          <w:szCs w:val="24"/>
        </w:rPr>
        <w:t>l se relaciona con aquella que se genere de acuerdo con sus facultades, atribuciones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w:t>
      </w:r>
      <w:r>
        <w:rPr>
          <w:rFonts w:ascii="Palatino Linotype" w:eastAsia="Palatino Linotype" w:hAnsi="Palatino Linotype" w:cs="Palatino Linotype"/>
          <w:sz w:val="24"/>
          <w:szCs w:val="24"/>
        </w:rPr>
        <w:t>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w:t>
      </w:r>
    </w:p>
    <w:p w:rsidR="00B36041" w:rsidRDefault="00243587">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Bajo ese contexto, el Pleno de este Instituto considera necesario mencionar que, por cuestiones de técnica jurídica, así como para</w:t>
      </w:r>
      <w:r>
        <w:rPr>
          <w:rFonts w:ascii="Palatino Linotype" w:eastAsia="Palatino Linotype" w:hAnsi="Palatino Linotype" w:cs="Palatino Linotype"/>
          <w:color w:val="000000"/>
          <w:sz w:val="24"/>
          <w:szCs w:val="24"/>
        </w:rPr>
        <w:t xml:space="preserve"> determinar si las respuestas emitidas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atendieron de manera puntual a todos y cada uno de los requerimientos formulados por el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se considera pertinente el análisis de cada uno de los puntos de las solicitudes de inform</w:t>
      </w:r>
      <w:r>
        <w:rPr>
          <w:rFonts w:ascii="Palatino Linotype" w:eastAsia="Palatino Linotype" w:hAnsi="Palatino Linotype" w:cs="Palatino Linotype"/>
          <w:color w:val="000000"/>
          <w:sz w:val="24"/>
          <w:szCs w:val="24"/>
        </w:rPr>
        <w:t xml:space="preserve">ación, informes justificados y alcances brindados a cada uno de ellos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lastRenderedPageBreak/>
        <w:t>1.</w:t>
      </w:r>
      <w:r>
        <w:rPr>
          <w:rFonts w:ascii="Palatino Linotype" w:eastAsia="Palatino Linotype" w:hAnsi="Palatino Linotype" w:cs="Palatino Linotype"/>
          <w:b/>
          <w:color w:val="000000"/>
          <w:sz w:val="24"/>
          <w:szCs w:val="24"/>
        </w:rPr>
        <w:t xml:space="preserve"> Respecto a la solicitud de acceso a la información pública </w:t>
      </w:r>
      <w:r>
        <w:rPr>
          <w:rFonts w:ascii="Palatino Linotype" w:eastAsia="Palatino Linotype" w:hAnsi="Palatino Linotype" w:cs="Palatino Linotype"/>
          <w:b/>
          <w:color w:val="0D0D0D"/>
          <w:sz w:val="24"/>
          <w:szCs w:val="24"/>
        </w:rPr>
        <w:t xml:space="preserve">00044/NAUCALPA/IP/2022 </w:t>
      </w:r>
      <w:r>
        <w:rPr>
          <w:rFonts w:ascii="Palatino Linotype" w:eastAsia="Palatino Linotype" w:hAnsi="Palatino Linotype" w:cs="Palatino Linotype"/>
          <w:b/>
          <w:sz w:val="24"/>
          <w:szCs w:val="24"/>
        </w:rPr>
        <w:t>que dio origen al recurso de revisión  00764/INFOEM/IP/RR/2022.</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1563"/>
        <w:gridCol w:w="1397"/>
        <w:gridCol w:w="2119"/>
        <w:gridCol w:w="2000"/>
      </w:tblGrid>
      <w:tr w:rsidR="00B36041">
        <w:tc>
          <w:tcPr>
            <w:tcW w:w="1749"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1563"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397"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Motivos de inconformidad</w:t>
            </w:r>
          </w:p>
        </w:tc>
        <w:tc>
          <w:tcPr>
            <w:tcW w:w="2119"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c>
          <w:tcPr>
            <w:tcW w:w="2000"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B36041">
        <w:tc>
          <w:tcPr>
            <w:tcW w:w="1749" w:type="dxa"/>
            <w:vAlign w:val="center"/>
          </w:tcPr>
          <w:p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0"/>
                <w:szCs w:val="20"/>
              </w:rPr>
              <w:t>-</w:t>
            </w:r>
            <w:r>
              <w:rPr>
                <w:rFonts w:ascii="Palatino Linotype" w:eastAsia="Palatino Linotype" w:hAnsi="Palatino Linotype" w:cs="Palatino Linotype"/>
                <w:color w:val="000000"/>
                <w:sz w:val="18"/>
                <w:szCs w:val="18"/>
              </w:rPr>
              <w:t>Nombre y cargos de todo el personal de la Dirección General de Educación y Cultura.</w:t>
            </w:r>
          </w:p>
          <w:p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-Número de funcionarios y número de empleados de confianza.</w:t>
            </w:r>
          </w:p>
          <w:p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18"/>
                <w:szCs w:val="18"/>
              </w:rPr>
              <w:t>-Perfil profesional de los funcionarios.</w:t>
            </w:r>
          </w:p>
        </w:tc>
        <w:tc>
          <w:tcPr>
            <w:tcW w:w="1563" w:type="dxa"/>
            <w:vAlign w:val="center"/>
          </w:tcPr>
          <w:p w:rsidR="00B36041" w:rsidRDefault="00243587">
            <w:pPr>
              <w:spacing w:before="240" w:after="240" w:line="360" w:lineRule="auto"/>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No emitió respuesta el Sujeto Obligado</w:t>
            </w:r>
          </w:p>
          <w:p w:rsidR="00B36041" w:rsidRDefault="00B36041">
            <w:pPr>
              <w:spacing w:before="240" w:after="240"/>
              <w:jc w:val="center"/>
              <w:rPr>
                <w:rFonts w:ascii="Palatino Linotype" w:eastAsia="Palatino Linotype" w:hAnsi="Palatino Linotype" w:cs="Palatino Linotype"/>
                <w:b/>
                <w:color w:val="000000"/>
                <w:sz w:val="18"/>
                <w:szCs w:val="18"/>
              </w:rPr>
            </w:pPr>
          </w:p>
        </w:tc>
        <w:tc>
          <w:tcPr>
            <w:tcW w:w="1397" w:type="dxa"/>
            <w:vAlign w:val="center"/>
          </w:tcPr>
          <w:p w:rsidR="00B36041" w:rsidRDefault="00243587">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18"/>
                <w:szCs w:val="18"/>
              </w:rPr>
              <w:t>Falta de respuesta a la solicitud de información.</w:t>
            </w:r>
          </w:p>
        </w:tc>
        <w:tc>
          <w:tcPr>
            <w:tcW w:w="2119" w:type="dxa"/>
            <w:vAlign w:val="center"/>
          </w:tcPr>
          <w:p w:rsidR="00B36041" w:rsidRDefault="00243587">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0"/>
                <w:szCs w:val="20"/>
              </w:rPr>
              <w:t>-</w:t>
            </w:r>
            <w:r>
              <w:rPr>
                <w:rFonts w:ascii="Palatino Linotype" w:eastAsia="Palatino Linotype" w:hAnsi="Palatino Linotype" w:cs="Palatino Linotype"/>
                <w:color w:val="000000"/>
                <w:sz w:val="18"/>
                <w:szCs w:val="18"/>
              </w:rPr>
              <w:t>Oficio DGCyE/2021/2022, de fecha veinticuatro de febrero de dos mil veintidós, signado por la C. Leticia Buitron Cornejo, Directora General de Cultura y Educación, mediante el cual menciona que la Dirección a su cargo se encontraba en periodo de entrega-re</w:t>
            </w:r>
            <w:r>
              <w:rPr>
                <w:rFonts w:ascii="Palatino Linotype" w:eastAsia="Palatino Linotype" w:hAnsi="Palatino Linotype" w:cs="Palatino Linotype"/>
                <w:color w:val="000000"/>
                <w:sz w:val="18"/>
                <w:szCs w:val="18"/>
              </w:rPr>
              <w:t xml:space="preserve">cepción, por lo que al no encontrarse en su totalidad la información, no se podía otorga una respuesta, por ende no existió omisión para realizar la contestación en tiempo y forma, así mismo anexa el corte del personal de confianza adscrita a la Dirección </w:t>
            </w:r>
            <w:r>
              <w:rPr>
                <w:rFonts w:ascii="Palatino Linotype" w:eastAsia="Palatino Linotype" w:hAnsi="Palatino Linotype" w:cs="Palatino Linotype"/>
                <w:color w:val="000000"/>
                <w:sz w:val="18"/>
                <w:szCs w:val="18"/>
              </w:rPr>
              <w:t>en comento.</w:t>
            </w:r>
          </w:p>
          <w:p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18"/>
                <w:szCs w:val="18"/>
              </w:rPr>
              <w:t>-</w:t>
            </w:r>
            <w:r>
              <w:rPr>
                <w:rFonts w:ascii="Palatino Linotype" w:eastAsia="Palatino Linotype" w:hAnsi="Palatino Linotype" w:cs="Palatino Linotype"/>
                <w:b/>
                <w:color w:val="000000"/>
                <w:sz w:val="18"/>
                <w:szCs w:val="18"/>
              </w:rPr>
              <w:t xml:space="preserve">Mediante alcance al Informe Justificado el </w:t>
            </w:r>
            <w:r>
              <w:rPr>
                <w:rFonts w:ascii="Palatino Linotype" w:eastAsia="Palatino Linotype" w:hAnsi="Palatino Linotype" w:cs="Palatino Linotype"/>
                <w:b/>
                <w:color w:val="000000"/>
                <w:sz w:val="18"/>
                <w:szCs w:val="18"/>
              </w:rPr>
              <w:lastRenderedPageBreak/>
              <w:t>archivo</w:t>
            </w:r>
            <w:r>
              <w:rPr>
                <w:rFonts w:ascii="Palatino Linotype" w:eastAsia="Palatino Linotype" w:hAnsi="Palatino Linotype" w:cs="Palatino Linotype"/>
                <w:color w:val="000000"/>
                <w:sz w:val="18"/>
                <w:szCs w:val="18"/>
              </w:rPr>
              <w:t xml:space="preserve"> “DGA-SRH-M-0080-2022.pdf” mismo que contiene el oficio DGA/SRH/M/0080/2022 a través del cual la Directora General de Administración precisa que envía, nombre y cargo de todo el personal de la </w:t>
            </w:r>
            <w:r>
              <w:rPr>
                <w:rFonts w:ascii="Palatino Linotype" w:eastAsia="Palatino Linotype" w:hAnsi="Palatino Linotype" w:cs="Palatino Linotype"/>
                <w:color w:val="000000"/>
                <w:sz w:val="18"/>
                <w:szCs w:val="18"/>
              </w:rPr>
              <w:t>Dirección General de Educación y Cultura, número de funcionarios y número de empleados de confianza, así mismo precisa que adjunta ocho archivos de fichas curriculares</w:t>
            </w:r>
          </w:p>
        </w:tc>
        <w:tc>
          <w:tcPr>
            <w:tcW w:w="2000" w:type="dxa"/>
            <w:vAlign w:val="center"/>
          </w:tcPr>
          <w:p w:rsidR="00B36041" w:rsidRDefault="00243587">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SI</w:t>
            </w:r>
          </w:p>
        </w:tc>
      </w:tr>
    </w:tbl>
    <w:p w:rsidR="00B36041" w:rsidRDefault="00243587">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Se inserta los siguientes documentos a manera de ejemplo:</w:t>
      </w:r>
    </w:p>
    <w:p w:rsidR="00B36041" w:rsidRDefault="00243587">
      <w:pPr>
        <w:spacing w:before="240" w:after="240" w:line="360" w:lineRule="auto"/>
        <w:jc w:val="both"/>
        <w:rPr>
          <w:rFonts w:ascii="Palatino Linotype" w:eastAsia="Palatino Linotype" w:hAnsi="Palatino Linotype" w:cs="Palatino Linotype"/>
          <w:sz w:val="24"/>
          <w:szCs w:val="24"/>
        </w:rPr>
      </w:pPr>
      <w:r>
        <w:rPr>
          <w:noProof/>
        </w:rPr>
        <w:drawing>
          <wp:inline distT="0" distB="0" distL="0" distR="0">
            <wp:extent cx="5713498" cy="2088997"/>
            <wp:effectExtent l="0" t="0" r="0" b="0"/>
            <wp:docPr id="1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32247" t="23838" r="13441" b="40857"/>
                    <a:stretch>
                      <a:fillRect/>
                    </a:stretch>
                  </pic:blipFill>
                  <pic:spPr>
                    <a:xfrm>
                      <a:off x="0" y="0"/>
                      <a:ext cx="5713498" cy="2088997"/>
                    </a:xfrm>
                    <a:prstGeom prst="rect">
                      <a:avLst/>
                    </a:prstGeom>
                    <a:ln/>
                  </pic:spPr>
                </pic:pic>
              </a:graphicData>
            </a:graphic>
          </wp:inline>
        </w:drawing>
      </w:r>
    </w:p>
    <w:p w:rsidR="00B36041" w:rsidRDefault="00243587">
      <w:pPr>
        <w:spacing w:before="240" w:after="240"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083297" cy="7116616"/>
            <wp:effectExtent l="0" t="0" r="0" b="0"/>
            <wp:docPr id="1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l="43449" t="13579" r="26849" b="12492"/>
                    <a:stretch>
                      <a:fillRect/>
                    </a:stretch>
                  </pic:blipFill>
                  <pic:spPr>
                    <a:xfrm>
                      <a:off x="0" y="0"/>
                      <a:ext cx="5083297" cy="7116616"/>
                    </a:xfrm>
                    <a:prstGeom prst="rect">
                      <a:avLst/>
                    </a:prstGeom>
                    <a:ln/>
                  </pic:spPr>
                </pic:pic>
              </a:graphicData>
            </a:graphic>
          </wp:inline>
        </w:drawing>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u w:val="single"/>
        </w:rPr>
        <w:lastRenderedPageBreak/>
        <w:t xml:space="preserve"> “plantilla EDUCACION CULTURA 2022.pdf”</w:t>
      </w:r>
      <w:r>
        <w:rPr>
          <w:rFonts w:ascii="Palatino Linotype" w:eastAsia="Palatino Linotype" w:hAnsi="Palatino Linotype" w:cs="Palatino Linotype"/>
          <w:color w:val="000000"/>
          <w:sz w:val="24"/>
          <w:szCs w:val="24"/>
        </w:rPr>
        <w:t>:</w:t>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noProof/>
        </w:rPr>
        <w:drawing>
          <wp:inline distT="0" distB="0" distL="0" distR="0">
            <wp:extent cx="5661698" cy="4936639"/>
            <wp:effectExtent l="0" t="0" r="0" b="0"/>
            <wp:docPr id="1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30888" t="13579" r="15478" b="14302"/>
                    <a:stretch>
                      <a:fillRect/>
                    </a:stretch>
                  </pic:blipFill>
                  <pic:spPr>
                    <a:xfrm>
                      <a:off x="0" y="0"/>
                      <a:ext cx="5661698" cy="4936639"/>
                    </a:xfrm>
                    <a:prstGeom prst="rect">
                      <a:avLst/>
                    </a:prstGeom>
                    <a:ln/>
                  </pic:spPr>
                </pic:pic>
              </a:graphicData>
            </a:graphic>
          </wp:inline>
        </w:drawing>
      </w:r>
      <w:r>
        <w:rPr>
          <w:rFonts w:ascii="Palatino Linotype" w:eastAsia="Palatino Linotype" w:hAnsi="Palatino Linotype" w:cs="Palatino Linotype"/>
          <w:sz w:val="24"/>
          <w:szCs w:val="24"/>
        </w:rPr>
        <w:t xml:space="preserve">Ahora bien, del análisis a los archivos descritos anteriormente, se advierte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modifica su falta de respuesta, colmando con ello el derecho de acceso a la información del particular. </w:t>
      </w:r>
    </w:p>
    <w:p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 xml:space="preserve">Aunado a </w:t>
      </w:r>
      <w:r>
        <w:rPr>
          <w:rFonts w:ascii="Palatino Linotype" w:eastAsia="Palatino Linotype" w:hAnsi="Palatino Linotype" w:cs="Palatino Linotype"/>
          <w:sz w:val="24"/>
          <w:szCs w:val="24"/>
        </w:rPr>
        <w:t>que la respuesta fue proporcionada por el servidor público habilitado competente, siendo el siguiente, en términos del artículo 72 del Bando Municipal de  Naucalpan de Juárez, que señala:</w:t>
      </w:r>
    </w:p>
    <w:p w:rsidR="00B36041" w:rsidRDefault="00243587">
      <w:pPr>
        <w:spacing w:line="360" w:lineRule="auto"/>
        <w:ind w:left="851" w:right="900"/>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 xml:space="preserve">Artículo 72. </w:t>
      </w:r>
      <w:r>
        <w:rPr>
          <w:rFonts w:ascii="Palatino Linotype" w:eastAsia="Palatino Linotype" w:hAnsi="Palatino Linotype" w:cs="Palatino Linotype"/>
          <w:i/>
          <w:u w:val="single"/>
        </w:rPr>
        <w:t>La Dirección General de Administración, tendrá a su car</w:t>
      </w:r>
      <w:r>
        <w:rPr>
          <w:rFonts w:ascii="Palatino Linotype" w:eastAsia="Palatino Linotype" w:hAnsi="Palatino Linotype" w:cs="Palatino Linotype"/>
          <w:i/>
          <w:u w:val="single"/>
        </w:rPr>
        <w:t xml:space="preserve">go brindar </w:t>
      </w:r>
      <w:r>
        <w:rPr>
          <w:rFonts w:ascii="Palatino Linotype" w:eastAsia="Palatino Linotype" w:hAnsi="Palatino Linotype" w:cs="Palatino Linotype"/>
          <w:i/>
        </w:rPr>
        <w:t>el soporte material, técnico,</w:t>
      </w:r>
      <w:r>
        <w:rPr>
          <w:rFonts w:ascii="Palatino Linotype" w:eastAsia="Palatino Linotype" w:hAnsi="Palatino Linotype" w:cs="Palatino Linotype"/>
          <w:i/>
          <w:u w:val="single"/>
        </w:rPr>
        <w:t xml:space="preserve"> humano,</w:t>
      </w:r>
      <w:r>
        <w:rPr>
          <w:rFonts w:ascii="Palatino Linotype" w:eastAsia="Palatino Linotype" w:hAnsi="Palatino Linotype" w:cs="Palatino Linotype"/>
          <w:i/>
        </w:rPr>
        <w:t xml:space="preserve"> administrativo, así como organizacional, que permita a los servidores públicos municipales, atender las demandas ciudadanas y cumplir con las funciones y atribuciones encomendadas para lograr un eficaz y efi</w:t>
      </w:r>
      <w:r>
        <w:rPr>
          <w:rFonts w:ascii="Palatino Linotype" w:eastAsia="Palatino Linotype" w:hAnsi="Palatino Linotype" w:cs="Palatino Linotype"/>
          <w:i/>
        </w:rPr>
        <w:t xml:space="preserve">ciente desempeño de la Administración Pública Municipal. De igual forma, es la responsable de </w:t>
      </w:r>
      <w:r>
        <w:rPr>
          <w:rFonts w:ascii="Palatino Linotype" w:eastAsia="Palatino Linotype" w:hAnsi="Palatino Linotype" w:cs="Palatino Linotype"/>
          <w:i/>
          <w:u w:val="single"/>
        </w:rPr>
        <w:t>vigilar el cumplimiento de las disposiciones jurídicas que regulan las relaciones entre el Municipio y sus servidores públicos, la selección, contratación y capac</w:t>
      </w:r>
      <w:r>
        <w:rPr>
          <w:rFonts w:ascii="Palatino Linotype" w:eastAsia="Palatino Linotype" w:hAnsi="Palatino Linotype" w:cs="Palatino Linotype"/>
          <w:i/>
          <w:u w:val="single"/>
        </w:rPr>
        <w:t>itación del personal y de los servidores públicos que requieran las distintas dependencias de la Administración Pública Centralizada,</w:t>
      </w:r>
      <w:r>
        <w:rPr>
          <w:rFonts w:ascii="Palatino Linotype" w:eastAsia="Palatino Linotype" w:hAnsi="Palatino Linotype" w:cs="Palatino Linotype"/>
          <w:i/>
        </w:rPr>
        <w:t xml:space="preserve"> en términos de la normatividad aplicable, así como de la adecuada planeación y programación de las adquisiciones de bienes</w:t>
      </w:r>
      <w:r>
        <w:rPr>
          <w:rFonts w:ascii="Palatino Linotype" w:eastAsia="Palatino Linotype" w:hAnsi="Palatino Linotype" w:cs="Palatino Linotype"/>
          <w:i/>
        </w:rPr>
        <w:t xml:space="preserve"> y contratación de 50 servicios que requiera el Ayuntamiento y las Dependencias, vigilando el cumplimiento de las disposiciones que en materia de adquisiciones, enajenaciones, arrendamientos, mantenimientos y almacenes, establece la normatividad aplicable.</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Del cual se advierte que la Dirección General de Administración tiene como atribución brindar el soporte humano con la finalidad de atender las demandas ciudadanas, así como el de vigilar el cumplimiento de las disposiciones que regulan las relaciones ent</w:t>
      </w:r>
      <w:r>
        <w:rPr>
          <w:rFonts w:ascii="Palatino Linotype" w:eastAsia="Palatino Linotype" w:hAnsi="Palatino Linotype" w:cs="Palatino Linotype"/>
          <w:sz w:val="24"/>
          <w:szCs w:val="24"/>
        </w:rPr>
        <w:t xml:space="preserve">re el Municipio y sus servidores públicos, en relación a la selección, contratación y capacitación de personal. </w:t>
      </w:r>
    </w:p>
    <w:p w:rsidR="00B36041" w:rsidRDefault="002435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222222"/>
          <w:sz w:val="24"/>
          <w:szCs w:val="24"/>
        </w:rPr>
        <w:lastRenderedPageBreak/>
        <w:t xml:space="preserve">Además, al haberse pronunciado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este</w:t>
      </w:r>
      <w:r>
        <w:rPr>
          <w:rFonts w:ascii="Palatino Linotype" w:eastAsia="Palatino Linotype" w:hAnsi="Palatino Linotype" w:cs="Palatino Linotype"/>
          <w:sz w:val="24"/>
          <w:szCs w:val="24"/>
        </w:rPr>
        <w:t xml:space="preserve"> Organismo</w:t>
      </w:r>
      <w:r>
        <w:rPr>
          <w:rFonts w:ascii="Palatino Linotype" w:eastAsia="Palatino Linotype" w:hAnsi="Palatino Linotype" w:cs="Palatino Linotype"/>
          <w:color w:val="000000"/>
          <w:sz w:val="24"/>
          <w:szCs w:val="24"/>
        </w:rPr>
        <w:t xml:space="preserve"> Garante no está facultado para manifestarse sobre la veracidad de la información proporcionada, ya que no existe precepto legal alguno en la Ley de la Materia que permita, vía recurso de revisión, se pronuncie al respecto. Por analogía, sirve de apoyo a l</w:t>
      </w:r>
      <w:r>
        <w:rPr>
          <w:rFonts w:ascii="Palatino Linotype" w:eastAsia="Palatino Linotype" w:hAnsi="Palatino Linotype" w:cs="Palatino Linotype"/>
          <w:color w:val="000000"/>
          <w:sz w:val="24"/>
          <w:szCs w:val="24"/>
        </w:rPr>
        <w:t>o anterior el Criterio 31-10 emitido por el entonces Instituto Federal de Accesos a la Información y Protección de Datos, que a la letra establece lo siguiente:</w:t>
      </w:r>
    </w:p>
    <w:p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El Instituto Federal de Acceso a la Información y Protección de Datos no cuenta con facultades</w:t>
      </w:r>
      <w:r>
        <w:rPr>
          <w:rFonts w:ascii="Palatino Linotype" w:eastAsia="Palatino Linotype" w:hAnsi="Palatino Linotype" w:cs="Palatino Linotype"/>
          <w:b/>
          <w:i/>
        </w:rPr>
        <w:t xml:space="preserve">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w:t>
      </w:r>
      <w:r>
        <w:rPr>
          <w:rFonts w:ascii="Palatino Linotype" w:eastAsia="Palatino Linotype" w:hAnsi="Palatino Linotype" w:cs="Palatino Linotype"/>
          <w:i/>
        </w:rPr>
        <w:t>estaria y de decisión, encargado de promover y difundir el ejercicio del derecho de acceso a la información; resolver sobre la negativa de las solicitudes de acceso a la información; y proteger los datos personales en poder de las dependencias y entidades.</w:t>
      </w:r>
      <w:r>
        <w:rPr>
          <w:rFonts w:ascii="Palatino Linotype" w:eastAsia="Palatino Linotype" w:hAnsi="Palatino Linotype" w:cs="Palatino Linotype"/>
          <w:i/>
        </w:rPr>
        <w:t xml:space="preserve"> Sin embargo, no está facultado para pronunciarse sobre la veracidad de la información proporcionada por las autoridades en respuesta a las solicitudes de información que les presentan los particulares, en virtud de que en los artículos 49 y 50 de la Ley F</w:t>
      </w:r>
      <w:r>
        <w:rPr>
          <w:rFonts w:ascii="Palatino Linotype" w:eastAsia="Palatino Linotype" w:hAnsi="Palatino Linotype" w:cs="Palatino Linotype"/>
          <w:i/>
        </w:rPr>
        <w:t>ederal de Transparencia y Acceso a la Información Pública Gubernamental no se prevé una causal que permita al Instituto Federal de Acceso a la Información y Protección de Datos conocer, vía recurso revisión, al respecto.”</w:t>
      </w:r>
    </w:p>
    <w:p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En este sentido, y ante la informa</w:t>
      </w:r>
      <w:r>
        <w:rPr>
          <w:rFonts w:ascii="Palatino Linotype" w:eastAsia="Palatino Linotype" w:hAnsi="Palatino Linotype" w:cs="Palatino Linotype"/>
          <w:color w:val="000000"/>
          <w:sz w:val="24"/>
          <w:szCs w:val="24"/>
        </w:rPr>
        <w:t xml:space="preserve">ción adicional y precisa remitida vía informe justificado, conviene hacer alusión a lo que señala el artículo 192, fracción III de la Ley de Transparencia y Acceso a la Información Pública del Estado de México y Municipios vigente, a saber: </w:t>
      </w:r>
    </w:p>
    <w:p w:rsidR="00B36041" w:rsidRDefault="00243587">
      <w:pPr>
        <w:pBdr>
          <w:top w:val="nil"/>
          <w:left w:val="nil"/>
          <w:bottom w:val="nil"/>
          <w:right w:val="nil"/>
          <w:between w:val="nil"/>
        </w:pBdr>
        <w:spacing w:before="240" w:after="240" w:line="240" w:lineRule="auto"/>
        <w:ind w:left="851"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192</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será sobreseído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en todo o en parte,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cuando una vez admitido, se actualicen alguno de los siguientes supuestos</w:t>
      </w:r>
      <w:r>
        <w:rPr>
          <w:rFonts w:ascii="Palatino Linotype" w:eastAsia="Palatino Linotype" w:hAnsi="Palatino Linotype" w:cs="Palatino Linotype"/>
          <w:i/>
          <w:color w:val="000000"/>
        </w:rPr>
        <w:t>: </w:t>
      </w:r>
    </w:p>
    <w:p w:rsidR="00B36041" w:rsidRDefault="00243587">
      <w:pPr>
        <w:pBdr>
          <w:top w:val="nil"/>
          <w:left w:val="nil"/>
          <w:bottom w:val="nil"/>
          <w:right w:val="nil"/>
          <w:between w:val="nil"/>
        </w:pBdr>
        <w:spacing w:before="240" w:after="240" w:line="240" w:lineRule="auto"/>
        <w:ind w:left="1134"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lastRenderedPageBreak/>
        <w:t>(…)</w:t>
      </w:r>
    </w:p>
    <w:p w:rsidR="00B36041" w:rsidRDefault="00243587">
      <w:pPr>
        <w:pBdr>
          <w:top w:val="nil"/>
          <w:left w:val="nil"/>
          <w:bottom w:val="nil"/>
          <w:right w:val="nil"/>
          <w:between w:val="nil"/>
        </w:pBdr>
        <w:spacing w:before="240" w:after="240" w:line="240" w:lineRule="auto"/>
        <w:ind w:left="1134"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i/>
          <w:color w:val="000000"/>
        </w:rPr>
        <w:t>III. El sujeto obligado responsable del acto, lo modifique o revoque de tal manera que el recurso de revisión quede sin materi</w:t>
      </w:r>
      <w:r>
        <w:rPr>
          <w:rFonts w:ascii="Palatino Linotype" w:eastAsia="Palatino Linotype" w:hAnsi="Palatino Linotype" w:cs="Palatino Linotype"/>
          <w:b/>
          <w:i/>
          <w:color w:val="000000"/>
        </w:rPr>
        <w:t>a...</w:t>
      </w:r>
      <w:r>
        <w:rPr>
          <w:rFonts w:ascii="Palatino Linotype" w:eastAsia="Palatino Linotype" w:hAnsi="Palatino Linotype" w:cs="Palatino Linotype"/>
          <w:i/>
          <w:color w:val="000000"/>
        </w:rPr>
        <w:t>”</w:t>
      </w:r>
    </w:p>
    <w:p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De lo establecido en el precepto legal citado se advierte que el sobreseimiento del recurso de revisión procede en los siguientes casos:</w:t>
      </w:r>
    </w:p>
    <w:p w:rsidR="00B36041" w:rsidRDefault="00243587">
      <w:pPr>
        <w:pBdr>
          <w:top w:val="nil"/>
          <w:left w:val="nil"/>
          <w:bottom w:val="nil"/>
          <w:right w:val="nil"/>
          <w:between w:val="nil"/>
        </w:pBdr>
        <w:spacing w:before="240" w:after="240" w:line="240" w:lineRule="auto"/>
        <w:ind w:left="284"/>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a) Cuando el Sujeto Obligado modifique el acto impugnado. </w:t>
      </w:r>
    </w:p>
    <w:p w:rsidR="00B36041" w:rsidRDefault="00243587">
      <w:pPr>
        <w:pBdr>
          <w:top w:val="nil"/>
          <w:left w:val="nil"/>
          <w:bottom w:val="nil"/>
          <w:right w:val="nil"/>
          <w:between w:val="nil"/>
        </w:pBdr>
        <w:spacing w:before="240" w:after="240" w:line="240" w:lineRule="auto"/>
        <w:ind w:left="284"/>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b) Cuando el Sujeto Obligado revoque el acto impugnado; </w:t>
      </w:r>
    </w:p>
    <w:p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Quedando en ambos casos el acto combatido sin materia o sin efectos.</w:t>
      </w:r>
    </w:p>
    <w:p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Como se observa de lo anterior, un acto impugnado es modificado en aquellos casos en los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después de haber o</w:t>
      </w:r>
      <w:r>
        <w:rPr>
          <w:rFonts w:ascii="Palatino Linotype" w:eastAsia="Palatino Linotype" w:hAnsi="Palatino Linotype" w:cs="Palatino Linotype"/>
          <w:color w:val="000000"/>
          <w:sz w:val="24"/>
          <w:szCs w:val="24"/>
        </w:rPr>
        <w:t>torgado una respuesta, o haber omitido hacerlo (acto de no hacer), emite una o una diversa de manera posterior y en ésta subsana las deficiencias que hubiera tenido, quedando satisfecho el derecho subjetivo accionado por la parte recurrente.</w:t>
      </w:r>
    </w:p>
    <w:p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Por lo que hac</w:t>
      </w:r>
      <w:r>
        <w:rPr>
          <w:rFonts w:ascii="Palatino Linotype" w:eastAsia="Palatino Linotype" w:hAnsi="Palatino Linotype" w:cs="Palatino Linotype"/>
          <w:color w:val="000000"/>
          <w:sz w:val="24"/>
          <w:szCs w:val="24"/>
        </w:rPr>
        <w:t xml:space="preserve">e a la revocación, </w:t>
      </w:r>
      <w:r>
        <w:rPr>
          <w:rFonts w:ascii="Palatino Linotype" w:eastAsia="Palatino Linotype" w:hAnsi="Palatino Linotype" w:cs="Palatino Linotype"/>
          <w:sz w:val="24"/>
          <w:szCs w:val="24"/>
        </w:rPr>
        <w:t>ésta</w:t>
      </w:r>
      <w:r>
        <w:rPr>
          <w:rFonts w:ascii="Palatino Linotype" w:eastAsia="Palatino Linotype" w:hAnsi="Palatino Linotype" w:cs="Palatino Linotype"/>
          <w:color w:val="000000"/>
          <w:sz w:val="24"/>
          <w:szCs w:val="24"/>
        </w:rPr>
        <w:t xml:space="preserve"> se actualiza cuando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deja sin efectos la primera respuesta o su primer acto y en su lugar emite otro con las características y cualidades suficientes para dejar satisfecho el ejercicio del derecho al acceso a la in</w:t>
      </w:r>
      <w:r>
        <w:rPr>
          <w:rFonts w:ascii="Palatino Linotype" w:eastAsia="Palatino Linotype" w:hAnsi="Palatino Linotype" w:cs="Palatino Linotype"/>
          <w:color w:val="000000"/>
          <w:sz w:val="24"/>
          <w:szCs w:val="24"/>
        </w:rPr>
        <w:t>formación pública.</w:t>
      </w:r>
    </w:p>
    <w:p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En este orden de ideas, un acto impugnado queda sin efectos, cuando aun existiendo jurídicamente (esto es, que no se ha modificado, ni revocado) ya no genera ninguna consecuencia legal.</w:t>
      </w:r>
    </w:p>
    <w:p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lastRenderedPageBreak/>
        <w:t>En tanto que, un acto impugnado queda sin materia, cuando ha sido satisfecha la pretensión del recurrente de manera que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 xml:space="preserve">entrega una respuesta aunque sea posterior a los términos previstos en la ley y mediante ésta concede la información </w:t>
      </w:r>
      <w:r>
        <w:rPr>
          <w:rFonts w:ascii="Palatino Linotype" w:eastAsia="Palatino Linotype" w:hAnsi="Palatino Linotype" w:cs="Palatino Linotype"/>
          <w:color w:val="000000"/>
          <w:sz w:val="24"/>
          <w:szCs w:val="24"/>
        </w:rPr>
        <w:t>solicitada.</w:t>
      </w:r>
    </w:p>
    <w:p w:rsidR="00B36041" w:rsidRDefault="002435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en el caso concreto, es evidente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modificó su falta de respuesta, ya que, a través de su pronunciamiento emitido en la etapa de manifestaciones, proporcionó la información requerida.</w:t>
      </w:r>
    </w:p>
    <w:p w:rsidR="00B36041" w:rsidRDefault="00243587">
      <w:pPr>
        <w:pBdr>
          <w:top w:val="nil"/>
          <w:left w:val="nil"/>
          <w:bottom w:val="nil"/>
          <w:right w:val="nil"/>
          <w:between w:val="nil"/>
        </w:pBdr>
        <w:spacing w:after="120" w:line="360" w:lineRule="auto"/>
        <w:ind w:right="96"/>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 establecido en el pre</w:t>
      </w:r>
      <w:r>
        <w:rPr>
          <w:rFonts w:ascii="Palatino Linotype" w:eastAsia="Palatino Linotype" w:hAnsi="Palatino Linotype" w:cs="Palatino Linotype"/>
          <w:color w:val="000000"/>
          <w:sz w:val="24"/>
          <w:szCs w:val="24"/>
        </w:rPr>
        <w:t>cepto legal citado, se advierte que el sobreseimiento del recurso de revisión procede cuando se presente un motivo por el cual se tenga sin materia el Recurso de Revisión y en el presente caso el motivo por el cual se sobresee el presente medio de impugnac</w:t>
      </w:r>
      <w:r>
        <w:rPr>
          <w:rFonts w:ascii="Palatino Linotype" w:eastAsia="Palatino Linotype" w:hAnsi="Palatino Linotype" w:cs="Palatino Linotype"/>
          <w:color w:val="000000"/>
          <w:sz w:val="24"/>
          <w:szCs w:val="24"/>
        </w:rPr>
        <w:t xml:space="preserve">ión, es porque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otorgó respuesta a los requerimientos formulados por el particular con la información enviada en Informe Justificado; colmando con ello el derecho de acceso a la información del particular.</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tenor, un acto impugnado queda sin efectos, cuando aun existiendo jurídicamente (esto es, que no se ha modificado, ni revocado) ya no genera ninguna consecuencia legal.</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tanto que, un acto impugnado queda sin materia, cuando ha sido satisfecha la </w:t>
      </w:r>
      <w:r>
        <w:rPr>
          <w:rFonts w:ascii="Palatino Linotype" w:eastAsia="Palatino Linotype" w:hAnsi="Palatino Linotype" w:cs="Palatino Linotype"/>
          <w:sz w:val="24"/>
          <w:szCs w:val="24"/>
        </w:rPr>
        <w:t xml:space="preserve">pretensión del recurrente de manera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entrega una </w:t>
      </w:r>
      <w:r>
        <w:rPr>
          <w:rFonts w:ascii="Palatino Linotype" w:eastAsia="Palatino Linotype" w:hAnsi="Palatino Linotype" w:cs="Palatino Linotype"/>
          <w:sz w:val="24"/>
          <w:szCs w:val="24"/>
        </w:rPr>
        <w:lastRenderedPageBreak/>
        <w:t>respuesta en los términos previstos en la ley, ya que a través de su informe justificado y el alcance al mismo, concede la totalidad de la información solicitada.</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 manera, es evid</w:t>
      </w:r>
      <w:r>
        <w:rPr>
          <w:rFonts w:ascii="Palatino Linotype" w:eastAsia="Palatino Linotype" w:hAnsi="Palatino Linotype" w:cs="Palatino Linotype"/>
          <w:sz w:val="24"/>
          <w:szCs w:val="24"/>
        </w:rPr>
        <w:t>ente que con ello queda satisfecha la pretensión del solicitante y por ende sin materia el presente recurso de revisión, ya que la inconformidad sobre la falta de respuesta, con la información entregada en el apartado de manifestaciones del SAIMEX, que fue</w:t>
      </w:r>
      <w:r>
        <w:rPr>
          <w:rFonts w:ascii="Palatino Linotype" w:eastAsia="Palatino Linotype" w:hAnsi="Palatino Linotype" w:cs="Palatino Linotype"/>
          <w:sz w:val="24"/>
          <w:szCs w:val="24"/>
        </w:rPr>
        <w:t xml:space="preserve"> puesta a la vista del recurrente, ya no cobraría sentido; y si respecto de la misma no formuló alegato alguno dentro del plazo concedido para tal efecto se entiende que se encuentra satisfecho.</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que cumple a su vez, con lo que señala el artículo 166 de </w:t>
      </w:r>
      <w:r>
        <w:rPr>
          <w:rFonts w:ascii="Palatino Linotype" w:eastAsia="Palatino Linotype" w:hAnsi="Palatino Linotype" w:cs="Palatino Linotype"/>
          <w:sz w:val="24"/>
          <w:szCs w:val="24"/>
        </w:rPr>
        <w:t xml:space="preserve">la Ley de Transparencia vigente en la Entidad, el cual expresamente señala que la obligación de acceso a la información pública se tendrá por cumplida cuando el solicitante tenga a su disposición la información requerida o </w:t>
      </w:r>
      <w:r>
        <w:rPr>
          <w:rFonts w:ascii="Palatino Linotype" w:eastAsia="Palatino Linotype" w:hAnsi="Palatino Linotype" w:cs="Palatino Linotype"/>
          <w:i/>
          <w:sz w:val="24"/>
          <w:szCs w:val="24"/>
        </w:rPr>
        <w:t xml:space="preserve">cuando realice la consulta de la </w:t>
      </w:r>
      <w:r>
        <w:rPr>
          <w:rFonts w:ascii="Palatino Linotype" w:eastAsia="Palatino Linotype" w:hAnsi="Palatino Linotype" w:cs="Palatino Linotype"/>
          <w:i/>
          <w:sz w:val="24"/>
          <w:szCs w:val="24"/>
        </w:rPr>
        <w:t>misma en el lugar en que se localice</w:t>
      </w:r>
      <w:r>
        <w:rPr>
          <w:rFonts w:ascii="Palatino Linotype" w:eastAsia="Palatino Linotype" w:hAnsi="Palatino Linotype" w:cs="Palatino Linotype"/>
          <w:sz w:val="24"/>
          <w:szCs w:val="24"/>
        </w:rPr>
        <w:t>; siendo el segundo de los supuestos que señala dicho elemento normativo el que se actualiza en la especie</w:t>
      </w:r>
      <w:r>
        <w:rPr>
          <w:rFonts w:ascii="Palatino Linotype" w:eastAsia="Palatino Linotype" w:hAnsi="Palatino Linotype" w:cs="Palatino Linotype"/>
          <w:sz w:val="24"/>
          <w:szCs w:val="24"/>
          <w:vertAlign w:val="superscript"/>
        </w:rPr>
        <w:footnoteReference w:id="3"/>
      </w:r>
      <w:r>
        <w:rPr>
          <w:rFonts w:ascii="Palatino Linotype" w:eastAsia="Palatino Linotype" w:hAnsi="Palatino Linotype" w:cs="Palatino Linotype"/>
          <w:sz w:val="24"/>
          <w:szCs w:val="24"/>
        </w:rPr>
        <w:t>, puesto que fue a través de la vista otorgada a la recurrente en fecha veintinueve de septiembre del dos mil vei</w:t>
      </w:r>
      <w:r>
        <w:rPr>
          <w:rFonts w:ascii="Palatino Linotype" w:eastAsia="Palatino Linotype" w:hAnsi="Palatino Linotype" w:cs="Palatino Linotype"/>
          <w:sz w:val="24"/>
          <w:szCs w:val="24"/>
        </w:rPr>
        <w:t xml:space="preserve">ntiuno, por medio del Sistema de Acceso a la Información Mexiquense (SAIMEX), respecto de los archivos que fueron previamente enviados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el apartado de manifestaciones del SAIMEX, que el recurrente tuvo a su disposición la información materia de su inconformidad.</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resumen,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satisfacción a la solicitud de acceso a la información pública de la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de manera total o completa; dejando con ello sin materia el presente recurso de revisión, actualizándose entonces la causal prevista en la fracción III del artículo 192 de la Ley de la Materia vigente en la Entidad, antes transcrita.</w:t>
      </w:r>
    </w:p>
    <w:p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Así, siendo el </w:t>
      </w:r>
      <w:r>
        <w:rPr>
          <w:rFonts w:ascii="Palatino Linotype" w:eastAsia="Palatino Linotype" w:hAnsi="Palatino Linotype" w:cs="Palatino Linotype"/>
          <w:i/>
          <w:color w:val="000000"/>
          <w:sz w:val="24"/>
          <w:szCs w:val="24"/>
        </w:rPr>
        <w:t>sobrese</w:t>
      </w:r>
      <w:r>
        <w:rPr>
          <w:rFonts w:ascii="Palatino Linotype" w:eastAsia="Palatino Linotype" w:hAnsi="Palatino Linotype" w:cs="Palatino Linotype"/>
          <w:i/>
          <w:color w:val="000000"/>
          <w:sz w:val="24"/>
          <w:szCs w:val="24"/>
        </w:rPr>
        <w:t>imiento</w:t>
      </w:r>
      <w:r>
        <w:rPr>
          <w:rFonts w:ascii="Palatino Linotype" w:eastAsia="Palatino Linotype" w:hAnsi="Palatino Linotype" w:cs="Palatino Linotype"/>
          <w:color w:val="000000"/>
          <w:sz w:val="24"/>
          <w:szCs w:val="24"/>
        </w:rPr>
        <w:t xml:space="preserve"> un acto que da por terminado el procedimiento administrativo de impugnación por alguna causa sobreviniente en el juicio de que se trate, que impide a la autoridad referirse a lo sustancial de lo planteado por la parte Recurrente, este Instituto se </w:t>
      </w:r>
      <w:r>
        <w:rPr>
          <w:rFonts w:ascii="Palatino Linotype" w:eastAsia="Palatino Linotype" w:hAnsi="Palatino Linotype" w:cs="Palatino Linotype"/>
          <w:color w:val="000000"/>
          <w:sz w:val="24"/>
          <w:szCs w:val="24"/>
        </w:rPr>
        <w:t xml:space="preserve">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eastAsia="Palatino Linotype" w:hAnsi="Palatino Linotype" w:cs="Palatino Linotype"/>
          <w:b/>
          <w:color w:val="000000"/>
          <w:sz w:val="24"/>
          <w:szCs w:val="24"/>
        </w:rPr>
        <w:t>SOBRESEI</w:t>
      </w:r>
      <w:r>
        <w:rPr>
          <w:rFonts w:ascii="Palatino Linotype" w:eastAsia="Palatino Linotype" w:hAnsi="Palatino Linotype" w:cs="Palatino Linotype"/>
          <w:b/>
          <w:color w:val="000000"/>
          <w:sz w:val="24"/>
          <w:szCs w:val="24"/>
        </w:rPr>
        <w:t>MIENTO, NO PERMITE ENTRAR AL ESTUDIO DE LAS CUESTIONES DE FONDO.</w:t>
      </w:r>
    </w:p>
    <w:p w:rsidR="00B36041" w:rsidRDefault="00243587">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2. Respecto a la solicitud de acceso a la información pública </w:t>
      </w:r>
      <w:r>
        <w:rPr>
          <w:rFonts w:ascii="Palatino Linotype" w:eastAsia="Palatino Linotype" w:hAnsi="Palatino Linotype" w:cs="Palatino Linotype"/>
          <w:b/>
          <w:color w:val="0D0D0D"/>
          <w:sz w:val="24"/>
          <w:szCs w:val="24"/>
        </w:rPr>
        <w:t xml:space="preserve">00041/NAUCALPA/IP/2022 </w:t>
      </w:r>
      <w:r>
        <w:rPr>
          <w:rFonts w:ascii="Palatino Linotype" w:eastAsia="Palatino Linotype" w:hAnsi="Palatino Linotype" w:cs="Palatino Linotype"/>
          <w:b/>
          <w:sz w:val="24"/>
          <w:szCs w:val="24"/>
        </w:rPr>
        <w:t>que dio origen al recurso de revisión  00766/INFOEM/IP/RR/2022.</w:t>
      </w:r>
    </w:p>
    <w:p w:rsidR="00B36041" w:rsidRDefault="00B3604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p>
    <w:p w:rsidR="00B36041" w:rsidRDefault="00B3604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90"/>
        <w:gridCol w:w="1397"/>
        <w:gridCol w:w="3224"/>
        <w:gridCol w:w="895"/>
      </w:tblGrid>
      <w:tr w:rsidR="00B36041">
        <w:tc>
          <w:tcPr>
            <w:tcW w:w="2122"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lastRenderedPageBreak/>
              <w:t>Información requerida.</w:t>
            </w:r>
          </w:p>
        </w:tc>
        <w:tc>
          <w:tcPr>
            <w:tcW w:w="1190"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397"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Motivos de inconformidad</w:t>
            </w:r>
          </w:p>
        </w:tc>
        <w:tc>
          <w:tcPr>
            <w:tcW w:w="3224"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c>
          <w:tcPr>
            <w:tcW w:w="895" w:type="dxa"/>
            <w:shd w:val="clear" w:color="auto" w:fill="BFBFBF"/>
          </w:tcPr>
          <w:p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B36041">
        <w:tc>
          <w:tcPr>
            <w:tcW w:w="2122" w:type="dxa"/>
            <w:vAlign w:val="center"/>
          </w:tcPr>
          <w:p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-Perfil profesional que acredite la experiencia y capacidad de la Directora General de Educación y Cultura, especificando años debidamente acreditados como funcionaria pública. </w:t>
            </w:r>
          </w:p>
          <w:p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-Título profesional o documento que acredite su nivel de escolaridad. </w:t>
            </w:r>
          </w:p>
          <w:p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-Requisitos que exige la Ley Orgánica Municipal del Estado de México, para ser funcionaria de la Dirección General de Educación y Cultura, y en caso de no </w:t>
            </w:r>
            <w:r>
              <w:rPr>
                <w:rFonts w:ascii="Palatino Linotype" w:eastAsia="Palatino Linotype" w:hAnsi="Palatino Linotype" w:cs="Palatino Linotype"/>
                <w:color w:val="000000"/>
                <w:sz w:val="20"/>
                <w:szCs w:val="20"/>
              </w:rPr>
              <w:lastRenderedPageBreak/>
              <w:t>acreditarlos cual es el fundam</w:t>
            </w:r>
            <w:r>
              <w:rPr>
                <w:rFonts w:ascii="Palatino Linotype" w:eastAsia="Palatino Linotype" w:hAnsi="Palatino Linotype" w:cs="Palatino Linotype"/>
                <w:color w:val="000000"/>
                <w:sz w:val="20"/>
                <w:szCs w:val="20"/>
              </w:rPr>
              <w:t xml:space="preserve">ento legal por el cual la C, Leticia Buitron tiene un nombramiento sin Acreditar Dichos Requisitos. </w:t>
            </w:r>
          </w:p>
          <w:p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-Copia simple de cada documento que acredite que el nombramiento de la Directora General de Educación y Cultura fue conforme a la Ley Orgánica Municipal de</w:t>
            </w:r>
            <w:r>
              <w:rPr>
                <w:rFonts w:ascii="Palatino Linotype" w:eastAsia="Palatino Linotype" w:hAnsi="Palatino Linotype" w:cs="Palatino Linotype"/>
                <w:color w:val="000000"/>
                <w:sz w:val="20"/>
                <w:szCs w:val="20"/>
              </w:rPr>
              <w:t>l Estado de México y sus Municipios.</w:t>
            </w:r>
          </w:p>
        </w:tc>
        <w:tc>
          <w:tcPr>
            <w:tcW w:w="1190" w:type="dxa"/>
            <w:vAlign w:val="center"/>
          </w:tcPr>
          <w:p w:rsidR="00B36041" w:rsidRDefault="00243587">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No emitió respuesta el Sujeto Obligado</w:t>
            </w:r>
          </w:p>
        </w:tc>
        <w:tc>
          <w:tcPr>
            <w:tcW w:w="1397" w:type="dxa"/>
            <w:vAlign w:val="center"/>
          </w:tcPr>
          <w:p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18"/>
                <w:szCs w:val="18"/>
              </w:rPr>
              <w:t>Falta de respuesta a la solicitud de información.</w:t>
            </w:r>
          </w:p>
        </w:tc>
        <w:tc>
          <w:tcPr>
            <w:tcW w:w="3224" w:type="dxa"/>
          </w:tcPr>
          <w:p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-Oficio DGCyE/223/2022 de fecha veintitrés de febrero de dos mil veintidós, signado por la Directora General de Cultura y Educación del H. Ayuntamiento de Naucalpan de Juárez, mediante el cual informa que la suscrita cumple con todos y cada uno de los requ</w:t>
            </w:r>
            <w:r>
              <w:rPr>
                <w:rFonts w:ascii="Palatino Linotype" w:eastAsia="Palatino Linotype" w:hAnsi="Palatino Linotype" w:cs="Palatino Linotype"/>
                <w:color w:val="000000"/>
                <w:sz w:val="20"/>
                <w:szCs w:val="20"/>
              </w:rPr>
              <w:t xml:space="preserve">isitos estipulados por el puesto, así mismo inserta una síntesis curricular, en ese tenor menciona que una vez analizadas las manifestaciones vertidas, se declare la improcedencia y el sobreseimiento del recurso de revisión en comento. </w:t>
            </w:r>
          </w:p>
          <w:p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Oficio </w:t>
            </w:r>
            <w:r>
              <w:rPr>
                <w:rFonts w:ascii="Palatino Linotype" w:eastAsia="Palatino Linotype" w:hAnsi="Palatino Linotype" w:cs="Palatino Linotype"/>
                <w:color w:val="000000"/>
                <w:sz w:val="16"/>
                <w:szCs w:val="16"/>
              </w:rPr>
              <w:t xml:space="preserve">DGA/SRH/M/0079/2022 </w:t>
            </w:r>
            <w:r>
              <w:rPr>
                <w:rFonts w:ascii="Palatino Linotype" w:eastAsia="Palatino Linotype" w:hAnsi="Palatino Linotype" w:cs="Palatino Linotype"/>
                <w:color w:val="000000"/>
                <w:sz w:val="20"/>
                <w:szCs w:val="20"/>
              </w:rPr>
              <w:t>de fecha veinticinco de febrero de dos mil veintidós signado por la, Directora General de Administración  mediante el cual anexa la ficha curricular de  la Directora General de Cultura y Educación del H. Ayuntamiento de Naucalpan de Juá</w:t>
            </w:r>
            <w:r>
              <w:rPr>
                <w:rFonts w:ascii="Palatino Linotype" w:eastAsia="Palatino Linotype" w:hAnsi="Palatino Linotype" w:cs="Palatino Linotype"/>
                <w:color w:val="000000"/>
                <w:sz w:val="20"/>
                <w:szCs w:val="20"/>
              </w:rPr>
              <w:t>rez.</w:t>
            </w:r>
          </w:p>
          <w:p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Respecto al Título profesional o documento que acredite su nivel de escolaridad  </w:t>
            </w:r>
            <w:r>
              <w:rPr>
                <w:rFonts w:ascii="Palatino Linotype" w:eastAsia="Palatino Linotype" w:hAnsi="Palatino Linotype" w:cs="Palatino Linotype"/>
                <w:b/>
                <w:color w:val="000000"/>
                <w:sz w:val="20"/>
                <w:szCs w:val="20"/>
              </w:rPr>
              <w:t xml:space="preserve">EL SUJETO </w:t>
            </w:r>
            <w:r>
              <w:rPr>
                <w:rFonts w:ascii="Palatino Linotype" w:eastAsia="Palatino Linotype" w:hAnsi="Palatino Linotype" w:cs="Palatino Linotype"/>
                <w:b/>
                <w:color w:val="000000"/>
                <w:sz w:val="20"/>
                <w:szCs w:val="20"/>
              </w:rPr>
              <w:lastRenderedPageBreak/>
              <w:t>OBLIGADO</w:t>
            </w:r>
            <w:r>
              <w:rPr>
                <w:rFonts w:ascii="Palatino Linotype" w:eastAsia="Palatino Linotype" w:hAnsi="Palatino Linotype" w:cs="Palatino Linotype"/>
                <w:color w:val="000000"/>
                <w:sz w:val="20"/>
                <w:szCs w:val="20"/>
              </w:rPr>
              <w:t>, fue omiso de emitir pronunciamiento.</w:t>
            </w:r>
          </w:p>
          <w:p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Respecto al punto de los requisitos que exige la Ley Orgánica Municipal del Estado de México, el SUJETO OBLIGADO </w:t>
            </w:r>
            <w:r>
              <w:rPr>
                <w:rFonts w:ascii="Palatino Linotype" w:eastAsia="Palatino Linotype" w:hAnsi="Palatino Linotype" w:cs="Palatino Linotype"/>
                <w:color w:val="000000"/>
                <w:sz w:val="20"/>
                <w:szCs w:val="20"/>
              </w:rPr>
              <w:t>menciona que después de una búsqueda, no se encontró dato alguno con respecto a los requisitos para ocupar dicho cargo.</w:t>
            </w:r>
          </w:p>
          <w:p w:rsidR="00B36041" w:rsidRDefault="00243587">
            <w:pPr>
              <w:spacing w:before="240" w:after="240"/>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20"/>
                <w:szCs w:val="20"/>
              </w:rPr>
              <w:t xml:space="preserve">Referente a la copia simple que acredite el </w:t>
            </w:r>
            <w:r>
              <w:rPr>
                <w:rFonts w:ascii="Palatino Linotype" w:eastAsia="Palatino Linotype" w:hAnsi="Palatino Linotype" w:cs="Palatino Linotype"/>
                <w:sz w:val="20"/>
                <w:szCs w:val="20"/>
              </w:rPr>
              <w:t xml:space="preserve"> nombramiento de la Directora General de Educación y Cultura, el SUJETO OBLIGADO, responde q</w:t>
            </w:r>
            <w:r>
              <w:rPr>
                <w:rFonts w:ascii="Palatino Linotype" w:eastAsia="Palatino Linotype" w:hAnsi="Palatino Linotype" w:cs="Palatino Linotype"/>
                <w:sz w:val="20"/>
                <w:szCs w:val="20"/>
              </w:rPr>
              <w:t>ue la Ley Orgánica Municipal del Estado de México, en su artículo 87, no establece la obligación de cubrir los requisitos señalados en su artículo 32; por lo cual no resulta aplicable el contenido de dicho precepto a la  Directora General de Educación y Cu</w:t>
            </w:r>
            <w:r>
              <w:rPr>
                <w:rFonts w:ascii="Palatino Linotype" w:eastAsia="Palatino Linotype" w:hAnsi="Palatino Linotype" w:cs="Palatino Linotype"/>
                <w:sz w:val="20"/>
                <w:szCs w:val="20"/>
              </w:rPr>
              <w:t>ltura.</w:t>
            </w:r>
          </w:p>
        </w:tc>
        <w:tc>
          <w:tcPr>
            <w:tcW w:w="895" w:type="dxa"/>
            <w:vAlign w:val="center"/>
          </w:tcPr>
          <w:p w:rsidR="00B36041" w:rsidRDefault="00243587">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Parcialmente.</w:t>
            </w:r>
          </w:p>
        </w:tc>
      </w:tr>
    </w:tbl>
    <w:p w:rsidR="00B36041" w:rsidRDefault="00B36041">
      <w:pPr>
        <w:spacing w:after="0" w:line="360" w:lineRule="auto"/>
        <w:jc w:val="both"/>
        <w:rPr>
          <w:rFonts w:ascii="Palatino Linotype" w:eastAsia="Palatino Linotype" w:hAnsi="Palatino Linotype" w:cs="Palatino Linotype"/>
          <w:sz w:val="24"/>
          <w:szCs w:val="24"/>
        </w:rPr>
      </w:pPr>
    </w:p>
    <w:p w:rsidR="00B36041" w:rsidRDefault="0024358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punto de la solicitud de información referente al perfil profesional que acredite la experiencia y capacidad de la Directora General de Educación y Cultura, especificando años debidamente acreditados como funcionaria pública, el </w:t>
      </w:r>
      <w:r>
        <w:rPr>
          <w:rFonts w:ascii="Palatino Linotype" w:eastAsia="Palatino Linotype" w:hAnsi="Palatino Linotype" w:cs="Palatino Linotype"/>
          <w:b/>
          <w:sz w:val="24"/>
          <w:szCs w:val="24"/>
        </w:rPr>
        <w:t>S</w:t>
      </w:r>
      <w:r>
        <w:rPr>
          <w:rFonts w:ascii="Palatino Linotype" w:eastAsia="Palatino Linotype" w:hAnsi="Palatino Linotype" w:cs="Palatino Linotype"/>
          <w:b/>
          <w:sz w:val="24"/>
          <w:szCs w:val="24"/>
        </w:rPr>
        <w:t>UJETO OBLIGADO</w:t>
      </w:r>
      <w:r>
        <w:rPr>
          <w:rFonts w:ascii="Palatino Linotype" w:eastAsia="Palatino Linotype" w:hAnsi="Palatino Linotype" w:cs="Palatino Linotype"/>
          <w:sz w:val="24"/>
          <w:szCs w:val="24"/>
        </w:rPr>
        <w:t>, remitió lo siguiente:</w:t>
      </w:r>
      <w:r>
        <w:rPr>
          <w:noProof/>
        </w:rPr>
        <mc:AlternateContent>
          <mc:Choice Requires="wpg">
            <w:drawing>
              <wp:anchor distT="0" distB="0" distL="114300" distR="114300" simplePos="0" relativeHeight="251659264" behindDoc="0" locked="0" layoutInCell="1" hidden="0" allowOverlap="1">
                <wp:simplePos x="0" y="0"/>
                <wp:positionH relativeFrom="column">
                  <wp:posOffset>-50799</wp:posOffset>
                </wp:positionH>
                <wp:positionV relativeFrom="paragraph">
                  <wp:posOffset>1244600</wp:posOffset>
                </wp:positionV>
                <wp:extent cx="5591175" cy="1095375"/>
                <wp:effectExtent l="0" t="0" r="0" b="0"/>
                <wp:wrapNone/>
                <wp:docPr id="132" name="Conector recto de flecha 132"/>
                <wp:cNvGraphicFramePr/>
                <a:graphic xmlns:a="http://schemas.openxmlformats.org/drawingml/2006/main">
                  <a:graphicData uri="http://schemas.microsoft.com/office/word/2010/wordprocessingShape">
                    <wps:wsp>
                      <wps:cNvCnPr/>
                      <wps:spPr>
                        <a:xfrm>
                          <a:off x="2569463" y="3251363"/>
                          <a:ext cx="5553075" cy="105727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1244600</wp:posOffset>
                </wp:positionV>
                <wp:extent cx="5591175" cy="1095375"/>
                <wp:effectExtent b="0" l="0" r="0" t="0"/>
                <wp:wrapNone/>
                <wp:docPr id="132"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5591175" cy="1095375"/>
                        </a:xfrm>
                        <a:prstGeom prst="rect"/>
                        <a:ln/>
                      </pic:spPr>
                    </pic:pic>
                  </a:graphicData>
                </a:graphic>
              </wp:anchor>
            </w:drawing>
          </mc:Fallback>
        </mc:AlternateContent>
      </w:r>
    </w:p>
    <w:p w:rsidR="00B36041" w:rsidRDefault="00243587">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4484862" cy="5436198"/>
            <wp:effectExtent l="0" t="0" r="0" b="0"/>
            <wp:docPr id="1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l="46503" t="13277" r="31093" b="38443"/>
                    <a:stretch>
                      <a:fillRect/>
                    </a:stretch>
                  </pic:blipFill>
                  <pic:spPr>
                    <a:xfrm>
                      <a:off x="0" y="0"/>
                      <a:ext cx="4484862" cy="5436198"/>
                    </a:xfrm>
                    <a:prstGeom prst="rect">
                      <a:avLst/>
                    </a:prstGeom>
                    <a:ln/>
                  </pic:spPr>
                </pic:pic>
              </a:graphicData>
            </a:graphic>
          </wp:inline>
        </w:drawing>
      </w:r>
    </w:p>
    <w:p w:rsidR="00B36041" w:rsidRDefault="00243587">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4884455" cy="1703880"/>
            <wp:effectExtent l="0" t="0" r="0" b="0"/>
            <wp:docPr id="1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l="46673" t="76343" r="31433" b="10078"/>
                    <a:stretch>
                      <a:fillRect/>
                    </a:stretch>
                  </pic:blipFill>
                  <pic:spPr>
                    <a:xfrm>
                      <a:off x="0" y="0"/>
                      <a:ext cx="4884455" cy="1703880"/>
                    </a:xfrm>
                    <a:prstGeom prst="rect">
                      <a:avLst/>
                    </a:prstGeom>
                    <a:ln/>
                  </pic:spPr>
                </pic:pic>
              </a:graphicData>
            </a:graphic>
          </wp:inline>
        </w:drawing>
      </w:r>
    </w:p>
    <w:p w:rsidR="00B36041" w:rsidRDefault="00243587">
      <w:pPr>
        <w:spacing w:after="0" w:line="360" w:lineRule="auto"/>
        <w:jc w:val="both"/>
        <w:rPr>
          <w:rFonts w:ascii="Palatino Linotype" w:eastAsia="Palatino Linotype" w:hAnsi="Palatino Linotype" w:cs="Palatino Linotype"/>
          <w:color w:val="FF0000"/>
          <w:sz w:val="24"/>
          <w:szCs w:val="24"/>
        </w:rPr>
      </w:pPr>
      <w:r>
        <w:rPr>
          <w:noProof/>
        </w:rPr>
        <w:lastRenderedPageBreak/>
        <w:drawing>
          <wp:inline distT="0" distB="0" distL="0" distR="0">
            <wp:extent cx="5436481" cy="5221175"/>
            <wp:effectExtent l="0" t="0" r="0" b="0"/>
            <wp:docPr id="15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l="39714" t="28666" r="26001" b="12793"/>
                    <a:stretch>
                      <a:fillRect/>
                    </a:stretch>
                  </pic:blipFill>
                  <pic:spPr>
                    <a:xfrm>
                      <a:off x="0" y="0"/>
                      <a:ext cx="5436481" cy="5221175"/>
                    </a:xfrm>
                    <a:prstGeom prst="rect">
                      <a:avLst/>
                    </a:prstGeom>
                    <a:ln/>
                  </pic:spPr>
                </pic:pic>
              </a:graphicData>
            </a:graphic>
          </wp:inline>
        </w:drawing>
      </w:r>
    </w:p>
    <w:p w:rsidR="00B36041" w:rsidRDefault="0024358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Conforme a ello, se considera que con la información proporcionada por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en este punto de la solicitud de información se satisface  la pretensión de la ahora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pues como se ha podido advertir en efecto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proporcionó la información curricular de la Directora de Educación y Cultura del Ayuntamiento de Naucalpan de Juárez, misma que contiene información de su preparación </w:t>
      </w:r>
      <w:r>
        <w:rPr>
          <w:rFonts w:ascii="Palatino Linotype" w:eastAsia="Palatino Linotype" w:hAnsi="Palatino Linotype" w:cs="Palatino Linotype"/>
          <w:color w:val="000000"/>
          <w:sz w:val="24"/>
          <w:szCs w:val="24"/>
        </w:rPr>
        <w:lastRenderedPageBreak/>
        <w:t>académica y trayectoria profesional</w:t>
      </w:r>
      <w:r>
        <w:t xml:space="preserve"> </w:t>
      </w:r>
      <w:r>
        <w:rPr>
          <w:rFonts w:ascii="Palatino Linotype" w:eastAsia="Palatino Linotype" w:hAnsi="Palatino Linotype" w:cs="Palatino Linotype"/>
          <w:color w:val="000000"/>
          <w:sz w:val="24"/>
          <w:szCs w:val="24"/>
        </w:rPr>
        <w:t xml:space="preserve">ante ello, </w:t>
      </w:r>
      <w:r>
        <w:rPr>
          <w:rFonts w:ascii="Palatino Linotype" w:eastAsia="Palatino Linotype" w:hAnsi="Palatino Linotype" w:cs="Palatino Linotype"/>
          <w:color w:val="000000"/>
          <w:sz w:val="24"/>
          <w:szCs w:val="24"/>
        </w:rPr>
        <w:t>esté Instituto no está facultado para dudar de la veracidad de la información entregada, sirve de apoyo a lo anterior, por analogía el criterio 31-10 emitido por el entonces Instituto Federal de Acceso a la Información ahora Instituto Nacional de Transpare</w:t>
      </w:r>
      <w:r>
        <w:rPr>
          <w:rFonts w:ascii="Palatino Linotype" w:eastAsia="Palatino Linotype" w:hAnsi="Palatino Linotype" w:cs="Palatino Linotype"/>
          <w:color w:val="000000"/>
          <w:sz w:val="24"/>
          <w:szCs w:val="24"/>
        </w:rPr>
        <w:t>ncia, Acceso a la Información y Protección de Datos Personales (INAI) que a la letra dice:</w:t>
      </w:r>
    </w:p>
    <w:p w:rsidR="00B36041" w:rsidRDefault="00B36041">
      <w:pPr>
        <w:spacing w:after="0" w:line="360" w:lineRule="auto"/>
        <w:jc w:val="both"/>
        <w:rPr>
          <w:rFonts w:ascii="Palatino Linotype" w:eastAsia="Palatino Linotype" w:hAnsi="Palatino Linotype" w:cs="Palatino Linotype"/>
          <w:sz w:val="24"/>
          <w:szCs w:val="24"/>
        </w:rPr>
      </w:pPr>
    </w:p>
    <w:p w:rsidR="00B36041" w:rsidRDefault="00243587">
      <w:pPr>
        <w:spacing w:after="0"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Instituto Federal de Acceso a la Información y Protección de Datos no cuenta con facultades para pronunciarse respecto de la veracidad de los documentos proporcionados por los sujetos obligados. El Instituto Federal de Acceso a la Información y Protecc</w:t>
      </w:r>
      <w:r>
        <w:rPr>
          <w:rFonts w:ascii="Palatino Linotype" w:eastAsia="Palatino Linotype" w:hAnsi="Palatino Linotype" w:cs="Palatino Linotype"/>
          <w:i/>
          <w:color w:val="000000"/>
        </w:rPr>
        <w:t>ión de Datos es un órgano de la Administración Pública Federal con autonomía operativa, presupuestaria y de decisión, encargado de promover y difundir el ejercicio del derecho de acceso a la información; resolver sobre la negativa de las solicitudes de acc</w:t>
      </w:r>
      <w:r>
        <w:rPr>
          <w:rFonts w:ascii="Palatino Linotype" w:eastAsia="Palatino Linotype" w:hAnsi="Palatino Linotype" w:cs="Palatino Linotype"/>
          <w:i/>
          <w:color w:val="000000"/>
        </w:rPr>
        <w:t>eso a la información; y proteger los datos personales en poder de las dependencias y entidades. Sin embargo, no está facultado para pronunciarse sobre la veracidad de la información proporcionada por las autoridades en respuesta a las solicitudes de inform</w:t>
      </w:r>
      <w:r>
        <w:rPr>
          <w:rFonts w:ascii="Palatino Linotype" w:eastAsia="Palatino Linotype" w:hAnsi="Palatino Linotype" w:cs="Palatino Linotype"/>
          <w:i/>
          <w:color w:val="000000"/>
        </w:rPr>
        <w:t>ación que les presentan los particulares, en virtud de que en los artículos 49 y 50 de la Ley Federal de Transparencia y Acceso a la Información Pública Gubernamental no se prevé una causal que permita al Instituto Federal de Acceso a la Información y Prot</w:t>
      </w:r>
      <w:r>
        <w:rPr>
          <w:rFonts w:ascii="Palatino Linotype" w:eastAsia="Palatino Linotype" w:hAnsi="Palatino Linotype" w:cs="Palatino Linotype"/>
          <w:i/>
          <w:color w:val="000000"/>
        </w:rPr>
        <w:t>ección de Datos conocer, vía recurso revisión, al respecto.”</w:t>
      </w:r>
    </w:p>
    <w:p w:rsidR="00B36041" w:rsidRDefault="00B36041">
      <w:pPr>
        <w:spacing w:after="0" w:line="360" w:lineRule="auto"/>
        <w:jc w:val="both"/>
        <w:rPr>
          <w:rFonts w:ascii="Palatino Linotype" w:eastAsia="Palatino Linotype" w:hAnsi="Palatino Linotype" w:cs="Palatino Linotype"/>
          <w:color w:val="000000"/>
          <w:sz w:val="24"/>
          <w:szCs w:val="24"/>
        </w:rPr>
      </w:pPr>
    </w:p>
    <w:p w:rsidR="00B36041" w:rsidRDefault="00B36041">
      <w:pPr>
        <w:spacing w:after="0" w:line="360" w:lineRule="auto"/>
        <w:jc w:val="both"/>
        <w:rPr>
          <w:rFonts w:ascii="Palatino Linotype" w:eastAsia="Palatino Linotype" w:hAnsi="Palatino Linotype" w:cs="Palatino Linotype"/>
          <w:color w:val="000000"/>
          <w:sz w:val="24"/>
          <w:szCs w:val="24"/>
        </w:rPr>
      </w:pPr>
    </w:p>
    <w:p w:rsidR="00B36041" w:rsidRDefault="00243587">
      <w:pPr>
        <w:spacing w:after="0" w:line="360" w:lineRule="auto"/>
        <w:jc w:val="both"/>
        <w:rPr>
          <w:rFonts w:ascii="Palatino Linotype" w:eastAsia="Palatino Linotype" w:hAnsi="Palatino Linotype" w:cs="Palatino Linotype"/>
          <w:color w:val="FF0000"/>
          <w:sz w:val="28"/>
          <w:szCs w:val="28"/>
        </w:rPr>
      </w:pPr>
      <w:r>
        <w:rPr>
          <w:rFonts w:ascii="Palatino Linotype" w:eastAsia="Palatino Linotype" w:hAnsi="Palatino Linotype" w:cs="Palatino Linotype"/>
          <w:color w:val="000000"/>
          <w:sz w:val="24"/>
          <w:szCs w:val="24"/>
        </w:rPr>
        <w:t xml:space="preserve">Por otro lado, como se precisó el particular </w:t>
      </w:r>
      <w:r>
        <w:rPr>
          <w:rFonts w:ascii="Palatino Linotype" w:eastAsia="Palatino Linotype" w:hAnsi="Palatino Linotype" w:cs="Palatino Linotype"/>
          <w:sz w:val="24"/>
          <w:szCs w:val="24"/>
        </w:rPr>
        <w:t>solicitó copia simple de cada documento que acredite que el nombramiento de la Directora General de Educación y Cultura</w:t>
      </w:r>
      <w:r>
        <w:rPr>
          <w:rFonts w:ascii="Palatino Linotype" w:eastAsia="Palatino Linotype" w:hAnsi="Palatino Linotype" w:cs="Palatino Linotype"/>
          <w:sz w:val="36"/>
          <w:szCs w:val="36"/>
        </w:rPr>
        <w:t xml:space="preserve"> </w:t>
      </w:r>
      <w:r>
        <w:rPr>
          <w:rFonts w:ascii="Palatino Linotype" w:eastAsia="Palatino Linotype" w:hAnsi="Palatino Linotype" w:cs="Palatino Linotype"/>
          <w:sz w:val="24"/>
          <w:szCs w:val="24"/>
        </w:rPr>
        <w:lastRenderedPageBreak/>
        <w:t>estipuladas en la Ley Orgáni</w:t>
      </w:r>
      <w:r>
        <w:rPr>
          <w:rFonts w:ascii="Palatino Linotype" w:eastAsia="Palatino Linotype" w:hAnsi="Palatino Linotype" w:cs="Palatino Linotype"/>
          <w:sz w:val="24"/>
          <w:szCs w:val="24"/>
        </w:rPr>
        <w:t xml:space="preserve">ca Municipal del Estado de México, resulta importante señalar lo siguiente: </w:t>
      </w:r>
    </w:p>
    <w:p w:rsidR="00B36041" w:rsidRDefault="00243587">
      <w:pPr>
        <w:pBdr>
          <w:top w:val="nil"/>
          <w:left w:val="nil"/>
          <w:bottom w:val="nil"/>
          <w:right w:val="nil"/>
          <w:between w:val="nil"/>
        </w:pBdr>
        <w:spacing w:before="240" w:after="240" w:line="360" w:lineRule="auto"/>
        <w:ind w:left="85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LEY ORGÁNICA MUNICIPAL DEL ESTADO DE MÉXICO</w:t>
      </w:r>
    </w:p>
    <w:p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32. Para ocupar los cargos de Secretario; Tesorero; Director de Obras Públicas, de Desarrollo Económico, Director de Turismo, Coordinador General Municipal de Mejora Regulatoria, Ecología, Desarrollo Urbano, de Desarrollo Social, o equivalentes, </w:t>
      </w:r>
      <w:r>
        <w:rPr>
          <w:rFonts w:ascii="Palatino Linotype" w:eastAsia="Palatino Linotype" w:hAnsi="Palatino Linotype" w:cs="Palatino Linotype"/>
          <w:i/>
          <w:color w:val="000000"/>
        </w:rPr>
        <w:t xml:space="preserve">titulares de las unidades administrativas, de Protección Civil y de los organismos auxiliares se deberán satisfacer los siguientes requisitos: </w:t>
      </w:r>
    </w:p>
    <w:p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w:t>
      </w:r>
      <w:r>
        <w:rPr>
          <w:rFonts w:ascii="Palatino Linotype" w:eastAsia="Palatino Linotype" w:hAnsi="Palatino Linotype" w:cs="Palatino Linotype"/>
          <w:i/>
          <w:color w:val="000000"/>
        </w:rPr>
        <w:tab/>
        <w:t xml:space="preserve"> Ser ciudadano del Estado en pleno uso de sus derechos; </w:t>
      </w:r>
    </w:p>
    <w:p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w:t>
      </w:r>
      <w:r>
        <w:rPr>
          <w:rFonts w:ascii="Palatino Linotype" w:eastAsia="Palatino Linotype" w:hAnsi="Palatino Linotype" w:cs="Palatino Linotype"/>
          <w:i/>
          <w:color w:val="000000"/>
        </w:rPr>
        <w:tab/>
        <w:t>No estar inhabilitado para desempeñar cargo, emp</w:t>
      </w:r>
      <w:r>
        <w:rPr>
          <w:rFonts w:ascii="Palatino Linotype" w:eastAsia="Palatino Linotype" w:hAnsi="Palatino Linotype" w:cs="Palatino Linotype"/>
          <w:i/>
          <w:color w:val="000000"/>
        </w:rPr>
        <w:t xml:space="preserve">leo, o comisión pública. </w:t>
      </w:r>
    </w:p>
    <w:p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w:t>
      </w:r>
      <w:r>
        <w:rPr>
          <w:rFonts w:ascii="Palatino Linotype" w:eastAsia="Palatino Linotype" w:hAnsi="Palatino Linotype" w:cs="Palatino Linotype"/>
          <w:i/>
          <w:color w:val="000000"/>
        </w:rPr>
        <w:tab/>
        <w:t xml:space="preserve">No haber sido condenado en proceso penal, por delito intencional que amerite pena privativa de libertad; </w:t>
      </w:r>
    </w:p>
    <w:p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w:t>
      </w:r>
      <w:r>
        <w:rPr>
          <w:rFonts w:ascii="Palatino Linotype" w:eastAsia="Palatino Linotype" w:hAnsi="Palatino Linotype" w:cs="Palatino Linotype"/>
          <w:i/>
          <w:color w:val="000000"/>
        </w:rPr>
        <w:tab/>
        <w:t>Contar con título profesional o acreditar experiencia mínima de un año en la materia, ante el Presidente o el Ayunt</w:t>
      </w:r>
      <w:r>
        <w:rPr>
          <w:rFonts w:ascii="Palatino Linotype" w:eastAsia="Palatino Linotype" w:hAnsi="Palatino Linotype" w:cs="Palatino Linotype"/>
          <w:i/>
          <w:color w:val="000000"/>
        </w:rPr>
        <w:t xml:space="preserve">amiento, cuando sea el caso, para el desempeño de los cargos que así lo requieran; y </w:t>
      </w:r>
    </w:p>
    <w:p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w:t>
      </w:r>
      <w:r>
        <w:rPr>
          <w:rFonts w:ascii="Palatino Linotype" w:eastAsia="Palatino Linotype" w:hAnsi="Palatino Linotype" w:cs="Palatino Linotype"/>
          <w:i/>
          <w:color w:val="000000"/>
        </w:rPr>
        <w:tab/>
        <w:t>En su caso, contar con certificación de competencia laboral en la materia del cargo que se desempeñará, expedida por institución con reconocimiento de validez oficial.</w:t>
      </w:r>
      <w:r>
        <w:rPr>
          <w:rFonts w:ascii="Palatino Linotype" w:eastAsia="Palatino Linotype" w:hAnsi="Palatino Linotype" w:cs="Palatino Linotype"/>
          <w:i/>
          <w:color w:val="000000"/>
        </w:rPr>
        <w:t xml:space="preserve"> </w:t>
      </w:r>
    </w:p>
    <w:p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Este requisito podrá acreditarse dentro de los seis meses siguientes a la fecha en que inicien sus funciones. </w:t>
      </w:r>
    </w:p>
    <w:p w:rsidR="00B36041" w:rsidRDefault="00243587">
      <w:pPr>
        <w:pBdr>
          <w:top w:val="nil"/>
          <w:left w:val="nil"/>
          <w:bottom w:val="nil"/>
          <w:right w:val="nil"/>
          <w:between w:val="nil"/>
        </w:pBdr>
        <w:spacing w:before="240"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Vencido el plazo a que se refiere el párrafo anterior, el Presidente Municipal informará al Cabildo sobre el cumplimiento de dicha certificación laboral para que, en su caso, el Ayuntamiento tome las medidas correspondientes respecto de aquellos servidores</w:t>
      </w:r>
      <w:r>
        <w:rPr>
          <w:rFonts w:ascii="Palatino Linotype" w:eastAsia="Palatino Linotype" w:hAnsi="Palatino Linotype" w:cs="Palatino Linotype"/>
          <w:i/>
          <w:color w:val="000000"/>
        </w:rPr>
        <w:t xml:space="preserve"> públicos que no hubiesen cumplido.”(Sic)</w:t>
      </w:r>
    </w:p>
    <w:p w:rsidR="00B36041" w:rsidRDefault="002435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conformidad a lo anterior se establece que para ocupar las titularidades de las unidades administrativas se deberán satisfacer ciertos requisitos como lo son, los antes mencionados en el artículo 32 de la Ley Or</w:t>
      </w:r>
      <w:r>
        <w:rPr>
          <w:rFonts w:ascii="Palatino Linotype" w:eastAsia="Palatino Linotype" w:hAnsi="Palatino Linotype" w:cs="Palatino Linotype"/>
          <w:color w:val="000000"/>
          <w:sz w:val="24"/>
          <w:szCs w:val="24"/>
        </w:rPr>
        <w:t xml:space="preserve">gánica Municipal del Estado de México. </w:t>
      </w:r>
    </w:p>
    <w:p w:rsidR="00B36041" w:rsidRDefault="002435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Respecto de la fracción I, relacionado con “</w:t>
      </w:r>
      <w:r>
        <w:rPr>
          <w:rFonts w:ascii="Palatino Linotype" w:eastAsia="Palatino Linotype" w:hAnsi="Palatino Linotype" w:cs="Palatino Linotype"/>
          <w:i/>
          <w:sz w:val="24"/>
          <w:szCs w:val="24"/>
        </w:rPr>
        <w:t>Ser ciudadano del Estado en pleno uso de sus derechos</w:t>
      </w:r>
      <w:r>
        <w:rPr>
          <w:rFonts w:ascii="Palatino Linotype" w:eastAsia="Palatino Linotype" w:hAnsi="Palatino Linotype" w:cs="Palatino Linotype"/>
          <w:sz w:val="24"/>
          <w:szCs w:val="24"/>
        </w:rPr>
        <w:t>”, el documento que acreditaría dicha circunstancia de manera enunciativa más no limitada, de conformidad con el artículo 3 de la Ley de Nacionalidad, son: el acta de nacimiento, el certificado de nacionalidad mexicana, el pasaporte, la carta de naturaliza</w:t>
      </w:r>
      <w:r>
        <w:rPr>
          <w:rFonts w:ascii="Palatino Linotype" w:eastAsia="Palatino Linotype" w:hAnsi="Palatino Linotype" w:cs="Palatino Linotype"/>
          <w:sz w:val="24"/>
          <w:szCs w:val="24"/>
        </w:rPr>
        <w:t>ción, la cédula de identidad ciudadana, la matrícula consular que cuente con los siguientes elementos de seguridad (fotografía digitalizada, banda magnética e identificación holográfica), identificaciones oficiales con fotografía y comprobantes domiciliari</w:t>
      </w:r>
      <w:r>
        <w:rPr>
          <w:rFonts w:ascii="Palatino Linotype" w:eastAsia="Palatino Linotype" w:hAnsi="Palatino Linotype" w:cs="Palatino Linotype"/>
          <w:sz w:val="24"/>
          <w:szCs w:val="24"/>
        </w:rPr>
        <w:t>os.</w:t>
      </w:r>
    </w:p>
    <w:p w:rsidR="00B36041" w:rsidRDefault="00243587">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obstante, dicha documentación debe ser protegida mediante su clasificación como </w:t>
      </w:r>
      <w:r>
        <w:rPr>
          <w:rFonts w:ascii="Palatino Linotype" w:eastAsia="Palatino Linotype" w:hAnsi="Palatino Linotype" w:cs="Palatino Linotype"/>
          <w:sz w:val="24"/>
          <w:szCs w:val="24"/>
        </w:rPr>
        <w:t xml:space="preserve">confidencial en su totalidad, ya </w:t>
      </w:r>
      <w:r>
        <w:rPr>
          <w:rFonts w:ascii="Palatino Linotype" w:eastAsia="Palatino Linotype" w:hAnsi="Palatino Linotype" w:cs="Palatino Linotype"/>
          <w:color w:val="000000"/>
          <w:sz w:val="24"/>
          <w:szCs w:val="24"/>
        </w:rPr>
        <w:t xml:space="preserve">que por su naturaleza jurídica contienen datos deben ser clasificados como confidenciales, lo anterior, como a continuación se </w:t>
      </w:r>
      <w:r>
        <w:rPr>
          <w:rFonts w:ascii="Palatino Linotype" w:eastAsia="Palatino Linotype" w:hAnsi="Palatino Linotype" w:cs="Palatino Linotype"/>
          <w:color w:val="000000"/>
          <w:sz w:val="24"/>
          <w:szCs w:val="24"/>
        </w:rPr>
        <w:lastRenderedPageBreak/>
        <w:t>precisa:</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se refiere a la credencial para votar, constituyen datos personales el nombre, domicilio, huella digital, fotografía del elector, clave de registro o elector, Clave Única del Registro de Población y firma, tal como se refiere en el artículo 156 </w:t>
      </w:r>
      <w:r>
        <w:rPr>
          <w:rFonts w:ascii="Palatino Linotype" w:eastAsia="Palatino Linotype" w:hAnsi="Palatino Linotype" w:cs="Palatino Linotype"/>
          <w:sz w:val="24"/>
          <w:szCs w:val="24"/>
        </w:rPr>
        <w:t xml:space="preserve">numeral 1, incisos d), g) e i) de la Ley General de Instituciones y Procedimientos Electorales que enlista los datos que, cuando menos, debe contener la credencial para votar, como son: </w:t>
      </w:r>
    </w:p>
    <w:p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156</w:t>
      </w:r>
      <w:r>
        <w:rPr>
          <w:rFonts w:ascii="Palatino Linotype" w:eastAsia="Palatino Linotype" w:hAnsi="Palatino Linotype" w:cs="Palatino Linotype"/>
          <w:i/>
        </w:rPr>
        <w:t>.</w:t>
      </w:r>
    </w:p>
    <w:p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La credencial para votar deberá contener, cuando me</w:t>
      </w:r>
      <w:r>
        <w:rPr>
          <w:rFonts w:ascii="Palatino Linotype" w:eastAsia="Palatino Linotype" w:hAnsi="Palatino Linotype" w:cs="Palatino Linotype"/>
          <w:b/>
          <w:i/>
          <w:u w:val="single"/>
        </w:rPr>
        <w:t>nos, los siguientes datos del elector</w:t>
      </w:r>
      <w:r>
        <w:rPr>
          <w:rFonts w:ascii="Palatino Linotype" w:eastAsia="Palatino Linotype" w:hAnsi="Palatino Linotype" w:cs="Palatino Linotype"/>
          <w:i/>
        </w:rPr>
        <w:t>:</w:t>
      </w:r>
    </w:p>
    <w:p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d) </w:t>
      </w:r>
      <w:r>
        <w:rPr>
          <w:rFonts w:ascii="Palatino Linotype" w:eastAsia="Palatino Linotype" w:hAnsi="Palatino Linotype" w:cs="Palatino Linotype"/>
          <w:b/>
          <w:i/>
          <w:u w:val="single"/>
        </w:rPr>
        <w:t>Domicilio</w:t>
      </w:r>
      <w:r>
        <w:rPr>
          <w:rFonts w:ascii="Palatino Linotype" w:eastAsia="Palatino Linotype" w:hAnsi="Palatino Linotype" w:cs="Palatino Linotype"/>
          <w:i/>
        </w:rPr>
        <w:t>;</w:t>
      </w:r>
    </w:p>
    <w:p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g) </w:t>
      </w:r>
      <w:r>
        <w:rPr>
          <w:rFonts w:ascii="Palatino Linotype" w:eastAsia="Palatino Linotype" w:hAnsi="Palatino Linotype" w:cs="Palatino Linotype"/>
          <w:b/>
          <w:i/>
        </w:rPr>
        <w:t>Firma</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huella digital</w:t>
      </w:r>
      <w:r>
        <w:rPr>
          <w:rFonts w:ascii="Palatino Linotype" w:eastAsia="Palatino Linotype" w:hAnsi="Palatino Linotype" w:cs="Palatino Linotype"/>
          <w:i/>
        </w:rPr>
        <w:t xml:space="preserve"> y </w:t>
      </w:r>
      <w:r>
        <w:rPr>
          <w:rFonts w:ascii="Palatino Linotype" w:eastAsia="Palatino Linotype" w:hAnsi="Palatino Linotype" w:cs="Palatino Linotype"/>
          <w:b/>
          <w:i/>
          <w:u w:val="single"/>
        </w:rPr>
        <w:t>fotografía del elector</w:t>
      </w:r>
      <w:r>
        <w:rPr>
          <w:rFonts w:ascii="Palatino Linotype" w:eastAsia="Palatino Linotype" w:hAnsi="Palatino Linotype" w:cs="Palatino Linotype"/>
          <w:i/>
        </w:rPr>
        <w:t>;</w:t>
      </w:r>
    </w:p>
    <w:p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i) </w:t>
      </w:r>
      <w:r>
        <w:rPr>
          <w:rFonts w:ascii="Palatino Linotype" w:eastAsia="Palatino Linotype" w:hAnsi="Palatino Linotype" w:cs="Palatino Linotype"/>
          <w:b/>
          <w:i/>
          <w:u w:val="single"/>
        </w:rPr>
        <w:t>Clave Única del Registro de Población</w:t>
      </w:r>
      <w:r>
        <w:rPr>
          <w:rFonts w:ascii="Palatino Linotype" w:eastAsia="Palatino Linotype" w:hAnsi="Palatino Linotype" w:cs="Palatino Linotype"/>
          <w:i/>
        </w:rPr>
        <w:t>. ” (Sic)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el conocimiento de dichos datos afecta la esfera más íntima de su Titular, en razón de que </w:t>
      </w:r>
      <w:r>
        <w:rPr>
          <w:rFonts w:ascii="Palatino Linotype" w:eastAsia="Palatino Linotype" w:hAnsi="Palatino Linotype" w:cs="Palatino Linotype"/>
          <w:sz w:val="24"/>
          <w:szCs w:val="24"/>
        </w:rPr>
        <w:t>su utilización indebida pueda dar origen a un riesgo grave para éste.</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en el caso particular de la clave de elector, debe precisarse que es un código alfa numérico compuesto por letras de los apellidos y nombre de la persona, seguido de la fecha d</w:t>
      </w:r>
      <w:r>
        <w:rPr>
          <w:rFonts w:ascii="Palatino Linotype" w:eastAsia="Palatino Linotype" w:hAnsi="Palatino Linotype" w:cs="Palatino Linotype"/>
          <w:sz w:val="24"/>
          <w:szCs w:val="24"/>
        </w:rPr>
        <w:t xml:space="preserve">e nacimiento y finalmente una serie de números indispensables </w:t>
      </w:r>
      <w:r>
        <w:rPr>
          <w:rFonts w:ascii="Palatino Linotype" w:eastAsia="Palatino Linotype" w:hAnsi="Palatino Linotype" w:cs="Palatino Linotype"/>
          <w:sz w:val="24"/>
          <w:szCs w:val="24"/>
        </w:rPr>
        <w:lastRenderedPageBreak/>
        <w:t xml:space="preserve">para su inscripción en el Registro Federal de Electores que, a su vez, hace identificable a la persona que corresponde dicha credencial para votar, tan es así, </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que el Sistema de Administración </w:t>
      </w:r>
      <w:r>
        <w:rPr>
          <w:rFonts w:ascii="Palatino Linotype" w:eastAsia="Palatino Linotype" w:hAnsi="Palatino Linotype" w:cs="Palatino Linotype"/>
          <w:sz w:val="24"/>
          <w:szCs w:val="24"/>
        </w:rPr>
        <w:t>Tributaria en su catálogo de trámites contempla como identificación oficial los siguientes documentos:</w:t>
      </w:r>
      <w:r>
        <w:rPr>
          <w:noProof/>
        </w:rPr>
        <w:drawing>
          <wp:anchor distT="0" distB="0" distL="0" distR="0" simplePos="0" relativeHeight="251660288" behindDoc="1" locked="0" layoutInCell="1" hidden="0" allowOverlap="1">
            <wp:simplePos x="0" y="0"/>
            <wp:positionH relativeFrom="column">
              <wp:posOffset>76200</wp:posOffset>
            </wp:positionH>
            <wp:positionV relativeFrom="paragraph">
              <wp:posOffset>551180</wp:posOffset>
            </wp:positionV>
            <wp:extent cx="5766428" cy="2617756"/>
            <wp:effectExtent l="0" t="0" r="0" b="0"/>
            <wp:wrapNone/>
            <wp:docPr id="1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b="2758"/>
                    <a:stretch>
                      <a:fillRect/>
                    </a:stretch>
                  </pic:blipFill>
                  <pic:spPr>
                    <a:xfrm>
                      <a:off x="0" y="0"/>
                      <a:ext cx="5766428" cy="2617756"/>
                    </a:xfrm>
                    <a:prstGeom prst="rect">
                      <a:avLst/>
                    </a:prstGeom>
                    <a:ln/>
                  </pic:spPr>
                </pic:pic>
              </a:graphicData>
            </a:graphic>
          </wp:anchor>
        </w:drawing>
      </w:r>
    </w:p>
    <w:p w:rsidR="00B36041" w:rsidRDefault="00B36041">
      <w:pPr>
        <w:spacing w:before="240" w:after="240" w:line="360" w:lineRule="auto"/>
        <w:jc w:val="both"/>
        <w:rPr>
          <w:rFonts w:ascii="Palatino Linotype" w:eastAsia="Palatino Linotype" w:hAnsi="Palatino Linotype" w:cs="Palatino Linotype"/>
        </w:rPr>
      </w:pPr>
    </w:p>
    <w:p w:rsidR="00B36041" w:rsidRDefault="00B36041">
      <w:pPr>
        <w:spacing w:before="240" w:after="240" w:line="360" w:lineRule="auto"/>
        <w:jc w:val="both"/>
        <w:rPr>
          <w:rFonts w:ascii="Palatino Linotype" w:eastAsia="Palatino Linotype" w:hAnsi="Palatino Linotype" w:cs="Palatino Linotype"/>
        </w:rPr>
      </w:pPr>
    </w:p>
    <w:p w:rsidR="00B36041" w:rsidRDefault="00B36041">
      <w:pPr>
        <w:spacing w:before="240" w:after="240" w:line="360" w:lineRule="auto"/>
        <w:jc w:val="both"/>
        <w:rPr>
          <w:rFonts w:ascii="Palatino Linotype" w:eastAsia="Palatino Linotype" w:hAnsi="Palatino Linotype" w:cs="Palatino Linotype"/>
        </w:rPr>
      </w:pPr>
    </w:p>
    <w:p w:rsidR="00B36041" w:rsidRDefault="00B36041">
      <w:pPr>
        <w:spacing w:before="240" w:after="240" w:line="360" w:lineRule="auto"/>
        <w:jc w:val="both"/>
        <w:rPr>
          <w:rFonts w:ascii="Palatino Linotype" w:eastAsia="Palatino Linotype" w:hAnsi="Palatino Linotype" w:cs="Palatino Linotype"/>
        </w:rPr>
      </w:pPr>
    </w:p>
    <w:p w:rsidR="00B36041" w:rsidRDefault="00B36041">
      <w:pPr>
        <w:spacing w:before="240" w:after="240" w:line="360" w:lineRule="auto"/>
        <w:ind w:right="49"/>
        <w:jc w:val="center"/>
        <w:rPr>
          <w:rFonts w:ascii="Palatino Linotype" w:eastAsia="Palatino Linotype" w:hAnsi="Palatino Linotype" w:cs="Palatino Linotype"/>
        </w:rPr>
      </w:pPr>
    </w:p>
    <w:p w:rsidR="00B36041" w:rsidRDefault="00B36041">
      <w:pPr>
        <w:spacing w:before="240" w:after="240" w:line="360" w:lineRule="auto"/>
        <w:jc w:val="both"/>
        <w:rPr>
          <w:rFonts w:ascii="Palatino Linotype" w:eastAsia="Palatino Linotype" w:hAnsi="Palatino Linotype" w:cs="Palatino Linotype"/>
        </w:rPr>
      </w:pP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Respecto a la edad, número identificador (OCR) y código de barras bidimensional y cifrado contenidos en las credenciales para votar, se advierte que se trata de elementos de información, control y presentación, de conformidad a lo señalado por el Instituto</w:t>
      </w:r>
      <w:r>
        <w:rPr>
          <w:rFonts w:ascii="Palatino Linotype" w:eastAsia="Palatino Linotype" w:hAnsi="Palatino Linotype" w:cs="Palatino Linotype"/>
          <w:sz w:val="24"/>
          <w:szCs w:val="24"/>
        </w:rPr>
        <w:t xml:space="preserve"> Nacional Electoral, en la página de Internet Institucional, http://portalanterior.ine.mx/archivos2/portal/credencial/pdf-credencial/ABC_credenciales_ INE_2015.pdf, como se muestra a continuación, en su parte medular: </w:t>
      </w:r>
    </w:p>
    <w:p w:rsidR="00B36041" w:rsidRDefault="00243587">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5934360" cy="1963320"/>
            <wp:effectExtent l="0" t="0" r="0" b="0"/>
            <wp:docPr id="1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934360" cy="1963320"/>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simplePos x="0" y="0"/>
                <wp:positionH relativeFrom="column">
                  <wp:posOffset>1257300</wp:posOffset>
                </wp:positionH>
                <wp:positionV relativeFrom="paragraph">
                  <wp:posOffset>266700</wp:posOffset>
                </wp:positionV>
                <wp:extent cx="2745759" cy="355600"/>
                <wp:effectExtent l="0" t="0" r="0" b="0"/>
                <wp:wrapNone/>
                <wp:docPr id="124" name="Rectángulo 124"/>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266700</wp:posOffset>
                </wp:positionV>
                <wp:extent cx="2745759" cy="355600"/>
                <wp:effectExtent b="0" l="0" r="0" t="0"/>
                <wp:wrapNone/>
                <wp:docPr id="124"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2745759" cy="3556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177800</wp:posOffset>
                </wp:positionH>
                <wp:positionV relativeFrom="paragraph">
                  <wp:posOffset>774700</wp:posOffset>
                </wp:positionV>
                <wp:extent cx="821424" cy="582589"/>
                <wp:effectExtent l="0" t="0" r="0" b="0"/>
                <wp:wrapNone/>
                <wp:docPr id="129" name="Rectángulo 129"/>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774700</wp:posOffset>
                </wp:positionV>
                <wp:extent cx="821424" cy="582589"/>
                <wp:effectExtent b="0" l="0" r="0" t="0"/>
                <wp:wrapNone/>
                <wp:docPr id="129"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821424" cy="582589"/>
                        </a:xfrm>
                        <a:prstGeom prst="rect"/>
                        <a:ln/>
                      </pic:spPr>
                    </pic:pic>
                  </a:graphicData>
                </a:graphic>
              </wp:anchor>
            </w:drawing>
          </mc:Fallback>
        </mc:AlternateContent>
      </w:r>
    </w:p>
    <w:p w:rsidR="00B36041" w:rsidRDefault="00243587">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844648" cy="2591513"/>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844648" cy="2591513"/>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simplePos x="0" y="0"/>
                <wp:positionH relativeFrom="column">
                  <wp:posOffset>1104900</wp:posOffset>
                </wp:positionH>
                <wp:positionV relativeFrom="paragraph">
                  <wp:posOffset>165100</wp:posOffset>
                </wp:positionV>
                <wp:extent cx="2561514" cy="507526"/>
                <wp:effectExtent l="0" t="0" r="0" b="0"/>
                <wp:wrapNone/>
                <wp:docPr id="131" name="Rectángulo 131"/>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165100</wp:posOffset>
                </wp:positionV>
                <wp:extent cx="2561514" cy="507526"/>
                <wp:effectExtent b="0" l="0" r="0" t="0"/>
                <wp:wrapNone/>
                <wp:docPr id="131"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2561514" cy="507526"/>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1104900</wp:posOffset>
                </wp:positionH>
                <wp:positionV relativeFrom="paragraph">
                  <wp:posOffset>1206500</wp:posOffset>
                </wp:positionV>
                <wp:extent cx="2561514" cy="393700"/>
                <wp:effectExtent l="0" t="0" r="0" b="0"/>
                <wp:wrapNone/>
                <wp:docPr id="127" name="Rectángulo 127"/>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1206500</wp:posOffset>
                </wp:positionV>
                <wp:extent cx="2561514" cy="393700"/>
                <wp:effectExtent b="0" l="0" r="0" t="0"/>
                <wp:wrapNone/>
                <wp:docPr id="127"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2561514" cy="3937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342900</wp:posOffset>
                </wp:positionH>
                <wp:positionV relativeFrom="paragraph">
                  <wp:posOffset>342900</wp:posOffset>
                </wp:positionV>
                <wp:extent cx="432464" cy="1913245"/>
                <wp:effectExtent l="0" t="0" r="0" b="0"/>
                <wp:wrapNone/>
                <wp:docPr id="123" name="Rectángulo 123"/>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342900</wp:posOffset>
                </wp:positionV>
                <wp:extent cx="432464" cy="1913245"/>
                <wp:effectExtent b="0" l="0" r="0" t="0"/>
                <wp:wrapNone/>
                <wp:docPr id="123"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432464" cy="1913245"/>
                        </a:xfrm>
                        <a:prstGeom prst="rect"/>
                        <a:ln/>
                      </pic:spPr>
                    </pic:pic>
                  </a:graphicData>
                </a:graphic>
              </wp:anchor>
            </w:drawing>
          </mc:Fallback>
        </mc:AlternateContent>
      </w:r>
    </w:p>
    <w:p w:rsidR="00B36041" w:rsidRDefault="00243587">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en el caso del número identificador (OCR), debe precisarse que éste es generalmente utilizado en la realización de diversas operaciones bancarias y, en algunos casos, como un medio de identificación de las personas, por lo cual, su conocim</w:t>
      </w:r>
      <w:r>
        <w:rPr>
          <w:rFonts w:ascii="Palatino Linotype" w:eastAsia="Palatino Linotype" w:hAnsi="Palatino Linotype" w:cs="Palatino Linotype"/>
          <w:sz w:val="24"/>
          <w:szCs w:val="24"/>
        </w:rPr>
        <w:t xml:space="preserve">iento y utilización, concierne únicamente a su titular. </w:t>
      </w:r>
    </w:p>
    <w:p w:rsidR="00B36041" w:rsidRDefault="00243587">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caso de la edad, se trata de un dato personal sensible que concierne únicamente a su titular, al corresponder a su esfera más íntima. </w:t>
      </w:r>
    </w:p>
    <w:p w:rsidR="00B36041" w:rsidRDefault="00243587">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El código de barras bidimensional y cifrado, como fue ante</w:t>
      </w:r>
      <w:r>
        <w:rPr>
          <w:rFonts w:ascii="Palatino Linotype" w:eastAsia="Palatino Linotype" w:hAnsi="Palatino Linotype" w:cs="Palatino Linotype"/>
          <w:sz w:val="24"/>
          <w:szCs w:val="24"/>
        </w:rPr>
        <w:t>riormente mencionado, se trata de un medio de almacenamiento de información, que en el caso de las credenciales para votar, contiene datos e información, utilizada para efectos electorales, misma, que únicamente concierne a las autoridades competentes en l</w:t>
      </w:r>
      <w:r>
        <w:rPr>
          <w:rFonts w:ascii="Palatino Linotype" w:eastAsia="Palatino Linotype" w:hAnsi="Palatino Linotype" w:cs="Palatino Linotype"/>
          <w:sz w:val="24"/>
          <w:szCs w:val="24"/>
        </w:rPr>
        <w:t>a materia y a su propio titular.</w:t>
      </w:r>
    </w:p>
    <w:p w:rsidR="00B36041" w:rsidRDefault="00243587">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se refiere a la CURP</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constituye un dato personal, ya que tiene como finalidad registrar a cada una de las personas que integran la población del país, con los datos que permitan certificar y acreditar fehaciente</w:t>
      </w:r>
      <w:r>
        <w:rPr>
          <w:rFonts w:ascii="Palatino Linotype" w:eastAsia="Palatino Linotype" w:hAnsi="Palatino Linotype" w:cs="Palatino Linotype"/>
          <w:sz w:val="24"/>
          <w:szCs w:val="24"/>
        </w:rPr>
        <w:t>mente su identidad, la cual servirá para identificarla de manera individual.</w:t>
      </w:r>
    </w:p>
    <w:p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tiene sustento en los artículos 86 y 91 de la Ley General de Población, la cual señala lo siguiente:</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86. </w:t>
      </w:r>
      <w:r>
        <w:rPr>
          <w:rFonts w:ascii="Palatino Linotype" w:eastAsia="Palatino Linotype" w:hAnsi="Palatino Linotype" w:cs="Palatino Linotype"/>
          <w:i/>
        </w:rPr>
        <w:t>El Registro Nacional de Población tiene como finali</w:t>
      </w:r>
      <w:r>
        <w:rPr>
          <w:rFonts w:ascii="Palatino Linotype" w:eastAsia="Palatino Linotype" w:hAnsi="Palatino Linotype" w:cs="Palatino Linotype"/>
          <w:i/>
        </w:rPr>
        <w:t>dad registrar a cada una de las personas que integran la población del país, con los datos que permitan certificar y acreditar fehacientemente su identidad.</w:t>
      </w:r>
    </w:p>
    <w:p w:rsidR="00B36041" w:rsidRDefault="00B36041">
      <w:pPr>
        <w:ind w:left="851" w:right="851"/>
        <w:jc w:val="both"/>
        <w:rPr>
          <w:rFonts w:ascii="Palatino Linotype" w:eastAsia="Palatino Linotype" w:hAnsi="Palatino Linotype" w:cs="Palatino Linotype"/>
          <w:b/>
          <w:i/>
        </w:rPr>
      </w:pP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91. Al incorporar a una persona en el Registro Nacional de Población</w:t>
      </w:r>
      <w:r>
        <w:rPr>
          <w:rFonts w:ascii="Palatino Linotype" w:eastAsia="Palatino Linotype" w:hAnsi="Palatino Linotype" w:cs="Palatino Linotype"/>
          <w:i/>
        </w:rPr>
        <w:t xml:space="preserve">, se le asignará una </w:t>
      </w:r>
      <w:r>
        <w:rPr>
          <w:rFonts w:ascii="Palatino Linotype" w:eastAsia="Palatino Linotype" w:hAnsi="Palatino Linotype" w:cs="Palatino Linotype"/>
          <w:i/>
        </w:rPr>
        <w:t xml:space="preserve">clave </w:t>
      </w:r>
      <w:r>
        <w:rPr>
          <w:rFonts w:ascii="Palatino Linotype" w:eastAsia="Palatino Linotype" w:hAnsi="Palatino Linotype" w:cs="Palatino Linotype"/>
          <w:b/>
          <w:i/>
        </w:rPr>
        <w:t>que se denominará Clave Única de Registro de Población</w:t>
      </w:r>
      <w:r>
        <w:rPr>
          <w:rFonts w:ascii="Palatino Linotype" w:eastAsia="Palatino Linotype" w:hAnsi="Palatino Linotype" w:cs="Palatino Linotype"/>
          <w:i/>
        </w:rPr>
        <w:t xml:space="preserve">. </w:t>
      </w:r>
      <w:r>
        <w:rPr>
          <w:rFonts w:ascii="Palatino Linotype" w:eastAsia="Palatino Linotype" w:hAnsi="Palatino Linotype" w:cs="Palatino Linotype"/>
          <w:b/>
          <w:i/>
        </w:rPr>
        <w:t>Esta servirá para</w:t>
      </w:r>
      <w:r>
        <w:rPr>
          <w:rFonts w:ascii="Palatino Linotype" w:eastAsia="Palatino Linotype" w:hAnsi="Palatino Linotype" w:cs="Palatino Linotype"/>
          <w:i/>
        </w:rPr>
        <w:t xml:space="preserve"> registrarla e </w:t>
      </w:r>
      <w:r>
        <w:rPr>
          <w:rFonts w:ascii="Palatino Linotype" w:eastAsia="Palatino Linotype" w:hAnsi="Palatino Linotype" w:cs="Palatino Linotype"/>
          <w:b/>
          <w:i/>
        </w:rPr>
        <w:t>identificarla en forma individual</w:t>
      </w:r>
      <w:r>
        <w:rPr>
          <w:rFonts w:ascii="Palatino Linotype" w:eastAsia="Palatino Linotype" w:hAnsi="Palatino Linotype" w:cs="Palatino Linotype"/>
          <w:i/>
        </w:rPr>
        <w:t>.”(Sic)</w:t>
      </w:r>
    </w:p>
    <w:p w:rsidR="00B36041" w:rsidRDefault="00243587">
      <w:pPr>
        <w:spacing w:before="280" w:after="280" w:line="360" w:lineRule="auto"/>
        <w:jc w:val="both"/>
        <w:rPr>
          <w:rFonts w:ascii="Palatino Linotype" w:eastAsia="Palatino Linotype" w:hAnsi="Palatino Linotype" w:cs="Palatino Linotype"/>
          <w:sz w:val="32"/>
          <w:szCs w:val="32"/>
        </w:rPr>
      </w:pPr>
      <w:r>
        <w:rPr>
          <w:rFonts w:ascii="Palatino Linotype" w:eastAsia="Palatino Linotype" w:hAnsi="Palatino Linotype" w:cs="Palatino Linotype"/>
          <w:sz w:val="24"/>
          <w:szCs w:val="24"/>
        </w:rPr>
        <w:t xml:space="preserve">Ahora bien, la CURP está integrada de 18 elementos representados por letras y números, que se generan a partir de los datos contenidos en un documento probatorio de identidad (acta de nacimiento, carta de naturalización o documento </w:t>
      </w:r>
      <w:r>
        <w:rPr>
          <w:rFonts w:ascii="Palatino Linotype" w:eastAsia="Palatino Linotype" w:hAnsi="Palatino Linotype" w:cs="Palatino Linotype"/>
          <w:sz w:val="24"/>
          <w:szCs w:val="24"/>
        </w:rPr>
        <w:lastRenderedPageBreak/>
        <w:t xml:space="preserve">migratorio), la cual se </w:t>
      </w:r>
      <w:r>
        <w:rPr>
          <w:rFonts w:ascii="Palatino Linotype" w:eastAsia="Palatino Linotype" w:hAnsi="Palatino Linotype" w:cs="Palatino Linotype"/>
          <w:sz w:val="24"/>
          <w:szCs w:val="24"/>
        </w:rPr>
        <w:t>integra de la primera letra del apellido paterno; seguida de la primera letra Vocal del primer apellido; seguida de la primera letra del segundo apellido y por último la primera letra del nombre; fecha de nacimiento año/mes/día; sexo; Entidad Federativa de</w:t>
      </w:r>
      <w:r>
        <w:rPr>
          <w:rFonts w:ascii="Palatino Linotype" w:eastAsia="Palatino Linotype" w:hAnsi="Palatino Linotype" w:cs="Palatino Linotype"/>
          <w:sz w:val="24"/>
          <w:szCs w:val="24"/>
        </w:rPr>
        <w:t xml:space="preserve"> nacimiento; consonantes internas del nombre y apellidos; un diferenciador de homonimia y siglo; y un digito verificador, que garantizan la correcta integración. </w:t>
      </w:r>
    </w:p>
    <w:p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el INAI, a través del Criterio 18/17 de la Segunda Época, señala literalmente lo</w:t>
      </w:r>
      <w:r>
        <w:rPr>
          <w:rFonts w:ascii="Palatino Linotype" w:eastAsia="Palatino Linotype" w:hAnsi="Palatino Linotype" w:cs="Palatino Linotype"/>
          <w:sz w:val="24"/>
          <w:szCs w:val="24"/>
        </w:rPr>
        <w:t xml:space="preserve"> siguiente:</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Clave Única de Registro de Población (CURP).</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Clave Única de Registro de Población se integra por datos personales que sólo conciernen al particular titular</w:t>
      </w:r>
      <w:r>
        <w:rPr>
          <w:rFonts w:ascii="Palatino Linotype" w:eastAsia="Palatino Linotype" w:hAnsi="Palatino Linotype" w:cs="Palatino Linotype"/>
          <w:i/>
        </w:rPr>
        <w:t xml:space="preserve"> de la misma, </w:t>
      </w:r>
      <w:r>
        <w:rPr>
          <w:rFonts w:ascii="Palatino Linotype" w:eastAsia="Palatino Linotype" w:hAnsi="Palatino Linotype" w:cs="Palatino Linotype"/>
          <w:b/>
          <w:i/>
        </w:rPr>
        <w:t>como lo son su nombre, apellidos, fecha de nacimiento, lugar de nacimie</w:t>
      </w:r>
      <w:r>
        <w:rPr>
          <w:rFonts w:ascii="Palatino Linotype" w:eastAsia="Palatino Linotype" w:hAnsi="Palatino Linotype" w:cs="Palatino Linotype"/>
          <w:b/>
          <w:i/>
        </w:rPr>
        <w:t>nto y sexo</w:t>
      </w:r>
      <w:r>
        <w:rPr>
          <w:rFonts w:ascii="Palatino Linotype" w:eastAsia="Palatino Linotype" w:hAnsi="Palatino Linotype" w:cs="Palatino Linotype"/>
          <w:i/>
        </w:rPr>
        <w:t xml:space="preserve">. Dichos datos, constituyen información que distingue plenamente a una persona física del resto de los habitantes del país, </w:t>
      </w:r>
      <w:r>
        <w:rPr>
          <w:rFonts w:ascii="Palatino Linotype" w:eastAsia="Palatino Linotype" w:hAnsi="Palatino Linotype" w:cs="Palatino Linotype"/>
          <w:b/>
          <w:i/>
        </w:rPr>
        <w:t>por lo que la CURP está considerada como información confidencial</w:t>
      </w:r>
      <w:r>
        <w:rPr>
          <w:rFonts w:ascii="Palatino Linotype" w:eastAsia="Palatino Linotype" w:hAnsi="Palatino Linotype" w:cs="Palatino Linotype"/>
          <w:i/>
        </w:rPr>
        <w:t xml:space="preserve">.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Resoluciones:</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RRA 3995/16. Secretaría de la Defensa </w:t>
      </w:r>
      <w:r>
        <w:rPr>
          <w:rFonts w:ascii="Palatino Linotype" w:eastAsia="Palatino Linotype" w:hAnsi="Palatino Linotype" w:cs="Palatino Linotype"/>
          <w:i/>
        </w:rPr>
        <w:t>Nacional. 1 de febrero de 2017. Por unanimidad. Comisionado Ponente Rosendoevgueni Monterrey Chepov.</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RRA 0937/17. Senado de la República. 15 de marzo de 2017. Por unanimidad. Comisionada Ponente Ximena Puente de la Mora.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RRA 0478/17. Secretaría de Rel</w:t>
      </w:r>
      <w:r>
        <w:rPr>
          <w:rFonts w:ascii="Palatino Linotype" w:eastAsia="Palatino Linotype" w:hAnsi="Palatino Linotype" w:cs="Palatino Linotype"/>
          <w:i/>
        </w:rPr>
        <w:t>aciones Exteriores. 26 de abril de 2017. Por unanimidad. Comisionada Ponente Areli Cano Guadiana.” (Sic)</w:t>
      </w:r>
    </w:p>
    <w:p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la CURP se encuentra vinculada al nombre y apellidos de la persona, permitiendo identificar fecha y lugar de nacimient</w:t>
      </w:r>
      <w:r>
        <w:rPr>
          <w:rFonts w:ascii="Palatino Linotype" w:eastAsia="Palatino Linotype" w:hAnsi="Palatino Linotype" w:cs="Palatino Linotype"/>
          <w:sz w:val="24"/>
          <w:szCs w:val="24"/>
        </w:rPr>
        <w:t xml:space="preserve">o, así </w:t>
      </w:r>
      <w:r>
        <w:rPr>
          <w:rFonts w:ascii="Palatino Linotype" w:eastAsia="Palatino Linotype" w:hAnsi="Palatino Linotype" w:cs="Palatino Linotype"/>
          <w:sz w:val="24"/>
          <w:szCs w:val="24"/>
        </w:rPr>
        <w:lastRenderedPageBreak/>
        <w:t>como el sexo; datos que únicamente le atañen a su titular, por lo que, ésta constituye un dato personal que concierne a una persona física identificada e identificable en términos de los artículos 2, fracción II de la Ley de Transparencia y Acceso a</w:t>
      </w:r>
      <w:r>
        <w:rPr>
          <w:rFonts w:ascii="Palatino Linotype" w:eastAsia="Palatino Linotype" w:hAnsi="Palatino Linotype" w:cs="Palatino Linotype"/>
          <w:sz w:val="24"/>
          <w:szCs w:val="24"/>
        </w:rPr>
        <w:t xml:space="preserve"> la Información Pública del Estado de México y Municipios y 4, fracción XI de la Ley de Protección de Datos Personales en Posesión de Sujetos Obligados del Estado de México y Municipios.</w:t>
      </w:r>
    </w:p>
    <w:p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domicilio particular, de acuerdo a lo señalado en los artículos 2.</w:t>
      </w:r>
      <w:r>
        <w:rPr>
          <w:rFonts w:ascii="Palatino Linotype" w:eastAsia="Palatino Linotype" w:hAnsi="Palatino Linotype" w:cs="Palatino Linotype"/>
          <w:sz w:val="24"/>
          <w:szCs w:val="24"/>
        </w:rPr>
        <w:t>3 y 2.5 del Código Civil del Estado de México, el domicilio es un atributo de la personalidad y un derecho de las personas. Este tiene como propósito que una persona pueda establecerse temporal o permanentemente en un lugar determinado, para habitar, estab</w:t>
      </w:r>
      <w:r>
        <w:rPr>
          <w:rFonts w:ascii="Palatino Linotype" w:eastAsia="Palatino Linotype" w:hAnsi="Palatino Linotype" w:cs="Palatino Linotype"/>
          <w:sz w:val="24"/>
          <w:szCs w:val="24"/>
        </w:rPr>
        <w:t>lecer su centro de trabajo o negocios; ahora bien, su inclusión en el nombramiento se puede decir que sólo tiene como objetivo brindar elementos que permitan conocer y hacer identificable a la persona que se designa, sin que esta información sea de relevan</w:t>
      </w:r>
      <w:r>
        <w:rPr>
          <w:rFonts w:ascii="Palatino Linotype" w:eastAsia="Palatino Linotype" w:hAnsi="Palatino Linotype" w:cs="Palatino Linotype"/>
          <w:sz w:val="24"/>
          <w:szCs w:val="24"/>
        </w:rPr>
        <w:t xml:space="preserve">cia para el interés público, así como tampoco tiene relevancia en el ejercicio de atribuciones de los servidores públicos. </w:t>
      </w:r>
    </w:p>
    <w:p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la clasificación del domicilio particular, por tratarse de un dato personal confidencial, en términos del artículo 143, f</w:t>
      </w:r>
      <w:r>
        <w:rPr>
          <w:rFonts w:ascii="Palatino Linotype" w:eastAsia="Palatino Linotype" w:hAnsi="Palatino Linotype" w:cs="Palatino Linotype"/>
          <w:sz w:val="24"/>
          <w:szCs w:val="24"/>
        </w:rPr>
        <w:t xml:space="preserve">racción I de la Ley de Transparencia y Acceso a la Información Pública del Estado de México y Municipios. </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lo que corresponde a la huella dactilar, la Academia Mexicana de la Lengua y el Diccionario de la Real Academia de la Lengua Española, establecen </w:t>
      </w:r>
      <w:r>
        <w:rPr>
          <w:rFonts w:ascii="Palatino Linotype" w:eastAsia="Palatino Linotype" w:hAnsi="Palatino Linotype" w:cs="Palatino Linotype"/>
          <w:sz w:val="24"/>
          <w:szCs w:val="24"/>
        </w:rPr>
        <w:t xml:space="preserve">que la huella dactilar, es la impresión que suele dejar la yema del dedo en un objeto al tocarlo, o </w:t>
      </w:r>
      <w:r>
        <w:rPr>
          <w:rFonts w:ascii="Palatino Linotype" w:eastAsia="Palatino Linotype" w:hAnsi="Palatino Linotype" w:cs="Palatino Linotype"/>
          <w:sz w:val="24"/>
          <w:szCs w:val="24"/>
        </w:rPr>
        <w:lastRenderedPageBreak/>
        <w:t>la que se obtiene impregnándola previamente en una materia colorante. Por su parte, en el documento electrónico intitulado “Nuevas Tecnologías Biométricas”,</w:t>
      </w:r>
      <w:r>
        <w:rPr>
          <w:rFonts w:ascii="Palatino Linotype" w:eastAsia="Palatino Linotype" w:hAnsi="Palatino Linotype" w:cs="Palatino Linotype"/>
          <w:sz w:val="24"/>
          <w:szCs w:val="24"/>
        </w:rPr>
        <w:t xml:space="preserve"> publicado por el Instituto Nacional de Ciencias Penales y la Procuraduría General de la República, disponible en </w:t>
      </w:r>
      <w:hyperlink r:id="rId32">
        <w:r>
          <w:rPr>
            <w:rFonts w:ascii="Palatino Linotype" w:eastAsia="Palatino Linotype" w:hAnsi="Palatino Linotype" w:cs="Palatino Linotype"/>
            <w:color w:val="0563C1"/>
            <w:sz w:val="24"/>
            <w:szCs w:val="24"/>
            <w:u w:val="single"/>
          </w:rPr>
          <w:t>https://docplayer.es/5455342-Nuevas-tecnologias-biometricas-instituto-nacional-de-ciencias-penales-procuraduria-general-de-la-republica-version-1-0.html</w:t>
        </w:r>
      </w:hyperlink>
      <w:r>
        <w:rPr>
          <w:rFonts w:ascii="Palatino Linotype" w:eastAsia="Palatino Linotype" w:hAnsi="Palatino Linotype" w:cs="Palatino Linotype"/>
          <w:sz w:val="24"/>
          <w:szCs w:val="24"/>
        </w:rPr>
        <w:t>, se indica que existen tres principios fundamentales para la identificaci</w:t>
      </w:r>
      <w:r>
        <w:rPr>
          <w:rFonts w:ascii="Palatino Linotype" w:eastAsia="Palatino Linotype" w:hAnsi="Palatino Linotype" w:cs="Palatino Linotype"/>
          <w:sz w:val="24"/>
          <w:szCs w:val="24"/>
        </w:rPr>
        <w:t xml:space="preserve">ón de las huellas dactilares, a saber: </w:t>
      </w:r>
    </w:p>
    <w:p w:rsidR="00B36041" w:rsidRDefault="00B36041">
      <w:pPr>
        <w:spacing w:line="360" w:lineRule="auto"/>
        <w:jc w:val="both"/>
        <w:rPr>
          <w:rFonts w:ascii="Palatino Linotype" w:eastAsia="Palatino Linotype" w:hAnsi="Palatino Linotype" w:cs="Palatino Linotype"/>
          <w:sz w:val="24"/>
          <w:szCs w:val="24"/>
        </w:rPr>
      </w:pPr>
    </w:p>
    <w:p w:rsidR="00B36041" w:rsidRDefault="00243587">
      <w:pPr>
        <w:numPr>
          <w:ilvl w:val="0"/>
          <w:numId w:val="1"/>
        </w:numPr>
        <w:spacing w:after="0" w:line="360" w:lineRule="auto"/>
        <w:ind w:right="47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Primer principio. La huella es una característica individual. No hay dos huellas con características en las crestas que sean idénticas. </w:t>
      </w:r>
    </w:p>
    <w:p w:rsidR="00B36041" w:rsidRDefault="00B36041">
      <w:pPr>
        <w:spacing w:line="360" w:lineRule="auto"/>
        <w:ind w:right="474"/>
        <w:jc w:val="both"/>
        <w:rPr>
          <w:rFonts w:ascii="Palatino Linotype" w:eastAsia="Palatino Linotype" w:hAnsi="Palatino Linotype" w:cs="Palatino Linotype"/>
          <w:sz w:val="24"/>
          <w:szCs w:val="24"/>
        </w:rPr>
      </w:pPr>
    </w:p>
    <w:p w:rsidR="00B36041" w:rsidRDefault="00243587">
      <w:pPr>
        <w:numPr>
          <w:ilvl w:val="0"/>
          <w:numId w:val="1"/>
        </w:numPr>
        <w:spacing w:after="0" w:line="360" w:lineRule="auto"/>
        <w:ind w:right="47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Segundo principio. Una huella permanece sin cambios durante toda la vida de un individuo (sin embargo, puede adquirir cicatrices o cualquier otra deformación que impida su identificación clara). </w:t>
      </w:r>
    </w:p>
    <w:p w:rsidR="00B36041" w:rsidRDefault="00B36041">
      <w:pPr>
        <w:spacing w:line="360" w:lineRule="auto"/>
        <w:ind w:right="474"/>
        <w:jc w:val="both"/>
        <w:rPr>
          <w:rFonts w:ascii="Palatino Linotype" w:eastAsia="Palatino Linotype" w:hAnsi="Palatino Linotype" w:cs="Palatino Linotype"/>
          <w:sz w:val="24"/>
          <w:szCs w:val="24"/>
        </w:rPr>
      </w:pPr>
    </w:p>
    <w:p w:rsidR="00B36041" w:rsidRDefault="00243587">
      <w:pPr>
        <w:numPr>
          <w:ilvl w:val="0"/>
          <w:numId w:val="1"/>
        </w:numPr>
        <w:spacing w:after="0" w:line="360" w:lineRule="auto"/>
        <w:ind w:right="47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Tercer principio. Las huellas tienen patrones que se forman</w:t>
      </w:r>
      <w:r>
        <w:rPr>
          <w:rFonts w:ascii="Palatino Linotype" w:eastAsia="Palatino Linotype" w:hAnsi="Palatino Linotype" w:cs="Palatino Linotype"/>
          <w:sz w:val="24"/>
          <w:szCs w:val="24"/>
        </w:rPr>
        <w:t xml:space="preserve"> con sus crestas, lo que hace posible clasificarlas sistemáticamente para agilizar las búsquedas. </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Conforme a lo expuesto, es indubitable que la huella dactilar es una característica propia de un individuo que permite su reconocimiento. Por tanto, sin duda</w:t>
      </w:r>
      <w:r>
        <w:rPr>
          <w:rFonts w:ascii="Palatino Linotype" w:eastAsia="Palatino Linotype" w:hAnsi="Palatino Linotype" w:cs="Palatino Linotype"/>
          <w:sz w:val="24"/>
          <w:szCs w:val="24"/>
        </w:rPr>
        <w:t xml:space="preserve">, se considera que es una característica individual que se utiliza como medio de </w:t>
      </w:r>
      <w:r>
        <w:rPr>
          <w:rFonts w:ascii="Palatino Linotype" w:eastAsia="Palatino Linotype" w:hAnsi="Palatino Linotype" w:cs="Palatino Linotype"/>
          <w:sz w:val="24"/>
          <w:szCs w:val="24"/>
        </w:rPr>
        <w:lastRenderedPageBreak/>
        <w:t>identificación de las personas y, por tanto, constituye un dato personal, de conformidad con lo establecido en el artículo 143, fracción I de la Ley de la materia.</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w:t>
      </w:r>
      <w:r>
        <w:rPr>
          <w:rFonts w:ascii="Palatino Linotype" w:eastAsia="Palatino Linotype" w:hAnsi="Palatino Linotype" w:cs="Palatino Linotype"/>
          <w:sz w:val="24"/>
          <w:szCs w:val="24"/>
        </w:rPr>
        <w:t xml:space="preserve"> no obstante que dicho dato no se haya recolectado mediante escaneo que permita su sistematización y procesamiento electrónico, incluso su recolección en tinta y papel, también permite su escaneo, lo que puede propiciar un mal uno de dicho dato, sino se ap</w:t>
      </w:r>
      <w:r>
        <w:rPr>
          <w:rFonts w:ascii="Palatino Linotype" w:eastAsia="Palatino Linotype" w:hAnsi="Palatino Linotype" w:cs="Palatino Linotype"/>
          <w:sz w:val="24"/>
          <w:szCs w:val="24"/>
        </w:rPr>
        <w:t>lican las medidas de protección adecuada, tal como lo refiere la Tesis Aislada HUELLA DACTILAR. ES APTA PARA ACREDITAR EL CONSENTIMIENTO EN LA CELEBRACIÓN DE UN CONTRATO.</w:t>
      </w:r>
    </w:p>
    <w:p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“La huella dactilar es un elemento jurídicamente reconocido para demostrar tanto la i</w:t>
      </w:r>
      <w:r>
        <w:rPr>
          <w:rFonts w:ascii="Palatino Linotype" w:eastAsia="Palatino Linotype" w:hAnsi="Palatino Linotype" w:cs="Palatino Linotype"/>
          <w:b/>
          <w:i/>
        </w:rPr>
        <w:t>ndividualización de su autor como la manifestación de su voluntad con el contenido de un documento, porque es más idónea para individualizar al sujeto, pues las técnicas dactiloscópicas desarrolladas permiten afirmar que no hay dos personas que posean idén</w:t>
      </w:r>
      <w:r>
        <w:rPr>
          <w:rFonts w:ascii="Palatino Linotype" w:eastAsia="Palatino Linotype" w:hAnsi="Palatino Linotype" w:cs="Palatino Linotype"/>
          <w:b/>
          <w:i/>
        </w:rPr>
        <w:t>ticas huellas dactilares;</w:t>
      </w:r>
      <w:r>
        <w:rPr>
          <w:rFonts w:ascii="Palatino Linotype" w:eastAsia="Palatino Linotype" w:hAnsi="Palatino Linotype" w:cs="Palatino Linotype"/>
          <w:i/>
        </w:rPr>
        <w:t xml:space="preserve"> en cambio, los caracteres de la letra pueden ser imitados y, en algunos casos, podrá resultar difícil al perito decidir sobre la autenticidad de una firma. Como ejemplo de la eficacia de esa función individualizadora se tiene el a</w:t>
      </w:r>
      <w:r>
        <w:rPr>
          <w:rFonts w:ascii="Palatino Linotype" w:eastAsia="Palatino Linotype" w:hAnsi="Palatino Linotype" w:cs="Palatino Linotype"/>
          <w:i/>
        </w:rPr>
        <w:t>rtículo 76 del Código Civil para el Distrito Federal, que concibe a la huella como una firma útil para identificar a los nacidos en un parto múltiple. Por lo que toca a la función de acreditar la manifestación del consentimiento, el citado código prevé div</w:t>
      </w:r>
      <w:r>
        <w:rPr>
          <w:rFonts w:ascii="Palatino Linotype" w:eastAsia="Palatino Linotype" w:hAnsi="Palatino Linotype" w:cs="Palatino Linotype"/>
          <w:i/>
        </w:rPr>
        <w:t xml:space="preserve">ersos supuestos, como por ejemplo, la solicitud del matrimonio (artículo 97, fracción III, segundo párrafo) y la celebración misma de éste (artículo 103, fracción IX, tercer párrafo). Tratándose de los contratos, la impresión de la huella cumple esa doble </w:t>
      </w:r>
      <w:r>
        <w:rPr>
          <w:rFonts w:ascii="Palatino Linotype" w:eastAsia="Palatino Linotype" w:hAnsi="Palatino Linotype" w:cs="Palatino Linotype"/>
          <w:i/>
        </w:rPr>
        <w:t>función, pues si bien es cierto que dicho código en su artículo 1834 establece como requisito adicional la firma de la persona que intervenga a ruego del autor de la huella, ello ocurre de manera excepcional para los casos en que éste no sepa o no pueda le</w:t>
      </w:r>
      <w:r>
        <w:rPr>
          <w:rFonts w:ascii="Palatino Linotype" w:eastAsia="Palatino Linotype" w:hAnsi="Palatino Linotype" w:cs="Palatino Linotype"/>
          <w:i/>
        </w:rPr>
        <w:t>er ni escribir, pero aun en este caso el conocimiento del contenido del documento y, en consecuencia, la eficacia de la manifestación de la voluntad del autor respecto del contenido del contrato, se asegura con la necesidad de la intervención de la persona</w:t>
      </w:r>
      <w:r>
        <w:rPr>
          <w:rFonts w:ascii="Palatino Linotype" w:eastAsia="Palatino Linotype" w:hAnsi="Palatino Linotype" w:cs="Palatino Linotype"/>
          <w:i/>
        </w:rPr>
        <w:t xml:space="preserve"> que solicite el autor. De esta manera, si en un contrato se encuentran plasmadas huellas atribuidas a una de las partes acompañadas de firmas igualmente atribuidas a él, </w:t>
      </w:r>
      <w:r>
        <w:rPr>
          <w:rFonts w:ascii="Palatino Linotype" w:eastAsia="Palatino Linotype" w:hAnsi="Palatino Linotype" w:cs="Palatino Linotype"/>
          <w:i/>
        </w:rPr>
        <w:lastRenderedPageBreak/>
        <w:t>quedando demostrado que dichas huellas sí corresponden a dicho autor, debe tenerse po</w:t>
      </w:r>
      <w:r>
        <w:rPr>
          <w:rFonts w:ascii="Palatino Linotype" w:eastAsia="Palatino Linotype" w:hAnsi="Palatino Linotype" w:cs="Palatino Linotype"/>
          <w:i/>
        </w:rPr>
        <w:t>r acreditado el consentimiento en la celebración del contrato, incluso, con independencia de que la prueba pericial haya determinado la falsificación de las firmas correspondientes, más aún cuando el autor no negó expresamente haber estampado sus huellas e</w:t>
      </w:r>
      <w:r>
        <w:rPr>
          <w:rFonts w:ascii="Palatino Linotype" w:eastAsia="Palatino Linotype" w:hAnsi="Palatino Linotype" w:cs="Palatino Linotype"/>
          <w:i/>
        </w:rPr>
        <w:t>n el contrato.(Sic)</w:t>
      </w:r>
    </w:p>
    <w:p w:rsidR="00B36041" w:rsidRDefault="00B36041">
      <w:pPr>
        <w:ind w:left="567" w:right="567"/>
        <w:jc w:val="both"/>
        <w:rPr>
          <w:rFonts w:ascii="Palatino Linotype" w:eastAsia="Palatino Linotype" w:hAnsi="Palatino Linotype" w:cs="Palatino Linotype"/>
          <w:i/>
        </w:rPr>
      </w:pP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la actualidad existen sistemas denominados AFIS por sus siglas en inglés </w:t>
      </w:r>
      <w:r>
        <w:rPr>
          <w:rFonts w:ascii="Palatino Linotype" w:eastAsia="Palatino Linotype" w:hAnsi="Palatino Linotype" w:cs="Palatino Linotype"/>
          <w:i/>
          <w:sz w:val="24"/>
          <w:szCs w:val="24"/>
        </w:rPr>
        <w:t>Automated Fingerprint Identification System</w:t>
      </w:r>
      <w:r>
        <w:rPr>
          <w:rFonts w:ascii="Palatino Linotype" w:eastAsia="Palatino Linotype" w:hAnsi="Palatino Linotype" w:cs="Palatino Linotype"/>
          <w:sz w:val="24"/>
          <w:szCs w:val="24"/>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w:t>
      </w:r>
      <w:r>
        <w:rPr>
          <w:rFonts w:ascii="Palatino Linotype" w:eastAsia="Palatino Linotype" w:hAnsi="Palatino Linotype" w:cs="Palatino Linotype"/>
          <w:sz w:val="24"/>
          <w:szCs w:val="24"/>
        </w:rPr>
        <w:t xml:space="preserve">ncuentra impresa en un papel, que sólo depende de la calidad de la imagen para su comparación para la individualización del autor por medio de los sistemas AFIS. </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términos de la calidad de la imagen se debe observar que en la NOM-151-SCFI-2016 publicada</w:t>
      </w:r>
      <w:r>
        <w:rPr>
          <w:rFonts w:ascii="Palatino Linotype" w:eastAsia="Palatino Linotype" w:hAnsi="Palatino Linotype" w:cs="Palatino Linotype"/>
          <w:sz w:val="24"/>
          <w:szCs w:val="24"/>
        </w:rPr>
        <w:t xml:space="preserve"> en el Diario Oficial de la Federación el 30 de Marzo de 2017, se determina que la calidad propicia para realizar la digitalización de documentos físicos en formato de imagen es de 200 píxeles por pulgada o superior para representaciones en blanco y negro,</w:t>
      </w:r>
      <w:r>
        <w:rPr>
          <w:rFonts w:ascii="Palatino Linotype" w:eastAsia="Palatino Linotype" w:hAnsi="Palatino Linotype" w:cs="Palatino Linotype"/>
          <w:sz w:val="24"/>
          <w:szCs w:val="24"/>
        </w:rPr>
        <w:t xml:space="preserve"> color o escala de grises, para garantizar el contenido y la integridad de los documentos digitalizados. Desde esta perspectiva es viable digitalizar la imagen de una huella digital con una calidad mínima para poder ser puesta a disposición de un sistema A</w:t>
      </w:r>
      <w:r>
        <w:rPr>
          <w:rFonts w:ascii="Palatino Linotype" w:eastAsia="Palatino Linotype" w:hAnsi="Palatino Linotype" w:cs="Palatino Linotype"/>
          <w:sz w:val="24"/>
          <w:szCs w:val="24"/>
        </w:rPr>
        <w:t xml:space="preserve">FIS por medio de escáneres y multifuncionales de venta al público general de diversas marcas y que pueden proporcionar una resolución de hasta 600 pixeles por pulgada. </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conclusión, con el uso de las tecnologías de digitalización e impresión puestas a di</w:t>
      </w:r>
      <w:r>
        <w:rPr>
          <w:rFonts w:ascii="Palatino Linotype" w:eastAsia="Palatino Linotype" w:hAnsi="Palatino Linotype" w:cs="Palatino Linotype"/>
          <w:sz w:val="24"/>
          <w:szCs w:val="24"/>
        </w:rPr>
        <w:t>sposición de público general, es posible realizar la adquisición y reproducción de la huella digital que se encuentra en un documento y adicionalmente se puede sistematizar la comparación y análisis de las digitalizaciones a través de sistemas especializad</w:t>
      </w:r>
      <w:r>
        <w:rPr>
          <w:rFonts w:ascii="Palatino Linotype" w:eastAsia="Palatino Linotype" w:hAnsi="Palatino Linotype" w:cs="Palatino Linotype"/>
          <w:sz w:val="24"/>
          <w:szCs w:val="24"/>
        </w:rPr>
        <w:t>os para esta finalidad que pueden encontrarse de forma gratuita en internet.</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anterior, la huella dactilar no sólo constituye un dato personal confidencial de carácter biométrico, sino que su tratamiento debe llevarse a cabo a través de medidas de se</w:t>
      </w:r>
      <w:r>
        <w:rPr>
          <w:rFonts w:ascii="Palatino Linotype" w:eastAsia="Palatino Linotype" w:hAnsi="Palatino Linotype" w:cs="Palatino Linotype"/>
          <w:sz w:val="24"/>
          <w:szCs w:val="24"/>
        </w:rPr>
        <w:t>guridad que garanticen su adecuado tratamiento, por lo que debe ser clasificado como confidencial en términos del artículo 143, fracción I, de la Ley de Transparencia y Acceso a la Información Pública del Estado de México y Municipios.</w:t>
      </w:r>
    </w:p>
    <w:p w:rsidR="00B36041" w:rsidRDefault="002435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a la fra</w:t>
      </w:r>
      <w:r>
        <w:rPr>
          <w:rFonts w:ascii="Palatino Linotype" w:eastAsia="Palatino Linotype" w:hAnsi="Palatino Linotype" w:cs="Palatino Linotype"/>
          <w:sz w:val="24"/>
          <w:szCs w:val="24"/>
        </w:rPr>
        <w:t>cción II, correspondiente con “</w:t>
      </w:r>
      <w:r>
        <w:rPr>
          <w:rFonts w:ascii="Palatino Linotype" w:eastAsia="Palatino Linotype" w:hAnsi="Palatino Linotype" w:cs="Palatino Linotype"/>
          <w:b/>
          <w:i/>
          <w:sz w:val="24"/>
          <w:szCs w:val="24"/>
          <w:u w:val="single"/>
        </w:rPr>
        <w:t>No estar inhabilitado para desempeñar cargo, empleo, o comisión pública</w:t>
      </w:r>
      <w:r>
        <w:rPr>
          <w:rFonts w:ascii="Palatino Linotype" w:eastAsia="Palatino Linotype" w:hAnsi="Palatino Linotype" w:cs="Palatino Linotype"/>
          <w:i/>
          <w:sz w:val="24"/>
          <w:szCs w:val="24"/>
        </w:rPr>
        <w:t>”</w:t>
      </w:r>
      <w:r>
        <w:rPr>
          <w:rFonts w:ascii="Palatino Linotype" w:eastAsia="Palatino Linotype" w:hAnsi="Palatino Linotype" w:cs="Palatino Linotype"/>
          <w:sz w:val="24"/>
          <w:szCs w:val="24"/>
        </w:rPr>
        <w:t>, debe constar en los expedientes laborales, las respectivas Constancias de No Inhabilitación, emitidas con base en la consulta en el sistema electrónico</w:t>
      </w:r>
      <w:r>
        <w:rPr>
          <w:rFonts w:ascii="Palatino Linotype" w:eastAsia="Palatino Linotype" w:hAnsi="Palatino Linotype" w:cs="Palatino Linotype"/>
          <w:sz w:val="24"/>
          <w:szCs w:val="24"/>
        </w:rPr>
        <w:t xml:space="preserve"> de la Secretaría de la Contraloría del Gobierno del Estado de México, de conformidad con el artículo 28, último párrafo, de la Ley de Responsabilidades Administrativas del Estado de México y Municipios, el cual se inserta a continuación:</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28</w:t>
      </w:r>
      <w:r>
        <w:rPr>
          <w:rFonts w:ascii="Palatino Linotype" w:eastAsia="Palatino Linotype" w:hAnsi="Palatino Linotype" w:cs="Palatino Linotype"/>
          <w:i/>
        </w:rPr>
        <w:t xml:space="preserve">.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u w:val="single"/>
        </w:rPr>
        <w:t xml:space="preserve">Los entes públicos, previo al nombramiento, designación o contratación de quienes pretendan ingresar al servicio público, consultarán los </w:t>
      </w:r>
      <w:r>
        <w:rPr>
          <w:rFonts w:ascii="Palatino Linotype" w:eastAsia="Palatino Linotype" w:hAnsi="Palatino Linotype" w:cs="Palatino Linotype"/>
          <w:b/>
          <w:i/>
          <w:u w:val="single"/>
        </w:rPr>
        <w:lastRenderedPageBreak/>
        <w:t>sistemas nacional, estatal y municipal de servidores públicos</w:t>
      </w:r>
      <w:r>
        <w:rPr>
          <w:rFonts w:ascii="Palatino Linotype" w:eastAsia="Palatino Linotype" w:hAnsi="Palatino Linotype" w:cs="Palatino Linotype"/>
          <w:i/>
        </w:rPr>
        <w:t xml:space="preserve"> y particulares sancionados de la plataforma digital naci</w:t>
      </w:r>
      <w:r>
        <w:rPr>
          <w:rFonts w:ascii="Palatino Linotype" w:eastAsia="Palatino Linotype" w:hAnsi="Palatino Linotype" w:cs="Palatino Linotype"/>
          <w:i/>
        </w:rPr>
        <w:t xml:space="preserve">onal y estatal, </w:t>
      </w:r>
      <w:r>
        <w:rPr>
          <w:rFonts w:ascii="Palatino Linotype" w:eastAsia="Palatino Linotype" w:hAnsi="Palatino Linotype" w:cs="Palatino Linotype"/>
          <w:b/>
          <w:i/>
          <w:u w:val="single"/>
        </w:rPr>
        <w:t>con el fin de verificar si existen inhabilitaciones de dichas personas</w:t>
      </w:r>
      <w:r>
        <w:rPr>
          <w:rFonts w:ascii="Palatino Linotype" w:eastAsia="Palatino Linotype" w:hAnsi="Palatino Linotype" w:cs="Palatino Linotype"/>
          <w:i/>
        </w:rPr>
        <w:t>, de no existir se expedirá la constancia correspondiente.” (Sic)</w:t>
      </w:r>
    </w:p>
    <w:p w:rsidR="00B36041" w:rsidRDefault="002435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lo procedente es ordenar la constancias de no inhabilitación de la Directora de E</w:t>
      </w:r>
      <w:r>
        <w:rPr>
          <w:rFonts w:ascii="Palatino Linotype" w:eastAsia="Palatino Linotype" w:hAnsi="Palatino Linotype" w:cs="Palatino Linotype"/>
          <w:sz w:val="24"/>
          <w:szCs w:val="24"/>
        </w:rPr>
        <w:t xml:space="preserve">ducación y Cultura  en versión pública de acuerdo a lo señalado por el considerando quinto del presente fallo. </w:t>
      </w:r>
    </w:p>
    <w:p w:rsidR="00B36041" w:rsidRDefault="00243587">
      <w:pPr>
        <w:pBdr>
          <w:top w:val="nil"/>
          <w:left w:val="nil"/>
          <w:bottom w:val="nil"/>
          <w:right w:val="nil"/>
          <w:between w:val="nil"/>
        </w:pBd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cuanto a la fracción III, afín con “</w:t>
      </w:r>
      <w:r>
        <w:rPr>
          <w:rFonts w:ascii="Palatino Linotype" w:eastAsia="Palatino Linotype" w:hAnsi="Palatino Linotype" w:cs="Palatino Linotype"/>
          <w:b/>
          <w:sz w:val="24"/>
          <w:szCs w:val="24"/>
          <w:u w:val="single"/>
        </w:rPr>
        <w:t>No haber sido condenado en proceso penal, por delito intencional que amerite pena privativa de libertad</w:t>
      </w:r>
      <w:r>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el documento que colmaría dicha circunstancia sería el Certificado de antecedentes no penales u informe de antecedentes penales, dichos documentos deben ser entregados en versión pública a considerarse que en el presente caso se trata de un mando superior</w:t>
      </w:r>
      <w:r>
        <w:rPr>
          <w:rFonts w:ascii="Palatino Linotype" w:eastAsia="Palatino Linotype" w:hAnsi="Palatino Linotype" w:cs="Palatino Linotype"/>
          <w:sz w:val="24"/>
          <w:szCs w:val="24"/>
        </w:rPr>
        <w:t xml:space="preserve"> del Ayuntamiento de Naucalpan de Juárez, por lo que deberán clasificarse como confidencial en atención a los siguientes argumentos:</w:t>
      </w:r>
    </w:p>
    <w:p w:rsidR="00B36041" w:rsidRDefault="00243587">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caso concreto, es pertinente conocer cómo se integran los expedientes de ingreso de los servidores públicos para cono</w:t>
      </w:r>
      <w:r>
        <w:rPr>
          <w:rFonts w:ascii="Palatino Linotype" w:eastAsia="Palatino Linotype" w:hAnsi="Palatino Linotype" w:cs="Palatino Linotype"/>
          <w:sz w:val="24"/>
          <w:szCs w:val="24"/>
        </w:rPr>
        <w:t>cer cuáles son los documentos que los conforman, y si entre ellos el certificado de antecedentes no penales u informe de antecedentes no penales, es considerado un requisito que debe presentarse para que de este modo se encuentre bajo resguardo de una auto</w:t>
      </w:r>
      <w:r>
        <w:rPr>
          <w:rFonts w:ascii="Palatino Linotype" w:eastAsia="Palatino Linotype" w:hAnsi="Palatino Linotype" w:cs="Palatino Linotype"/>
          <w:sz w:val="24"/>
          <w:szCs w:val="24"/>
        </w:rPr>
        <w:t>ridad.</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el Manual de Normas y Procedimientos de Desarrollo y Administración de Personal en el Procedimiento 021 “ALTA DE SERVIDORES </w:t>
      </w:r>
      <w:r>
        <w:rPr>
          <w:rFonts w:ascii="Palatino Linotype" w:eastAsia="Palatino Linotype" w:hAnsi="Palatino Linotype" w:cs="Palatino Linotype"/>
          <w:sz w:val="24"/>
          <w:szCs w:val="24"/>
        </w:rPr>
        <w:lastRenderedPageBreak/>
        <w:t>PÚBLICOS GENERALES Y DE CONFIANZA” establece en las normas 20301/021-01 y 20301/021-11, lo siguiente:</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“20301</w:t>
      </w:r>
      <w:r>
        <w:rPr>
          <w:rFonts w:ascii="Palatino Linotype" w:eastAsia="Palatino Linotype" w:hAnsi="Palatino Linotype" w:cs="Palatino Linotype"/>
          <w:i/>
        </w:rPr>
        <w:t>/021-01 Es política del Gobierno del Estado de México no hacer discriminación alguna para el ingreso de servidores públicos, por motivo de sexo, credo religioso, edad, raza o filiación política,…”</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“20301/021-11 Las coordinaciones administrativas o equivale</w:t>
      </w:r>
      <w:r>
        <w:rPr>
          <w:rFonts w:ascii="Palatino Linotype" w:eastAsia="Palatino Linotype" w:hAnsi="Palatino Linotype" w:cs="Palatino Linotype"/>
          <w:i/>
        </w:rPr>
        <w:t>ntes, para dar de alta a un candidato en el sector central del Poder Ejecutivo del Gobierno del Estado de México, deberán solicitarle que presente el Informe de No Antecedentes Penales (Informe para solicitud como trámite laboral) emitido por la Procuradur</w:t>
      </w:r>
      <w:r>
        <w:rPr>
          <w:rFonts w:ascii="Palatino Linotype" w:eastAsia="Palatino Linotype" w:hAnsi="Palatino Linotype" w:cs="Palatino Linotype"/>
          <w:i/>
        </w:rPr>
        <w:t>ía General de Justicia del Estado de México, por conducto del Instituto de Servicios Periciales, así como copia del comprobante en línea. El Informe de No Antecedentes Penales, no exime al candidato a ocupar algún puesto, de la obtención del Certificado de</w:t>
      </w:r>
      <w:r>
        <w:rPr>
          <w:rFonts w:ascii="Palatino Linotype" w:eastAsia="Palatino Linotype" w:hAnsi="Palatino Linotype" w:cs="Palatino Linotype"/>
          <w:i/>
        </w:rPr>
        <w:t xml:space="preserve"> No Antecedentes Penales, el cual deberá presentar ante la coordinación administrativa o equivalente una vez que lo obtenga (solicitud como certificado para desempeñar un empleo, cargo o comisión en el servicio público o para ingreso o permanencia en Insti</w:t>
      </w:r>
      <w:r>
        <w:rPr>
          <w:rFonts w:ascii="Palatino Linotype" w:eastAsia="Palatino Linotype" w:hAnsi="Palatino Linotype" w:cs="Palatino Linotype"/>
          <w:i/>
        </w:rPr>
        <w:t>tuciones de Seguridad Pública)…”</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norma en comento, se colige que para ingresar al servicio público en el Estado de México, entre otros documentos, se requiere la presentación del Certificado de No Antecedentes Penales.</w:t>
      </w:r>
    </w:p>
    <w:p w:rsidR="00B36041" w:rsidRDefault="0024358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Ahora bien, para la obtención d</w:t>
      </w:r>
      <w:r>
        <w:rPr>
          <w:rFonts w:ascii="Palatino Linotype" w:eastAsia="Palatino Linotype" w:hAnsi="Palatino Linotype" w:cs="Palatino Linotype"/>
          <w:sz w:val="24"/>
          <w:szCs w:val="24"/>
        </w:rPr>
        <w:t>el citado documento el interesado deberá seguir el procedimiento establecido en el ACUERDO NUMERO 14/2011, DEL PROCURADOR GENERAL DE JUSTICIA DEL ESTADO DE MÉXICO, POR EL QUE SE ESTABLECEN LOS SUPUESTOS Y LINEAMIENTOS PARA LA EXPEDICIÓN DE INFORMES Y CERTI</w:t>
      </w:r>
      <w:r>
        <w:rPr>
          <w:rFonts w:ascii="Palatino Linotype" w:eastAsia="Palatino Linotype" w:hAnsi="Palatino Linotype" w:cs="Palatino Linotype"/>
          <w:sz w:val="24"/>
          <w:szCs w:val="24"/>
        </w:rPr>
        <w:t xml:space="preserve">FICADOS DE NO ANTECEDENTES </w:t>
      </w:r>
      <w:r>
        <w:rPr>
          <w:rFonts w:ascii="Palatino Linotype" w:eastAsia="Palatino Linotype" w:hAnsi="Palatino Linotype" w:cs="Palatino Linotype"/>
          <w:sz w:val="24"/>
          <w:szCs w:val="24"/>
        </w:rPr>
        <w:lastRenderedPageBreak/>
        <w:t xml:space="preserve">PENALES, publicado en la Gaceta del Gobierno del Estado de México, el día treinta de noviembre de dos mil once, que señala: </w:t>
      </w:r>
    </w:p>
    <w:p w:rsidR="00B36041" w:rsidRDefault="00243587">
      <w:pPr>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b/>
          <w:i/>
        </w:rPr>
        <w:t>CUARTO</w:t>
      </w:r>
      <w:r>
        <w:rPr>
          <w:rFonts w:ascii="Palatino Linotype" w:eastAsia="Palatino Linotype" w:hAnsi="Palatino Linotype" w:cs="Palatino Linotype"/>
          <w:i/>
        </w:rPr>
        <w:t>. Para efectos de este Acuerdo, son antecedentes penales aquellos registros de, identificación personal sobre sujetos que hubieren sido condenados por autoridad judicial competente a una pena o medida de seguridad, mediante resolución que haya causado ejec</w:t>
      </w:r>
      <w:r>
        <w:rPr>
          <w:rFonts w:ascii="Palatino Linotype" w:eastAsia="Palatino Linotype" w:hAnsi="Palatino Linotype" w:cs="Palatino Linotype"/>
          <w:i/>
        </w:rPr>
        <w:t>utoria, en los términos a que hace referencia el Libro Primero. Titulo Tercero del Código Penal del Estado de México</w:t>
      </w:r>
      <w:r>
        <w:rPr>
          <w:rFonts w:ascii="Palatino Linotype" w:eastAsia="Palatino Linotype" w:hAnsi="Palatino Linotype" w:cs="Palatino Linotype"/>
        </w:rPr>
        <w:t>.”</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SÉPTIMO</w:t>
      </w:r>
      <w:r>
        <w:rPr>
          <w:rFonts w:ascii="Palatino Linotype" w:eastAsia="Palatino Linotype" w:hAnsi="Palatino Linotype" w:cs="Palatino Linotype"/>
          <w:i/>
        </w:rPr>
        <w:t>. Para la expedición del Certificado de No Antecedentes Penales, el Instituto de Servicios Periciales deberá recabar constancia d</w:t>
      </w:r>
      <w:r>
        <w:rPr>
          <w:rFonts w:ascii="Palatino Linotype" w:eastAsia="Palatino Linotype" w:hAnsi="Palatino Linotype" w:cs="Palatino Linotype"/>
          <w:i/>
        </w:rPr>
        <w:t xml:space="preserve">el pago de derechos respectivo, copia de identificación oficial, fotografías y huellas dactilares del interesado, conforme a la normatividad aplicable. Para el trámite respectivo, el interesado deberá: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Realizar el pago de derechos por la expedición del Ce</w:t>
      </w:r>
      <w:r>
        <w:rPr>
          <w:rFonts w:ascii="Palatino Linotype" w:eastAsia="Palatino Linotype" w:hAnsi="Palatino Linotype" w:cs="Palatino Linotype"/>
          <w:i/>
        </w:rPr>
        <w:t>rtificado de No Antecedentes Penales de la forma que a continuación se indica:</w:t>
      </w:r>
    </w:p>
    <w:p w:rsidR="00B36041" w:rsidRDefault="00243587">
      <w:pPr>
        <w:numPr>
          <w:ilvl w:val="0"/>
          <w:numId w:val="2"/>
        </w:num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Ingresar a la página electrónica www.edomex.gob.mx: Hacer "click en el botón "Portal de Servicios al Contribuyente, Pagos Electrónicos"; </w:t>
      </w:r>
    </w:p>
    <w:p w:rsidR="00B36041" w:rsidRDefault="00243587">
      <w:pPr>
        <w:numPr>
          <w:ilvl w:val="0"/>
          <w:numId w:val="2"/>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Hacer "click" en el botón "Derechos"</w:t>
      </w:r>
      <w:r>
        <w:rPr>
          <w:rFonts w:ascii="Palatino Linotype" w:eastAsia="Palatino Linotype" w:hAnsi="Palatino Linotype" w:cs="Palatino Linotype"/>
          <w:i/>
        </w:rPr>
        <w:t xml:space="preserve"> y a continuación en "No Antecedentes Penales"; Llenar el "Formulario de Pago Estatal Procuraduría", e. imprimir el formulario y acudir a realizar el pago en cualquiera de las instituciones bancarias señaladas en el mismo.</w:t>
      </w:r>
    </w:p>
    <w:p w:rsidR="00B36041" w:rsidRDefault="00243587">
      <w:pPr>
        <w:numPr>
          <w:ilvl w:val="0"/>
          <w:numId w:val="2"/>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Hecho el pago de derechos, ingre</w:t>
      </w:r>
      <w:r>
        <w:rPr>
          <w:rFonts w:ascii="Palatino Linotype" w:eastAsia="Palatino Linotype" w:hAnsi="Palatino Linotype" w:cs="Palatino Linotype"/>
          <w:i/>
        </w:rPr>
        <w:t>sar a la página www.eciornex.dob.mx/pgiern y proceder como sigue: Hacer "click" en el botón "Expedición de Certificado de No Antecedentes Penales" y llenar el Formato correspondiente; dar "click" en el botón "Siguiente" y aparecerá un comprobante de regist</w:t>
      </w:r>
      <w:r>
        <w:rPr>
          <w:rFonts w:ascii="Palatino Linotype" w:eastAsia="Palatino Linotype" w:hAnsi="Palatino Linotype" w:cs="Palatino Linotype"/>
          <w:i/>
        </w:rPr>
        <w:t>ro en línea, generando una clave del trámite un número de folio, el cual deberá imprimirse., el interesado se podrá presentar en las oficinas del Instituto de Servicios Periciales de su elección, en días hábiles, en un horario de 09:00 a 18:00 horas, exhib</w:t>
      </w:r>
      <w:r>
        <w:rPr>
          <w:rFonts w:ascii="Palatino Linotype" w:eastAsia="Palatino Linotype" w:hAnsi="Palatino Linotype" w:cs="Palatino Linotype"/>
          <w:i/>
        </w:rPr>
        <w:t>iendo el comprobante de registro en línea.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OCTAVO.</w:t>
      </w:r>
      <w:r>
        <w:rPr>
          <w:rFonts w:ascii="Palatino Linotype" w:eastAsia="Palatino Linotype" w:hAnsi="Palatino Linotype" w:cs="Palatino Linotype"/>
          <w:i/>
        </w:rPr>
        <w:t xml:space="preserve"> El Instituto de Servicios Periciales expedirá </w:t>
      </w:r>
      <w:r>
        <w:rPr>
          <w:rFonts w:ascii="Palatino Linotype" w:eastAsia="Palatino Linotype" w:hAnsi="Palatino Linotype" w:cs="Palatino Linotype"/>
          <w:b/>
          <w:i/>
        </w:rPr>
        <w:t>un Informe</w:t>
      </w:r>
      <w:r>
        <w:rPr>
          <w:rFonts w:ascii="Palatino Linotype" w:eastAsia="Palatino Linotype" w:hAnsi="Palatino Linotype" w:cs="Palatino Linotype"/>
          <w:i/>
        </w:rPr>
        <w:t>, a través de medios electrónicos, cuyo trámite será gratuito. Para tal efecto, el interesado deberá ingresar a la página electrónica www.edomex.g</w:t>
      </w:r>
      <w:r>
        <w:rPr>
          <w:rFonts w:ascii="Palatino Linotype" w:eastAsia="Palatino Linotype" w:hAnsi="Palatino Linotype" w:cs="Palatino Linotype"/>
          <w:i/>
        </w:rPr>
        <w:t xml:space="preserve">ob.mx/pcliem y realizar lo siguiente: </w:t>
      </w:r>
    </w:p>
    <w:p w:rsidR="00B36041" w:rsidRDefault="00243587">
      <w:pPr>
        <w:numPr>
          <w:ilvl w:val="0"/>
          <w:numId w:val="4"/>
        </w:numPr>
        <w:spacing w:after="0" w:line="240" w:lineRule="auto"/>
        <w:ind w:left="851" w:right="851" w:hanging="42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Llenar el Formato con los siguientes datos: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Nombre;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Apellido Paterno;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Apellido Materno;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Fecha de Nacimiento (dd/mm/aaaa):</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Registro Federal de Contribuyentes (RFC);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Clave Única de Registro de Población (CURP);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Nú</w:t>
      </w:r>
      <w:r>
        <w:rPr>
          <w:rFonts w:ascii="Palatino Linotype" w:eastAsia="Palatino Linotype" w:hAnsi="Palatino Linotype" w:cs="Palatino Linotype"/>
          <w:i/>
        </w:rPr>
        <w:t xml:space="preserve">mero de folio de la identificación: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Teléfono fijo y móvil;</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Correo Electrónico,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Domicilio, que contendrá: Calle, número exterior, número interior, Colonia, Código Postal y Municipio dentro del Estado de México. </w:t>
      </w:r>
    </w:p>
    <w:p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Adjuntar archivo que contenga la imagen de alguno de los documentos de identificación solicitados por el Sistema, y que serán: Credencial de elector expedida por el Instituto Federal Electoral, Licencia de conducir, Cartilla del Servicio Militar y Pasaport</w:t>
      </w:r>
      <w:r>
        <w:rPr>
          <w:rFonts w:ascii="Palatino Linotype" w:eastAsia="Palatino Linotype" w:hAnsi="Palatino Linotype" w:cs="Palatino Linotype"/>
          <w:i/>
        </w:rPr>
        <w:t xml:space="preserve">e expedido por la Secretaria de Relaciones Exteriores de la Federación. </w:t>
      </w:r>
    </w:p>
    <w:p w:rsidR="00B36041" w:rsidRDefault="00243587">
      <w:pPr>
        <w:numPr>
          <w:ilvl w:val="0"/>
          <w:numId w:val="4"/>
        </w:numPr>
        <w:spacing w:after="0" w:line="240" w:lineRule="auto"/>
        <w:ind w:left="851" w:right="851" w:hanging="360"/>
        <w:jc w:val="both"/>
        <w:rPr>
          <w:rFonts w:ascii="Palatino Linotype" w:eastAsia="Palatino Linotype" w:hAnsi="Palatino Linotype" w:cs="Palatino Linotype"/>
          <w:i/>
        </w:rPr>
      </w:pPr>
      <w:r>
        <w:rPr>
          <w:rFonts w:ascii="Palatino Linotype" w:eastAsia="Palatino Linotype" w:hAnsi="Palatino Linotype" w:cs="Palatino Linotype"/>
          <w:i/>
        </w:rPr>
        <w:t>Dar "click" en el rubro "enviar". El Sistema generará un folio y número de trámite, el cual podrá ser consultado en la página de Internet de la Procuraduría General de Justicia del Es</w:t>
      </w:r>
      <w:r>
        <w:rPr>
          <w:rFonts w:ascii="Palatino Linotype" w:eastAsia="Palatino Linotype" w:hAnsi="Palatino Linotype" w:cs="Palatino Linotype"/>
          <w:i/>
        </w:rPr>
        <w:t>tado de México por el plazo de treinta días naturales, a partir de la generación de la respuesta.”</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El Informe será emitido únicamente en relación con los </w:t>
      </w:r>
      <w:r>
        <w:rPr>
          <w:rFonts w:ascii="Palatino Linotype" w:eastAsia="Palatino Linotype" w:hAnsi="Palatino Linotype" w:cs="Palatino Linotype"/>
          <w:i/>
          <w:u w:val="single"/>
        </w:rPr>
        <w:t>datos proporcionados por el interesado</w:t>
      </w:r>
      <w:r>
        <w:rPr>
          <w:rFonts w:ascii="Palatino Linotype" w:eastAsia="Palatino Linotype" w:hAnsi="Palatino Linotype" w:cs="Palatino Linotype"/>
          <w:i/>
        </w:rPr>
        <w:t xml:space="preserve"> en el Formato a que se refiere la fracción I del artículo anterior, y su utilización será estricta responsabilidad del usuario. El Informe se limitará a señalar que, conforme a los datos proporcionados, la persona de que se trate, no cuenta con antecedent</w:t>
      </w:r>
      <w:r>
        <w:rPr>
          <w:rFonts w:ascii="Palatino Linotype" w:eastAsia="Palatino Linotype" w:hAnsi="Palatino Linotype" w:cs="Palatino Linotype"/>
          <w:i/>
        </w:rPr>
        <w:t>es penales, sin hacer mayor precisión sobre los expedientes o registros correspondientes, o bien, que podrá presentarse en las oficinas del Instituto de Servicios Periciales para realizar las aclaraciones respectivas y en su caso, solicitar las rectificaci</w:t>
      </w:r>
      <w:r>
        <w:rPr>
          <w:rFonts w:ascii="Palatino Linotype" w:eastAsia="Palatino Linotype" w:hAnsi="Palatino Linotype" w:cs="Palatino Linotype"/>
          <w:i/>
        </w:rPr>
        <w:t>ones y cancelaciones a que haya lugar, en términos de las disposiciones legales aplicables.”(Sic)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para expedir el certificado de antecedentes no penales o el informe respectivo, el Instituto de Servicios Periciales recabará </w:t>
      </w:r>
      <w:r>
        <w:rPr>
          <w:rFonts w:ascii="Palatino Linotype" w:eastAsia="Palatino Linotype" w:hAnsi="Palatino Linotype" w:cs="Palatino Linotype"/>
          <w:sz w:val="24"/>
          <w:szCs w:val="24"/>
        </w:rPr>
        <w:t xml:space="preserve">los datos personales del interesado, de lo que resulta evidente que el certificado multireferido </w:t>
      </w:r>
      <w:r>
        <w:rPr>
          <w:rFonts w:ascii="Palatino Linotype" w:eastAsia="Palatino Linotype" w:hAnsi="Palatino Linotype" w:cs="Palatino Linotype"/>
          <w:sz w:val="24"/>
          <w:szCs w:val="24"/>
        </w:rPr>
        <w:lastRenderedPageBreak/>
        <w:t>contiene datos que resultan de carácter confidencial, como lo es la fecha de Nacimiento, Registro Federal de Contribuyentes (RFC), Clave Única de Registro de P</w:t>
      </w:r>
      <w:r>
        <w:rPr>
          <w:rFonts w:ascii="Palatino Linotype" w:eastAsia="Palatino Linotype" w:hAnsi="Palatino Linotype" w:cs="Palatino Linotype"/>
          <w:sz w:val="24"/>
          <w:szCs w:val="24"/>
        </w:rPr>
        <w:t>oblación (CURP), Número de folio de la identificación, Teléfono fijo y móvil, Correo Electrónico, Domicilio, que contendrá: Calle, número exterior, número interior, Colonia, Código Postal y Municipio dentro del Estado de México,  Credencial de elector expe</w:t>
      </w:r>
      <w:r>
        <w:rPr>
          <w:rFonts w:ascii="Palatino Linotype" w:eastAsia="Palatino Linotype" w:hAnsi="Palatino Linotype" w:cs="Palatino Linotype"/>
          <w:sz w:val="24"/>
          <w:szCs w:val="24"/>
        </w:rPr>
        <w:t>dida por el Instituto Federal Electoral, Licencia de conducir, Cartilla del Servicio Militar o Pasaporte.</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Luego entonces se puede argumentar que, si bien el certificado de antecedentes no penales es un documento público al ser emitido por un servidor públi</w:t>
      </w:r>
      <w:r>
        <w:rPr>
          <w:rFonts w:ascii="Palatino Linotype" w:eastAsia="Palatino Linotype" w:hAnsi="Palatino Linotype" w:cs="Palatino Linotype"/>
          <w:sz w:val="24"/>
          <w:szCs w:val="24"/>
        </w:rPr>
        <w:t xml:space="preserve">co dotado de atribuciones para tal efecto, no se debe perder de vista que de conformidad con lo establecido en la obra propuesta por el Doctor José Ramón Cossío Díaz, Ministro de la Suprema Corte de Justicia de la Nación, intitulada “La Transparencia y el </w:t>
      </w:r>
      <w:r>
        <w:rPr>
          <w:rFonts w:ascii="Palatino Linotype" w:eastAsia="Palatino Linotype" w:hAnsi="Palatino Linotype" w:cs="Palatino Linotype"/>
          <w:sz w:val="24"/>
          <w:szCs w:val="24"/>
        </w:rPr>
        <w:t>Acceso a la Información en los Expedientes Judiciales”, cuyo principal objetivo consiste en unificar y complementar los criterios emitidos por el Alto Tribunal y el entonces Instituto Federal de Acceso a la Información y Protección de Datos, organismo autó</w:t>
      </w:r>
      <w:r>
        <w:rPr>
          <w:rFonts w:ascii="Palatino Linotype" w:eastAsia="Palatino Linotype" w:hAnsi="Palatino Linotype" w:cs="Palatino Linotype"/>
          <w:sz w:val="24"/>
          <w:szCs w:val="24"/>
        </w:rPr>
        <w:t xml:space="preserve">nomo, en materia de transparencia, bajo la incertidumbre para proporcionar la información contenida en los expedientes judiciales ante la solicitud de los particulares, es decir, es una herramienta práctica que coadyuva en la tarea de atender el ejercicio </w:t>
      </w:r>
      <w:r>
        <w:rPr>
          <w:rFonts w:ascii="Palatino Linotype" w:eastAsia="Palatino Linotype" w:hAnsi="Palatino Linotype" w:cs="Palatino Linotype"/>
          <w:sz w:val="24"/>
          <w:szCs w:val="24"/>
        </w:rPr>
        <w:t xml:space="preserve">de los derechos de acceso a la información y protección de datos, en la referida obra concretamente en el tema identificado con el numeral 138, “Constancia de antecedentes penales”, página 107, la cual establece que: </w:t>
      </w:r>
    </w:p>
    <w:p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w:t>
      </w:r>
      <w:r>
        <w:rPr>
          <w:rFonts w:ascii="Palatino Linotype" w:eastAsia="Palatino Linotype" w:hAnsi="Palatino Linotype" w:cs="Palatino Linotype"/>
          <w:b/>
          <w:i/>
        </w:rPr>
        <w:t>la constancia de antecedentes penal</w:t>
      </w:r>
      <w:r>
        <w:rPr>
          <w:rFonts w:ascii="Palatino Linotype" w:eastAsia="Palatino Linotype" w:hAnsi="Palatino Linotype" w:cs="Palatino Linotype"/>
          <w:b/>
          <w:i/>
        </w:rPr>
        <w:t>es es el documento expedido por la autoridad competente para acreditar la existencia o inexistencia de delitos cometidos por los individuos y la condena correspondiente</w:t>
      </w:r>
      <w:r>
        <w:rPr>
          <w:rFonts w:ascii="Palatino Linotype" w:eastAsia="Palatino Linotype" w:hAnsi="Palatino Linotype" w:cs="Palatino Linotype"/>
          <w:i/>
        </w:rPr>
        <w:t xml:space="preserve">, en su caso. </w:t>
      </w:r>
      <w:r>
        <w:rPr>
          <w:rFonts w:ascii="Palatino Linotype" w:eastAsia="Palatino Linotype" w:hAnsi="Palatino Linotype" w:cs="Palatino Linotype"/>
          <w:b/>
          <w:i/>
        </w:rPr>
        <w:t>La certificación corresponde a la policía y tiene importancia para determi</w:t>
      </w:r>
      <w:r>
        <w:rPr>
          <w:rFonts w:ascii="Palatino Linotype" w:eastAsia="Palatino Linotype" w:hAnsi="Palatino Linotype" w:cs="Palatino Linotype"/>
          <w:b/>
          <w:i/>
        </w:rPr>
        <w:t>nar la reincidencia</w:t>
      </w:r>
      <w:r>
        <w:rPr>
          <w:rFonts w:ascii="Palatino Linotype" w:eastAsia="Palatino Linotype" w:hAnsi="Palatino Linotype" w:cs="Palatino Linotype"/>
          <w:i/>
        </w:rPr>
        <w:t xml:space="preserve"> (artículo 20 del Código Penal Federal), la habitualidad (artículo 21 del Código Penal Federal) </w:t>
      </w:r>
      <w:r>
        <w:rPr>
          <w:rFonts w:ascii="Palatino Linotype" w:eastAsia="Palatino Linotype" w:hAnsi="Palatino Linotype" w:cs="Palatino Linotype"/>
          <w:b/>
          <w:i/>
        </w:rPr>
        <w:t>y la posibilidad de caución</w:t>
      </w:r>
      <w:r>
        <w:rPr>
          <w:rFonts w:ascii="Palatino Linotype" w:eastAsia="Palatino Linotype" w:hAnsi="Palatino Linotype" w:cs="Palatino Linotype"/>
          <w:i/>
        </w:rPr>
        <w:t xml:space="preserve"> (artículo 402 del Código Federal de Procedimientos Penales), al respecto se precisa que materia de transparencia </w:t>
      </w:r>
      <w:r>
        <w:rPr>
          <w:rFonts w:ascii="Palatino Linotype" w:eastAsia="Palatino Linotype" w:hAnsi="Palatino Linotype" w:cs="Palatino Linotype"/>
          <w:i/>
        </w:rPr>
        <w:t xml:space="preserve">y acceso a la información, </w:t>
      </w:r>
      <w:r>
        <w:rPr>
          <w:rFonts w:ascii="Palatino Linotype" w:eastAsia="Palatino Linotype" w:hAnsi="Palatino Linotype" w:cs="Palatino Linotype"/>
          <w:i/>
          <w:u w:val="single"/>
        </w:rPr>
        <w:t>este acto jurídico contiene información confidencial pues se refiere a datos personales de particulares</w:t>
      </w:r>
      <w:r>
        <w:rPr>
          <w:rFonts w:ascii="Palatino Linotype" w:eastAsia="Palatino Linotype" w:hAnsi="Palatino Linotype" w:cs="Palatino Linotype"/>
          <w:i/>
        </w:rPr>
        <w:t>.” (Sic)</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expuesto, se concluye que un Certificado de No Antecedentes Penales constituye un documento que puede ser entre</w:t>
      </w:r>
      <w:r>
        <w:rPr>
          <w:rFonts w:ascii="Palatino Linotype" w:eastAsia="Palatino Linotype" w:hAnsi="Palatino Linotype" w:cs="Palatino Linotype"/>
          <w:sz w:val="24"/>
          <w:szCs w:val="24"/>
        </w:rPr>
        <w:t>gado en versión pública, al contener información confidencial en términos de los artículos 143, fracción I de la Ley de Transparencia del Estado de México y Municipios y 4, fracciones VII y VIII de la Ley de Protección de Datos Personales del Estado de Méx</w:t>
      </w:r>
      <w:r>
        <w:rPr>
          <w:rFonts w:ascii="Palatino Linotype" w:eastAsia="Palatino Linotype" w:hAnsi="Palatino Linotype" w:cs="Palatino Linotype"/>
          <w:sz w:val="24"/>
          <w:szCs w:val="24"/>
        </w:rPr>
        <w:t>ico.</w:t>
      </w:r>
    </w:p>
    <w:p w:rsidR="00B36041" w:rsidRDefault="0024358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como se ha precisado en líneas anteriores el Certificado de no antecedentes penales es un documento que debe ser considerado como confidencial por regla general; sin embargo, cuando el interés público de conocer dicha información esté por </w:t>
      </w:r>
      <w:r>
        <w:rPr>
          <w:rFonts w:ascii="Palatino Linotype" w:eastAsia="Palatino Linotype" w:hAnsi="Palatino Linotype" w:cs="Palatino Linotype"/>
          <w:sz w:val="24"/>
          <w:szCs w:val="24"/>
        </w:rPr>
        <w:t>encima del interés particular de protegerla, en dicha ponderación se deberá acreditar que el beneficio que reporta dar a conocer la información confidencial pedida o solicitada es mayor a la invasión que su divulgación genera en los derechos de las persona</w:t>
      </w:r>
      <w:r>
        <w:rPr>
          <w:rFonts w:ascii="Palatino Linotype" w:eastAsia="Palatino Linotype" w:hAnsi="Palatino Linotype" w:cs="Palatino Linotype"/>
          <w:sz w:val="24"/>
          <w:szCs w:val="24"/>
        </w:rPr>
        <w:t>s, considerando la legitimidad del derecho adoptado como preferente que sea el adecuado para el logro de un fin constitucionalmente válido o apto para conseguir el fin pretendido (idoneidad), la falta de un medio alternativo menos lesivo a la apertura de l</w:t>
      </w:r>
      <w:r>
        <w:rPr>
          <w:rFonts w:ascii="Palatino Linotype" w:eastAsia="Palatino Linotype" w:hAnsi="Palatino Linotype" w:cs="Palatino Linotype"/>
          <w:sz w:val="24"/>
          <w:szCs w:val="24"/>
        </w:rPr>
        <w:t xml:space="preserve">a información para satisfacer el interés público (necesidad) y el equilibrio entre perjuicio y beneficio a </w:t>
      </w:r>
      <w:r>
        <w:rPr>
          <w:rFonts w:ascii="Palatino Linotype" w:eastAsia="Palatino Linotype" w:hAnsi="Palatino Linotype" w:cs="Palatino Linotype"/>
          <w:sz w:val="24"/>
          <w:szCs w:val="24"/>
        </w:rPr>
        <w:lastRenderedPageBreak/>
        <w:t>favor del interés público, a fin de que la decisión tomada represente un beneficio mayor al perjuicio que podría causar a la población (proporcionali</w:t>
      </w:r>
      <w:r>
        <w:rPr>
          <w:rFonts w:ascii="Palatino Linotype" w:eastAsia="Palatino Linotype" w:hAnsi="Palatino Linotype" w:cs="Palatino Linotype"/>
          <w:sz w:val="24"/>
          <w:szCs w:val="24"/>
        </w:rPr>
        <w:t>dad), al tratarse de un mando superior del Ayuntamiento de Naucalpan de Juárez.</w:t>
      </w:r>
    </w:p>
    <w:p w:rsidR="00B36041" w:rsidRDefault="00B36041">
      <w:pPr>
        <w:spacing w:after="0" w:line="360" w:lineRule="auto"/>
        <w:ind w:right="49"/>
        <w:jc w:val="both"/>
        <w:rPr>
          <w:rFonts w:ascii="Palatino Linotype" w:eastAsia="Palatino Linotype" w:hAnsi="Palatino Linotype" w:cs="Palatino Linotype"/>
          <w:sz w:val="24"/>
          <w:szCs w:val="24"/>
        </w:rPr>
      </w:pPr>
    </w:p>
    <w:p w:rsidR="00B36041" w:rsidRDefault="00243587">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Una vez precisado lo anterior,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emitir el acuerdo que la clasifique como confidencial, debidamente fundado y motivado en términos de lo establecido en</w:t>
      </w:r>
      <w:r>
        <w:rPr>
          <w:rFonts w:ascii="Palatino Linotype" w:eastAsia="Palatino Linotype" w:hAnsi="Palatino Linotype" w:cs="Palatino Linotype"/>
          <w:sz w:val="24"/>
          <w:szCs w:val="24"/>
        </w:rPr>
        <w:t xml:space="preserve"> los artículos 3, fracciones IX, XX y XXI; 49 fracción VIII; 91, 143 y 149 de la Ley de Transparencia y Acceso a la Información Pública del Estado de México y Municipios, de los dispositivos legales citados, se desprende que el derecho de acceso a la infor</w:t>
      </w:r>
      <w:r>
        <w:rPr>
          <w:rFonts w:ascii="Palatino Linotype" w:eastAsia="Palatino Linotype" w:hAnsi="Palatino Linotype" w:cs="Palatino Linotype"/>
          <w:sz w:val="24"/>
          <w:szCs w:val="24"/>
        </w:rPr>
        <w:t>mación pública tiene como limitante el respeto a la intimidad y a la vida privada de las personas, es por ello que este Instituto debe cuidar que los datos personales que obren en poder de los Sujetos Obligados estén protegidos, quienes deberán adoptar las</w:t>
      </w:r>
      <w:r>
        <w:rPr>
          <w:rFonts w:ascii="Palatino Linotype" w:eastAsia="Palatino Linotype" w:hAnsi="Palatino Linotype" w:cs="Palatino Linotype"/>
          <w:sz w:val="24"/>
          <w:szCs w:val="24"/>
        </w:rPr>
        <w:t xml:space="preserve"> medidas de seguridad administrativa, física y técnica necesarias para garantizar la integridad, confidencialidad y disponibilidad de los datos personales, considerando además, que conforme al principio de finalidad todo tratamiento de datos personales que</w:t>
      </w:r>
      <w:r>
        <w:rPr>
          <w:rFonts w:ascii="Palatino Linotype" w:eastAsia="Palatino Linotype" w:hAnsi="Palatino Linotype" w:cs="Palatino Linotype"/>
          <w:sz w:val="24"/>
          <w:szCs w:val="24"/>
        </w:rPr>
        <w:t xml:space="preserve"> efectúen los sujetos obligados deberá estar justificado en la Ley, lo anterior en términos de lo dispuesto por los artículos 6, 22, 38 y 43, de la Ley de Protección de Datos Personales del Estado de México. </w:t>
      </w:r>
    </w:p>
    <w:p w:rsidR="00B36041" w:rsidRDefault="00B36041">
      <w:pPr>
        <w:tabs>
          <w:tab w:val="left" w:pos="709"/>
        </w:tabs>
        <w:spacing w:after="0" w:line="360" w:lineRule="auto"/>
        <w:jc w:val="both"/>
        <w:rPr>
          <w:rFonts w:ascii="Palatino Linotype" w:eastAsia="Palatino Linotype" w:hAnsi="Palatino Linotype" w:cs="Palatino Linotype"/>
          <w:sz w:val="24"/>
          <w:szCs w:val="24"/>
        </w:rPr>
      </w:pPr>
    </w:p>
    <w:p w:rsidR="00B36041" w:rsidRDefault="00243587">
      <w:pPr>
        <w:pBdr>
          <w:top w:val="nil"/>
          <w:left w:val="nil"/>
          <w:bottom w:val="nil"/>
          <w:right w:val="nil"/>
          <w:between w:val="nil"/>
        </w:pBdr>
        <w:spacing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consecuencia,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tiene la posibilidad de otorgar satisfacción al presente requerimiento, por lo que resulta procedente ordenar la entrega del certificado de antecedentes no penales de la Directora de Educación y </w:t>
      </w:r>
      <w:r>
        <w:rPr>
          <w:rFonts w:ascii="Palatino Linotype" w:eastAsia="Palatino Linotype" w:hAnsi="Palatino Linotype" w:cs="Palatino Linotype"/>
          <w:sz w:val="24"/>
          <w:szCs w:val="24"/>
        </w:rPr>
        <w:lastRenderedPageBreak/>
        <w:t>Cultura en versión pública de acuerdo a lo señalado por el c</w:t>
      </w:r>
      <w:r>
        <w:rPr>
          <w:rFonts w:ascii="Palatino Linotype" w:eastAsia="Palatino Linotype" w:hAnsi="Palatino Linotype" w:cs="Palatino Linotype"/>
          <w:sz w:val="24"/>
          <w:szCs w:val="24"/>
        </w:rPr>
        <w:t xml:space="preserve">onsiderando quinto del presente fallo. </w:t>
      </w:r>
    </w:p>
    <w:p w:rsidR="00B36041" w:rsidRDefault="00243587">
      <w:pPr>
        <w:spacing w:before="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concierne a la fracción IV, tocante a </w:t>
      </w:r>
      <w:r>
        <w:rPr>
          <w:rFonts w:ascii="Palatino Linotype" w:eastAsia="Palatino Linotype" w:hAnsi="Palatino Linotype" w:cs="Palatino Linotype"/>
          <w:i/>
          <w:sz w:val="24"/>
          <w:szCs w:val="24"/>
        </w:rPr>
        <w:t>“Contar con título profesional o acreditar experiencia mínima de un año en la materia, ante el Presidente o el Ayuntamiento, cuando sea el caso, para el desempeño de l</w:t>
      </w:r>
      <w:r>
        <w:rPr>
          <w:rFonts w:ascii="Palatino Linotype" w:eastAsia="Palatino Linotype" w:hAnsi="Palatino Linotype" w:cs="Palatino Linotype"/>
          <w:i/>
          <w:sz w:val="24"/>
          <w:szCs w:val="24"/>
        </w:rPr>
        <w:t xml:space="preserve">os cargos que así lo requieran”, </w:t>
      </w:r>
      <w:r>
        <w:rPr>
          <w:rFonts w:ascii="Palatino Linotype" w:eastAsia="Palatino Linotype" w:hAnsi="Palatino Linotype" w:cs="Palatino Linotype"/>
          <w:sz w:val="24"/>
          <w:szCs w:val="24"/>
        </w:rPr>
        <w:t>el documento que acreditaría dicha información de manera enunciativa más no limitada serían los certificados, diplomas, constancias, títulos o grados académicos que amparen estudios realizados; de acuerdo a lo establecido p</w:t>
      </w:r>
      <w:r>
        <w:rPr>
          <w:rFonts w:ascii="Palatino Linotype" w:eastAsia="Palatino Linotype" w:hAnsi="Palatino Linotype" w:cs="Palatino Linotype"/>
          <w:sz w:val="24"/>
          <w:szCs w:val="24"/>
        </w:rPr>
        <w:t xml:space="preserve">or el artículo 171 de la Ley de Educación del Estado de México, cabe resaltar que uno de los puntos de la solicitud de acceso a la información pública, la particular solicita el Título o el documento en donde acredite su escolaridad razones por las cuales </w:t>
      </w:r>
      <w:r>
        <w:rPr>
          <w:rFonts w:ascii="Palatino Linotype" w:eastAsia="Palatino Linotype" w:hAnsi="Palatino Linotype" w:cs="Palatino Linotype"/>
          <w:sz w:val="24"/>
          <w:szCs w:val="24"/>
        </w:rPr>
        <w:t>lo procedente ordenar el título o documento que acredite el grado de estudios y de ser procedente en versión pública en términos del considerando Quinto.</w:t>
      </w:r>
    </w:p>
    <w:p w:rsidR="00B36041" w:rsidRDefault="00243587">
      <w:pPr>
        <w:spacing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También, no pasa desapercibido que un documento que puede contener la experiencia de toda la carrera p</w:t>
      </w:r>
      <w:r>
        <w:rPr>
          <w:rFonts w:ascii="Palatino Linotype" w:eastAsia="Palatino Linotype" w:hAnsi="Palatino Linotype" w:cs="Palatino Linotype"/>
          <w:color w:val="000000"/>
          <w:sz w:val="24"/>
          <w:szCs w:val="24"/>
        </w:rPr>
        <w:t xml:space="preserve">rofesional de quien va ocupar cargo público, pudiera ser el Curriculum Vitae, sin embargo este mismo fue otorgado mediante informe justificado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 el cual se acredita que la titular de la Dirección General de Educación y Cultura, acredita contar con la experiencia </w:t>
      </w:r>
      <w:r>
        <w:rPr>
          <w:rFonts w:ascii="Palatino Linotype" w:eastAsia="Palatino Linotype" w:hAnsi="Palatino Linotype" w:cs="Palatino Linotype"/>
          <w:sz w:val="24"/>
          <w:szCs w:val="24"/>
        </w:rPr>
        <w:t>en materia</w:t>
      </w:r>
      <w:r>
        <w:rPr>
          <w:rFonts w:ascii="Palatino Linotype" w:eastAsia="Palatino Linotype" w:hAnsi="Palatino Linotype" w:cs="Palatino Linotype"/>
          <w:color w:val="000000"/>
          <w:sz w:val="24"/>
          <w:szCs w:val="24"/>
        </w:rPr>
        <w:t xml:space="preserve"> de Educación, por lo tanto este punto es colmado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rsidR="00B36041" w:rsidRDefault="00243587">
      <w:pPr>
        <w:spacing w:before="240" w:after="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lastRenderedPageBreak/>
        <w:t>En cuanto a la fracción V, conexa a “</w:t>
      </w:r>
      <w:r>
        <w:rPr>
          <w:rFonts w:ascii="Palatino Linotype" w:eastAsia="Palatino Linotype" w:hAnsi="Palatino Linotype" w:cs="Palatino Linotype"/>
          <w:i/>
          <w:color w:val="000000"/>
          <w:sz w:val="24"/>
          <w:szCs w:val="24"/>
        </w:rPr>
        <w:t xml:space="preserve">En su caso, </w:t>
      </w:r>
      <w:r>
        <w:rPr>
          <w:rFonts w:ascii="Palatino Linotype" w:eastAsia="Palatino Linotype" w:hAnsi="Palatino Linotype" w:cs="Palatino Linotype"/>
          <w:i/>
          <w:color w:val="000000"/>
          <w:sz w:val="24"/>
          <w:szCs w:val="24"/>
        </w:rPr>
        <w:t>contar con certificación de competencia laboral en la materia del cargo que se desempeñará, expedida por institución con reconocimiento de validez oficial. Este requisito podrá acreditarse dentro de los seis meses siguientes a la fecha en que inicien sus f</w:t>
      </w:r>
      <w:r>
        <w:rPr>
          <w:rFonts w:ascii="Palatino Linotype" w:eastAsia="Palatino Linotype" w:hAnsi="Palatino Linotype" w:cs="Palatino Linotype"/>
          <w:i/>
          <w:color w:val="000000"/>
          <w:sz w:val="24"/>
          <w:szCs w:val="24"/>
        </w:rPr>
        <w:t xml:space="preserve">unciones. </w:t>
      </w:r>
    </w:p>
    <w:p w:rsidR="00B36041" w:rsidRDefault="00243587">
      <w:pPr>
        <w:spacing w:before="240" w:after="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Vencido el plazo a que se refiere el párrafo anterior, el Presidente Municipal informará al Cabildo sobre el cumplimiento de dicha certificación laboral para que, en su caso, el Ayuntamiento tome las medidas correspondientes respecto de aquellos</w:t>
      </w:r>
      <w:r>
        <w:rPr>
          <w:rFonts w:ascii="Palatino Linotype" w:eastAsia="Palatino Linotype" w:hAnsi="Palatino Linotype" w:cs="Palatino Linotype"/>
          <w:i/>
          <w:color w:val="000000"/>
          <w:sz w:val="24"/>
          <w:szCs w:val="24"/>
        </w:rPr>
        <w:t xml:space="preserve"> servidores públicos que no hubiesen cumplido.” (Sic)</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De lo anterior se advierte que en su caso, contar con certificación de competencia laboral en la materia para ocupar los cargos de </w:t>
      </w:r>
      <w:r>
        <w:rPr>
          <w:rFonts w:ascii="Palatino Linotype" w:eastAsia="Palatino Linotype" w:hAnsi="Palatino Linotype" w:cs="Palatino Linotype"/>
          <w:sz w:val="24"/>
          <w:szCs w:val="24"/>
        </w:rPr>
        <w:t>titulares de unidades administrativas, en el caso que nos ocupa la Dire</w:t>
      </w:r>
      <w:r>
        <w:rPr>
          <w:rFonts w:ascii="Palatino Linotype" w:eastAsia="Palatino Linotype" w:hAnsi="Palatino Linotype" w:cs="Palatino Linotype"/>
          <w:sz w:val="24"/>
          <w:szCs w:val="24"/>
        </w:rPr>
        <w:t>cción de Educación y Cultura,</w:t>
      </w:r>
      <w:r>
        <w:t xml:space="preserve"> </w:t>
      </w:r>
      <w:r>
        <w:rPr>
          <w:rFonts w:ascii="Palatino Linotype" w:eastAsia="Palatino Linotype" w:hAnsi="Palatino Linotype" w:cs="Palatino Linotype"/>
          <w:sz w:val="24"/>
          <w:szCs w:val="24"/>
        </w:rPr>
        <w:t xml:space="preserve">misma que deberá expedirse dentro del periodo de seis meses posterior al inicio de sus funciones, es decir que los nuevos servidores públicos cuentan con seis meses para certificarse sin embargo,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omitió pron</w:t>
      </w:r>
      <w:r>
        <w:rPr>
          <w:rFonts w:ascii="Palatino Linotype" w:eastAsia="Palatino Linotype" w:hAnsi="Palatino Linotype" w:cs="Palatino Linotype"/>
          <w:sz w:val="24"/>
          <w:szCs w:val="24"/>
        </w:rPr>
        <w:t>unciarse al respecto.</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careció de los principios de congruencia y exhaustividad, ya que no se pronunció respecto a este punto de la solicitud, </w:t>
      </w:r>
      <w:r>
        <w:rPr>
          <w:rFonts w:ascii="Palatino Linotype" w:eastAsia="Palatino Linotype" w:hAnsi="Palatino Linotype" w:cs="Palatino Linotype"/>
          <w:color w:val="000000"/>
          <w:sz w:val="24"/>
          <w:szCs w:val="24"/>
        </w:rPr>
        <w:t>en términos del criterio 2/2017, emitido por el Instituto Nacional d</w:t>
      </w:r>
      <w:r>
        <w:rPr>
          <w:rFonts w:ascii="Palatino Linotype" w:eastAsia="Palatino Linotype" w:hAnsi="Palatino Linotype" w:cs="Palatino Linotype"/>
          <w:color w:val="000000"/>
          <w:sz w:val="24"/>
          <w:szCs w:val="24"/>
        </w:rPr>
        <w:t>e Transparencia, que señala:</w:t>
      </w:r>
    </w:p>
    <w:p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Congruencia y exhaustividad.</w:t>
      </w:r>
      <w:r>
        <w:rPr>
          <w:rFonts w:ascii="Palatino Linotype" w:eastAsia="Palatino Linotype" w:hAnsi="Palatino Linotype" w:cs="Palatino Linotype"/>
          <w:i/>
          <w:color w:val="000000"/>
        </w:rPr>
        <w:t xml:space="preserve"> Sus alcances para garantizar el derecho de acceso a la información. De conformidad con el artículo 3 de la Ley Federal de Procedimiento </w:t>
      </w:r>
      <w:r>
        <w:rPr>
          <w:rFonts w:ascii="Palatino Linotype" w:eastAsia="Palatino Linotype" w:hAnsi="Palatino Linotype" w:cs="Palatino Linotype"/>
          <w:i/>
          <w:color w:val="000000"/>
        </w:rPr>
        <w:lastRenderedPageBreak/>
        <w:t xml:space="preserve">Administrativo, de aplicación supletoria a la Ley Federal de </w:t>
      </w:r>
      <w:r>
        <w:rPr>
          <w:rFonts w:ascii="Palatino Linotype" w:eastAsia="Palatino Linotype" w:hAnsi="Palatino Linotype" w:cs="Palatino Linotype"/>
          <w:i/>
          <w:color w:val="000000"/>
        </w:rPr>
        <w:t>Transparencia y Acceso a la Información Pública, en términos de su artículo 7; todo acto administrativo debe cumplir con los principios de congruencia y exhaustividad. Para el efectivo ejercicio del derecho de acceso a la información, la congruencia implic</w:t>
      </w:r>
      <w:r>
        <w:rPr>
          <w:rFonts w:ascii="Palatino Linotype" w:eastAsia="Palatino Linotype" w:hAnsi="Palatino Linotype" w:cs="Palatino Linotype"/>
          <w:i/>
          <w:color w:val="000000"/>
        </w:rPr>
        <w:t xml:space="preserve">a que exista concordancia entre el requerimiento formulado por el particular y la respuesta proporcionada por el sujeto obligado; mientras que la exhaustividad significa que dicha respuesta se refiera expresamente a cada uno de los puntos solicitados. Por </w:t>
      </w:r>
      <w:r>
        <w:rPr>
          <w:rFonts w:ascii="Palatino Linotype" w:eastAsia="Palatino Linotype" w:hAnsi="Palatino Linotype" w:cs="Palatino Linotype"/>
          <w:i/>
          <w:color w:val="000000"/>
        </w:rPr>
        <w:t>lo anterior, los sujetos obligados cumplirán con los principios de congruencia y exhaustividad, cuando las respuestas que emitan guarden una relación lógica con lo solicitado y atiendan de manera puntual y expresa, cada uno de los contenidos de información</w:t>
      </w:r>
      <w:r>
        <w:rPr>
          <w:rFonts w:ascii="Palatino Linotype" w:eastAsia="Palatino Linotype" w:hAnsi="Palatino Linotype" w:cs="Palatino Linotype"/>
          <w:i/>
          <w:color w:val="000000"/>
        </w:rPr>
        <w:t>.</w:t>
      </w:r>
    </w:p>
    <w:p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Resoluciones:</w:t>
      </w:r>
    </w:p>
    <w:p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RRA 0003/16. Comisión Nacional de las Zonas Áridas. 29 de junio de 2016. Por unanimidad. Comisionado Ponente Oscar Mauricio Guerra Ford.</w:t>
      </w:r>
    </w:p>
    <w:p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RRA 0100/16. Sindicato Nacional de Trabajadores de la Educación. 13 de julio de 2016. Por unanimidad. Comisionada Ponente. Areli Cano Guadiana.</w:t>
      </w:r>
    </w:p>
    <w:p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RRA 1419/16. Secretaría de Educación Pública. 14 de septiembre de 2016. Por unanimidad. Comisionado Ponente Rosendoevgueni Monterrey Chepov.” (Sic)</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No obstante, la Directora General de Educación y Cultura de la administración pública 2022-2024, entró en fu</w:t>
      </w:r>
      <w:r>
        <w:rPr>
          <w:rFonts w:ascii="Palatino Linotype" w:eastAsia="Palatino Linotype" w:hAnsi="Palatino Linotype" w:cs="Palatino Linotype"/>
          <w:sz w:val="24"/>
          <w:szCs w:val="24"/>
        </w:rPr>
        <w:t>nciones el pasado primero de enero del año dos mil veintidós, conforme acuerdo número 12 del acta de instalación del Ayuntamiento de Naucalpan de Juárez 2022-2024, celebrada el primero de enero del año dos mil veintidós, en donde se aprobaron los nombramie</w:t>
      </w:r>
      <w:r>
        <w:rPr>
          <w:rFonts w:ascii="Palatino Linotype" w:eastAsia="Palatino Linotype" w:hAnsi="Palatino Linotype" w:cs="Palatino Linotype"/>
          <w:sz w:val="24"/>
          <w:szCs w:val="24"/>
        </w:rPr>
        <w:t>ntos de los titulares de las áreas de la administración pública municipal y toma de protesta de ley a cargo de la C. Presidenta Municipal, como se observa a continuación:</w:t>
      </w:r>
      <w:r>
        <w:rPr>
          <w:noProof/>
        </w:rPr>
        <mc:AlternateContent>
          <mc:Choice Requires="wpg">
            <w:drawing>
              <wp:anchor distT="0" distB="0" distL="114300" distR="114300" simplePos="0" relativeHeight="251666432" behindDoc="0" locked="0" layoutInCell="1" hidden="0" allowOverlap="1">
                <wp:simplePos x="0" y="0"/>
                <wp:positionH relativeFrom="column">
                  <wp:posOffset>-25399</wp:posOffset>
                </wp:positionH>
                <wp:positionV relativeFrom="paragraph">
                  <wp:posOffset>2133600</wp:posOffset>
                </wp:positionV>
                <wp:extent cx="5667375" cy="4457700"/>
                <wp:effectExtent l="0" t="0" r="0" b="0"/>
                <wp:wrapNone/>
                <wp:docPr id="128" name="Conector recto de flecha 128"/>
                <wp:cNvGraphicFramePr/>
                <a:graphic xmlns:a="http://schemas.openxmlformats.org/drawingml/2006/main">
                  <a:graphicData uri="http://schemas.microsoft.com/office/word/2010/wordprocessingShape">
                    <wps:wsp>
                      <wps:cNvCnPr/>
                      <wps:spPr>
                        <a:xfrm>
                          <a:off x="2531363" y="1570200"/>
                          <a:ext cx="5629275" cy="441960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2133600</wp:posOffset>
                </wp:positionV>
                <wp:extent cx="5667375" cy="4457700"/>
                <wp:effectExtent b="0" l="0" r="0" t="0"/>
                <wp:wrapNone/>
                <wp:docPr id="128"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5667375" cy="4457700"/>
                        </a:xfrm>
                        <a:prstGeom prst="rect"/>
                        <a:ln/>
                      </pic:spPr>
                    </pic:pic>
                  </a:graphicData>
                </a:graphic>
              </wp:anchor>
            </w:drawing>
          </mc:Fallback>
        </mc:AlternateContent>
      </w:r>
    </w:p>
    <w:p w:rsidR="00B36041" w:rsidRDefault="00243587">
      <w:pPr>
        <w:spacing w:line="360" w:lineRule="auto"/>
        <w:jc w:val="center"/>
        <w:rPr>
          <w:sz w:val="24"/>
          <w:szCs w:val="24"/>
        </w:rPr>
      </w:pPr>
      <w:r>
        <w:rPr>
          <w:noProof/>
          <w:color w:val="FF0000"/>
        </w:rPr>
        <w:lastRenderedPageBreak/>
        <w:drawing>
          <wp:inline distT="0" distB="0" distL="0" distR="0">
            <wp:extent cx="5166680" cy="5868328"/>
            <wp:effectExtent l="0" t="0" r="0" b="0"/>
            <wp:docPr id="1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l="36829" t="12976" r="21928" b="3741"/>
                    <a:stretch>
                      <a:fillRect/>
                    </a:stretch>
                  </pic:blipFill>
                  <pic:spPr>
                    <a:xfrm>
                      <a:off x="0" y="0"/>
                      <a:ext cx="5166680" cy="5868328"/>
                    </a:xfrm>
                    <a:prstGeom prst="rect">
                      <a:avLst/>
                    </a:prstGeom>
                    <a:ln/>
                  </pic:spPr>
                </pic:pic>
              </a:graphicData>
            </a:graphic>
          </wp:inline>
        </w:drawing>
      </w:r>
      <w:r>
        <w:rPr>
          <w:noProof/>
        </w:rPr>
        <mc:AlternateContent>
          <mc:Choice Requires="wpg">
            <w:drawing>
              <wp:anchor distT="0" distB="0" distL="114300" distR="114300" simplePos="0" relativeHeight="251667456" behindDoc="0" locked="0" layoutInCell="1" hidden="0" allowOverlap="1">
                <wp:simplePos x="0" y="0"/>
                <wp:positionH relativeFrom="column">
                  <wp:posOffset>1371600</wp:posOffset>
                </wp:positionH>
                <wp:positionV relativeFrom="paragraph">
                  <wp:posOffset>2882900</wp:posOffset>
                </wp:positionV>
                <wp:extent cx="3171825" cy="590550"/>
                <wp:effectExtent l="0" t="0" r="0" b="0"/>
                <wp:wrapNone/>
                <wp:docPr id="130" name="Rectángulo 130"/>
                <wp:cNvGraphicFramePr/>
                <a:graphic xmlns:a="http://schemas.openxmlformats.org/drawingml/2006/main">
                  <a:graphicData uri="http://schemas.microsoft.com/office/word/2010/wordprocessingShape">
                    <wps:wsp>
                      <wps:cNvSpPr/>
                      <wps:spPr>
                        <a:xfrm>
                          <a:off x="3779138" y="3503775"/>
                          <a:ext cx="3133725" cy="552450"/>
                        </a:xfrm>
                        <a:prstGeom prst="rect">
                          <a:avLst/>
                        </a:prstGeom>
                        <a:noFill/>
                        <a:ln w="38100" cap="flat" cmpd="sng">
                          <a:solidFill>
                            <a:srgbClr val="FF0000"/>
                          </a:solidFill>
                          <a:prstDash val="solid"/>
                          <a:miter lim="800000"/>
                          <a:headEnd type="none" w="sm" len="sm"/>
                          <a:tailEnd type="none" w="sm" len="sm"/>
                        </a:ln>
                      </wps:spPr>
                      <wps:txbx>
                        <w:txbxContent>
                          <w:p w:rsidR="00B36041" w:rsidRDefault="00B360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2882900</wp:posOffset>
                </wp:positionV>
                <wp:extent cx="3171825" cy="590550"/>
                <wp:effectExtent b="0" l="0" r="0" t="0"/>
                <wp:wrapNone/>
                <wp:docPr id="130"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3171825" cy="590550"/>
                        </a:xfrm>
                        <a:prstGeom prst="rect"/>
                        <a:ln/>
                      </pic:spPr>
                    </pic:pic>
                  </a:graphicData>
                </a:graphic>
              </wp:anchor>
            </w:drawing>
          </mc:Fallback>
        </mc:AlternateContent>
      </w:r>
    </w:p>
    <w:p w:rsidR="00B36041" w:rsidRDefault="00243587">
      <w:pPr>
        <w:spacing w:line="360" w:lineRule="auto"/>
        <w:jc w:val="both"/>
        <w:rPr>
          <w:rFonts w:ascii="Palatino Linotype" w:eastAsia="Palatino Linotype" w:hAnsi="Palatino Linotype" w:cs="Palatino Linotype"/>
        </w:rPr>
      </w:pPr>
      <w:r>
        <w:rPr>
          <w:noProof/>
        </w:rPr>
        <w:lastRenderedPageBreak/>
        <w:drawing>
          <wp:inline distT="0" distB="0" distL="0" distR="0">
            <wp:extent cx="5487969" cy="3658646"/>
            <wp:effectExtent l="0" t="0" r="0" b="0"/>
            <wp:docPr id="1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l="37169" t="24140" r="26171" b="32408"/>
                    <a:stretch>
                      <a:fillRect/>
                    </a:stretch>
                  </pic:blipFill>
                  <pic:spPr>
                    <a:xfrm>
                      <a:off x="0" y="0"/>
                      <a:ext cx="5487969" cy="3658646"/>
                    </a:xfrm>
                    <a:prstGeom prst="rect">
                      <a:avLst/>
                    </a:prstGeom>
                    <a:ln/>
                  </pic:spPr>
                </pic:pic>
              </a:graphicData>
            </a:graphic>
          </wp:inline>
        </w:drawing>
      </w:r>
      <w:r>
        <w:rPr>
          <w:noProof/>
        </w:rPr>
        <mc:AlternateContent>
          <mc:Choice Requires="wpg">
            <w:drawing>
              <wp:anchor distT="0" distB="0" distL="114300" distR="114300" simplePos="0" relativeHeight="251668480" behindDoc="0" locked="0" layoutInCell="1" hidden="0" allowOverlap="1">
                <wp:simplePos x="0" y="0"/>
                <wp:positionH relativeFrom="column">
                  <wp:posOffset>825500</wp:posOffset>
                </wp:positionH>
                <wp:positionV relativeFrom="paragraph">
                  <wp:posOffset>927100</wp:posOffset>
                </wp:positionV>
                <wp:extent cx="4562475" cy="523875"/>
                <wp:effectExtent l="0" t="0" r="0" b="0"/>
                <wp:wrapNone/>
                <wp:docPr id="125" name="Rectángulo 125"/>
                <wp:cNvGraphicFramePr/>
                <a:graphic xmlns:a="http://schemas.openxmlformats.org/drawingml/2006/main">
                  <a:graphicData uri="http://schemas.microsoft.com/office/word/2010/wordprocessingShape">
                    <wps:wsp>
                      <wps:cNvSpPr/>
                      <wps:spPr>
                        <a:xfrm>
                          <a:off x="3083813" y="3537113"/>
                          <a:ext cx="4524375" cy="485775"/>
                        </a:xfrm>
                        <a:prstGeom prst="rect">
                          <a:avLst/>
                        </a:prstGeom>
                        <a:noFill/>
                        <a:ln w="38100" cap="flat" cmpd="sng">
                          <a:solidFill>
                            <a:srgbClr val="FF0000"/>
                          </a:solidFill>
                          <a:prstDash val="solid"/>
                          <a:miter lim="800000"/>
                          <a:headEnd type="none" w="sm" len="sm"/>
                          <a:tailEnd type="none" w="sm" len="sm"/>
                        </a:ln>
                      </wps:spPr>
                      <wps:txbx>
                        <w:txbxContent>
                          <w:p w:rsidR="00B36041" w:rsidRDefault="00B360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825500</wp:posOffset>
                </wp:positionH>
                <wp:positionV relativeFrom="paragraph">
                  <wp:posOffset>927100</wp:posOffset>
                </wp:positionV>
                <wp:extent cx="4562475" cy="523875"/>
                <wp:effectExtent b="0" l="0" r="0" t="0"/>
                <wp:wrapNone/>
                <wp:docPr id="125" name="image10.png"/>
                <a:graphic>
                  <a:graphicData uri="http://schemas.openxmlformats.org/drawingml/2006/picture">
                    <pic:pic>
                      <pic:nvPicPr>
                        <pic:cNvPr id="0" name="image10.png"/>
                        <pic:cNvPicPr preferRelativeResize="0"/>
                      </pic:nvPicPr>
                      <pic:blipFill>
                        <a:blip r:embed="rId37"/>
                        <a:srcRect/>
                        <a:stretch>
                          <a:fillRect/>
                        </a:stretch>
                      </pic:blipFill>
                      <pic:spPr>
                        <a:xfrm>
                          <a:off x="0" y="0"/>
                          <a:ext cx="4562475" cy="523875"/>
                        </a:xfrm>
                        <a:prstGeom prst="rect"/>
                        <a:ln/>
                      </pic:spPr>
                    </pic:pic>
                  </a:graphicData>
                </a:graphic>
              </wp:anchor>
            </w:drawing>
          </mc:Fallback>
        </mc:AlternateContent>
      </w:r>
    </w:p>
    <w:p w:rsidR="00B36041" w:rsidRDefault="00243587">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se considera procedente ordenar la entrega de la certificació</w:t>
      </w:r>
      <w:r>
        <w:rPr>
          <w:rFonts w:ascii="Palatino Linotype" w:eastAsia="Palatino Linotype" w:hAnsi="Palatino Linotype" w:cs="Palatino Linotype"/>
          <w:color w:val="000000"/>
          <w:sz w:val="24"/>
          <w:szCs w:val="24"/>
        </w:rPr>
        <w:t>n con el que cuenta al momento de la presentación de la solicitud, es decir, al trece de enero del año dos mil veintidós, no obstante para el caso, de acuerdo al estudio expuesto, no cuente con las certificación bastará con que así se lo haga del conocimie</w:t>
      </w:r>
      <w:r>
        <w:rPr>
          <w:rFonts w:ascii="Palatino Linotype" w:eastAsia="Palatino Linotype" w:hAnsi="Palatino Linotype" w:cs="Palatino Linotype"/>
          <w:color w:val="000000"/>
          <w:sz w:val="24"/>
          <w:szCs w:val="24"/>
        </w:rPr>
        <w:t xml:space="preserve">nto al recurrente de manera fundada y motivada, para tener por satisfecho este punto de la solicitud de información. </w:t>
      </w:r>
    </w:p>
    <w:p w:rsidR="00B36041" w:rsidRDefault="00243587">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referente al punto en donde la particular </w:t>
      </w:r>
      <w:r>
        <w:rPr>
          <w:rFonts w:ascii="Palatino Linotype" w:eastAsia="Palatino Linotype" w:hAnsi="Palatino Linotype" w:cs="Palatino Linotype"/>
          <w:sz w:val="24"/>
          <w:szCs w:val="24"/>
        </w:rPr>
        <w:t>solicitó</w:t>
      </w:r>
      <w:r>
        <w:rPr>
          <w:rFonts w:ascii="Palatino Linotype" w:eastAsia="Palatino Linotype" w:hAnsi="Palatino Linotype" w:cs="Palatino Linotype"/>
          <w:color w:val="000000"/>
          <w:sz w:val="24"/>
          <w:szCs w:val="24"/>
        </w:rPr>
        <w:t xml:space="preserve"> el documento que acredite el nombramiento de la Directora General de Educación y Cultura,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se limitó, a responder que la Ley Orgánica Municipal del </w:t>
      </w:r>
      <w:r>
        <w:rPr>
          <w:rFonts w:ascii="Palatino Linotype" w:eastAsia="Palatino Linotype" w:hAnsi="Palatino Linotype" w:cs="Palatino Linotype"/>
          <w:color w:val="000000"/>
          <w:sz w:val="24"/>
          <w:szCs w:val="24"/>
        </w:rPr>
        <w:lastRenderedPageBreak/>
        <w:t>Estado de México, en su artículo 87, no establece la obligación de cubrir los requisitos señalados en su artículo 32, siendo esto una respuesta que adolece el Derecho de Acceso a la Información Públ</w:t>
      </w:r>
      <w:r>
        <w:rPr>
          <w:rFonts w:ascii="Palatino Linotype" w:eastAsia="Palatino Linotype" w:hAnsi="Palatino Linotype" w:cs="Palatino Linotype"/>
          <w:color w:val="000000"/>
          <w:sz w:val="24"/>
          <w:szCs w:val="24"/>
        </w:rPr>
        <w:t>ica de la particular.</w:t>
      </w:r>
    </w:p>
    <w:p w:rsidR="00B36041" w:rsidRDefault="00B36041">
      <w:pPr>
        <w:widowControl w:val="0"/>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36041" w:rsidRDefault="00243587">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resulta importante traer a contexto la Ley del Trabajo de los Servidores Públicos del Estado y Municipios, la cual dispone:</w:t>
      </w:r>
    </w:p>
    <w:p w:rsidR="00B36041" w:rsidRDefault="00B36041">
      <w:pPr>
        <w:widowControl w:val="0"/>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36041" w:rsidRDefault="00243587">
      <w:pPr>
        <w:ind w:left="851" w:right="901"/>
        <w:jc w:val="both"/>
        <w:rPr>
          <w:rFonts w:ascii="Palatino Linotype" w:eastAsia="Palatino Linotype" w:hAnsi="Palatino Linotype" w:cs="Palatino Linotype"/>
          <w:b/>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relación de trabajo entre las instituciones públicas y sus servidores públicos se</w:t>
      </w:r>
      <w:r>
        <w:rPr>
          <w:rFonts w:ascii="Palatino Linotype" w:eastAsia="Palatino Linotype" w:hAnsi="Palatino Linotype" w:cs="Palatino Linotype"/>
          <w:b/>
          <w:i/>
        </w:rPr>
        <w:t xml:space="preserve"> entiende establecida mediante nombramiento, formato único de movimiento de personal, contrato o por cualquier otro acto que tenga como consecuencia la prestación personal subordinada del servicio y la percepción de un sueldo. </w:t>
      </w: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Para los efectos de esta ley</w:t>
      </w:r>
      <w:r>
        <w:rPr>
          <w:rFonts w:ascii="Palatino Linotype" w:eastAsia="Palatino Linotype" w:hAnsi="Palatino Linotype" w:cs="Palatino Linotype"/>
          <w:i/>
        </w:rPr>
        <w:t>, las instituciones públicas estarán representadas por sus titulares.</w:t>
      </w:r>
    </w:p>
    <w:p w:rsidR="00B36041" w:rsidRDefault="00B36041">
      <w:pPr>
        <w:ind w:left="851" w:right="901"/>
        <w:jc w:val="both"/>
        <w:rPr>
          <w:rFonts w:ascii="Palatino Linotype" w:eastAsia="Palatino Linotype" w:hAnsi="Palatino Linotype" w:cs="Palatino Linotype"/>
          <w:i/>
        </w:rPr>
      </w:pP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45.-</w:t>
      </w:r>
      <w:r>
        <w:rPr>
          <w:rFonts w:ascii="Palatino Linotype" w:eastAsia="Palatino Linotype" w:hAnsi="Palatino Linotype" w:cs="Palatino Linotype"/>
          <w:i/>
        </w:rPr>
        <w:t xml:space="preserve">Los servidores públicos prestarán sus servicios </w:t>
      </w:r>
      <w:r>
        <w:rPr>
          <w:rFonts w:ascii="Palatino Linotype" w:eastAsia="Palatino Linotype" w:hAnsi="Palatino Linotype" w:cs="Palatino Linotype"/>
          <w:b/>
          <w:i/>
        </w:rPr>
        <w:t>mediante nombramiento, contrato o formato único de Movimientos de Personal</w:t>
      </w:r>
      <w:r>
        <w:rPr>
          <w:rFonts w:ascii="Palatino Linotype" w:eastAsia="Palatino Linotype" w:hAnsi="Palatino Linotype" w:cs="Palatino Linotype"/>
          <w:i/>
        </w:rPr>
        <w:t xml:space="preserve"> expedidos por quien estuviere facultado legalment</w:t>
      </w:r>
      <w:r>
        <w:rPr>
          <w:rFonts w:ascii="Palatino Linotype" w:eastAsia="Palatino Linotype" w:hAnsi="Palatino Linotype" w:cs="Palatino Linotype"/>
          <w:i/>
        </w:rPr>
        <w:t>e para extenderlo.</w:t>
      </w: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47. </w:t>
      </w:r>
      <w:r>
        <w:rPr>
          <w:rFonts w:ascii="Palatino Linotype" w:eastAsia="Palatino Linotype" w:hAnsi="Palatino Linotype" w:cs="Palatino Linotype"/>
          <w:i/>
        </w:rPr>
        <w:t>Para ingresar al servicio público se requiere:</w:t>
      </w: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VIII. Cumplir con los requisitos que se establezcan para los diferentes puestos;</w:t>
      </w:r>
    </w:p>
    <w:p w:rsidR="00B36041" w:rsidRDefault="00B36041">
      <w:pPr>
        <w:ind w:left="851" w:right="901"/>
        <w:jc w:val="both"/>
        <w:rPr>
          <w:rFonts w:ascii="Palatino Linotype" w:eastAsia="Palatino Linotype" w:hAnsi="Palatino Linotype" w:cs="Palatino Linotype"/>
          <w:i/>
        </w:rPr>
      </w:pP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48. </w:t>
      </w:r>
      <w:r>
        <w:rPr>
          <w:rFonts w:ascii="Palatino Linotype" w:eastAsia="Palatino Linotype" w:hAnsi="Palatino Linotype" w:cs="Palatino Linotype"/>
          <w:i/>
        </w:rPr>
        <w:t xml:space="preserve">Para </w:t>
      </w:r>
      <w:r>
        <w:rPr>
          <w:rFonts w:ascii="Palatino Linotype" w:eastAsia="Palatino Linotype" w:hAnsi="Palatino Linotype" w:cs="Palatino Linotype"/>
          <w:b/>
          <w:i/>
        </w:rPr>
        <w:t>iniciar la prestación de los servicios</w:t>
      </w:r>
      <w:r>
        <w:rPr>
          <w:rFonts w:ascii="Palatino Linotype" w:eastAsia="Palatino Linotype" w:hAnsi="Palatino Linotype" w:cs="Palatino Linotype"/>
          <w:i/>
        </w:rPr>
        <w:t xml:space="preserve"> se requiere: </w:t>
      </w: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Tener conferido </w:t>
      </w:r>
      <w:r>
        <w:rPr>
          <w:rFonts w:ascii="Palatino Linotype" w:eastAsia="Palatino Linotype" w:hAnsi="Palatino Linotype" w:cs="Palatino Linotype"/>
          <w:i/>
        </w:rPr>
        <w:t xml:space="preserve">el nombramiento, contrato respectivo o formato único de Movimientos de Personal; </w:t>
      </w: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w:t>
      </w:r>
      <w:r>
        <w:rPr>
          <w:rFonts w:ascii="Palatino Linotype" w:eastAsia="Palatino Linotype" w:hAnsi="Palatino Linotype" w:cs="Palatino Linotype"/>
          <w:i/>
        </w:rPr>
        <w:t xml:space="preserve"> Rendir la protesta de ley en caso de nombramiento; y</w:t>
      </w:r>
    </w:p>
    <w:p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Tomar posesión del cargo.</w:t>
      </w:r>
    </w:p>
    <w:p w:rsidR="00B36041" w:rsidRDefault="00243587">
      <w:pPr>
        <w:spacing w:line="360" w:lineRule="auto"/>
        <w:ind w:right="49"/>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De lo anterior, se desprende que, la relación de trabajo entre las instituciones públicas y sus servidores públicos, se establece ya sea por nombramiento, contrato o formato único de Movimientos de Personal o por cualquier otro acto que tenga como consecue</w:t>
      </w:r>
      <w:r>
        <w:rPr>
          <w:rFonts w:ascii="Palatino Linotype" w:eastAsia="Palatino Linotype" w:hAnsi="Palatino Linotype" w:cs="Palatino Linotype"/>
          <w:sz w:val="24"/>
          <w:szCs w:val="24"/>
        </w:rPr>
        <w:t>ncia la prestación personal subordinada del servicio y la percepción de un sueldo;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razones por las cuales lo procedente es ordenar el nombramiento, contrato o formato único de Movimientos de Personal</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sz w:val="24"/>
          <w:szCs w:val="24"/>
        </w:rPr>
        <w:t>y de ser procedente en versión pública conforme al cons</w:t>
      </w:r>
      <w:r>
        <w:rPr>
          <w:rFonts w:ascii="Palatino Linotype" w:eastAsia="Palatino Linotype" w:hAnsi="Palatino Linotype" w:cs="Palatino Linotype"/>
          <w:sz w:val="24"/>
          <w:szCs w:val="24"/>
        </w:rPr>
        <w:t xml:space="preserve">iderando quinto del presente fallo. </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Para la entrega de la información, en razón de que el derecho de acceso a la información pública no es absoluto, sino que encuentra como excepciones que la información sobre la cual se peticiona</w:t>
      </w:r>
      <w:r>
        <w:rPr>
          <w:rFonts w:ascii="Palatino Linotype" w:eastAsia="Palatino Linotype" w:hAnsi="Palatino Linotype" w:cs="Palatino Linotype"/>
          <w:sz w:val="24"/>
          <w:szCs w:val="24"/>
        </w:rPr>
        <w:t xml:space="preserve"> el acceso, sea o contenga datos que deban ser clasificados en los términos que la misma Ley de la Materia señala, el Sujeto Obligado tendrá que hacer la elaboración de una versión pública de los documentos que vaya entregar para dar cumplimiento a esta re</w:t>
      </w:r>
      <w:r>
        <w:rPr>
          <w:rFonts w:ascii="Palatino Linotype" w:eastAsia="Palatino Linotype" w:hAnsi="Palatino Linotype" w:cs="Palatino Linotype"/>
          <w:sz w:val="24"/>
          <w:szCs w:val="24"/>
        </w:rPr>
        <w:t>solución, a fin de satisfacer el derecho de acceso a la información pública de la recurrente sin menoscabar el derecho a la protección de los datos personales de terceros.</w:t>
      </w:r>
    </w:p>
    <w:p w:rsidR="00B36041" w:rsidRDefault="00243587">
      <w:pPr>
        <w:spacing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rsidR="00B36041" w:rsidRDefault="00243587">
      <w:pPr>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 xml:space="preserve"> “Artículo</w:t>
      </w:r>
      <w:r>
        <w:rPr>
          <w:rFonts w:ascii="Palatino Linotype" w:eastAsia="Palatino Linotype" w:hAnsi="Palatino Linotype" w:cs="Palatino Linotype"/>
          <w:b/>
          <w:i/>
        </w:rPr>
        <w:t xml:space="preserve"> 3. Para los efectos de la presente Ley se entenderá por:</w:t>
      </w: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información concerniente a una persona, identificada o identificable</w:t>
      </w:r>
      <w:r>
        <w:rPr>
          <w:rFonts w:ascii="Palatino Linotype" w:eastAsia="Palatino Linotype" w:hAnsi="Palatino Linotype" w:cs="Palatino Linotype"/>
          <w:i/>
        </w:rPr>
        <w:t xml:space="preserve"> según lo dispuesto por la Ley de Protección de Datos Personales del Estado de México;</w:t>
      </w: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w:t>
      </w:r>
      <w:r>
        <w:rPr>
          <w:rFonts w:ascii="Palatino Linotype" w:eastAsia="Palatino Linotype" w:hAnsi="Palatino Linotype" w:cs="Palatino Linotype"/>
          <w:b/>
          <w:i/>
        </w:rPr>
        <w:t>asificada:</w:t>
      </w:r>
      <w:r>
        <w:rPr>
          <w:rFonts w:ascii="Palatino Linotype" w:eastAsia="Palatino Linotype" w:hAnsi="Palatino Linotype" w:cs="Palatino Linotype"/>
          <w:i/>
        </w:rPr>
        <w:t xml:space="preserve"> Aquella considerada por la presente Ley como reservada o confidencial;</w:t>
      </w: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xml:space="preserve"> Derecho humano que tutela la privacidad de datos personales en poder de los sujetos obligados y sujetos particulares;</w:t>
      </w: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XLV. Versión públ</w:t>
      </w:r>
      <w:r>
        <w:rPr>
          <w:rFonts w:ascii="Palatino Linotype" w:eastAsia="Palatino Linotype" w:hAnsi="Palatino Linotype" w:cs="Palatino Linotype"/>
          <w:b/>
          <w:i/>
        </w:rPr>
        <w:t>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B36041" w:rsidRDefault="00B36041">
      <w:pPr>
        <w:ind w:left="993" w:right="1041"/>
        <w:jc w:val="both"/>
        <w:rPr>
          <w:rFonts w:ascii="Palatino Linotype" w:eastAsia="Palatino Linotype" w:hAnsi="Palatino Linotype" w:cs="Palatino Linotype"/>
          <w:i/>
        </w:rPr>
      </w:pP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Los datos personales son irrenunciables, intransferibles e indelegables, por lo que los sujetos obligados </w:t>
      </w:r>
      <w:r>
        <w:rPr>
          <w:rFonts w:ascii="Palatino Linotype" w:eastAsia="Palatino Linotype" w:hAnsi="Palatino Linotype" w:cs="Palatino Linotype"/>
          <w:i/>
        </w:rPr>
        <w:t>no deberán proporcionar o hacer pública la información que contenga, con excepción de aquellos casos en que deban hacerlo en observancia de las disposiciones aplicables. En el caso de los derechos de acceso, rectificación, cancelación u oposición; los prin</w:t>
      </w:r>
      <w:r>
        <w:rPr>
          <w:rFonts w:ascii="Palatino Linotype" w:eastAsia="Palatino Linotype" w:hAnsi="Palatino Linotype" w:cs="Palatino Linotype"/>
          <w:i/>
        </w:rPr>
        <w:t>cipios, procedimientos, medidas de seguridad en el tratamiento y demás disposiciones en materia de datos personales, se deberá estar a lo dispuesto en las leyes de la materia.”</w:t>
      </w:r>
    </w:p>
    <w:p w:rsidR="00B36041" w:rsidRDefault="00B36041">
      <w:pPr>
        <w:ind w:left="993" w:right="1041"/>
        <w:jc w:val="both"/>
        <w:rPr>
          <w:rFonts w:ascii="Palatino Linotype" w:eastAsia="Palatino Linotype" w:hAnsi="Palatino Linotype" w:cs="Palatino Linotype"/>
          <w:i/>
        </w:rPr>
      </w:pPr>
    </w:p>
    <w:p w:rsidR="00B36041" w:rsidRDefault="00243587">
      <w:pPr>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w:t>
      </w:r>
      <w:r>
        <w:rPr>
          <w:rFonts w:ascii="Palatino Linotype" w:eastAsia="Palatino Linotype" w:hAnsi="Palatino Linotype" w:cs="Palatino Linotype"/>
          <w:i/>
        </w:rPr>
        <w:t>ión pública y reservada o confidencial, la Unidad de Transparencia para efectos de atender una solicitud de información, deberán elaborar una versión pública en la que se testen las partes o secciones clasificadas, indicando su contenido de manera genérica</w:t>
      </w:r>
      <w:r>
        <w:rPr>
          <w:rFonts w:ascii="Palatino Linotype" w:eastAsia="Palatino Linotype" w:hAnsi="Palatino Linotype" w:cs="Palatino Linotype"/>
          <w:i/>
        </w:rPr>
        <w:t xml:space="preserve"> y fundando y motivando su clasificación.”</w:t>
      </w:r>
    </w:p>
    <w:p w:rsidR="00B36041" w:rsidRDefault="00B36041">
      <w:pPr>
        <w:ind w:left="993" w:right="1041"/>
        <w:jc w:val="both"/>
        <w:rPr>
          <w:rFonts w:ascii="Palatino Linotype" w:eastAsia="Palatino Linotype" w:hAnsi="Palatino Linotype" w:cs="Palatino Linotype"/>
          <w:b/>
          <w:i/>
        </w:rPr>
      </w:pP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II. Los secretos bancario, fiduciario, industrial, comercial, fiscal, bursátil y postal, cuya titularidad corr</w:t>
      </w:r>
      <w:r>
        <w:rPr>
          <w:rFonts w:ascii="Palatino Linotype" w:eastAsia="Palatino Linotype" w:hAnsi="Palatino Linotype" w:cs="Palatino Linotype"/>
          <w:i/>
        </w:rPr>
        <w:t>esponda a particulares, sujetos de derecho internacional o a sujetos obligados cuando no involucren el ejercicio de recursos públicos; y</w:t>
      </w:r>
    </w:p>
    <w:p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III. La que presenten los particulares a los sujetos obligados, de conformidad con lo dispuesto por las leyes o los tra</w:t>
      </w:r>
      <w:r>
        <w:rPr>
          <w:rFonts w:ascii="Palatino Linotype" w:eastAsia="Palatino Linotype" w:hAnsi="Palatino Linotype" w:cs="Palatino Linotype"/>
          <w:i/>
        </w:rPr>
        <w:t>tados internacionales.” (Sic)</w:t>
      </w:r>
    </w:p>
    <w:p w:rsidR="00B36041" w:rsidRDefault="00B36041">
      <w:pPr>
        <w:ind w:left="993" w:right="1041"/>
        <w:jc w:val="both"/>
        <w:rPr>
          <w:rFonts w:ascii="Palatino Linotype" w:eastAsia="Palatino Linotype" w:hAnsi="Palatino Linotype" w:cs="Palatino Linotype"/>
          <w:i/>
        </w:rPr>
      </w:pPr>
    </w:p>
    <w:p w:rsidR="00B36041" w:rsidRDefault="00243587">
      <w:pP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w:t>
      </w:r>
      <w:r>
        <w:rPr>
          <w:rFonts w:ascii="Palatino Linotype" w:eastAsia="Palatino Linotype" w:hAnsi="Palatino Linotype" w:cs="Palatino Linotype"/>
          <w:sz w:val="24"/>
          <w:szCs w:val="24"/>
        </w:rPr>
        <w:t xml:space="preserve">a entrega del mismo, testando las secciones o datos que deban ser clasificados; por ende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proceder a testar los datos personales que se encuentren contenidos en los documentos a entregar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satisface</w:t>
      </w:r>
      <w:r>
        <w:rPr>
          <w:rFonts w:ascii="Palatino Linotype" w:eastAsia="Palatino Linotype" w:hAnsi="Palatino Linotype" w:cs="Palatino Linotype"/>
          <w:sz w:val="24"/>
          <w:szCs w:val="24"/>
        </w:rPr>
        <w:t xml:space="preserve">r el derecho de acceso a la información pública de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w:t>
      </w:r>
      <w:r>
        <w:rPr>
          <w:rFonts w:ascii="Palatino Linotype" w:eastAsia="Palatino Linotype" w:hAnsi="Palatino Linotype" w:cs="Palatino Linotype"/>
          <w:sz w:val="24"/>
          <w:szCs w:val="24"/>
        </w:rPr>
        <w:t xml:space="preserve"> o cuya utilización indebida pueda dar origen a discriminación o conlleven un riesgo grave para aquel de acuerdo a lo que señala la fracción XII del artículo 4 de la Ley de Protección de Datos Personales en Posesión de Sujetos Obligados del Estado de Méxic</w:t>
      </w:r>
      <w:r>
        <w:rPr>
          <w:rFonts w:ascii="Palatino Linotype" w:eastAsia="Palatino Linotype" w:hAnsi="Palatino Linotype" w:cs="Palatino Linotype"/>
          <w:sz w:val="24"/>
          <w:szCs w:val="24"/>
        </w:rPr>
        <w:t>o.</w:t>
      </w:r>
    </w:p>
    <w:p w:rsidR="00B36041" w:rsidRDefault="00243587">
      <w:pPr>
        <w:spacing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w:t>
      </w:r>
      <w:r>
        <w:rPr>
          <w:rFonts w:ascii="Palatino Linotype" w:eastAsia="Palatino Linotype" w:hAnsi="Palatino Linotype" w:cs="Palatino Linotype"/>
          <w:sz w:val="24"/>
          <w:szCs w:val="24"/>
        </w:rPr>
        <w:t>s ajenas a su titular.</w:t>
      </w:r>
    </w:p>
    <w:p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Entre la información solicitada se encuentra los documentos que acrediten el grado de estudios, como por ejemplo el título profesional, del cual se aprecian diversos datos personales, como lo son la fotografía y la firma autógrafa, los cuales, por correspo</w:t>
      </w:r>
      <w:r>
        <w:rPr>
          <w:rFonts w:ascii="Palatino Linotype" w:eastAsia="Palatino Linotype" w:hAnsi="Palatino Linotype" w:cs="Palatino Linotype"/>
          <w:color w:val="000000"/>
          <w:sz w:val="24"/>
          <w:szCs w:val="24"/>
        </w:rPr>
        <w:t>nder a servidores públicos, el régimen de protección es menor, derivado de que laboran en una dependencia pública, reciben recursos públicos y realizan actos de autoridad.</w:t>
      </w:r>
    </w:p>
    <w:p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corresponde a la fotografía en el título profesional, es necesario traer </w:t>
      </w:r>
      <w:r>
        <w:rPr>
          <w:rFonts w:ascii="Palatino Linotype" w:eastAsia="Palatino Linotype" w:hAnsi="Palatino Linotype" w:cs="Palatino Linotype"/>
          <w:color w:val="000000"/>
          <w:sz w:val="24"/>
          <w:szCs w:val="24"/>
        </w:rPr>
        <w:t>a contexto el criterio 15/17 del Instituto Nacional de Acceso a la Información y Protección de Datos Personales que establece lo siguiente:</w:t>
      </w:r>
    </w:p>
    <w:p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“Fotografía en título o cédula profesional es de acceso público.</w:t>
      </w:r>
      <w:r>
        <w:rPr>
          <w:rFonts w:ascii="Palatino Linotype" w:eastAsia="Palatino Linotype" w:hAnsi="Palatino Linotype" w:cs="Palatino Linotype"/>
          <w:i/>
        </w:rPr>
        <w:t xml:space="preserve"> Si bien la fotografía de una persona física es un d</w:t>
      </w:r>
      <w:r>
        <w:rPr>
          <w:rFonts w:ascii="Palatino Linotype" w:eastAsia="Palatino Linotype" w:hAnsi="Palatino Linotype" w:cs="Palatino Linotype"/>
          <w:i/>
        </w:rPr>
        <w:t>ato personal, cuando se encuentra en un título o cédula profesional no es susceptible de clasificarse como confidencial, en virtud del interés público que existe de conocer que la persona que se ostenta con una calidad profesional determinada es la misma q</w:t>
      </w:r>
      <w:r>
        <w:rPr>
          <w:rFonts w:ascii="Palatino Linotype" w:eastAsia="Palatino Linotype" w:hAnsi="Palatino Linotype" w:cs="Palatino Linotype"/>
          <w:i/>
        </w:rPr>
        <w:t>ue aparece en dichos documentos oficiales. De esta manera, la fotografía contenida en el título o cédula profesional es pública y susceptible de divulgación.</w:t>
      </w:r>
    </w:p>
    <w:p w:rsidR="00B36041" w:rsidRDefault="00243587">
      <w:pPr>
        <w:tabs>
          <w:tab w:val="left" w:pos="2670"/>
        </w:tabs>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Resoluciones:</w:t>
      </w:r>
    </w:p>
    <w:p w:rsidR="00B36041" w:rsidRDefault="00243587">
      <w:pPr>
        <w:numPr>
          <w:ilvl w:val="0"/>
          <w:numId w:val="3"/>
        </w:numPr>
        <w:pBdr>
          <w:top w:val="nil"/>
          <w:left w:val="nil"/>
          <w:bottom w:val="nil"/>
          <w:right w:val="nil"/>
          <w:between w:val="nil"/>
        </w:pBdr>
        <w:spacing w:after="0" w:line="240" w:lineRule="auto"/>
        <w:ind w:left="567" w:right="567" w:firstLine="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RRA 3777/16.</w:t>
      </w:r>
      <w:r>
        <w:rPr>
          <w:rFonts w:ascii="Palatino Linotype" w:eastAsia="Palatino Linotype" w:hAnsi="Palatino Linotype" w:cs="Palatino Linotype"/>
          <w:i/>
          <w:color w:val="000000"/>
        </w:rPr>
        <w:t xml:space="preserve"> Secretaría de Comunicaciones y Transportes. 07 de diciembre de 2016. Por unanimidad. Comisionada Ponente María Patricia Kurczyn Villalobos.</w:t>
      </w:r>
    </w:p>
    <w:p w:rsidR="00B36041" w:rsidRDefault="00243587">
      <w:pPr>
        <w:numPr>
          <w:ilvl w:val="0"/>
          <w:numId w:val="3"/>
        </w:numPr>
        <w:pBdr>
          <w:top w:val="nil"/>
          <w:left w:val="nil"/>
          <w:bottom w:val="nil"/>
          <w:right w:val="nil"/>
          <w:between w:val="nil"/>
        </w:pBdr>
        <w:spacing w:after="0" w:line="240" w:lineRule="auto"/>
        <w:ind w:left="567" w:right="567" w:firstLine="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RRA 0047/17 y acumulado.</w:t>
      </w:r>
      <w:r>
        <w:rPr>
          <w:rFonts w:ascii="Palatino Linotype" w:eastAsia="Palatino Linotype" w:hAnsi="Palatino Linotype" w:cs="Palatino Linotype"/>
          <w:i/>
          <w:color w:val="000000"/>
        </w:rPr>
        <w:t xml:space="preserve"> Instituto Federal de Telecomunicaciones. 01 de marzo del 2017. Por unanimidad. Comisionado</w:t>
      </w:r>
      <w:r>
        <w:rPr>
          <w:rFonts w:ascii="Palatino Linotype" w:eastAsia="Palatino Linotype" w:hAnsi="Palatino Linotype" w:cs="Palatino Linotype"/>
          <w:i/>
          <w:color w:val="000000"/>
        </w:rPr>
        <w:t xml:space="preserve"> Ponente Rosendoevgueni Monterrey Chepov.</w:t>
      </w:r>
    </w:p>
    <w:p w:rsidR="00B36041" w:rsidRDefault="00243587">
      <w:pPr>
        <w:numPr>
          <w:ilvl w:val="0"/>
          <w:numId w:val="3"/>
        </w:numPr>
        <w:pBdr>
          <w:top w:val="nil"/>
          <w:left w:val="nil"/>
          <w:bottom w:val="nil"/>
          <w:right w:val="nil"/>
          <w:between w:val="nil"/>
        </w:pBdr>
        <w:spacing w:after="0" w:line="240" w:lineRule="auto"/>
        <w:ind w:left="567" w:right="567" w:firstLine="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RRA 1189/17.</w:t>
      </w:r>
      <w:r>
        <w:rPr>
          <w:rFonts w:ascii="Palatino Linotype" w:eastAsia="Palatino Linotype" w:hAnsi="Palatino Linotype" w:cs="Palatino Linotype"/>
          <w:i/>
          <w:color w:val="000000"/>
        </w:rPr>
        <w:t xml:space="preserve"> Servicio de Información Agroalimentaria y Pesquera. 03 de mayo de 2017. Por mayoría, con voto disidente del Comisionado Joel Salas Suárez. Comisionada Ponente Ximena Puente de la Mora.</w:t>
      </w:r>
    </w:p>
    <w:p w:rsidR="00B36041" w:rsidRDefault="00B3604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Cabe destacar q</w:t>
      </w:r>
      <w:r>
        <w:rPr>
          <w:rFonts w:ascii="Palatino Linotype" w:eastAsia="Palatino Linotype" w:hAnsi="Palatino Linotype" w:cs="Palatino Linotype"/>
          <w:color w:val="000000"/>
          <w:sz w:val="24"/>
          <w:szCs w:val="24"/>
        </w:rPr>
        <w:t>ue el Título Profesional es un documento expedido por instituciones del Estado o descentralizadas, y por instituciones particulares que tenga reconocimiento de validez oficial de estudios, a favor de la persona que haya concluido los estudios correspondien</w:t>
      </w:r>
      <w:r>
        <w:rPr>
          <w:rFonts w:ascii="Palatino Linotype" w:eastAsia="Palatino Linotype" w:hAnsi="Palatino Linotype" w:cs="Palatino Linotype"/>
          <w:color w:val="000000"/>
          <w:sz w:val="24"/>
          <w:szCs w:val="24"/>
        </w:rPr>
        <w:t>tes o demostrado tener los conocimientos necesarios de conformidad con la legislación aplicable, con lo que se atiende la disposición contenida en el segundo párrafo del artículo quinto de la Constitución Política de los Estados Unidos Mexicanos que trasla</w:t>
      </w:r>
      <w:r>
        <w:rPr>
          <w:rFonts w:ascii="Palatino Linotype" w:eastAsia="Palatino Linotype" w:hAnsi="Palatino Linotype" w:cs="Palatino Linotype"/>
          <w:color w:val="000000"/>
          <w:sz w:val="24"/>
          <w:szCs w:val="24"/>
        </w:rPr>
        <w:t>da a la ley la determinación de las profesiones que necesitan título para su ejercicio, la respectiva ley reglamentaria del dispositivo constitucional, en su artículo primero señala la definición que se reproduce en el presente párrafo, mientras que el art</w:t>
      </w:r>
      <w:r>
        <w:rPr>
          <w:rFonts w:ascii="Palatino Linotype" w:eastAsia="Palatino Linotype" w:hAnsi="Palatino Linotype" w:cs="Palatino Linotype"/>
          <w:color w:val="000000"/>
          <w:sz w:val="24"/>
          <w:szCs w:val="24"/>
        </w:rPr>
        <w:t>ículo tercero del mismo ordenamiento condiciona la obtención del título profesional o grado académico equivalente para la obtención de la cédula de ejercicio.</w:t>
      </w:r>
    </w:p>
    <w:p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consecuencia, la fotografía no debe clasificarse como información confidencial, por ser de acc</w:t>
      </w:r>
      <w:r>
        <w:rPr>
          <w:rFonts w:ascii="Palatino Linotype" w:eastAsia="Palatino Linotype" w:hAnsi="Palatino Linotype" w:cs="Palatino Linotype"/>
          <w:color w:val="000000"/>
          <w:sz w:val="24"/>
          <w:szCs w:val="24"/>
        </w:rPr>
        <w:t>eso público.</w:t>
      </w:r>
    </w:p>
    <w:p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corresponde a la firma autógrafa, el entonces del entonces Instituto Federal de Acceso a la Información Pública (IFAI) emitió el criterio 10/10, el cual contiene lo siguiente:</w:t>
      </w:r>
    </w:p>
    <w:p w:rsidR="00B36041" w:rsidRDefault="00243587">
      <w:pPr>
        <w:spacing w:before="76"/>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“La firma de los servidores públicos es información de carácter público cuando ésta es utilizada en el ejercicio de las facultades conferidas para el desempeño  </w:t>
      </w:r>
      <w:r>
        <w:rPr>
          <w:rFonts w:ascii="Palatino Linotype" w:eastAsia="Palatino Linotype" w:hAnsi="Palatino Linotype" w:cs="Palatino Linotype"/>
          <w:b/>
          <w:i/>
        </w:rPr>
        <w:lastRenderedPageBreak/>
        <w:t xml:space="preserve">del  servicio  público.  </w:t>
      </w:r>
      <w:r>
        <w:rPr>
          <w:rFonts w:ascii="Palatino Linotype" w:eastAsia="Palatino Linotype" w:hAnsi="Palatino Linotype" w:cs="Palatino Linotype"/>
          <w:i/>
        </w:rPr>
        <w:t>Si  bien  la  firma  es  un  dato  personal confidencial, en tanto que</w:t>
      </w:r>
      <w:r>
        <w:rPr>
          <w:rFonts w:ascii="Palatino Linotype" w:eastAsia="Palatino Linotype" w:hAnsi="Palatino Linotype" w:cs="Palatino Linotype"/>
          <w:i/>
        </w:rPr>
        <w:t xml:space="preserve"> identifica o hace identificable a su titular, cuando un servidor público emite un acto como autoridad, en ejercicio de las funciones que tiene conferidas, la firma mediante la cual valida dicho acto es pública. Lo anterior, en virtud de que se realizó en </w:t>
      </w:r>
      <w:r>
        <w:rPr>
          <w:rFonts w:ascii="Palatino Linotype" w:eastAsia="Palatino Linotype" w:hAnsi="Palatino Linotype" w:cs="Palatino Linotype"/>
          <w:i/>
        </w:rPr>
        <w:t>cumplimiento de las obligaciones que le corresponden en términos de las disposiciones jurídicas aplicables. Por tanto, la firma de los servidores públicos, vinculada al ejercicio de la función pública, es información de naturaleza pública, dado que documen</w:t>
      </w:r>
      <w:r>
        <w:rPr>
          <w:rFonts w:ascii="Palatino Linotype" w:eastAsia="Palatino Linotype" w:hAnsi="Palatino Linotype" w:cs="Palatino Linotype"/>
          <w:i/>
        </w:rPr>
        <w:t>ta y rinde cuentas sobre el debido ejercicio de sus atribuciones con motivo del empleo, cargo o comisión que le han sido encomendados.</w:t>
      </w:r>
    </w:p>
    <w:p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Expedientes:</w:t>
      </w:r>
    </w:p>
    <w:p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636/08         Comisión Nacional Bancaria y de Valores – Alonso Gómez-Robledo</w:t>
      </w:r>
    </w:p>
    <w:p w:rsidR="00B36041" w:rsidRDefault="00243587">
      <w:pPr>
        <w:ind w:left="567" w:right="567"/>
        <w:rPr>
          <w:rFonts w:ascii="Palatino Linotype" w:eastAsia="Palatino Linotype" w:hAnsi="Palatino Linotype" w:cs="Palatino Linotype"/>
          <w:i/>
        </w:rPr>
      </w:pPr>
      <w:r>
        <w:rPr>
          <w:rFonts w:ascii="Palatino Linotype" w:eastAsia="Palatino Linotype" w:hAnsi="Palatino Linotype" w:cs="Palatino Linotype"/>
          <w:i/>
        </w:rPr>
        <w:t>Verduzco</w:t>
      </w:r>
    </w:p>
    <w:p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2700/09       Consejo</w:t>
      </w:r>
      <w:r>
        <w:rPr>
          <w:rFonts w:ascii="Palatino Linotype" w:eastAsia="Palatino Linotype" w:hAnsi="Palatino Linotype" w:cs="Palatino Linotype"/>
          <w:i/>
        </w:rPr>
        <w:t xml:space="preserve"> Nacional para Prevenir la Discriminación - Jacqueline</w:t>
      </w:r>
    </w:p>
    <w:p w:rsidR="00B36041" w:rsidRDefault="00243587">
      <w:pPr>
        <w:ind w:left="567" w:right="567"/>
        <w:rPr>
          <w:rFonts w:ascii="Palatino Linotype" w:eastAsia="Palatino Linotype" w:hAnsi="Palatino Linotype" w:cs="Palatino Linotype"/>
          <w:i/>
        </w:rPr>
      </w:pPr>
      <w:r>
        <w:rPr>
          <w:rFonts w:ascii="Palatino Linotype" w:eastAsia="Palatino Linotype" w:hAnsi="Palatino Linotype" w:cs="Palatino Linotype"/>
          <w:i/>
        </w:rPr>
        <w:t>Peschard Mariscal</w:t>
      </w:r>
    </w:p>
    <w:p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3415/09       Instituto Mexicano de Tecnología del Agua – María Marván Laborde</w:t>
      </w:r>
    </w:p>
    <w:p w:rsidR="00B36041" w:rsidRDefault="00243587">
      <w:pPr>
        <w:ind w:left="567" w:right="567"/>
        <w:rPr>
          <w:rFonts w:ascii="Palatino Linotype" w:eastAsia="Palatino Linotype" w:hAnsi="Palatino Linotype" w:cs="Palatino Linotype"/>
          <w:i/>
        </w:rPr>
      </w:pPr>
      <w:r>
        <w:rPr>
          <w:rFonts w:ascii="Palatino Linotype" w:eastAsia="Palatino Linotype" w:hAnsi="Palatino Linotype" w:cs="Palatino Linotype"/>
          <w:i/>
        </w:rPr>
        <w:t>3701/09       Administración Portuaria Integral de Tuxpan, S.A. de C.V. - Jacqueline Peschard Mariscal</w:t>
      </w:r>
    </w:p>
    <w:p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5</w:t>
      </w:r>
      <w:r>
        <w:rPr>
          <w:rFonts w:ascii="Palatino Linotype" w:eastAsia="Palatino Linotype" w:hAnsi="Palatino Linotype" w:cs="Palatino Linotype"/>
          <w:i/>
        </w:rPr>
        <w:t>99/10         Secretaría de Economía -  Jacqueline Peschard Mariscal” (Sic)</w:t>
      </w:r>
    </w:p>
    <w:p w:rsidR="00B36041" w:rsidRDefault="00B36041">
      <w:pPr>
        <w:ind w:left="567" w:right="567"/>
        <w:jc w:val="both"/>
        <w:rPr>
          <w:rFonts w:ascii="Palatino Linotype" w:eastAsia="Palatino Linotype" w:hAnsi="Palatino Linotype" w:cs="Palatino Linotype"/>
          <w:i/>
        </w:rPr>
      </w:pPr>
    </w:p>
    <w:p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222222"/>
          <w:sz w:val="24"/>
          <w:szCs w:val="24"/>
        </w:rPr>
        <w:t>Si bien es cierto, la firma no se encuentra en un documento emitido en ejercicio de sus</w:t>
      </w:r>
      <w:r>
        <w:rPr>
          <w:rFonts w:ascii="Palatino Linotype" w:eastAsia="Palatino Linotype" w:hAnsi="Palatino Linotype" w:cs="Palatino Linotype"/>
          <w:color w:val="222222"/>
          <w:sz w:val="24"/>
          <w:szCs w:val="24"/>
        </w:rPr>
        <w:t xml:space="preserve"> facultades conferidas para el desempeño del servicio público, pero también lo es que, a nad</w:t>
      </w:r>
      <w:r>
        <w:rPr>
          <w:rFonts w:ascii="Palatino Linotype" w:eastAsia="Palatino Linotype" w:hAnsi="Palatino Linotype" w:cs="Palatino Linotype"/>
          <w:color w:val="222222"/>
          <w:sz w:val="24"/>
          <w:szCs w:val="24"/>
        </w:rPr>
        <w:t>a práctico nos conduciría proteger dicho dato personal, cuando existen otros documentos que se encuentran en posesión del Sujeto Obligado y son de naturaleza pública, que contienen el mismo dato, con base en lo anterior, es que se considera que la firma de</w:t>
      </w:r>
      <w:r>
        <w:rPr>
          <w:rFonts w:ascii="Palatino Linotype" w:eastAsia="Palatino Linotype" w:hAnsi="Palatino Linotype" w:cs="Palatino Linotype"/>
          <w:color w:val="222222"/>
          <w:sz w:val="24"/>
          <w:szCs w:val="24"/>
        </w:rPr>
        <w:t xml:space="preserve"> los servidores públicos debe ser de conocimiento público.</w:t>
      </w:r>
    </w:p>
    <w:p w:rsidR="00B36041" w:rsidRDefault="00243587">
      <w:pP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sz w:val="24"/>
          <w:szCs w:val="24"/>
        </w:rPr>
        <w:t>Sujeto Obligado, sino que ello deberá realizarse en términos de lo que disponen los artículos 49 fracción VIII, 53, fracción X y 59, fracción V, de la Ley en consulta, cuyo sentido literal es el siguiente:</w:t>
      </w:r>
    </w:p>
    <w:p w:rsidR="00B36041" w:rsidRDefault="00B36041">
      <w:pPr>
        <w:spacing w:line="360" w:lineRule="auto"/>
        <w:ind w:right="51"/>
        <w:jc w:val="both"/>
        <w:rPr>
          <w:rFonts w:ascii="Palatino Linotype" w:eastAsia="Palatino Linotype" w:hAnsi="Palatino Linotype" w:cs="Palatino Linotype"/>
        </w:rPr>
      </w:pPr>
    </w:p>
    <w:p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w:t>
      </w:r>
      <w:r>
        <w:rPr>
          <w:rFonts w:ascii="Palatino Linotype" w:eastAsia="Palatino Linotype" w:hAnsi="Palatino Linotype" w:cs="Palatino Linotype"/>
          <w:i/>
        </w:rPr>
        <w:t>n las siguientes atribuciones:</w:t>
      </w:r>
    </w:p>
    <w:p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w:t>
      </w:r>
      <w:r>
        <w:rPr>
          <w:rFonts w:ascii="Palatino Linotype" w:eastAsia="Palatino Linotype" w:hAnsi="Palatino Linotype" w:cs="Palatino Linotype"/>
          <w:i/>
        </w:rPr>
        <w:t>sa dicha propuesta…”</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sz w:val="24"/>
          <w:szCs w:val="24"/>
        </w:rPr>
        <w:t xml:space="preserve">Sujeto Obligado, teniendo el deber los primeros de ellos de presentar ante la Unidad </w:t>
      </w:r>
      <w:r>
        <w:rPr>
          <w:rFonts w:ascii="Palatino Linotype" w:eastAsia="Palatino Linotype" w:hAnsi="Palatino Linotype" w:cs="Palatino Linotype"/>
          <w:sz w:val="24"/>
          <w:szCs w:val="24"/>
        </w:rPr>
        <w:lastRenderedPageBreak/>
        <w:t>de Transparencia la propuesta de la clasificación de la información, para que luego ésta presente ante al Comité de Transparencia de así resultar procedente el proyecto de</w:t>
      </w:r>
      <w:r>
        <w:rPr>
          <w:rFonts w:ascii="Palatino Linotype" w:eastAsia="Palatino Linotype" w:hAnsi="Palatino Linotype" w:cs="Palatino Linotype"/>
          <w:sz w:val="24"/>
          <w:szCs w:val="24"/>
        </w:rPr>
        <w:t xml:space="preserve"> clasificación de la información y finalmente sea éste último quien apruebe, modifique o revoque la clasificación de la información solicitada.</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w:t>
      </w:r>
      <w:r>
        <w:rPr>
          <w:rFonts w:ascii="Palatino Linotype" w:eastAsia="Palatino Linotype" w:hAnsi="Palatino Linotype" w:cs="Palatino Linotype"/>
          <w:sz w:val="24"/>
          <w:szCs w:val="24"/>
        </w:rPr>
        <w:t>tículo 149 de la Ley de Transparencia Local vigente, que se lee como sigue:</w:t>
      </w:r>
    </w:p>
    <w:p w:rsidR="00B36041" w:rsidRDefault="00B36041">
      <w:pPr>
        <w:spacing w:line="360" w:lineRule="auto"/>
        <w:jc w:val="both"/>
        <w:rPr>
          <w:rFonts w:ascii="Palatino Linotype" w:eastAsia="Palatino Linotype" w:hAnsi="Palatino Linotype" w:cs="Palatino Linotype"/>
          <w:sz w:val="24"/>
          <w:szCs w:val="24"/>
        </w:rPr>
      </w:pPr>
    </w:p>
    <w:p w:rsidR="00B36041" w:rsidRDefault="00243587">
      <w:pPr>
        <w:spacing w:after="240"/>
        <w:ind w:left="993" w:right="1041"/>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b/>
          <w:i/>
          <w:sz w:val="24"/>
          <w:szCs w:val="24"/>
        </w:rPr>
        <w:t>Artículo 149.</w:t>
      </w:r>
      <w:r>
        <w:rPr>
          <w:rFonts w:ascii="Palatino Linotype" w:eastAsia="Palatino Linotype" w:hAnsi="Palatino Linotype" w:cs="Palatino Linotype"/>
          <w:i/>
          <w:sz w:val="24"/>
          <w:szCs w:val="24"/>
        </w:rPr>
        <w:t xml:space="preserve"> El </w:t>
      </w:r>
      <w:r>
        <w:rPr>
          <w:rFonts w:ascii="Palatino Linotype" w:eastAsia="Palatino Linotype" w:hAnsi="Palatino Linotype" w:cs="Palatino Linotype"/>
          <w:b/>
          <w:i/>
          <w:sz w:val="24"/>
          <w:szCs w:val="24"/>
        </w:rPr>
        <w:t>acuerdo que clasifique la información como confidencial</w:t>
      </w:r>
      <w:r>
        <w:rPr>
          <w:rFonts w:ascii="Palatino Linotype" w:eastAsia="Palatino Linotype" w:hAnsi="Palatino Linotype" w:cs="Palatino Linotype"/>
          <w:i/>
          <w:sz w:val="24"/>
          <w:szCs w:val="24"/>
        </w:rPr>
        <w:t xml:space="preserve"> deberá contener un razonamiento lógico en el que demuestre que la información se encuentra en alguna o algunas de las hipótesis previstas en la presente Ley.”(Sic)</w:t>
      </w:r>
    </w:p>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el Sujeto Obligado a través de su Comité de Transparencia, deberá elaborar acuerd</w:t>
      </w:r>
      <w:r>
        <w:rPr>
          <w:rFonts w:ascii="Palatino Linotype" w:eastAsia="Palatino Linotype" w:hAnsi="Palatino Linotype" w:cs="Palatino Linotype"/>
          <w:sz w:val="24"/>
          <w:szCs w:val="24"/>
        </w:rPr>
        <w:t>o que contenga un razonamiento lógico con el que se demuestre que la información que se testa de las versiones públicas que se sirva elaborar, encuadra en alguna de las hipótesis que contempla la Ley de la Materia en su artículo 143; ya que de lo contrario</w:t>
      </w:r>
      <w:r>
        <w:rPr>
          <w:rFonts w:ascii="Palatino Linotype" w:eastAsia="Palatino Linotype" w:hAnsi="Palatino Linotype" w:cs="Palatino Linotype"/>
          <w:sz w:val="24"/>
          <w:szCs w:val="24"/>
        </w:rPr>
        <w:t>, se crearía la incertidumbre jurídica en relación a si lo entregado es formalmente una versión pública, o un documento ilegible, incompleto o tachado; en otras palabras si no se exponen de manera puntual las razones de la versión pública de la documentaci</w:t>
      </w:r>
      <w:r>
        <w:rPr>
          <w:rFonts w:ascii="Palatino Linotype" w:eastAsia="Palatino Linotype" w:hAnsi="Palatino Linotype" w:cs="Palatino Linotype"/>
          <w:sz w:val="24"/>
          <w:szCs w:val="24"/>
        </w:rPr>
        <w:t>ón entregada se estaría violentando el derecho de acceso a la información de la parte solicitante.</w:t>
      </w:r>
    </w:p>
    <w:p w:rsidR="00B36041" w:rsidRDefault="00243587">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se destaca que la versión pública que elabore el Sujeto Obligado debe cumplir con las formalidades exigidas en la Ley; es decir, resulta necesar</w:t>
      </w:r>
      <w:r>
        <w:rPr>
          <w:rFonts w:ascii="Palatino Linotype" w:eastAsia="Palatino Linotype" w:hAnsi="Palatino Linotype" w:cs="Palatino Linotype"/>
          <w:sz w:val="24"/>
          <w:szCs w:val="24"/>
        </w:rPr>
        <w:t xml:space="preserve">io que el Comité de Transparencia del Sujeto Obligado emita el Acuerdo de Clasificación correspondiente debidamente fundado y motivado, que sustente la versión pública, el cual deberá cumplir cabalmente con las formalidades previstas en el artículo 137 de </w:t>
      </w:r>
      <w:r>
        <w:rPr>
          <w:rFonts w:ascii="Palatino Linotype" w:eastAsia="Palatino Linotype" w:hAnsi="Palatino Linotype" w:cs="Palatino Linotype"/>
          <w:sz w:val="24"/>
          <w:szCs w:val="24"/>
        </w:rPr>
        <w:t xml:space="preserve">la Ley de Transparencia y Acceso a la Información Pública del Estado de México y Municipios, ya expuesto; así como con los numerales aplicables de los </w:t>
      </w:r>
      <w:r>
        <w:rPr>
          <w:rFonts w:ascii="Palatino Linotype" w:eastAsia="Palatino Linotype" w:hAnsi="Palatino Linotype" w:cs="Palatino Linotype"/>
          <w:b/>
          <w:sz w:val="24"/>
          <w:szCs w:val="24"/>
        </w:rPr>
        <w:t>LINEAMIENTOS GENERALES EN MATERIA DE CLASIFICACIÓN Y DESCLASIFICACIÓN DE LA INFORMACIÓN, ASÍ COMO PARA LA</w:t>
      </w:r>
      <w:r>
        <w:rPr>
          <w:rFonts w:ascii="Palatino Linotype" w:eastAsia="Palatino Linotype" w:hAnsi="Palatino Linotype" w:cs="Palatino Linotype"/>
          <w:b/>
          <w:sz w:val="24"/>
          <w:szCs w:val="24"/>
        </w:rPr>
        <w:t xml:space="preserve"> ELABORACIÓN DE VERSIONES PÚBLICAS</w:t>
      </w:r>
      <w:r>
        <w:rPr>
          <w:rFonts w:ascii="Palatino Linotype" w:eastAsia="Palatino Linotype" w:hAnsi="Palatino Linotype" w:cs="Palatino Linotype"/>
          <w:sz w:val="24"/>
          <w:szCs w:val="24"/>
        </w:rPr>
        <w:t>, publicados en el Diario Oficial de la Federación en fecha quince de abril del año dos mil dieciséis, mediante Acuerdo del Consejo Nacional del Sistema Nacional de Transparencia, Acceso a la Información Pública y Protecci</w:t>
      </w:r>
      <w:r>
        <w:rPr>
          <w:rFonts w:ascii="Palatino Linotype" w:eastAsia="Palatino Linotype" w:hAnsi="Palatino Linotype" w:cs="Palatino Linotype"/>
          <w:sz w:val="24"/>
          <w:szCs w:val="24"/>
        </w:rPr>
        <w:t>ón de Datos Personales, que literalmente expresan:</w:t>
      </w:r>
    </w:p>
    <w:p w:rsidR="00B36041" w:rsidRDefault="00B36041">
      <w:pPr>
        <w:ind w:left="709" w:right="709"/>
        <w:jc w:val="both"/>
        <w:rPr>
          <w:rFonts w:ascii="Palatino Linotype" w:eastAsia="Palatino Linotype" w:hAnsi="Palatino Linotype" w:cs="Palatino Linotype"/>
          <w:b/>
          <w:i/>
          <w:sz w:val="24"/>
          <w:szCs w:val="24"/>
        </w:rPr>
      </w:pPr>
    </w:p>
    <w:p w:rsidR="00B36041" w:rsidRDefault="00243587">
      <w:pPr>
        <w:ind w:left="709" w:right="709"/>
        <w:jc w:val="both"/>
        <w:rPr>
          <w:rFonts w:ascii="Palatino Linotype" w:eastAsia="Palatino Linotype" w:hAnsi="Palatino Linotype" w:cs="Palatino Linotype"/>
          <w:b/>
          <w:i/>
        </w:rPr>
      </w:pPr>
      <w:r>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Segundo.-</w:t>
      </w:r>
      <w:r>
        <w:rPr>
          <w:rFonts w:ascii="Palatino Linotype" w:eastAsia="Palatino Linotype" w:hAnsi="Palatino Linotype" w:cs="Palatino Linotype"/>
          <w:i/>
        </w:rPr>
        <w:t xml:space="preserve"> Para efectos de los presentes Lineamientos Generales,</w:t>
      </w:r>
      <w:r>
        <w:rPr>
          <w:rFonts w:ascii="Palatino Linotype" w:eastAsia="Palatino Linotype" w:hAnsi="Palatino Linotype" w:cs="Palatino Linotype"/>
          <w:i/>
        </w:rPr>
        <w:t xml:space="preserve"> se entenderá por:</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XVIII.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u w:val="single"/>
        </w:rPr>
        <w:t>fundando y motivando la</w:t>
      </w:r>
      <w:r>
        <w:rPr>
          <w:rFonts w:ascii="Palatino Linotype" w:eastAsia="Palatino Linotype" w:hAnsi="Palatino Linotype" w:cs="Palatino Linotype"/>
          <w:i/>
        </w:rPr>
        <w:t xml:space="preserve"> reserva o </w:t>
      </w:r>
      <w:r>
        <w:rPr>
          <w:rFonts w:ascii="Palatino Linotype" w:eastAsia="Palatino Linotype" w:hAnsi="Palatino Linotype" w:cs="Palatino Linotype"/>
          <w:b/>
          <w:i/>
          <w:u w:val="single"/>
        </w:rPr>
        <w:t>confidenc</w:t>
      </w:r>
      <w:r>
        <w:rPr>
          <w:rFonts w:ascii="Palatino Linotype" w:eastAsia="Palatino Linotype" w:hAnsi="Palatino Linotype" w:cs="Palatino Linotype"/>
          <w:b/>
          <w:i/>
          <w:u w:val="single"/>
        </w:rPr>
        <w:t>ialidad</w:t>
      </w:r>
      <w:r>
        <w:rPr>
          <w:rFonts w:ascii="Palatino Linotype" w:eastAsia="Palatino Linotype" w:hAnsi="Palatino Linotype" w:cs="Palatino Linotype"/>
          <w:i/>
        </w:rPr>
        <w:t>, a través de la resolución que para tal efecto emita el Comité de Transparencia.</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Cuarto.</w:t>
      </w:r>
      <w:r>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w:t>
      </w:r>
      <w:r>
        <w:rPr>
          <w:rFonts w:ascii="Palatino Linotype" w:eastAsia="Palatino Linotype" w:hAnsi="Palatino Linotype" w:cs="Palatino Linotype"/>
          <w:i/>
        </w:rPr>
        <w:t xml:space="preserve">r el Título Sexto de la Ley General, en relación con las disposiciones contenidas en los </w:t>
      </w:r>
      <w:r>
        <w:rPr>
          <w:rFonts w:ascii="Palatino Linotype" w:eastAsia="Palatino Linotype" w:hAnsi="Palatino Linotype" w:cs="Palatino Linotype"/>
          <w:i/>
        </w:rPr>
        <w:lastRenderedPageBreak/>
        <w:t>presentes lineamientos, así como en aquellas disposiciones legales aplicables a la materia en el ámbito de sus respectivas competencias, en tanto estas últimas no cont</w:t>
      </w:r>
      <w:r>
        <w:rPr>
          <w:rFonts w:ascii="Palatino Linotype" w:eastAsia="Palatino Linotype" w:hAnsi="Palatino Linotype" w:cs="Palatino Linotype"/>
          <w:i/>
        </w:rPr>
        <w:t>ravengan lo dispuesto en la Ley General.</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Quinto.</w:t>
      </w:r>
      <w:r>
        <w:rPr>
          <w:rFonts w:ascii="Palatino Linotype" w:eastAsia="Palatino Linotype" w:hAnsi="Palatino Linotype" w:cs="Palatino Linotype"/>
          <w:i/>
        </w:rPr>
        <w:t xml:space="preserve"> La carga de la prueba para justifica</w:t>
      </w:r>
      <w:r>
        <w:rPr>
          <w:rFonts w:ascii="Palatino Linotype" w:eastAsia="Palatino Linotype" w:hAnsi="Palatino Linotype" w:cs="Palatino Linotype"/>
          <w:i/>
        </w:rPr>
        <w:t xml:space="preserve">r toda negativa de acceso a la información, por actualizarse cualquiera de los supuestos de clasificación previstos en la Ley General, la Ley Federal y leyes estatales, corresponderá a los sujetos obligados, por lo que deberán fundar y motivar debidamente </w:t>
      </w:r>
      <w:r>
        <w:rPr>
          <w:rFonts w:ascii="Palatino Linotype" w:eastAsia="Palatino Linotype" w:hAnsi="Palatino Linotype" w:cs="Palatino Linotype"/>
          <w:i/>
        </w:rPr>
        <w:t>la clasificación de la información ante una solicitud de acceso o al momento en que generen versiones públicas para dar cumplimiento a las obligaciones de transparencia, observando lo dispuesto en la Ley General y las demás disposiciones aplicables en la m</w:t>
      </w:r>
      <w:r>
        <w:rPr>
          <w:rFonts w:ascii="Palatino Linotype" w:eastAsia="Palatino Linotype" w:hAnsi="Palatino Linotype" w:cs="Palatino Linotype"/>
          <w:i/>
        </w:rPr>
        <w:t>ateria.</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Sexto.</w:t>
      </w:r>
      <w:r>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w:t>
      </w:r>
      <w:r>
        <w:rPr>
          <w:rFonts w:ascii="Palatino Linotype" w:eastAsia="Palatino Linotype" w:hAnsi="Palatino Linotype" w:cs="Palatino Linotype"/>
          <w:i/>
        </w:rPr>
        <w:t>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La clasificación de la información se llevará a cabo en el momento en que:</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deberán revisar la clasificación al momento</w:t>
      </w:r>
      <w:r>
        <w:rPr>
          <w:rFonts w:ascii="Palatino Linotype" w:eastAsia="Palatino Linotype" w:hAnsi="Palatino Linotype" w:cs="Palatino Linotype"/>
          <w:i/>
        </w:rPr>
        <w:t xml:space="preserve"> de la recepción de una solicitud de acceso a la información, para verificar si encuadra en una causal de reserva o de confidencialidad.</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Octavo.</w:t>
      </w:r>
      <w:r>
        <w:rPr>
          <w:rFonts w:ascii="Palatino Linotype" w:eastAsia="Palatino Linotype" w:hAnsi="Palatino Linotype" w:cs="Palatino Linotype"/>
          <w:i/>
        </w:rPr>
        <w:t xml:space="preserve"> Para fundar la clasificación de la información se debe señalar el artículo, fracción, inciso, párrafo o numeral</w:t>
      </w:r>
      <w:r>
        <w:rPr>
          <w:rFonts w:ascii="Palatino Linotype" w:eastAsia="Palatino Linotype" w:hAnsi="Palatino Linotype" w:cs="Palatino Linotype"/>
          <w:i/>
        </w:rPr>
        <w:t xml:space="preserve"> de la ley o tratado internacional suscrito por el Estado mexicano que expresamente le otorga el carácter de reservada o confidencial.</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Para motivar la clasificación se deberán señalar las razones o circunstancias especiales que lo llevaron a concluir que e</w:t>
      </w:r>
      <w:r>
        <w:rPr>
          <w:rFonts w:ascii="Palatino Linotype" w:eastAsia="Palatino Linotype" w:hAnsi="Palatino Linotype" w:cs="Palatino Linotype"/>
          <w:i/>
        </w:rPr>
        <w:t>l caso particular se ajusta al supuesto previsto por la norma legal invocada como fundamento.</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En caso de referirse a información reservada, la motivación de la clasificación también deberá comprender las circunstancias que justifican el establecimiento de </w:t>
      </w:r>
      <w:r>
        <w:rPr>
          <w:rFonts w:ascii="Palatino Linotype" w:eastAsia="Palatino Linotype" w:hAnsi="Palatino Linotype" w:cs="Palatino Linotype"/>
          <w:i/>
        </w:rPr>
        <w:t>determinado plazo de reserva.</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w:t>
      </w:r>
      <w:r>
        <w:rPr>
          <w:rFonts w:ascii="Palatino Linotype" w:eastAsia="Palatino Linotype" w:hAnsi="Palatino Linotype" w:cs="Palatino Linotype"/>
          <w:i/>
        </w:rPr>
        <w:t>teria de archivos.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En los casos en que se solicite un documento o expediente que conteng</w:t>
      </w:r>
      <w:r>
        <w:rPr>
          <w:rFonts w:ascii="Palatino Linotype" w:eastAsia="Palatino Linotype" w:hAnsi="Palatino Linotype" w:cs="Palatino Linotype"/>
          <w:i/>
        </w:rPr>
        <w:t>a partes o secciones clasificadas, los titulares de las áreas deberán elaborar una versión pública fundando y motivando la clasificación de las partes o secciones que se testen, siguiendo los procedimientos establecidos en el Capítulo IX de los presentes l</w:t>
      </w:r>
      <w:r>
        <w:rPr>
          <w:rFonts w:ascii="Palatino Linotype" w:eastAsia="Palatino Linotype" w:hAnsi="Palatino Linotype" w:cs="Palatino Linotype"/>
          <w:i/>
        </w:rPr>
        <w:t>ineamientos.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Décimo.</w:t>
      </w:r>
      <w:r>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w:t>
      </w:r>
      <w:r>
        <w:rPr>
          <w:rFonts w:ascii="Palatino Linotype" w:eastAsia="Palatino Linotype" w:hAnsi="Palatino Linotype" w:cs="Palatino Linotype"/>
          <w:i/>
        </w:rPr>
        <w:t>con los conocimientos técnicos y legales que le permitan manejar adecuadamente la información clasificada, en los términos de los Lineamientos para la Organización y Conservación de Archivos.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En ausencia de los titulares de las áreas, la información será c</w:t>
      </w:r>
      <w:r>
        <w:rPr>
          <w:rFonts w:ascii="Palatino Linotype" w:eastAsia="Palatino Linotype" w:hAnsi="Palatino Linotype" w:cs="Palatino Linotype"/>
          <w:i/>
        </w:rPr>
        <w:t>lasificada o desclasificada por la persona que lo supla, en términos de la normativa que rija la actuación del sujeto obligado.</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En el intercambio de información entre sujetos obligados para el ejercicio de sus atribuciones, los documentos q</w:t>
      </w:r>
      <w:r>
        <w:rPr>
          <w:rFonts w:ascii="Palatino Linotype" w:eastAsia="Palatino Linotype" w:hAnsi="Palatino Linotype" w:cs="Palatino Linotype"/>
          <w:i/>
        </w:rPr>
        <w:t xml:space="preserve">ue se encuentren clasificados deberán </w:t>
      </w:r>
      <w:r>
        <w:rPr>
          <w:rFonts w:ascii="Palatino Linotype" w:eastAsia="Palatino Linotype" w:hAnsi="Palatino Linotype" w:cs="Palatino Linotype"/>
          <w:i/>
        </w:rPr>
        <w:lastRenderedPageBreak/>
        <w:t>llevar la leyenda correspondiente de conformidad con lo dispuesto en el Capítulo VIII de los presentes lineamientos.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ind w:left="709" w:right="709"/>
        <w:jc w:val="center"/>
        <w:rPr>
          <w:rFonts w:ascii="Palatino Linotype" w:eastAsia="Palatino Linotype" w:hAnsi="Palatino Linotype" w:cs="Palatino Linotype"/>
          <w:b/>
          <w:i/>
        </w:rPr>
      </w:pPr>
      <w:r>
        <w:rPr>
          <w:rFonts w:ascii="Palatino Linotype" w:eastAsia="Palatino Linotype" w:hAnsi="Palatino Linotype" w:cs="Palatino Linotype"/>
          <w:b/>
          <w:i/>
        </w:rPr>
        <w:t>CAPÍTULO VIII</w:t>
      </w:r>
    </w:p>
    <w:p w:rsidR="00B36041" w:rsidRDefault="00243587">
      <w:pPr>
        <w:ind w:left="709" w:right="709"/>
        <w:jc w:val="center"/>
        <w:rPr>
          <w:rFonts w:ascii="Palatino Linotype" w:eastAsia="Palatino Linotype" w:hAnsi="Palatino Linotype" w:cs="Palatino Linotype"/>
          <w:b/>
          <w:i/>
        </w:rPr>
      </w:pPr>
      <w:r>
        <w:rPr>
          <w:rFonts w:ascii="Palatino Linotype" w:eastAsia="Palatino Linotype" w:hAnsi="Palatino Linotype" w:cs="Palatino Linotype"/>
          <w:b/>
          <w:i/>
        </w:rPr>
        <w:t>DE LA LEYENDA DE CLASIFICACIÓN</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w:t>
      </w:r>
      <w:r>
        <w:rPr>
          <w:rFonts w:ascii="Palatino Linotype" w:eastAsia="Palatino Linotype" w:hAnsi="Palatino Linotype" w:cs="Palatino Linotype"/>
          <w:b/>
          <w:i/>
          <w:u w:val="single"/>
        </w:rPr>
        <w:t>Los titulares de las áreas de los suj</w:t>
      </w:r>
      <w:r>
        <w:rPr>
          <w:rFonts w:ascii="Palatino Linotype" w:eastAsia="Palatino Linotype" w:hAnsi="Palatino Linotype" w:cs="Palatino Linotype"/>
          <w:b/>
          <w:i/>
          <w:u w:val="single"/>
        </w:rPr>
        <w:t>etos obligados podrán utilizar los formatos contenidos en el presente Capítulo como modelo</w:t>
      </w:r>
      <w:r>
        <w:rPr>
          <w:rFonts w:ascii="Palatino Linotype" w:eastAsia="Palatino Linotype" w:hAnsi="Palatino Linotype" w:cs="Palatino Linotype"/>
          <w:i/>
        </w:rPr>
        <w:t xml:space="preserve"> para señalar la clasificación de documentos o expedientes, sin perjuicio de que establezcan los propios.</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tercero. </w:t>
      </w:r>
      <w:r>
        <w:rPr>
          <w:rFonts w:ascii="Palatino Linotype" w:eastAsia="Palatino Linotype" w:hAnsi="Palatino Linotype" w:cs="Palatino Linotype"/>
          <w:b/>
          <w:i/>
          <w:u w:val="single"/>
        </w:rPr>
        <w:t>El formato para señalar la clasif</w:t>
      </w:r>
      <w:r>
        <w:rPr>
          <w:rFonts w:ascii="Palatino Linotype" w:eastAsia="Palatino Linotype" w:hAnsi="Palatino Linotype" w:cs="Palatino Linotype"/>
          <w:b/>
          <w:i/>
          <w:u w:val="single"/>
        </w:rPr>
        <w:t>icación parcial de un documento</w:t>
      </w:r>
      <w:r>
        <w:rPr>
          <w:rFonts w:ascii="Palatino Linotype" w:eastAsia="Palatino Linotype" w:hAnsi="Palatino Linotype" w:cs="Palatino Linotype"/>
          <w:i/>
        </w:rPr>
        <w:t>, es el siguiente:</w:t>
      </w:r>
    </w:p>
    <w:tbl>
      <w:tblPr>
        <w:tblStyle w:val="a2"/>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B36041">
        <w:trPr>
          <w:jc w:val="center"/>
        </w:trPr>
        <w:tc>
          <w:tcPr>
            <w:tcW w:w="1159" w:type="dxa"/>
            <w:tcBorders>
              <w:top w:val="nil"/>
              <w:left w:val="nil"/>
              <w:bottom w:val="single" w:sz="4" w:space="0" w:color="000000"/>
              <w:right w:val="single" w:sz="4" w:space="0" w:color="000000"/>
            </w:tcBorders>
          </w:tcPr>
          <w:p w:rsidR="00B36041" w:rsidRDefault="00B3604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B36041">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B36041" w:rsidRDefault="00243587">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w:t>
            </w:r>
            <w:r>
              <w:rPr>
                <w:rFonts w:ascii="Palatino Linotype" w:eastAsia="Palatino Linotype" w:hAnsi="Palatino Linotype" w:cs="Palatino Linotype"/>
                <w:i/>
              </w:rPr>
              <w:t>ste apartado.</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w:t>
            </w:r>
            <w:r>
              <w:rPr>
                <w:rFonts w:ascii="Palatino Linotype" w:eastAsia="Palatino Linotype" w:hAnsi="Palatino Linotype" w:cs="Palatino Linotype"/>
                <w:i/>
              </w:rPr>
              <w:t>do, se deberá anotar el número de años o meses por los que se amplía la reserva.</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w:t>
            </w:r>
            <w:r>
              <w:rPr>
                <w:rFonts w:ascii="Palatino Linotype" w:eastAsia="Palatino Linotype" w:hAnsi="Palatino Linotype" w:cs="Palatino Linotype"/>
                <w:i/>
              </w:rPr>
              <w:t>chará este apartado.</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B3604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B36041" w:rsidRDefault="00243587">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rsidR="00B36041" w:rsidRDefault="00243587">
      <w:pPr>
        <w:shd w:val="clear" w:color="auto" w:fill="FFFFFF"/>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la entrega de documentos en su versión pública debe acompañarse n</w:t>
      </w:r>
      <w:r>
        <w:rPr>
          <w:rFonts w:ascii="Palatino Linotype" w:eastAsia="Palatino Linotype" w:hAnsi="Palatino Linotype" w:cs="Palatino Linotype"/>
          <w:sz w:val="24"/>
          <w:szCs w:val="24"/>
        </w:rPr>
        <w:t xml:space="preserve">ecesariamente del Acuerdo del Comité de Transparencia que la sustente, en el que </w:t>
      </w:r>
      <w:r>
        <w:rPr>
          <w:rFonts w:ascii="Palatino Linotype" w:eastAsia="Palatino Linotype" w:hAnsi="Palatino Linotype" w:cs="Palatino Linotype"/>
          <w:sz w:val="24"/>
          <w:szCs w:val="24"/>
        </w:rPr>
        <w:lastRenderedPageBreak/>
        <w:t>se expongan los fundamentos y razonamientos que llevaron al Sujeto Obligado a testar, suprimir o eliminar datos de dicho soporte documental, ya que no hacerlo implica que lo e</w:t>
      </w:r>
      <w:r>
        <w:rPr>
          <w:rFonts w:ascii="Palatino Linotype" w:eastAsia="Palatino Linotype" w:hAnsi="Palatino Linotype" w:cs="Palatino Linotype"/>
          <w:sz w:val="24"/>
          <w:szCs w:val="24"/>
        </w:rPr>
        <w:t>ntregado no es legal ni formalmente una versión pública, sino más bien una documentación ilegible, incompleta o tachada; pues no señalar las razones por las que no se aprecian determinados datos -ya sea porque se testan o suprimen- deja al solicitante en e</w:t>
      </w:r>
      <w:r>
        <w:rPr>
          <w:rFonts w:ascii="Palatino Linotype" w:eastAsia="Palatino Linotype" w:hAnsi="Palatino Linotype" w:cs="Palatino Linotype"/>
          <w:sz w:val="24"/>
          <w:szCs w:val="24"/>
        </w:rPr>
        <w:t>stado de incertidumbre, al no conocer o comprender porque no aparecen en la documentación respectiva, es decir, si no se exponen de manera puntual las razones de ello se estaría violentando desde un inicio el derecho de acceso a la información del solicita</w:t>
      </w:r>
      <w:r>
        <w:rPr>
          <w:rFonts w:ascii="Palatino Linotype" w:eastAsia="Palatino Linotype" w:hAnsi="Palatino Linotype" w:cs="Palatino Linotype"/>
          <w:sz w:val="24"/>
          <w:szCs w:val="24"/>
        </w:rPr>
        <w:t xml:space="preserve">nte, por lo que el acuerdo respectivo, deberá hacerse del conocimiento de la </w:t>
      </w:r>
      <w:r>
        <w:rPr>
          <w:rFonts w:ascii="Palatino Linotype" w:eastAsia="Palatino Linotype" w:hAnsi="Palatino Linotype" w:cs="Palatino Linotype"/>
          <w:b/>
          <w:sz w:val="24"/>
          <w:szCs w:val="24"/>
        </w:rPr>
        <w:t>RECURRENTE.</w:t>
      </w: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w:t>
      </w:r>
      <w:r>
        <w:rPr>
          <w:rFonts w:ascii="Palatino Linotype" w:eastAsia="Palatino Linotype" w:hAnsi="Palatino Linotype" w:cs="Palatino Linotype"/>
          <w:sz w:val="24"/>
          <w:szCs w:val="24"/>
        </w:rPr>
        <w:t>s, la Ley de Transparencia y Acceso a la Información Pública del Estado de México y Municipios permite la elaboración de versiones públicas en las que se suprima aquella información relacionada con la vida privada.</w:t>
      </w:r>
    </w:p>
    <w:p w:rsidR="00B36041" w:rsidRDefault="00243587">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w:t>
      </w:r>
      <w:r>
        <w:rPr>
          <w:rFonts w:ascii="Palatino Linotype" w:eastAsia="Palatino Linotype" w:hAnsi="Palatino Linotype" w:cs="Palatino Linotype"/>
          <w:sz w:val="24"/>
          <w:szCs w:val="24"/>
        </w:rPr>
        <w:t xml:space="preserve">s artículos 5 párrafos trigésimo, trigésimo primero y trigésimo segundo de la Constitución Política del Estado Libre y Soberano de México; 2, fracción II; 29, 36 fracciones I y II; 176, 178, 181, 185 y 186 fracción II de la Ley de Transparencia y Acceso a </w:t>
      </w:r>
      <w:r>
        <w:rPr>
          <w:rFonts w:ascii="Palatino Linotype" w:eastAsia="Palatino Linotype" w:hAnsi="Palatino Linotype" w:cs="Palatino Linotype"/>
          <w:sz w:val="24"/>
          <w:szCs w:val="24"/>
        </w:rPr>
        <w:t>la Información Pública del Estado de México y Municipios, este Pleno:</w:t>
      </w:r>
    </w:p>
    <w:p w:rsidR="00B36041" w:rsidRDefault="00243587">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RESUELVE</w:t>
      </w:r>
    </w:p>
    <w:p w:rsidR="00B36041" w:rsidRDefault="00243587">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highlight w:val="white"/>
        </w:rPr>
        <w:lastRenderedPageBreak/>
        <w:t>PRIMERO</w:t>
      </w:r>
      <w:r>
        <w:rPr>
          <w:rFonts w:ascii="Palatino Linotype" w:eastAsia="Palatino Linotype" w:hAnsi="Palatino Linotype" w:cs="Palatino Linotype"/>
          <w:sz w:val="24"/>
          <w:szCs w:val="24"/>
          <w:highlight w:val="white"/>
        </w:rPr>
        <w:t xml:space="preserve">. Se </w:t>
      </w:r>
      <w:r>
        <w:rPr>
          <w:rFonts w:ascii="Palatino Linotype" w:eastAsia="Palatino Linotype" w:hAnsi="Palatino Linotype" w:cs="Palatino Linotype"/>
          <w:b/>
          <w:sz w:val="24"/>
          <w:szCs w:val="24"/>
          <w:highlight w:val="white"/>
        </w:rPr>
        <w:t>SOBRESEE</w:t>
      </w:r>
      <w:r>
        <w:rPr>
          <w:rFonts w:ascii="Palatino Linotype" w:eastAsia="Palatino Linotype" w:hAnsi="Palatino Linotype" w:cs="Palatino Linotype"/>
          <w:sz w:val="24"/>
          <w:szCs w:val="24"/>
          <w:highlight w:val="white"/>
        </w:rPr>
        <w:t xml:space="preserve"> el recurso de revisión número </w:t>
      </w:r>
      <w:r>
        <w:rPr>
          <w:rFonts w:ascii="Palatino Linotype" w:eastAsia="Palatino Linotype" w:hAnsi="Palatino Linotype" w:cs="Palatino Linotype"/>
          <w:b/>
          <w:sz w:val="24"/>
          <w:szCs w:val="24"/>
          <w:highlight w:val="white"/>
        </w:rPr>
        <w:t>00764/INFOEM/IP/RR/2022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porque al modificar la falta de respuesta, el recurso de revisión quedó sin materia en términos del Considerando Cuarto de la presente resolución.</w:t>
      </w:r>
    </w:p>
    <w:p w:rsidR="00B36041" w:rsidRDefault="00B36041">
      <w:pPr>
        <w:spacing w:after="0" w:line="360" w:lineRule="auto"/>
        <w:jc w:val="both"/>
        <w:rPr>
          <w:rFonts w:ascii="Palatino Linotype" w:eastAsia="Palatino Linotype" w:hAnsi="Palatino Linotype" w:cs="Palatino Linotype"/>
          <w:sz w:val="24"/>
          <w:szCs w:val="24"/>
        </w:rPr>
      </w:pPr>
    </w:p>
    <w:p w:rsidR="00B36041" w:rsidRDefault="0024358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sz w:val="24"/>
          <w:szCs w:val="24"/>
        </w:rPr>
        <w:t xml:space="preserve"> Resultan </w:t>
      </w:r>
      <w:r>
        <w:rPr>
          <w:rFonts w:ascii="Palatino Linotype" w:eastAsia="Palatino Linotype" w:hAnsi="Palatino Linotype" w:cs="Palatino Linotype"/>
          <w:b/>
          <w:sz w:val="24"/>
          <w:szCs w:val="24"/>
        </w:rPr>
        <w:t>fundadas</w:t>
      </w:r>
      <w:r>
        <w:rPr>
          <w:rFonts w:ascii="Palatino Linotype" w:eastAsia="Palatino Linotype" w:hAnsi="Palatino Linotype" w:cs="Palatino Linotype"/>
          <w:sz w:val="24"/>
          <w:szCs w:val="24"/>
        </w:rPr>
        <w:t xml:space="preserve"> las razones o motivos de la inconformidad planteadas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sz w:val="24"/>
          <w:szCs w:val="24"/>
        </w:rPr>
        <w:t>en el rec</w:t>
      </w:r>
      <w:r>
        <w:rPr>
          <w:rFonts w:ascii="Palatino Linotype" w:eastAsia="Palatino Linotype" w:hAnsi="Palatino Linotype" w:cs="Palatino Linotype"/>
          <w:sz w:val="24"/>
          <w:szCs w:val="24"/>
        </w:rPr>
        <w:t xml:space="preserve">urso de revisión </w:t>
      </w:r>
      <w:r>
        <w:rPr>
          <w:rFonts w:ascii="Palatino Linotype" w:eastAsia="Palatino Linotype" w:hAnsi="Palatino Linotype" w:cs="Palatino Linotype"/>
          <w:b/>
          <w:color w:val="000000"/>
          <w:sz w:val="24"/>
          <w:szCs w:val="24"/>
        </w:rPr>
        <w:t>00766/INFOEM/IP/RR/2022</w:t>
      </w:r>
      <w:r>
        <w:rPr>
          <w:rFonts w:ascii="Palatino Linotype" w:eastAsia="Palatino Linotype" w:hAnsi="Palatino Linotype" w:cs="Palatino Linotype"/>
          <w:sz w:val="24"/>
          <w:szCs w:val="24"/>
        </w:rPr>
        <w:t xml:space="preserve">, en términos del Considerando </w:t>
      </w: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esta Resolución.</w:t>
      </w:r>
    </w:p>
    <w:p w:rsidR="00B36041" w:rsidRDefault="00B36041">
      <w:pPr>
        <w:spacing w:after="0" w:line="360" w:lineRule="auto"/>
        <w:jc w:val="both"/>
        <w:rPr>
          <w:rFonts w:ascii="Palatino Linotype" w:eastAsia="Palatino Linotype" w:hAnsi="Palatino Linotype" w:cs="Palatino Linotype"/>
          <w:b/>
          <w:sz w:val="24"/>
          <w:szCs w:val="24"/>
          <w:highlight w:val="white"/>
        </w:rPr>
      </w:pPr>
    </w:p>
    <w:p w:rsidR="00B36041" w:rsidRDefault="00243587">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que en términos del Considerando Cuarto y Quinto de esta resolución haga entrega, vía SAIMEX, en versión pública de ser procedente, los  documentos donde conste: </w:t>
      </w:r>
    </w:p>
    <w:p w:rsidR="00B36041" w:rsidRDefault="0024358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la Directora General de Educación y Cultura, al </w:t>
      </w:r>
      <w:r>
        <w:rPr>
          <w:rFonts w:ascii="Palatino Linotype" w:eastAsia="Palatino Linotype" w:hAnsi="Palatino Linotype" w:cs="Palatino Linotype"/>
          <w:sz w:val="24"/>
          <w:szCs w:val="24"/>
        </w:rPr>
        <w:t>t</w:t>
      </w:r>
      <w:r>
        <w:rPr>
          <w:rFonts w:ascii="Palatino Linotype" w:eastAsia="Palatino Linotype" w:hAnsi="Palatino Linotype" w:cs="Palatino Linotype"/>
          <w:color w:val="000000"/>
          <w:sz w:val="24"/>
          <w:szCs w:val="24"/>
        </w:rPr>
        <w:t xml:space="preserve">rece de enero de dos mil veintidós lo siguiente: </w:t>
      </w:r>
    </w:p>
    <w:p w:rsidR="00B36041" w:rsidRDefault="00243587">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Constancia de no inhabilitación;</w:t>
      </w:r>
    </w:p>
    <w:p w:rsidR="00B36041" w:rsidRDefault="00243587">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Certificado de antecedentes no penales;</w:t>
      </w:r>
    </w:p>
    <w:p w:rsidR="00B36041" w:rsidRDefault="00243587">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Grado de estudios; </w:t>
      </w:r>
    </w:p>
    <w:p w:rsidR="00B36041" w:rsidRDefault="00243587">
      <w:pPr>
        <w:numPr>
          <w:ilvl w:val="0"/>
          <w:numId w:val="6"/>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Certificación de competencia laboral; y, </w:t>
      </w:r>
    </w:p>
    <w:p w:rsidR="00B36041" w:rsidRDefault="00243587">
      <w:pPr>
        <w:numPr>
          <w:ilvl w:val="0"/>
          <w:numId w:val="6"/>
        </w:numPr>
        <w:pBdr>
          <w:top w:val="nil"/>
          <w:left w:val="nil"/>
          <w:bottom w:val="nil"/>
          <w:right w:val="nil"/>
          <w:between w:val="nil"/>
        </w:pBdr>
        <w:spacing w:before="240" w:after="12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Nombramiento, FUM, contrato o documento análogo que acredite la relación laboral </w:t>
      </w:r>
    </w:p>
    <w:p w:rsidR="00B36041" w:rsidRDefault="00243587">
      <w:pPr>
        <w:pBdr>
          <w:top w:val="nil"/>
          <w:left w:val="nil"/>
          <w:bottom w:val="nil"/>
          <w:right w:val="nil"/>
          <w:between w:val="nil"/>
        </w:pBdr>
        <w:spacing w:before="240" w:after="120" w:line="360" w:lineRule="auto"/>
        <w:ind w:left="720"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0"/>
          <w:szCs w:val="20"/>
        </w:rPr>
        <w:lastRenderedPageBreak/>
        <w:t>Para la entrega en versión pública, deberá emitir el Acuerdo del Comité de Transparencia en términos de la Ley de Transparencia y Acceso a la Información Pública del Estado d</w:t>
      </w:r>
      <w:r>
        <w:rPr>
          <w:rFonts w:ascii="Palatino Linotype" w:eastAsia="Palatino Linotype" w:hAnsi="Palatino Linotype" w:cs="Palatino Linotype"/>
          <w:i/>
          <w:color w:val="000000"/>
          <w:sz w:val="20"/>
          <w:szCs w:val="20"/>
        </w:rPr>
        <w:t>e México y Municipios, en el que funde y motive las razones sobre los datos que se supriman o eliminen, así como de los documentos remitidos en respuesta, y se ponga a disposición de la parte Recurrente.</w:t>
      </w:r>
    </w:p>
    <w:p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el caso, de que no se haya generado la informac</w:t>
      </w:r>
      <w:r>
        <w:rPr>
          <w:rFonts w:ascii="Palatino Linotype" w:eastAsia="Palatino Linotype" w:hAnsi="Palatino Linotype" w:cs="Palatino Linotype"/>
          <w:sz w:val="24"/>
          <w:szCs w:val="24"/>
        </w:rPr>
        <w:t xml:space="preserve">ión que se ordena en el inciso “D”, bastará que así se lo haga saber a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de manera fundada y motivada. </w:t>
      </w:r>
    </w:p>
    <w:p w:rsidR="00B36041" w:rsidRDefault="00243587">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Acuerdo del Comité de Transparencia en términos del artículo 49 fracción VIII, 122, 143 fracciones I y II y 149 de la Ley de Transparenci</w:t>
      </w:r>
      <w:r>
        <w:rPr>
          <w:rFonts w:ascii="Palatino Linotype" w:eastAsia="Palatino Linotype" w:hAnsi="Palatino Linotype" w:cs="Palatino Linotype"/>
          <w:sz w:val="24"/>
          <w:szCs w:val="24"/>
        </w:rPr>
        <w:t>a y Acceso a la Información Pública del Estado de México y Municipios, en el que funde y motive las razones por virtud de las cuales se justifique la clasificación como totalmente confidenciales las documentales con las cuales acredite la fracción I del ar</w:t>
      </w:r>
      <w:r>
        <w:rPr>
          <w:rFonts w:ascii="Palatino Linotype" w:eastAsia="Palatino Linotype" w:hAnsi="Palatino Linotype" w:cs="Palatino Linotype"/>
          <w:sz w:val="24"/>
          <w:szCs w:val="24"/>
        </w:rPr>
        <w:t xml:space="preserve">tículo 32 de la Ley Orgánica Municipal del Estado de México, indicada en el considerando cuarto de la presente resolución. </w:t>
      </w:r>
    </w:p>
    <w:p w:rsidR="00B36041" w:rsidRDefault="00B36041">
      <w:pPr>
        <w:spacing w:after="0" w:line="360" w:lineRule="auto"/>
        <w:ind w:right="49"/>
        <w:jc w:val="both"/>
        <w:rPr>
          <w:rFonts w:ascii="Palatino Linotype" w:eastAsia="Palatino Linotype" w:hAnsi="Palatino Linotype" w:cs="Palatino Linotype"/>
          <w:sz w:val="24"/>
          <w:szCs w:val="24"/>
        </w:rPr>
      </w:pPr>
    </w:p>
    <w:p w:rsidR="00B36041" w:rsidRDefault="0024358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Sujeto Obligado, para que confo</w:t>
      </w:r>
      <w:r>
        <w:rPr>
          <w:rFonts w:ascii="Palatino Linotype" w:eastAsia="Palatino Linotype" w:hAnsi="Palatino Linotype" w:cs="Palatino Linotype"/>
          <w:sz w:val="24"/>
          <w:szCs w:val="24"/>
        </w:rPr>
        <w:t>rme al artículo 186 último párrafo y 189 párrafo segundo de la Ley de Transparencia y Acceso a la Información Pública del Estado de México y Municipios, dé cumplimiento a lo ordenado dentro del plazo de diez días hábiles, debiendo informar a este Instituto</w:t>
      </w:r>
      <w:r>
        <w:rPr>
          <w:rFonts w:ascii="Palatino Linotype" w:eastAsia="Palatino Linotype" w:hAnsi="Palatino Linotype" w:cs="Palatino Linotype"/>
          <w:sz w:val="24"/>
          <w:szCs w:val="24"/>
        </w:rPr>
        <w:t xml:space="preserve"> en un plazo de tres días hábiles siguientes sobre el cumplimiento dado a la presente resolución.</w:t>
      </w:r>
    </w:p>
    <w:p w:rsidR="00B36041" w:rsidRDefault="00B36041">
      <w:pPr>
        <w:spacing w:after="0" w:line="360" w:lineRule="auto"/>
        <w:ind w:right="49"/>
        <w:jc w:val="both"/>
        <w:rPr>
          <w:rFonts w:ascii="Palatino Linotype" w:eastAsia="Palatino Linotype" w:hAnsi="Palatino Linotype" w:cs="Palatino Linotype"/>
          <w:sz w:val="24"/>
          <w:szCs w:val="24"/>
        </w:rPr>
      </w:pPr>
    </w:p>
    <w:p w:rsidR="00B36041" w:rsidRDefault="0024358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establecido en el artículo 196 de la Ley de Transpa</w:t>
      </w:r>
      <w:r>
        <w:rPr>
          <w:rFonts w:ascii="Palatino Linotype" w:eastAsia="Palatino Linotype" w:hAnsi="Palatino Linotype" w:cs="Palatino Linotype"/>
          <w:sz w:val="24"/>
          <w:szCs w:val="24"/>
        </w:rPr>
        <w:t>rencia y Acceso a la Información Pública del Estado de México y Municipios, podrá impugnarla vía Juicio de Amparo en los términos de las leyes aplicables.</w:t>
      </w:r>
    </w:p>
    <w:p w:rsidR="00B36041" w:rsidRDefault="00B36041">
      <w:pPr>
        <w:spacing w:after="0" w:line="360" w:lineRule="auto"/>
        <w:ind w:right="49"/>
        <w:jc w:val="both"/>
        <w:rPr>
          <w:rFonts w:ascii="Palatino Linotype" w:eastAsia="Palatino Linotype" w:hAnsi="Palatino Linotype" w:cs="Palatino Linotype"/>
          <w:sz w:val="24"/>
          <w:szCs w:val="24"/>
        </w:rPr>
      </w:pPr>
    </w:p>
    <w:p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w:t>
      </w:r>
      <w:r>
        <w:rPr>
          <w:rFonts w:ascii="Palatino Linotype" w:eastAsia="Palatino Linotype" w:hAnsi="Palatino Linotype" w:cs="Palatino Linotype"/>
          <w:sz w:val="24"/>
          <w:szCs w:val="24"/>
        </w:rPr>
        <w:t xml:space="preserve">Notifíquese,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que las respuestas que dé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w:t>
      </w:r>
      <w:r>
        <w:rPr>
          <w:rFonts w:ascii="Palatino Linotype" w:eastAsia="Palatino Linotype" w:hAnsi="Palatino Linotype" w:cs="Palatino Linotype"/>
          <w:sz w:val="24"/>
          <w:szCs w:val="24"/>
        </w:rPr>
        <w:t>y Municipios.</w:t>
      </w:r>
    </w:p>
    <w:p w:rsidR="00B36041" w:rsidRDefault="00243587">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SEXTO. GÍRESE </w:t>
      </w:r>
      <w:r>
        <w:rPr>
          <w:rFonts w:ascii="Palatino Linotype" w:eastAsia="Palatino Linotype" w:hAnsi="Palatino Linotype" w:cs="Palatino Linotype"/>
          <w:sz w:val="24"/>
          <w:szCs w:val="24"/>
        </w:rPr>
        <w:t>oficio al Contralor Interno y Órgano de Control y Vigilancia de este Instituto para hacer de su conocimiento la presente resolución, a fin de que en ejercicio de sus atribuciones y de conformidad con el artículo 190, de la Ley d</w:t>
      </w:r>
      <w:r>
        <w:rPr>
          <w:rFonts w:ascii="Palatino Linotype" w:eastAsia="Palatino Linotype" w:hAnsi="Palatino Linotype" w:cs="Palatino Linotype"/>
          <w:sz w:val="24"/>
          <w:szCs w:val="24"/>
        </w:rPr>
        <w:t xml:space="preserve">e Transparencia y Acceso a la Información Pública del Estado de México y Municipios, determine lo conducente al Recurso de Revisión </w:t>
      </w:r>
      <w:r>
        <w:rPr>
          <w:rFonts w:ascii="Palatino Linotype" w:eastAsia="Palatino Linotype" w:hAnsi="Palatino Linotype" w:cs="Palatino Linotype"/>
          <w:b/>
          <w:color w:val="000000"/>
          <w:sz w:val="24"/>
          <w:szCs w:val="24"/>
        </w:rPr>
        <w:t>00766/INFOEM/IP/RR/2022</w:t>
      </w:r>
      <w:r>
        <w:rPr>
          <w:rFonts w:ascii="Palatino Linotype" w:eastAsia="Palatino Linotype" w:hAnsi="Palatino Linotype" w:cs="Palatino Linotype"/>
          <w:sz w:val="24"/>
          <w:szCs w:val="24"/>
        </w:rPr>
        <w:t>, en términos de lo señalado en el considerando</w:t>
      </w:r>
      <w:r>
        <w:rPr>
          <w:rFonts w:ascii="Palatino Linotype" w:eastAsia="Palatino Linotype" w:hAnsi="Palatino Linotype" w:cs="Palatino Linotype"/>
          <w:b/>
          <w:sz w:val="24"/>
          <w:szCs w:val="24"/>
        </w:rPr>
        <w:t xml:space="preserve"> Cuarto </w:t>
      </w:r>
      <w:r>
        <w:rPr>
          <w:rFonts w:ascii="Palatino Linotype" w:eastAsia="Palatino Linotype" w:hAnsi="Palatino Linotype" w:cs="Palatino Linotype"/>
          <w:sz w:val="24"/>
          <w:szCs w:val="24"/>
        </w:rPr>
        <w:t>de la presente resolución.</w:t>
      </w:r>
      <w:r>
        <w:rPr>
          <w:rFonts w:ascii="Palatino Linotype" w:eastAsia="Palatino Linotype" w:hAnsi="Palatino Linotype" w:cs="Palatino Linotype"/>
          <w:b/>
          <w:sz w:val="24"/>
          <w:szCs w:val="24"/>
        </w:rPr>
        <w:t xml:space="preserve"> </w:t>
      </w:r>
    </w:p>
    <w:p w:rsidR="00B36041" w:rsidRDefault="00243587">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SÉPTIMO. </w:t>
      </w:r>
      <w:r>
        <w:rPr>
          <w:rFonts w:ascii="Palatino Linotype" w:eastAsia="Palatino Linotype" w:hAnsi="Palatino Linotype" w:cs="Palatino Linotype"/>
          <w:sz w:val="24"/>
          <w:szCs w:val="24"/>
        </w:rPr>
        <w:t xml:space="preserve">Con fundamento en el artículo 198 de la Ley de la Ley de Transparencia y Acceso a la Información Pública del Estado de México y Municipios, se apercibe al Sujeto Obligado que, en caso de negarse a cumplir la presente resolución o hacerlo </w:t>
      </w:r>
      <w:r>
        <w:rPr>
          <w:rFonts w:ascii="Palatino Linotype" w:eastAsia="Palatino Linotype" w:hAnsi="Palatino Linotype" w:cs="Palatino Linotype"/>
          <w:sz w:val="24"/>
          <w:szCs w:val="24"/>
        </w:rPr>
        <w:lastRenderedPageBreak/>
        <w:t xml:space="preserve">de manera parcial </w:t>
      </w:r>
      <w:r>
        <w:rPr>
          <w:rFonts w:ascii="Palatino Linotype" w:eastAsia="Palatino Linotype" w:hAnsi="Palatino Linotype" w:cs="Palatino Linotype"/>
          <w:sz w:val="24"/>
          <w:szCs w:val="24"/>
        </w:rPr>
        <w:t>se actuará de conformidad con lo previsto en los artículos 213, 214, 216 y 217 de dicha Ley.</w:t>
      </w:r>
      <w:r>
        <w:rPr>
          <w:rFonts w:ascii="Palatino Linotype" w:eastAsia="Palatino Linotype" w:hAnsi="Palatino Linotype" w:cs="Palatino Linotype"/>
          <w:b/>
          <w:sz w:val="24"/>
          <w:szCs w:val="24"/>
        </w:rPr>
        <w:t xml:space="preserve">  </w:t>
      </w:r>
    </w:p>
    <w:p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w:t>
      </w:r>
      <w:r>
        <w:rPr>
          <w:rFonts w:ascii="Palatino Linotype" w:eastAsia="Palatino Linotype" w:hAnsi="Palatino Linotype" w:cs="Palatino Linotype"/>
          <w:sz w:val="24"/>
          <w:szCs w:val="24"/>
        </w:rPr>
        <w:t xml:space="preserve"> MÉXICO Y MUNICIPIOS, CONFORMADO POR LOS COMISIONADOS JOSÉ MARTÍNEZ VILCHIS, MARÍA DEL ROSARIO MEJÍA AYALA, SHARON CRISTINA MORALES MARTÍNEZ, LUIS GUSTAVO PARRA NORIEGA Y GUADALUPE RAMÍREZ PEÑA; EN LA DÉCIMA CUARTA SESIÓN ORDINARIA CELEBRADA EL VEINTE DE A</w:t>
      </w:r>
      <w:r>
        <w:rPr>
          <w:rFonts w:ascii="Palatino Linotype" w:eastAsia="Palatino Linotype" w:hAnsi="Palatino Linotype" w:cs="Palatino Linotype"/>
          <w:sz w:val="24"/>
          <w:szCs w:val="24"/>
        </w:rPr>
        <w:t>BRIL DEL DOS MIL VEINTIDÓS, ANTE EL SECRETARIO TÉCNICO DEL PLENO ALEXIS TAPIA RAMÍREZ.</w:t>
      </w:r>
    </w:p>
    <w:p w:rsidR="00B36041" w:rsidRDefault="00B36041">
      <w:pPr>
        <w:spacing w:line="360" w:lineRule="auto"/>
        <w:jc w:val="both"/>
        <w:rPr>
          <w:rFonts w:ascii="Palatino Linotype" w:eastAsia="Palatino Linotype" w:hAnsi="Palatino Linotype" w:cs="Palatino Linotype"/>
          <w:sz w:val="24"/>
          <w:szCs w:val="24"/>
        </w:rPr>
      </w:pPr>
    </w:p>
    <w:sectPr w:rsidR="00B36041">
      <w:headerReference w:type="default" r:id="rId38"/>
      <w:footerReference w:type="default" r:id="rId39"/>
      <w:headerReference w:type="first" r:id="rId40"/>
      <w:footerReference w:type="first" r:id="rId4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587" w:rsidRDefault="00243587">
      <w:pPr>
        <w:spacing w:after="0" w:line="240" w:lineRule="auto"/>
      </w:pPr>
      <w:r>
        <w:separator/>
      </w:r>
    </w:p>
  </w:endnote>
  <w:endnote w:type="continuationSeparator" w:id="0">
    <w:p w:rsidR="00243587" w:rsidRDefault="0024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41" w:rsidRDefault="0024358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281B35">
      <w:rPr>
        <w:rFonts w:ascii="Arial" w:eastAsia="Arial" w:hAnsi="Arial" w:cs="Arial"/>
        <w:b/>
        <w:color w:val="000000"/>
        <w:sz w:val="20"/>
        <w:szCs w:val="20"/>
      </w:rPr>
      <w:fldChar w:fldCharType="separate"/>
    </w:r>
    <w:r w:rsidR="00281B35">
      <w:rPr>
        <w:rFonts w:ascii="Arial" w:eastAsia="Arial" w:hAnsi="Arial" w:cs="Arial"/>
        <w:b/>
        <w:noProof/>
        <w:color w:val="000000"/>
        <w:sz w:val="20"/>
        <w:szCs w:val="20"/>
      </w:rPr>
      <w:t>15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281B35">
      <w:rPr>
        <w:rFonts w:ascii="Arial" w:eastAsia="Arial" w:hAnsi="Arial" w:cs="Arial"/>
        <w:b/>
        <w:color w:val="000000"/>
        <w:sz w:val="20"/>
        <w:szCs w:val="20"/>
      </w:rPr>
      <w:fldChar w:fldCharType="separate"/>
    </w:r>
    <w:r w:rsidR="00281B35">
      <w:rPr>
        <w:rFonts w:ascii="Arial" w:eastAsia="Arial" w:hAnsi="Arial" w:cs="Arial"/>
        <w:b/>
        <w:noProof/>
        <w:color w:val="000000"/>
        <w:sz w:val="20"/>
        <w:szCs w:val="20"/>
      </w:rPr>
      <w:t>93</w:t>
    </w:r>
    <w:r>
      <w:rPr>
        <w:rFonts w:ascii="Arial" w:eastAsia="Arial" w:hAnsi="Arial" w:cs="Arial"/>
        <w:b/>
        <w:color w:val="000000"/>
        <w:sz w:val="20"/>
        <w:szCs w:val="20"/>
      </w:rPr>
      <w:fldChar w:fldCharType="end"/>
    </w:r>
  </w:p>
  <w:p w:rsidR="00B36041" w:rsidRDefault="00B36041">
    <w:pPr>
      <w:pBdr>
        <w:top w:val="nil"/>
        <w:left w:val="nil"/>
        <w:bottom w:val="nil"/>
        <w:right w:val="nil"/>
        <w:between w:val="nil"/>
      </w:pBdr>
      <w:tabs>
        <w:tab w:val="center" w:pos="4419"/>
        <w:tab w:val="right" w:pos="8838"/>
      </w:tabs>
      <w:spacing w:after="0" w:line="240" w:lineRule="auto"/>
      <w:rPr>
        <w:color w:val="000000"/>
      </w:rPr>
    </w:pPr>
  </w:p>
  <w:p w:rsidR="00B36041" w:rsidRDefault="00B3604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41" w:rsidRDefault="0024358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281B35">
      <w:rPr>
        <w:rFonts w:ascii="Arial" w:eastAsia="Arial" w:hAnsi="Arial" w:cs="Arial"/>
        <w:b/>
        <w:color w:val="000000"/>
        <w:sz w:val="20"/>
        <w:szCs w:val="20"/>
      </w:rPr>
      <w:fldChar w:fldCharType="separate"/>
    </w:r>
    <w:r w:rsidR="00281B3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281B35">
      <w:rPr>
        <w:rFonts w:ascii="Arial" w:eastAsia="Arial" w:hAnsi="Arial" w:cs="Arial"/>
        <w:b/>
        <w:color w:val="000000"/>
        <w:sz w:val="20"/>
        <w:szCs w:val="20"/>
      </w:rPr>
      <w:fldChar w:fldCharType="separate"/>
    </w:r>
    <w:r w:rsidR="00281B35">
      <w:rPr>
        <w:rFonts w:ascii="Arial" w:eastAsia="Arial" w:hAnsi="Arial" w:cs="Arial"/>
        <w:b/>
        <w:noProof/>
        <w:color w:val="000000"/>
        <w:sz w:val="20"/>
        <w:szCs w:val="20"/>
      </w:rPr>
      <w:t>93</w:t>
    </w:r>
    <w:r>
      <w:rPr>
        <w:rFonts w:ascii="Arial" w:eastAsia="Arial" w:hAnsi="Arial" w:cs="Arial"/>
        <w:b/>
        <w:color w:val="000000"/>
        <w:sz w:val="20"/>
        <w:szCs w:val="20"/>
      </w:rPr>
      <w:fldChar w:fldCharType="end"/>
    </w:r>
  </w:p>
  <w:p w:rsidR="00B36041" w:rsidRDefault="00B36041">
    <w:pPr>
      <w:pBdr>
        <w:top w:val="nil"/>
        <w:left w:val="nil"/>
        <w:bottom w:val="nil"/>
        <w:right w:val="nil"/>
        <w:between w:val="nil"/>
      </w:pBdr>
      <w:tabs>
        <w:tab w:val="center" w:pos="4419"/>
        <w:tab w:val="right" w:pos="8838"/>
      </w:tabs>
      <w:spacing w:after="0" w:line="240" w:lineRule="auto"/>
      <w:rPr>
        <w:color w:val="000000"/>
      </w:rPr>
    </w:pPr>
  </w:p>
  <w:p w:rsidR="00B36041" w:rsidRDefault="00B3604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587" w:rsidRDefault="00243587">
      <w:pPr>
        <w:spacing w:after="0" w:line="240" w:lineRule="auto"/>
      </w:pPr>
      <w:r>
        <w:separator/>
      </w:r>
    </w:p>
  </w:footnote>
  <w:footnote w:type="continuationSeparator" w:id="0">
    <w:p w:rsidR="00243587" w:rsidRDefault="00243587">
      <w:pPr>
        <w:spacing w:after="0" w:line="240" w:lineRule="auto"/>
      </w:pPr>
      <w:r>
        <w:continuationSeparator/>
      </w:r>
    </w:p>
  </w:footnote>
  <w:footnote w:id="1">
    <w:p w:rsidR="00B36041" w:rsidRDefault="00243587">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sz w:val="16"/>
          <w:szCs w:val="16"/>
        </w:rPr>
        <w:t>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rsidR="00B36041" w:rsidRDefault="00243587">
      <w:pPr>
        <w:spacing w:after="0" w:line="240" w:lineRule="auto"/>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sz w:val="16"/>
          <w:szCs w:val="16"/>
        </w:rPr>
        <w:t>til para que el público comprenda las actividades que llevan a cabo los sujetos obligados…”</w:t>
      </w:r>
    </w:p>
  </w:footnote>
  <w:footnote w:id="3">
    <w:p w:rsidR="00B36041" w:rsidRDefault="00243587">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rFonts w:ascii="Palatino Linotype" w:eastAsia="Palatino Linotype" w:hAnsi="Palatino Linotype" w:cs="Palatino Linotype"/>
          <w:color w:val="000000"/>
          <w:sz w:val="16"/>
          <w:szCs w:val="16"/>
        </w:rPr>
        <w:t>“Artículo 166. La obligación de acceso a la información pública se tendrá por cumplida cuando el solicitante tenga a su disposición la información requerida, o cuando realice la consulta de la misma en el lugar en el que ésta se localice…”(Sic)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41" w:rsidRDefault="00B36041">
    <w:pPr>
      <w:widowControl w:val="0"/>
      <w:pBdr>
        <w:top w:val="nil"/>
        <w:left w:val="nil"/>
        <w:bottom w:val="nil"/>
        <w:right w:val="nil"/>
        <w:between w:val="nil"/>
      </w:pBdr>
      <w:spacing w:after="0" w:line="276" w:lineRule="auto"/>
      <w:rPr>
        <w:color w:val="000000"/>
      </w:rPr>
    </w:pPr>
  </w:p>
  <w:tbl>
    <w:tblPr>
      <w:tblStyle w:val="a4"/>
      <w:tblW w:w="10302" w:type="dxa"/>
      <w:tblInd w:w="-1281" w:type="dxa"/>
      <w:tblLayout w:type="fixed"/>
      <w:tblLook w:val="0400" w:firstRow="0" w:lastRow="0" w:firstColumn="0" w:lastColumn="0" w:noHBand="0" w:noVBand="1"/>
    </w:tblPr>
    <w:tblGrid>
      <w:gridCol w:w="5660"/>
      <w:gridCol w:w="4642"/>
    </w:tblGrid>
    <w:tr w:rsidR="00B36041">
      <w:trPr>
        <w:trHeight w:val="260"/>
      </w:trPr>
      <w:tc>
        <w:tcPr>
          <w:tcW w:w="5660" w:type="dxa"/>
        </w:tcPr>
        <w:p w:rsidR="00B36041" w:rsidRDefault="002435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B36041" w:rsidRDefault="0024358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00764/INFOEM/IP/RR/2022 y 00766/INFOEM/IP/RR/2022</w:t>
          </w:r>
        </w:p>
      </w:tc>
    </w:tr>
    <w:tr w:rsidR="00B36041">
      <w:trPr>
        <w:trHeight w:val="224"/>
      </w:trPr>
      <w:tc>
        <w:tcPr>
          <w:tcW w:w="5660" w:type="dxa"/>
        </w:tcPr>
        <w:p w:rsidR="00B36041" w:rsidRDefault="002435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B36041" w:rsidRDefault="00B36041">
          <w:pPr>
            <w:spacing w:after="120"/>
            <w:ind w:left="-486" w:right="214" w:firstLine="567"/>
            <w:jc w:val="right"/>
            <w:rPr>
              <w:rFonts w:ascii="Palatino Linotype" w:eastAsia="Palatino Linotype" w:hAnsi="Palatino Linotype" w:cs="Palatino Linotype"/>
              <w:sz w:val="24"/>
              <w:szCs w:val="24"/>
            </w:rPr>
          </w:pPr>
        </w:p>
      </w:tc>
    </w:tr>
    <w:tr w:rsidR="00B36041">
      <w:trPr>
        <w:trHeight w:val="278"/>
      </w:trPr>
      <w:tc>
        <w:tcPr>
          <w:tcW w:w="5660" w:type="dxa"/>
        </w:tcPr>
        <w:p w:rsidR="00B36041" w:rsidRDefault="0024358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B36041" w:rsidRDefault="0024358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Naucalpan de Juárez</w:t>
          </w:r>
        </w:p>
      </w:tc>
    </w:tr>
    <w:tr w:rsidR="00B36041">
      <w:trPr>
        <w:trHeight w:val="393"/>
      </w:trPr>
      <w:tc>
        <w:tcPr>
          <w:tcW w:w="5660" w:type="dxa"/>
        </w:tcPr>
        <w:p w:rsidR="00B36041" w:rsidRDefault="0024358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B36041" w:rsidRDefault="0024358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B36041" w:rsidRDefault="0024358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-1089024</wp:posOffset>
          </wp:positionH>
          <wp:positionV relativeFrom="paragraph">
            <wp:posOffset>-1550034</wp:posOffset>
          </wp:positionV>
          <wp:extent cx="7867650" cy="10133330"/>
          <wp:effectExtent l="0" t="0" r="0" b="0"/>
          <wp:wrapNone/>
          <wp:docPr id="1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41" w:rsidRDefault="00B360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6"/>
        <w:szCs w:val="16"/>
      </w:rPr>
    </w:pPr>
  </w:p>
  <w:tbl>
    <w:tblPr>
      <w:tblStyle w:val="a3"/>
      <w:tblW w:w="10302" w:type="dxa"/>
      <w:tblInd w:w="-1281" w:type="dxa"/>
      <w:tblLayout w:type="fixed"/>
      <w:tblLook w:val="0400" w:firstRow="0" w:lastRow="0" w:firstColumn="0" w:lastColumn="0" w:noHBand="0" w:noVBand="1"/>
    </w:tblPr>
    <w:tblGrid>
      <w:gridCol w:w="5660"/>
      <w:gridCol w:w="4642"/>
    </w:tblGrid>
    <w:tr w:rsidR="00B36041">
      <w:trPr>
        <w:trHeight w:val="260"/>
      </w:trPr>
      <w:tc>
        <w:tcPr>
          <w:tcW w:w="5660" w:type="dxa"/>
        </w:tcPr>
        <w:p w:rsidR="00B36041" w:rsidRDefault="002435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B36041" w:rsidRDefault="0024358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00764/INFOEM/IP/RR/2022 y 00766/INFOEM/IP/RR/2022</w:t>
          </w:r>
        </w:p>
      </w:tc>
    </w:tr>
    <w:tr w:rsidR="00B36041">
      <w:trPr>
        <w:trHeight w:val="224"/>
      </w:trPr>
      <w:tc>
        <w:tcPr>
          <w:tcW w:w="5660" w:type="dxa"/>
        </w:tcPr>
        <w:p w:rsidR="00B36041" w:rsidRDefault="002435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B36041" w:rsidRDefault="00281B35">
          <w:pPr>
            <w:spacing w:after="120"/>
            <w:ind w:left="-486" w:right="214" w:firstLine="567"/>
            <w:jc w:val="right"/>
            <w:rPr>
              <w:rFonts w:ascii="Palatino Linotype" w:eastAsia="Palatino Linotype" w:hAnsi="Palatino Linotype" w:cs="Palatino Linotype"/>
              <w:sz w:val="24"/>
              <w:szCs w:val="24"/>
            </w:rPr>
          </w:pPr>
          <w:r w:rsidRPr="00281B35">
            <w:rPr>
              <w:rFonts w:ascii="Palatino Linotype" w:eastAsia="Palatino Linotype" w:hAnsi="Palatino Linotype" w:cs="Palatino Linotype"/>
              <w:color w:val="000000"/>
              <w:sz w:val="24"/>
              <w:szCs w:val="24"/>
            </w:rPr>
            <w:t>XXXX XXXXX X</w:t>
          </w:r>
        </w:p>
      </w:tc>
    </w:tr>
    <w:tr w:rsidR="00B36041">
      <w:trPr>
        <w:trHeight w:val="278"/>
      </w:trPr>
      <w:tc>
        <w:tcPr>
          <w:tcW w:w="5660" w:type="dxa"/>
        </w:tcPr>
        <w:p w:rsidR="00B36041" w:rsidRDefault="0024358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B36041" w:rsidRDefault="0024358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Naucalpan de Juárez</w:t>
          </w:r>
        </w:p>
      </w:tc>
    </w:tr>
    <w:tr w:rsidR="00B36041">
      <w:trPr>
        <w:trHeight w:val="393"/>
      </w:trPr>
      <w:tc>
        <w:tcPr>
          <w:tcW w:w="5660" w:type="dxa"/>
        </w:tcPr>
        <w:p w:rsidR="00B36041" w:rsidRDefault="0024358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B36041" w:rsidRDefault="0024358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B36041" w:rsidRDefault="0024358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-1165224</wp:posOffset>
          </wp:positionH>
          <wp:positionV relativeFrom="paragraph">
            <wp:posOffset>-1569084</wp:posOffset>
          </wp:positionV>
          <wp:extent cx="7867650" cy="10133330"/>
          <wp:effectExtent l="0" t="0" r="0" b="0"/>
          <wp:wrapNone/>
          <wp:docPr id="15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F3E82"/>
    <w:multiLevelType w:val="multilevel"/>
    <w:tmpl w:val="71368B9E"/>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242795"/>
    <w:multiLevelType w:val="multilevel"/>
    <w:tmpl w:val="9698A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660D94"/>
    <w:multiLevelType w:val="multilevel"/>
    <w:tmpl w:val="1492985A"/>
    <w:lvl w:ilvl="0">
      <w:start w:val="1"/>
      <w:numFmt w:val="decimal"/>
      <w:lvlText w:val="%1."/>
      <w:lvlJc w:val="left"/>
      <w:pPr>
        <w:ind w:left="644" w:hanging="357"/>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1A0236D"/>
    <w:multiLevelType w:val="multilevel"/>
    <w:tmpl w:val="88466ED2"/>
    <w:lvl w:ilvl="0">
      <w:start w:val="1"/>
      <w:numFmt w:val="decimal"/>
      <w:lvlText w:val="%1."/>
      <w:lvlJc w:val="left"/>
      <w:pPr>
        <w:ind w:left="644" w:hanging="357"/>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42C7835"/>
    <w:multiLevelType w:val="multilevel"/>
    <w:tmpl w:val="C6F419BE"/>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5" w15:restartNumberingAfterBreak="0">
    <w:nsid w:val="3C8E5EA5"/>
    <w:multiLevelType w:val="multilevel"/>
    <w:tmpl w:val="4F4C9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A06349"/>
    <w:multiLevelType w:val="multilevel"/>
    <w:tmpl w:val="4458458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5"/>
  </w:num>
  <w:num w:numId="2">
    <w:abstractNumId w:val="4"/>
  </w:num>
  <w:num w:numId="3">
    <w:abstractNumId w:val="1"/>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041"/>
    <w:rsid w:val="00243587"/>
    <w:rsid w:val="00281B35"/>
    <w:rsid w:val="00B360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EDCD0D-4608-425A-836A-AA3873D9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EB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52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2FBF"/>
  </w:style>
  <w:style w:type="paragraph" w:styleId="Piedepgina">
    <w:name w:val="footer"/>
    <w:basedOn w:val="Normal"/>
    <w:link w:val="PiedepginaCar"/>
    <w:uiPriority w:val="99"/>
    <w:unhideWhenUsed/>
    <w:rsid w:val="00152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2FB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52FB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52FB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C92D0B"/>
    <w:rPr>
      <w:color w:val="0000FF"/>
      <w:u w:val="single"/>
    </w:rPr>
  </w:style>
  <w:style w:type="paragraph" w:styleId="Sinespaciado">
    <w:name w:val="No Spacing"/>
    <w:aliases w:val="Francesa,INAI"/>
    <w:link w:val="SinespaciadoCar"/>
    <w:uiPriority w:val="1"/>
    <w:qFormat/>
    <w:rsid w:val="00B519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5195A"/>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B51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B5195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nhideWhenUsed/>
    <w:rsid w:val="001950F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1"/>
    <w:unhideWhenUsed/>
    <w:rsid w:val="001950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uiPriority w:val="99"/>
    <w:semiHidden/>
    <w:rsid w:val="001950F6"/>
    <w:rPr>
      <w:sz w:val="20"/>
      <w:szCs w:val="20"/>
    </w:rPr>
  </w:style>
  <w:style w:type="character" w:customStyle="1" w:styleId="TextonotapieCar1">
    <w:name w:val="Texto nota pie Car1"/>
    <w:aliases w:val="Footnote Text Char Char Char Char Char Car,Footnote Text Char Char Char Char Car,Footnote reference Car,FA Fu Car,Footnote Text Char Char Char Car,Footnote Text Cha Car,FA Fußnotentext Car,FA Fu?notentext Car,FA Fuﬂnotentext Car"/>
    <w:link w:val="Textonotapie"/>
    <w:rsid w:val="001950F6"/>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unhideWhenUsed/>
    <w:rsid w:val="001950F6"/>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1950F6"/>
    <w:rPr>
      <w:rFonts w:ascii="Times New Roman" w:eastAsia="Times New Roman" w:hAnsi="Times New Roman" w:cs="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9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9.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docplayer.es/5455342-Nuevas-tecnologias-biometricas-instituto-nacional-de-ciencias-penales-procuraduria-general-de-la-republica-version-1-0.html" TargetMode="External"/><Relationship Id="rId37" Type="http://schemas.openxmlformats.org/officeDocument/2006/relationships/image" Target="media/image10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21.png"/><Relationship Id="rId30" Type="http://schemas.openxmlformats.org/officeDocument/2006/relationships/image" Target="media/image180.png"/><Relationship Id="rId35" Type="http://schemas.openxmlformats.org/officeDocument/2006/relationships/image" Target="media/image2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itVxBGpOpUW+Kgesp1QRQmDI0g==">AMUW2mXH6RV4Obg+lHVh6rhcGC7ZKpfGkHeKofaAZWJPPvtd/aECkZAzAto1YFY+SMuIP5T8RlA43JeRs7RMn1I0wv2JXtyeBM4VejVzXfprrnorTojbe/O92wskcTFSsN8FP584kAsb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17139</Words>
  <Characters>94267</Characters>
  <Application>Microsoft Office Word</Application>
  <DocSecurity>0</DocSecurity>
  <Lines>785</Lines>
  <Paragraphs>222</Paragraphs>
  <ScaleCrop>false</ScaleCrop>
  <Company/>
  <LinksUpToDate>false</LinksUpToDate>
  <CharactersWithSpaces>111184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2022-04-07T23:41:00Z</dcterms:created>
  <dcterms:modified xsi:type="dcterms:W3CDTF">2022-05-12T17:05:00Z</dcterms:modified>
</cp:coreProperties>
</file>