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64D2A" w14:textId="3B3592C5"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w:t>
      </w:r>
      <w:bookmarkStart w:id="0" w:name="_GoBack"/>
      <w:bookmarkEnd w:id="0"/>
      <w:r w:rsidRPr="0010165E">
        <w:rPr>
          <w:rFonts w:ascii="Palatino Linotype" w:eastAsia="Times New Roman" w:hAnsi="Palatino Linotype" w:cs="Arial"/>
          <w:color w:val="000000"/>
          <w:sz w:val="24"/>
          <w:szCs w:val="24"/>
          <w:lang w:eastAsia="es-MX"/>
        </w:rPr>
        <w:t xml:space="preserve"> y Municipios, con domicilio en Metepec, Estado de México, a</w:t>
      </w:r>
      <w:r>
        <w:rPr>
          <w:rFonts w:ascii="Palatino Linotype" w:eastAsia="Times New Roman" w:hAnsi="Palatino Linotype" w:cs="Arial"/>
          <w:color w:val="000000"/>
          <w:sz w:val="24"/>
          <w:szCs w:val="24"/>
          <w:lang w:eastAsia="es-MX"/>
        </w:rPr>
        <w:t xml:space="preserve"> </w:t>
      </w:r>
      <w:r w:rsidR="00AA2D12">
        <w:rPr>
          <w:rFonts w:ascii="Palatino Linotype" w:eastAsia="Times New Roman" w:hAnsi="Palatino Linotype" w:cs="Arial"/>
          <w:color w:val="000000"/>
          <w:sz w:val="24"/>
          <w:szCs w:val="24"/>
          <w:lang w:eastAsia="es-MX"/>
        </w:rPr>
        <w:t>catorce</w:t>
      </w:r>
      <w:r w:rsidR="00F06B1D">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de</w:t>
      </w:r>
      <w:r w:rsidR="005C4F1D">
        <w:rPr>
          <w:rFonts w:ascii="Palatino Linotype" w:eastAsia="Times New Roman" w:hAnsi="Palatino Linotype" w:cs="Arial"/>
          <w:color w:val="000000"/>
          <w:sz w:val="24"/>
          <w:szCs w:val="24"/>
          <w:lang w:eastAsia="es-MX"/>
        </w:rPr>
        <w:t xml:space="preserve"> </w:t>
      </w:r>
      <w:r w:rsidR="00F06B1D">
        <w:rPr>
          <w:rFonts w:ascii="Palatino Linotype" w:eastAsia="Times New Roman" w:hAnsi="Palatino Linotype" w:cs="Arial"/>
          <w:color w:val="000000"/>
          <w:sz w:val="24"/>
          <w:szCs w:val="24"/>
          <w:lang w:eastAsia="es-MX"/>
        </w:rPr>
        <w:t xml:space="preserve">septiembre </w:t>
      </w:r>
      <w:r>
        <w:rPr>
          <w:rFonts w:ascii="Palatino Linotype" w:eastAsia="Times New Roman" w:hAnsi="Palatino Linotype" w:cs="Arial"/>
          <w:color w:val="000000"/>
          <w:sz w:val="24"/>
          <w:szCs w:val="24"/>
          <w:lang w:eastAsia="es-MX"/>
        </w:rPr>
        <w:t>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B2FB0F" w14:textId="4B64CA9C" w:rsidR="00E107EB" w:rsidRPr="0010165E" w:rsidRDefault="00E107EB" w:rsidP="00E107EB">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Pr>
          <w:rFonts w:ascii="Palatino Linotype" w:hAnsi="Palatino Linotype" w:cs="Arial"/>
          <w:sz w:val="24"/>
          <w:szCs w:val="24"/>
        </w:rPr>
        <w:t xml:space="preserve"> </w:t>
      </w:r>
      <w:r w:rsidR="00AA2D12">
        <w:rPr>
          <w:rFonts w:ascii="Palatino Linotype" w:hAnsi="Palatino Linotype" w:cs="Arial"/>
          <w:sz w:val="24"/>
          <w:szCs w:val="24"/>
        </w:rPr>
        <w:t>el</w:t>
      </w:r>
      <w:r w:rsidR="00AA2D12" w:rsidRPr="0010165E">
        <w:rPr>
          <w:rFonts w:ascii="Palatino Linotype" w:hAnsi="Palatino Linotype" w:cs="Arial"/>
          <w:sz w:val="24"/>
          <w:szCs w:val="24"/>
        </w:rPr>
        <w:t xml:space="preserve"> expediente electrónico formado</w:t>
      </w:r>
      <w:r w:rsidRPr="0010165E">
        <w:rPr>
          <w:rFonts w:ascii="Palatino Linotype" w:hAnsi="Palatino Linotype" w:cs="Arial"/>
          <w:sz w:val="24"/>
          <w:szCs w:val="24"/>
        </w:rPr>
        <w:t xml:space="preserve"> con motivo de</w:t>
      </w:r>
      <w:r>
        <w:rPr>
          <w:rFonts w:ascii="Palatino Linotype" w:hAnsi="Palatino Linotype" w:cs="Arial"/>
          <w:sz w:val="24"/>
          <w:szCs w:val="24"/>
        </w:rPr>
        <w:t xml:space="preserve">l </w:t>
      </w:r>
      <w:r w:rsidRPr="0010165E">
        <w:rPr>
          <w:rFonts w:ascii="Palatino Linotype" w:hAnsi="Palatino Linotype" w:cs="Arial"/>
          <w:sz w:val="24"/>
          <w:szCs w:val="24"/>
        </w:rPr>
        <w:t xml:space="preserve">recurso de revisión con número </w:t>
      </w:r>
      <w:bookmarkStart w:id="1" w:name="_Hlk107776858"/>
      <w:r w:rsidR="0013539D">
        <w:rPr>
          <w:rFonts w:ascii="Palatino Linotype" w:hAnsi="Palatino Linotype" w:cs="Arial"/>
          <w:b/>
          <w:bCs/>
          <w:sz w:val="24"/>
          <w:szCs w:val="24"/>
          <w:lang w:eastAsia="es-MX"/>
        </w:rPr>
        <w:t>1</w:t>
      </w:r>
      <w:r w:rsidR="00F06B1D">
        <w:rPr>
          <w:rFonts w:ascii="Palatino Linotype" w:hAnsi="Palatino Linotype" w:cs="Arial"/>
          <w:b/>
          <w:bCs/>
          <w:sz w:val="24"/>
          <w:szCs w:val="24"/>
          <w:lang w:eastAsia="es-MX"/>
        </w:rPr>
        <w:t>3</w:t>
      </w:r>
      <w:r w:rsidR="00AA2D12">
        <w:rPr>
          <w:rFonts w:ascii="Palatino Linotype" w:hAnsi="Palatino Linotype" w:cs="Arial"/>
          <w:b/>
          <w:bCs/>
          <w:sz w:val="24"/>
          <w:szCs w:val="24"/>
          <w:lang w:eastAsia="es-MX"/>
        </w:rPr>
        <w:t>230</w:t>
      </w:r>
      <w:r>
        <w:rPr>
          <w:rFonts w:ascii="Palatino Linotype" w:hAnsi="Palatino Linotype" w:cs="Arial"/>
          <w:b/>
          <w:bCs/>
          <w:sz w:val="24"/>
          <w:szCs w:val="24"/>
          <w:lang w:eastAsia="es-MX"/>
        </w:rPr>
        <w:t>/INFOEM/IP/RR/2022</w:t>
      </w:r>
      <w:bookmarkEnd w:id="1"/>
      <w:r>
        <w:rPr>
          <w:rFonts w:ascii="Palatino Linotype" w:hAnsi="Palatino Linotype" w:cs="Arial"/>
          <w:sz w:val="24"/>
          <w:szCs w:val="24"/>
        </w:rPr>
        <w:t>,</w:t>
      </w:r>
      <w:r w:rsidRPr="00667998">
        <w:rPr>
          <w:rFonts w:ascii="Palatino Linotype" w:hAnsi="Palatino Linotype" w:cs="Arial"/>
          <w:sz w:val="24"/>
          <w:szCs w:val="24"/>
        </w:rPr>
        <w:t xml:space="preserve"> interpuesto </w:t>
      </w:r>
      <w:r w:rsidR="00326237" w:rsidRPr="00667998">
        <w:rPr>
          <w:rFonts w:ascii="Palatino Linotype" w:hAnsi="Palatino Linotype" w:cs="Arial"/>
          <w:sz w:val="24"/>
          <w:szCs w:val="24"/>
        </w:rPr>
        <w:t>por</w:t>
      </w:r>
      <w:r w:rsidR="00326237">
        <w:rPr>
          <w:rFonts w:ascii="Palatino Linotype" w:hAnsi="Palatino Linotype" w:cs="Arial"/>
          <w:sz w:val="24"/>
          <w:szCs w:val="24"/>
        </w:rPr>
        <w:t xml:space="preserve"> la</w:t>
      </w:r>
      <w:r w:rsidR="00AA2D12">
        <w:rPr>
          <w:rFonts w:ascii="Palatino Linotype" w:hAnsi="Palatino Linotype" w:cs="Arial"/>
          <w:b/>
          <w:bCs/>
          <w:sz w:val="24"/>
          <w:szCs w:val="24"/>
        </w:rPr>
        <w:t xml:space="preserve"> </w:t>
      </w:r>
      <w:r w:rsidR="002E4307">
        <w:rPr>
          <w:rFonts w:ascii="Palatino Linotype" w:hAnsi="Palatino Linotype" w:cs="Arial"/>
          <w:b/>
          <w:bCs/>
          <w:sz w:val="24"/>
          <w:szCs w:val="24"/>
        </w:rPr>
        <w:t>XXXXXXXXXX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39077B">
        <w:rPr>
          <w:rFonts w:ascii="Palatino Linotype" w:hAnsi="Palatino Linotype" w:cs="Arial"/>
          <w:b/>
          <w:bCs/>
          <w:sz w:val="24"/>
          <w:szCs w:val="24"/>
        </w:rPr>
        <w:t xml:space="preserve">La </w:t>
      </w:r>
      <w:r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w:t>
      </w:r>
      <w:r w:rsidR="00326237" w:rsidRPr="0010165E">
        <w:rPr>
          <w:rFonts w:ascii="Palatino Linotype" w:hAnsi="Palatino Linotype" w:cs="Arial"/>
          <w:sz w:val="24"/>
          <w:szCs w:val="24"/>
        </w:rPr>
        <w:t>de</w:t>
      </w:r>
      <w:r w:rsidR="00326237">
        <w:rPr>
          <w:rFonts w:ascii="Palatino Linotype" w:hAnsi="Palatino Linotype" w:cs="Arial"/>
          <w:sz w:val="24"/>
          <w:szCs w:val="24"/>
        </w:rPr>
        <w:t xml:space="preserve">l </w:t>
      </w:r>
      <w:r w:rsidR="00326237" w:rsidRPr="0010165E">
        <w:rPr>
          <w:rFonts w:ascii="Palatino Linotype" w:hAnsi="Palatino Linotype" w:cs="Arial"/>
          <w:sz w:val="24"/>
          <w:szCs w:val="24"/>
        </w:rPr>
        <w:t>Ayuntamiento</w:t>
      </w:r>
      <w:r w:rsidR="00AA2D12">
        <w:rPr>
          <w:rFonts w:ascii="Palatino Linotype" w:hAnsi="Palatino Linotype" w:cs="Arial"/>
          <w:b/>
          <w:szCs w:val="20"/>
        </w:rPr>
        <w:t xml:space="preserve"> de </w:t>
      </w:r>
      <w:r w:rsidR="0039077B">
        <w:rPr>
          <w:rFonts w:ascii="Palatino Linotype" w:hAnsi="Palatino Linotype" w:cs="Arial"/>
          <w:b/>
          <w:szCs w:val="20"/>
        </w:rPr>
        <w:t>Ocoyoacac</w:t>
      </w:r>
      <w:r w:rsidR="0039077B">
        <w:rPr>
          <w:rFonts w:ascii="Palatino Linotype" w:hAnsi="Palatino Linotype" w:cs="Arial"/>
          <w:b/>
          <w:sz w:val="24"/>
          <w:szCs w:val="24"/>
        </w:rPr>
        <w:t>,</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w:t>
      </w:r>
      <w:r w:rsidR="00BD6386">
        <w:rPr>
          <w:rFonts w:ascii="Palatino Linotype" w:hAnsi="Palatino Linotype" w:cs="Arial"/>
          <w:b/>
          <w:sz w:val="24"/>
          <w:szCs w:val="24"/>
        </w:rPr>
        <w:t>El</w:t>
      </w:r>
      <w:r w:rsidRPr="0010165E">
        <w:rPr>
          <w:rFonts w:ascii="Palatino Linotype" w:hAnsi="Palatino Linotype" w:cs="Arial"/>
          <w:b/>
          <w:sz w:val="24"/>
          <w:szCs w:val="24"/>
        </w:rPr>
        <w:t xml:space="preserve"> Sujeto Obligado, </w:t>
      </w:r>
      <w:r w:rsidRPr="0010165E">
        <w:rPr>
          <w:rFonts w:ascii="Palatino Linotype" w:hAnsi="Palatino Linotype" w:cs="Arial"/>
          <w:sz w:val="24"/>
          <w:szCs w:val="24"/>
        </w:rPr>
        <w:t>se procede a dictar la presente resolución.</w:t>
      </w:r>
    </w:p>
    <w:p w14:paraId="585669DB" w14:textId="77777777" w:rsidR="00E107EB" w:rsidRPr="0010165E" w:rsidRDefault="00E107EB" w:rsidP="00E107EB">
      <w:pPr>
        <w:tabs>
          <w:tab w:val="left" w:pos="6960"/>
        </w:tabs>
        <w:spacing w:after="0" w:line="360" w:lineRule="auto"/>
        <w:jc w:val="both"/>
        <w:rPr>
          <w:rFonts w:ascii="Palatino Linotype" w:hAnsi="Palatino Linotype" w:cs="Arial"/>
          <w:sz w:val="24"/>
          <w:szCs w:val="24"/>
        </w:rPr>
      </w:pPr>
    </w:p>
    <w:p w14:paraId="0627D69F" w14:textId="77777777" w:rsidR="00E107EB" w:rsidRPr="0010165E" w:rsidRDefault="00E107EB" w:rsidP="00E107EB">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1613FFE" w14:textId="77777777" w:rsidR="00E107EB" w:rsidRPr="0010165E" w:rsidRDefault="00E107EB" w:rsidP="00E107EB">
      <w:pPr>
        <w:spacing w:after="0" w:line="360" w:lineRule="auto"/>
        <w:rPr>
          <w:rFonts w:ascii="Palatino Linotype" w:hAnsi="Palatino Linotype" w:cs="Arial"/>
          <w:b/>
          <w:sz w:val="24"/>
          <w:szCs w:val="24"/>
        </w:rPr>
      </w:pPr>
    </w:p>
    <w:p w14:paraId="4AE0CFE2" w14:textId="34BD5ED5" w:rsidR="00E107EB" w:rsidRDefault="00E107EB" w:rsidP="00E107EB">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AA2D12">
        <w:rPr>
          <w:rFonts w:ascii="Palatino Linotype" w:hAnsi="Palatino Linotype" w:cs="Arial"/>
          <w:sz w:val="24"/>
          <w:szCs w:val="24"/>
        </w:rPr>
        <w:t>cinco de julio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w:t>
      </w:r>
      <w:r w:rsidR="00AA2D12">
        <w:rPr>
          <w:rFonts w:ascii="Palatino Linotype" w:hAnsi="Palatino Linotype" w:cs="Arial"/>
          <w:sz w:val="24"/>
          <w:szCs w:val="24"/>
        </w:rPr>
        <w:t xml:space="preserve">la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Pr>
          <w:rFonts w:ascii="Palatino Linotype" w:hAnsi="Palatino Linotype" w:cs="Arial"/>
          <w:sz w:val="24"/>
          <w:szCs w:val="24"/>
        </w:rPr>
        <w:t>d</w:t>
      </w:r>
      <w:r w:rsidRPr="0010165E">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w:t>
      </w:r>
      <w:r w:rsidRPr="0010165E">
        <w:rPr>
          <w:rFonts w:ascii="Palatino Linotype" w:hAnsi="Palatino Linotype" w:cs="Arial"/>
          <w:sz w:val="24"/>
          <w:szCs w:val="24"/>
        </w:rPr>
        <w:t xml:space="preserve">registrada bajo </w:t>
      </w:r>
      <w:r>
        <w:rPr>
          <w:rFonts w:ascii="Palatino Linotype" w:hAnsi="Palatino Linotype" w:cs="Arial"/>
          <w:sz w:val="24"/>
          <w:szCs w:val="24"/>
        </w:rPr>
        <w:t>el</w:t>
      </w:r>
      <w:r w:rsidRPr="0010165E">
        <w:rPr>
          <w:rFonts w:ascii="Palatino Linotype" w:hAnsi="Palatino Linotype" w:cs="Arial"/>
          <w:sz w:val="24"/>
          <w:szCs w:val="24"/>
        </w:rPr>
        <w:t xml:space="preserve"> número</w:t>
      </w:r>
      <w:r w:rsidR="00AA2D12">
        <w:rPr>
          <w:rFonts w:ascii="Palatino Linotype" w:hAnsi="Palatino Linotype" w:cs="Arial"/>
          <w:sz w:val="24"/>
          <w:szCs w:val="24"/>
        </w:rPr>
        <w:t xml:space="preserve"> </w:t>
      </w:r>
      <w:r w:rsidR="00AA2D12" w:rsidRPr="00AA2D12">
        <w:rPr>
          <w:rFonts w:ascii="Palatino Linotype" w:hAnsi="Palatino Linotype"/>
          <w:b/>
          <w:bCs/>
          <w:sz w:val="24"/>
          <w:szCs w:val="24"/>
        </w:rPr>
        <w:t>00178/OCOYOAC/IP/2022</w:t>
      </w:r>
      <w:r w:rsidRPr="00AA2D12">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4124CF6D" w14:textId="77777777" w:rsidR="00467497" w:rsidRDefault="00467497" w:rsidP="00E107EB">
      <w:pPr>
        <w:spacing w:after="0" w:line="360" w:lineRule="auto"/>
        <w:jc w:val="both"/>
        <w:rPr>
          <w:rFonts w:ascii="Palatino Linotype" w:hAnsi="Palatino Linotype" w:cs="Arial"/>
          <w:sz w:val="24"/>
          <w:szCs w:val="24"/>
        </w:rPr>
      </w:pPr>
    </w:p>
    <w:p w14:paraId="51BE7CAB" w14:textId="52A7BCB1" w:rsidR="00E107EB" w:rsidRPr="00AA2D12" w:rsidRDefault="00AA2D12" w:rsidP="00AA2D12">
      <w:pPr>
        <w:tabs>
          <w:tab w:val="left" w:pos="5647"/>
        </w:tabs>
        <w:spacing w:after="0" w:line="360" w:lineRule="auto"/>
        <w:ind w:left="567" w:right="851"/>
        <w:jc w:val="both"/>
        <w:rPr>
          <w:rFonts w:ascii="Palatino Linotype" w:eastAsia="Times New Roman" w:hAnsi="Palatino Linotype" w:cs="Times New Roman"/>
          <w:b/>
          <w:bCs/>
          <w:i/>
          <w:iCs/>
          <w:sz w:val="24"/>
          <w:szCs w:val="24"/>
          <w:lang w:eastAsia="es-ES"/>
        </w:rPr>
      </w:pPr>
      <w:r w:rsidRPr="00AA2D12">
        <w:rPr>
          <w:rFonts w:ascii="Palatino Linotype" w:hAnsi="Palatino Linotype"/>
          <w:i/>
          <w:color w:val="000000"/>
          <w:sz w:val="24"/>
          <w:szCs w:val="24"/>
        </w:rPr>
        <w:t>“Gacetas municipales publicadas desde el 1 de enero 2022 al 30 de junio del 2022, en formato digital”</w:t>
      </w:r>
      <w:r w:rsidRPr="00AA2D12">
        <w:rPr>
          <w:rFonts w:ascii="Palatino Linotype" w:hAnsi="Palatino Linotype"/>
          <w:b/>
          <w:bCs/>
          <w:i/>
          <w:iCs/>
          <w:sz w:val="24"/>
          <w:szCs w:val="24"/>
        </w:rPr>
        <w:t xml:space="preserve"> </w:t>
      </w:r>
      <w:r w:rsidR="0013539D" w:rsidRPr="00AA2D12">
        <w:rPr>
          <w:rFonts w:ascii="Palatino Linotype" w:hAnsi="Palatino Linotype"/>
          <w:b/>
          <w:bCs/>
          <w:i/>
          <w:iCs/>
          <w:sz w:val="24"/>
          <w:szCs w:val="24"/>
        </w:rPr>
        <w:t>(Sic)</w:t>
      </w:r>
    </w:p>
    <w:p w14:paraId="5F2E085A" w14:textId="77777777" w:rsidR="001D316A" w:rsidRPr="00C64147" w:rsidRDefault="001D316A" w:rsidP="00DB52AF">
      <w:pPr>
        <w:spacing w:after="0" w:line="360" w:lineRule="auto"/>
        <w:jc w:val="both"/>
        <w:rPr>
          <w:rFonts w:ascii="Palatino Linotype" w:hAnsi="Palatino Linotype" w:cs="Arial"/>
          <w:b/>
          <w:sz w:val="28"/>
          <w:szCs w:val="24"/>
        </w:rPr>
      </w:pPr>
    </w:p>
    <w:p w14:paraId="173C8476" w14:textId="35056D4F" w:rsidR="001D316A" w:rsidRPr="00C64147" w:rsidRDefault="001D316A" w:rsidP="001D316A">
      <w:pPr>
        <w:spacing w:after="0" w:line="360" w:lineRule="auto"/>
        <w:jc w:val="both"/>
        <w:rPr>
          <w:rFonts w:ascii="Palatino Linotype" w:hAnsi="Palatino Linotype"/>
          <w:iCs/>
          <w:sz w:val="24"/>
          <w:szCs w:val="24"/>
        </w:rPr>
      </w:pPr>
      <w:r w:rsidRPr="00C64147">
        <w:rPr>
          <w:rFonts w:ascii="Palatino Linotype" w:eastAsia="Times New Roman" w:hAnsi="Palatino Linotype" w:cs="Times New Roman"/>
          <w:b/>
          <w:sz w:val="24"/>
          <w:szCs w:val="24"/>
          <w:lang w:val="es-ES_tradnl" w:eastAsia="es-ES"/>
        </w:rPr>
        <w:t>Modalidad de entrega</w:t>
      </w:r>
      <w:r w:rsidR="0013539D" w:rsidRPr="00C64147">
        <w:rPr>
          <w:rFonts w:ascii="Palatino Linotype" w:eastAsia="Times New Roman" w:hAnsi="Palatino Linotype" w:cs="Times New Roman"/>
          <w:b/>
          <w:sz w:val="24"/>
          <w:szCs w:val="24"/>
          <w:lang w:val="es-ES_tradnl" w:eastAsia="es-ES"/>
        </w:rPr>
        <w:t>:</w:t>
      </w:r>
      <w:r w:rsidR="0013539D" w:rsidRPr="00C64147">
        <w:rPr>
          <w:rFonts w:ascii="Palatino Linotype" w:eastAsia="Times New Roman" w:hAnsi="Palatino Linotype" w:cs="Times New Roman"/>
          <w:sz w:val="24"/>
          <w:szCs w:val="24"/>
          <w:lang w:val="es-ES_tradnl" w:eastAsia="es-ES"/>
        </w:rPr>
        <w:t xml:space="preserve"> </w:t>
      </w:r>
      <w:r w:rsidR="0013539D" w:rsidRPr="00C64147">
        <w:rPr>
          <w:rFonts w:ascii="Palatino Linotype" w:hAnsi="Palatino Linotype"/>
        </w:rPr>
        <w:t>A</w:t>
      </w:r>
      <w:r w:rsidR="00C64147">
        <w:rPr>
          <w:rFonts w:ascii="Palatino Linotype" w:hAnsi="Palatino Linotype"/>
          <w:iCs/>
          <w:sz w:val="24"/>
          <w:szCs w:val="24"/>
        </w:rPr>
        <w:t xml:space="preserve"> través del SAIMEX</w:t>
      </w:r>
    </w:p>
    <w:p w14:paraId="0B9CBE48" w14:textId="77777777" w:rsidR="001D316A" w:rsidRPr="001D316A" w:rsidRDefault="001D316A" w:rsidP="00DB52AF">
      <w:pPr>
        <w:spacing w:after="0" w:line="360" w:lineRule="auto"/>
        <w:jc w:val="both"/>
        <w:rPr>
          <w:rFonts w:ascii="Palatino Linotype" w:hAnsi="Palatino Linotype" w:cs="Arial"/>
          <w:b/>
          <w:sz w:val="28"/>
          <w:szCs w:val="24"/>
          <w:lang w:val="es-ES_tradnl"/>
        </w:rPr>
      </w:pPr>
    </w:p>
    <w:p w14:paraId="48F9212C" w14:textId="3FE19DC0" w:rsidR="00DB52AF" w:rsidRPr="0016590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lastRenderedPageBreak/>
        <w:t>SEGUNDO</w:t>
      </w:r>
      <w:r w:rsidRPr="0010165E">
        <w:rPr>
          <w:rFonts w:ascii="Palatino Linotype" w:hAnsi="Palatino Linotype" w:cs="Arial"/>
          <w:b/>
          <w:sz w:val="24"/>
          <w:szCs w:val="24"/>
        </w:rPr>
        <w:t xml:space="preserve">. </w:t>
      </w:r>
      <w:r w:rsidR="00CF2D0F" w:rsidRPr="00672B13">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w:t>
      </w:r>
      <w:r w:rsidR="00B97671">
        <w:rPr>
          <w:rFonts w:ascii="Palatino Linotype" w:hAnsi="Palatino Linotype" w:cs="Arial"/>
          <w:sz w:val="24"/>
          <w:szCs w:val="24"/>
        </w:rPr>
        <w:t>el</w:t>
      </w:r>
      <w:r w:rsidR="00467497">
        <w:rPr>
          <w:rFonts w:ascii="Palatino Linotype" w:hAnsi="Palatino Linotype" w:cs="Arial"/>
          <w:sz w:val="24"/>
          <w:szCs w:val="24"/>
        </w:rPr>
        <w:t xml:space="preserve">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71F930FB"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C4F1D">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B97671">
        <w:rPr>
          <w:rFonts w:ascii="Palatino Linotype" w:hAnsi="Palatino Linotype" w:cs="Arial"/>
          <w:sz w:val="24"/>
          <w:szCs w:val="24"/>
        </w:rPr>
        <w:t>el</w:t>
      </w:r>
      <w:r w:rsidR="00A47FC4">
        <w:rPr>
          <w:rFonts w:ascii="Palatino Linotype" w:hAnsi="Palatino Linotype" w:cs="Arial"/>
          <w:sz w:val="24"/>
          <w:szCs w:val="24"/>
        </w:rPr>
        <w:t xml:space="preserve">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AA2D12">
        <w:rPr>
          <w:rFonts w:ascii="Palatino Linotype" w:hAnsi="Palatino Linotype" w:cs="Arial"/>
          <w:sz w:val="24"/>
          <w:szCs w:val="24"/>
        </w:rPr>
        <w:t xml:space="preserve">diez </w:t>
      </w:r>
      <w:r w:rsidR="00A47FC4">
        <w:rPr>
          <w:rFonts w:ascii="Palatino Linotype" w:hAnsi="Palatino Linotype" w:cs="Arial"/>
          <w:sz w:val="24"/>
          <w:szCs w:val="24"/>
        </w:rPr>
        <w:t>de agosto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Pr="0010165E">
        <w:rPr>
          <w:rFonts w:ascii="Palatino Linotype" w:hAnsi="Palatino Linotype" w:cs="Arial"/>
          <w:sz w:val="24"/>
          <w:szCs w:val="24"/>
        </w:rPr>
        <w:t>de revisión, que fu</w:t>
      </w:r>
      <w:r w:rsidR="003D29DA">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2" w:name="_Hlk107778012"/>
      <w:r w:rsidR="0013539D">
        <w:rPr>
          <w:rFonts w:ascii="Palatino Linotype" w:hAnsi="Palatino Linotype" w:cs="Arial"/>
          <w:b/>
          <w:bCs/>
          <w:sz w:val="24"/>
          <w:szCs w:val="24"/>
          <w:lang w:eastAsia="es-MX"/>
        </w:rPr>
        <w:t>1</w:t>
      </w:r>
      <w:r w:rsidR="00A47FC4">
        <w:rPr>
          <w:rFonts w:ascii="Palatino Linotype" w:hAnsi="Palatino Linotype" w:cs="Arial"/>
          <w:b/>
          <w:bCs/>
          <w:sz w:val="24"/>
          <w:szCs w:val="24"/>
          <w:lang w:eastAsia="es-MX"/>
        </w:rPr>
        <w:t>3</w:t>
      </w:r>
      <w:r w:rsidR="00AA2D12">
        <w:rPr>
          <w:rFonts w:ascii="Palatino Linotype" w:hAnsi="Palatino Linotype" w:cs="Arial"/>
          <w:b/>
          <w:bCs/>
          <w:sz w:val="24"/>
          <w:szCs w:val="24"/>
          <w:lang w:eastAsia="es-MX"/>
        </w:rPr>
        <w:t>230</w:t>
      </w:r>
      <w:r w:rsidR="00C506EE">
        <w:rPr>
          <w:rFonts w:ascii="Palatino Linotype" w:hAnsi="Palatino Linotype" w:cs="Arial"/>
          <w:b/>
          <w:bCs/>
          <w:sz w:val="24"/>
          <w:szCs w:val="24"/>
          <w:lang w:eastAsia="es-MX"/>
        </w:rPr>
        <w:t>/</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2"/>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4D8346DC" w:rsidR="00DB52AF" w:rsidRPr="003701CC" w:rsidRDefault="003701CC" w:rsidP="00A47FC4">
      <w:pPr>
        <w:spacing w:after="0" w:line="360" w:lineRule="auto"/>
        <w:ind w:left="567"/>
        <w:jc w:val="both"/>
        <w:rPr>
          <w:rFonts w:ascii="Palatino Linotype" w:hAnsi="Palatino Linotype"/>
          <w:b/>
          <w:bCs/>
          <w:i/>
          <w:iCs/>
          <w:color w:val="000000"/>
          <w:sz w:val="24"/>
          <w:szCs w:val="24"/>
        </w:rPr>
      </w:pPr>
      <w:r>
        <w:rPr>
          <w:rFonts w:ascii="Palatino Linotype" w:hAnsi="Palatino Linotype"/>
          <w:color w:val="000000"/>
          <w:sz w:val="24"/>
          <w:szCs w:val="24"/>
        </w:rPr>
        <w:t>“</w:t>
      </w:r>
      <w:r w:rsidR="00AA2D12" w:rsidRPr="003701CC">
        <w:rPr>
          <w:rFonts w:ascii="Palatino Linotype" w:hAnsi="Palatino Linotype"/>
          <w:color w:val="000000"/>
          <w:sz w:val="24"/>
          <w:szCs w:val="24"/>
        </w:rPr>
        <w:t>La nula respuesta a la solicitud número 00178/OCOYOAC/IP/2022</w:t>
      </w:r>
      <w:r w:rsidR="00A47FC4" w:rsidRPr="003701CC">
        <w:rPr>
          <w:rFonts w:ascii="Palatino Linotype" w:hAnsi="Palatino Linotype"/>
          <w:i/>
          <w:iCs/>
          <w:color w:val="000000"/>
          <w:sz w:val="24"/>
          <w:szCs w:val="24"/>
        </w:rPr>
        <w:t xml:space="preserve"> </w:t>
      </w:r>
      <w:r w:rsidR="0062601A">
        <w:rPr>
          <w:rFonts w:ascii="Palatino Linotype" w:hAnsi="Palatino Linotype"/>
          <w:i/>
          <w:iCs/>
          <w:color w:val="000000"/>
          <w:sz w:val="24"/>
          <w:szCs w:val="24"/>
        </w:rPr>
        <w:t>“</w:t>
      </w:r>
      <w:r w:rsidR="00DB52AF" w:rsidRPr="003701CC">
        <w:rPr>
          <w:rFonts w:ascii="Palatino Linotype" w:hAnsi="Palatino Linotype"/>
          <w:b/>
          <w:bCs/>
          <w:i/>
          <w:iCs/>
          <w:color w:val="000000"/>
          <w:sz w:val="24"/>
          <w:szCs w:val="24"/>
        </w:rPr>
        <w:t>(</w:t>
      </w:r>
      <w:r w:rsidR="00954EE0" w:rsidRPr="003701CC">
        <w:rPr>
          <w:rFonts w:ascii="Palatino Linotype" w:hAnsi="Palatino Linotype"/>
          <w:b/>
          <w:bCs/>
          <w:i/>
          <w:iCs/>
          <w:color w:val="000000"/>
          <w:sz w:val="24"/>
          <w:szCs w:val="24"/>
        </w:rPr>
        <w:t>Sic</w:t>
      </w:r>
      <w:r w:rsidR="00DB52AF" w:rsidRPr="003701CC">
        <w:rPr>
          <w:rFonts w:ascii="Palatino Linotype" w:hAnsi="Palatino Linotype"/>
          <w:b/>
          <w:bCs/>
          <w:i/>
          <w:iCs/>
          <w:color w:val="000000"/>
          <w:sz w:val="24"/>
          <w:szCs w:val="24"/>
        </w:rPr>
        <w:t>)</w:t>
      </w:r>
    </w:p>
    <w:p w14:paraId="15A72026" w14:textId="77777777" w:rsidR="00DB52AF" w:rsidRPr="003701CC" w:rsidRDefault="00DB52AF" w:rsidP="00DB52AF">
      <w:pPr>
        <w:spacing w:after="0" w:line="360" w:lineRule="auto"/>
        <w:jc w:val="both"/>
        <w:rPr>
          <w:rFonts w:ascii="Palatino Linotype" w:hAnsi="Palatino Linotype" w:cs="Arial"/>
          <w:i/>
          <w:sz w:val="24"/>
          <w:szCs w:val="24"/>
        </w:rPr>
      </w:pPr>
    </w:p>
    <w:p w14:paraId="71260F99" w14:textId="3571D468" w:rsidR="00DB52AF" w:rsidRPr="003701CC" w:rsidRDefault="00DB52AF" w:rsidP="00DB52AF">
      <w:pPr>
        <w:spacing w:after="0" w:line="360" w:lineRule="auto"/>
        <w:jc w:val="both"/>
        <w:rPr>
          <w:rFonts w:ascii="Palatino Linotype" w:hAnsi="Palatino Linotype" w:cs="Arial"/>
          <w:b/>
          <w:sz w:val="24"/>
          <w:szCs w:val="24"/>
        </w:rPr>
      </w:pPr>
      <w:r w:rsidRPr="003701CC">
        <w:rPr>
          <w:rFonts w:ascii="Palatino Linotype" w:hAnsi="Palatino Linotype" w:cs="Arial"/>
          <w:b/>
          <w:sz w:val="24"/>
          <w:szCs w:val="24"/>
        </w:rPr>
        <w:t>Razones o motivos de inconformidad:</w:t>
      </w:r>
    </w:p>
    <w:p w14:paraId="5C3155B2" w14:textId="4D57E262" w:rsidR="00DB52AF" w:rsidRPr="00A47FC4" w:rsidRDefault="0062601A" w:rsidP="00B97671">
      <w:pPr>
        <w:spacing w:after="0" w:line="360" w:lineRule="auto"/>
        <w:ind w:left="567"/>
        <w:jc w:val="both"/>
        <w:rPr>
          <w:rFonts w:ascii="Palatino Linotype" w:hAnsi="Palatino Linotype" w:cs="Arial"/>
          <w:i/>
          <w:iCs/>
          <w:sz w:val="24"/>
          <w:szCs w:val="24"/>
        </w:rPr>
      </w:pPr>
      <w:r>
        <w:rPr>
          <w:rFonts w:ascii="Palatino Linotype" w:hAnsi="Palatino Linotype"/>
          <w:color w:val="000000"/>
          <w:sz w:val="24"/>
          <w:szCs w:val="24"/>
        </w:rPr>
        <w:t>“</w:t>
      </w:r>
      <w:r w:rsidR="003701CC" w:rsidRPr="003701CC">
        <w:rPr>
          <w:rFonts w:ascii="Palatino Linotype" w:hAnsi="Palatino Linotype"/>
          <w:color w:val="000000"/>
          <w:sz w:val="24"/>
          <w:szCs w:val="24"/>
        </w:rPr>
        <w:t>No se ha dado respuesta a la solicitud a pesar de que se han vencido los plazos establecidos por ley</w:t>
      </w:r>
      <w:r>
        <w:rPr>
          <w:rFonts w:ascii="Palatino Linotype" w:hAnsi="Palatino Linotype"/>
          <w:color w:val="000000"/>
          <w:sz w:val="24"/>
          <w:szCs w:val="24"/>
        </w:rPr>
        <w:t>”.</w:t>
      </w:r>
      <w:r w:rsidR="00A47FC4" w:rsidRPr="00A47FC4">
        <w:rPr>
          <w:rFonts w:ascii="Palatino Linotype" w:hAnsi="Palatino Linotype" w:cs="Arial"/>
          <w:b/>
          <w:bCs/>
          <w:i/>
          <w:iCs/>
          <w:sz w:val="24"/>
          <w:szCs w:val="24"/>
        </w:rPr>
        <w:t xml:space="preserve"> (</w:t>
      </w:r>
      <w:r w:rsidR="00CF2D0F" w:rsidRPr="00A47FC4">
        <w:rPr>
          <w:rFonts w:ascii="Palatino Linotype" w:hAnsi="Palatino Linotype" w:cs="Arial"/>
          <w:b/>
          <w:bCs/>
          <w:i/>
          <w:iCs/>
          <w:sz w:val="24"/>
          <w:szCs w:val="24"/>
        </w:rPr>
        <w:t>Sic)</w:t>
      </w:r>
    </w:p>
    <w:p w14:paraId="27A4AF05" w14:textId="77777777" w:rsidR="00E32619" w:rsidRPr="00C506EE" w:rsidRDefault="00E32619" w:rsidP="00DB52AF">
      <w:pPr>
        <w:pStyle w:val="Citas"/>
        <w:spacing w:before="0" w:after="0"/>
        <w:ind w:left="0" w:right="0"/>
        <w:rPr>
          <w:sz w:val="24"/>
          <w:szCs w:val="24"/>
        </w:rPr>
      </w:pPr>
    </w:p>
    <w:p w14:paraId="53D3283C" w14:textId="45182EAB"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62601A">
        <w:rPr>
          <w:rFonts w:ascii="Palatino Linotype" w:hAnsi="Palatino Linotype" w:cs="Arial"/>
          <w:sz w:val="24"/>
          <w:szCs w:val="24"/>
          <w:lang w:val="es-ES"/>
        </w:rPr>
        <w:t xml:space="preserve">diez </w:t>
      </w:r>
      <w:r w:rsidR="00171EA6">
        <w:rPr>
          <w:rFonts w:ascii="Palatino Linotype" w:hAnsi="Palatino Linotype" w:cs="Arial"/>
          <w:sz w:val="24"/>
          <w:szCs w:val="24"/>
          <w:lang w:val="es-ES"/>
        </w:rPr>
        <w:t>de agosto</w:t>
      </w:r>
      <w:r>
        <w:rPr>
          <w:rFonts w:ascii="Palatino Linotype" w:hAnsi="Palatino Linotype" w:cs="Arial"/>
          <w:sz w:val="24"/>
          <w:szCs w:val="24"/>
        </w:rPr>
        <w:t xml:space="preserve"> de dos mil veintidós</w:t>
      </w:r>
      <w:r w:rsidRPr="0010165E">
        <w:rPr>
          <w:rFonts w:ascii="Palatino Linotype" w:eastAsia="Times New Roman" w:hAnsi="Palatino Linotype" w:cs="Arial"/>
          <w:sz w:val="24"/>
          <w:szCs w:val="24"/>
          <w:lang w:val="es-ES" w:eastAsia="es-ES"/>
        </w:rPr>
        <w:t xml:space="preserve">, </w:t>
      </w:r>
      <w:r w:rsidR="00DE59D8">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00DE59D8">
        <w:rPr>
          <w:rFonts w:ascii="Palatino Linotype" w:eastAsia="Times New Roman" w:hAnsi="Palatino Linotype" w:cs="Arial"/>
          <w:sz w:val="24"/>
          <w:szCs w:val="24"/>
          <w:lang w:val="es-ES_tradnl" w:eastAsia="es-ES"/>
        </w:rPr>
        <w:t xml:space="preserve"> se envió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 xml:space="preserve">Ley de Transparencia </w:t>
      </w:r>
      <w:r w:rsidRPr="0010165E">
        <w:rPr>
          <w:rFonts w:ascii="Palatino Linotype" w:eastAsia="Times New Roman" w:hAnsi="Palatino Linotype" w:cs="Times New Roman"/>
          <w:sz w:val="24"/>
          <w:szCs w:val="24"/>
          <w:lang w:val="es-ES" w:eastAsia="es-ES"/>
        </w:rPr>
        <w:lastRenderedPageBreak/>
        <w:t>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43845918"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B97671">
        <w:rPr>
          <w:rFonts w:ascii="Palatino Linotype" w:eastAsia="Times New Roman" w:hAnsi="Palatino Linotype" w:cs="Arial"/>
          <w:sz w:val="24"/>
          <w:szCs w:val="24"/>
          <w:lang w:val="es-ES" w:eastAsia="es-ES"/>
        </w:rPr>
        <w:t>d</w:t>
      </w:r>
      <w:r w:rsidR="0062601A">
        <w:rPr>
          <w:rFonts w:ascii="Palatino Linotype" w:eastAsia="Times New Roman" w:hAnsi="Palatino Linotype" w:cs="Arial"/>
          <w:sz w:val="24"/>
          <w:szCs w:val="24"/>
          <w:lang w:val="es-ES" w:eastAsia="es-ES"/>
        </w:rPr>
        <w:t>ieciséis</w:t>
      </w:r>
      <w:r w:rsidR="00B97671">
        <w:rPr>
          <w:rFonts w:ascii="Palatino Linotype" w:eastAsia="Times New Roman" w:hAnsi="Palatino Linotype" w:cs="Arial"/>
          <w:sz w:val="24"/>
          <w:szCs w:val="24"/>
          <w:lang w:val="es-ES" w:eastAsia="es-ES"/>
        </w:rPr>
        <w:t xml:space="preserve"> </w:t>
      </w:r>
      <w:r w:rsidR="00171EA6">
        <w:rPr>
          <w:rFonts w:ascii="Palatino Linotype" w:eastAsia="Times New Roman" w:hAnsi="Palatino Linotype" w:cs="Arial"/>
          <w:sz w:val="24"/>
          <w:szCs w:val="24"/>
          <w:lang w:val="es-ES" w:eastAsia="es-ES"/>
        </w:rPr>
        <w:t>de agosto</w:t>
      </w:r>
      <w:r w:rsidR="004670E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7730A6">
        <w:rPr>
          <w:rFonts w:ascii="Palatino Linotype" w:hAnsi="Palatino Linotype" w:cs="Arial"/>
          <w:b/>
          <w:bCs/>
          <w:sz w:val="24"/>
          <w:szCs w:val="24"/>
          <w:lang w:val="es-ES" w:eastAsia="es-MX"/>
        </w:rPr>
        <w:t>1</w:t>
      </w:r>
      <w:r w:rsidR="00171EA6">
        <w:rPr>
          <w:rFonts w:ascii="Palatino Linotype" w:hAnsi="Palatino Linotype" w:cs="Arial"/>
          <w:b/>
          <w:bCs/>
          <w:sz w:val="24"/>
          <w:szCs w:val="24"/>
          <w:lang w:val="es-ES" w:eastAsia="es-MX"/>
        </w:rPr>
        <w:t>3</w:t>
      </w:r>
      <w:r w:rsidR="0062601A">
        <w:rPr>
          <w:rFonts w:ascii="Palatino Linotype" w:hAnsi="Palatino Linotype" w:cs="Arial"/>
          <w:b/>
          <w:bCs/>
          <w:sz w:val="24"/>
          <w:szCs w:val="24"/>
          <w:lang w:val="es-ES" w:eastAsia="es-MX"/>
        </w:rPr>
        <w:t>230</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4C981848" w:rsidR="00F26B6E" w:rsidRPr="0062601A" w:rsidRDefault="00DB52AF" w:rsidP="00F26B6E">
      <w:pPr>
        <w:spacing w:before="240" w:line="360" w:lineRule="auto"/>
        <w:jc w:val="both"/>
        <w:rPr>
          <w:rFonts w:ascii="Palatino Linotype" w:hAnsi="Palatino Linotype" w:cs="Arial"/>
          <w:b/>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 xml:space="preserve">fue omiso en presentar su informe justificado; </w:t>
      </w:r>
      <w:r w:rsidR="00BF4181">
        <w:rPr>
          <w:rFonts w:ascii="Palatino Linotype" w:hAnsi="Palatino Linotype" w:cs="Arial"/>
          <w:sz w:val="24"/>
          <w:szCs w:val="24"/>
        </w:rPr>
        <w:t>por su parte</w:t>
      </w:r>
      <w:r w:rsidR="00F26B6E">
        <w:rPr>
          <w:rFonts w:ascii="Palatino Linotype" w:hAnsi="Palatino Linotype" w:cs="Arial"/>
          <w:sz w:val="24"/>
          <w:szCs w:val="24"/>
        </w:rPr>
        <w:t xml:space="preserve"> </w:t>
      </w:r>
      <w:r w:rsidR="00B01147">
        <w:rPr>
          <w:rFonts w:ascii="Palatino Linotype" w:hAnsi="Palatino Linotype" w:cs="Arial"/>
          <w:b/>
          <w:sz w:val="24"/>
          <w:szCs w:val="24"/>
        </w:rPr>
        <w:t>La</w:t>
      </w:r>
      <w:r w:rsidR="00F26B6E">
        <w:rPr>
          <w:rFonts w:ascii="Palatino Linotype" w:hAnsi="Palatino Linotype" w:cs="Arial"/>
          <w:b/>
          <w:sz w:val="24"/>
          <w:szCs w:val="24"/>
        </w:rPr>
        <w:t xml:space="preserve"> Recurrente </w:t>
      </w:r>
      <w:r w:rsidR="0062601A" w:rsidRPr="0062601A">
        <w:rPr>
          <w:rFonts w:ascii="Palatino Linotype" w:hAnsi="Palatino Linotype" w:cs="Arial"/>
          <w:sz w:val="24"/>
          <w:szCs w:val="24"/>
        </w:rPr>
        <w:t xml:space="preserve">remitió el archivo electrónico </w:t>
      </w:r>
      <w:r w:rsidR="0062601A" w:rsidRPr="0062601A">
        <w:rPr>
          <w:rFonts w:ascii="Palatino Linotype" w:hAnsi="Palatino Linotype" w:cs="Arial"/>
          <w:b/>
          <w:sz w:val="24"/>
          <w:szCs w:val="24"/>
        </w:rPr>
        <w:t>061.pdf y Artículo 30.txt.</w:t>
      </w:r>
    </w:p>
    <w:p w14:paraId="7E3B17B1" w14:textId="77777777" w:rsidR="00F26B6E" w:rsidRDefault="00F26B6E" w:rsidP="00DB52AF">
      <w:pPr>
        <w:spacing w:after="0" w:line="360" w:lineRule="auto"/>
        <w:jc w:val="both"/>
        <w:rPr>
          <w:rFonts w:ascii="Palatino Linotype" w:hAnsi="Palatino Linotype" w:cs="Arial"/>
          <w:sz w:val="24"/>
          <w:szCs w:val="24"/>
        </w:rPr>
      </w:pPr>
    </w:p>
    <w:p w14:paraId="6923198B" w14:textId="1A25DF86"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Así mismo se aprecia que no se llevaron a cabo audiencias durante la sustan</w:t>
      </w:r>
      <w:r w:rsidR="0062601A">
        <w:rPr>
          <w:rFonts w:ascii="Palatino Linotype" w:hAnsi="Palatino Linotype" w:cs="Arial"/>
          <w:sz w:val="24"/>
          <w:szCs w:val="24"/>
        </w:rPr>
        <w:t>ciación del recurso de revisión</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2E75A445" w:rsidR="00CF2D0F" w:rsidRPr="0010165E" w:rsidRDefault="00DB52AF"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w:t>
      </w:r>
      <w:r w:rsidR="00CF2D0F" w:rsidRPr="0010165E">
        <w:rPr>
          <w:rFonts w:ascii="Palatino Linotype" w:hAnsi="Palatino Linotype" w:cs="Arial"/>
          <w:sz w:val="24"/>
          <w:szCs w:val="24"/>
        </w:rPr>
        <w:lastRenderedPageBreak/>
        <w:t xml:space="preserve">habiendo prueba </w:t>
      </w:r>
      <w:r w:rsidR="00DE59D8">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982012">
        <w:rPr>
          <w:rFonts w:ascii="Palatino Linotype" w:hAnsi="Palatino Linotype" w:cs="Arial"/>
          <w:sz w:val="24"/>
          <w:szCs w:val="24"/>
        </w:rPr>
        <w:t>treinta y uno</w:t>
      </w:r>
      <w:r w:rsidR="00171EA6">
        <w:rPr>
          <w:rFonts w:ascii="Palatino Linotype" w:hAnsi="Palatino Linotype" w:cs="Arial"/>
          <w:sz w:val="24"/>
          <w:szCs w:val="24"/>
        </w:rPr>
        <w:t xml:space="preserve"> </w:t>
      </w:r>
      <w:r w:rsidR="007730A6">
        <w:rPr>
          <w:rFonts w:ascii="Palatino Linotype" w:hAnsi="Palatino Linotype" w:cs="Arial"/>
          <w:sz w:val="24"/>
          <w:szCs w:val="24"/>
        </w:rPr>
        <w:t>de agosto</w:t>
      </w:r>
      <w:r w:rsidR="00CF2D0F">
        <w:rPr>
          <w:rFonts w:ascii="Palatino Linotype" w:hAnsi="Palatino Linotype" w:cs="Arial"/>
          <w:sz w:val="24"/>
          <w:szCs w:val="24"/>
        </w:rPr>
        <w:t xml:space="preserve">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520C09E2" w:rsidR="00CF2D0F" w:rsidRDefault="00CF2D0F" w:rsidP="00F75BB1">
      <w:pPr>
        <w:spacing w:after="0" w:line="360" w:lineRule="auto"/>
        <w:jc w:val="both"/>
        <w:rPr>
          <w:rFonts w:ascii="Palatino Linotype" w:hAnsi="Palatino Linotype" w:cs="Arial"/>
          <w:bCs/>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14F42108"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w:t>
      </w:r>
      <w:r w:rsidR="00982012">
        <w:rPr>
          <w:rFonts w:ascii="Palatino Linotype" w:hAnsi="Palatino Linotype" w:cs="Arial"/>
          <w:sz w:val="24"/>
          <w:szCs w:val="24"/>
        </w:rPr>
        <w:t xml:space="preserve"> de revisión interpuesto por la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10165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lastRenderedPageBreak/>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w:t>
      </w:r>
      <w:r w:rsidRPr="0010165E">
        <w:rPr>
          <w:rFonts w:ascii="Palatino Linotype" w:eastAsia="Times New Roman" w:hAnsi="Palatino Linotype" w:cs="Arial"/>
          <w:sz w:val="24"/>
          <w:szCs w:val="24"/>
          <w:lang w:val="es-ES" w:eastAsia="es-ES"/>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7AE9DE9A"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primera instancia, al referirn</w:t>
      </w:r>
      <w:r w:rsidR="00982012">
        <w:rPr>
          <w:rFonts w:ascii="Palatino Linotype" w:eastAsia="Times New Roman" w:hAnsi="Palatino Linotype" w:cs="Arial"/>
          <w:sz w:val="24"/>
          <w:szCs w:val="24"/>
          <w:lang w:val="es-ES" w:eastAsia="es-ES"/>
        </w:rPr>
        <w:t xml:space="preserve">os a los actos impugnados por la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w:t>
      </w:r>
      <w:r w:rsidRPr="0016518C">
        <w:rPr>
          <w:rFonts w:ascii="Palatino Linotype" w:eastAsia="Calibri" w:hAnsi="Palatino Linotype" w:cs="Arial"/>
          <w:color w:val="000000" w:themeColor="text1"/>
          <w:sz w:val="24"/>
          <w:szCs w:val="24"/>
          <w:lang w:val="es-ES" w:eastAsia="es-ES"/>
        </w:rPr>
        <w:t>la Ley de Transparencia y Acceso a la Información Pública del Estado de México y Municipios,</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1E6338DD"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w:t>
      </w:r>
      <w:r w:rsidRPr="0010165E">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982012">
        <w:rPr>
          <w:rFonts w:ascii="Palatino Linotype" w:eastAsia="Times New Roman" w:hAnsi="Palatino Linotype" w:cs="Arial"/>
          <w:sz w:val="24"/>
          <w:szCs w:val="24"/>
          <w:lang w:val="es-ES" w:eastAsia="es-MX"/>
        </w:rPr>
        <w:t>la</w:t>
      </w:r>
      <w:r w:rsidR="00E92F3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lastRenderedPageBreak/>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39077B"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39077B">
        <w:rPr>
          <w:rFonts w:ascii="Palatino Linotype" w:hAnsi="Palatino Linotype" w:cs="Arial"/>
          <w:b/>
          <w:bCs/>
          <w:i/>
          <w:u w:val="single"/>
        </w:rPr>
        <w:t>Los ayuntamientos</w:t>
      </w:r>
      <w:r w:rsidRPr="0010165E">
        <w:rPr>
          <w:rFonts w:ascii="Palatino Linotype" w:hAnsi="Palatino Linotype" w:cs="Arial"/>
          <w:bCs/>
          <w:i/>
        </w:rPr>
        <w:t xml:space="preserve"> y las dependencias, organismos</w:t>
      </w:r>
      <w:r w:rsidRPr="0039077B">
        <w:rPr>
          <w:rFonts w:ascii="Palatino Linotype" w:hAnsi="Palatino Linotype" w:cs="Arial"/>
          <w:bCs/>
          <w:i/>
        </w:rPr>
        <w:t>, órganos y entidades de la administración municipal;</w:t>
      </w:r>
    </w:p>
    <w:p w14:paraId="1B235C1E" w14:textId="77777777" w:rsidR="00DB52AF" w:rsidRPr="0039077B"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56F98959"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2F4575">
        <w:rPr>
          <w:rFonts w:ascii="Palatino Linotype" w:eastAsia="MS Mincho" w:hAnsi="Palatino Linotype" w:cs="Times New Roman"/>
          <w:sz w:val="24"/>
          <w:szCs w:val="24"/>
          <w:lang w:val="es-ES_tradnl" w:eastAsia="es-ES"/>
        </w:rPr>
        <w:t>r</w:t>
      </w:r>
      <w:r w:rsidRPr="0010165E">
        <w:rPr>
          <w:rFonts w:ascii="Palatino Linotype" w:eastAsia="MS Mincho" w:hAnsi="Palatino Linotype" w:cs="Times New Roman"/>
          <w:sz w:val="24"/>
          <w:szCs w:val="24"/>
          <w:lang w:val="es-ES_tradnl" w:eastAsia="es-ES"/>
        </w:rPr>
        <w:t xml:space="preserve">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w:t>
      </w:r>
      <w:r w:rsidR="00CC7862">
        <w:rPr>
          <w:rFonts w:ascii="Palatino Linotype" w:eastAsia="MS Mincho" w:hAnsi="Palatino Linotype" w:cs="Times New Roman"/>
          <w:b/>
          <w:sz w:val="24"/>
          <w:szCs w:val="24"/>
          <w:lang w:val="es-ES_tradnl" w:eastAsia="es-ES"/>
        </w:rPr>
        <w:t>s</w:t>
      </w:r>
      <w:r w:rsidRPr="0010165E">
        <w:rPr>
          <w:rFonts w:ascii="Palatino Linotype" w:eastAsia="MS Mincho" w:hAnsi="Palatino Linotype" w:cs="Times New Roman"/>
          <w:b/>
          <w:sz w:val="24"/>
          <w:szCs w:val="24"/>
          <w:lang w:val="es-ES_tradnl" w:eastAsia="es-ES"/>
        </w:rPr>
        <w:t xml:space="preserve">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2451C3A4"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w:t>
      </w:r>
      <w:r w:rsidR="002F4575">
        <w:rPr>
          <w:rFonts w:ascii="Palatino Linotype" w:eastAsia="Times New Roman" w:hAnsi="Palatino Linotype" w:cs="Arial"/>
          <w:sz w:val="24"/>
          <w:szCs w:val="24"/>
          <w:lang w:val="es-ES" w:eastAsia="es-ES"/>
        </w:rPr>
        <w:t>,</w:t>
      </w:r>
      <w:r w:rsidRPr="0010165E">
        <w:rPr>
          <w:rFonts w:ascii="Palatino Linotype" w:eastAsia="Times New Roman" w:hAnsi="Palatino Linotype" w:cs="Arial"/>
          <w:sz w:val="24"/>
          <w:szCs w:val="24"/>
          <w:lang w:val="es-ES" w:eastAsia="es-ES"/>
        </w:rPr>
        <w:t xml:space="preserve"> la información en posesión de las au</w:t>
      </w:r>
      <w:r w:rsidR="003020D3">
        <w:rPr>
          <w:rFonts w:ascii="Palatino Linotype" w:eastAsia="Times New Roman" w:hAnsi="Palatino Linotype" w:cs="Arial"/>
          <w:sz w:val="24"/>
          <w:szCs w:val="24"/>
          <w:lang w:val="es-ES" w:eastAsia="es-ES"/>
        </w:rPr>
        <w:t>t</w:t>
      </w:r>
      <w:r w:rsidR="00954EE0">
        <w:rPr>
          <w:rFonts w:ascii="Palatino Linotype" w:eastAsia="Times New Roman" w:hAnsi="Palatino Linotype" w:cs="Arial"/>
          <w:sz w:val="24"/>
          <w:szCs w:val="24"/>
          <w:lang w:val="es-ES" w:eastAsia="es-ES"/>
        </w:rPr>
        <w:t xml:space="preserve">oridades municipales es pública y </w:t>
      </w:r>
      <w:r w:rsidR="00E92F3E">
        <w:rPr>
          <w:rFonts w:ascii="Palatino Linotype" w:eastAsia="Times New Roman" w:hAnsi="Palatino Linotype" w:cs="Arial"/>
          <w:sz w:val="24"/>
          <w:szCs w:val="24"/>
          <w:lang w:val="es-ES" w:eastAsia="es-ES"/>
        </w:rPr>
        <w:t xml:space="preserve">los </w:t>
      </w:r>
      <w:r w:rsidR="0039077B">
        <w:rPr>
          <w:rFonts w:ascii="Palatino Linotype" w:eastAsia="Times New Roman" w:hAnsi="Palatino Linotype" w:cs="Arial"/>
          <w:sz w:val="24"/>
          <w:szCs w:val="24"/>
          <w:lang w:val="es-ES" w:eastAsia="es-ES"/>
        </w:rPr>
        <w:t>Ayuntamientos</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w:t>
      </w:r>
      <w:r w:rsidR="00954EE0">
        <w:rPr>
          <w:rFonts w:ascii="Palatino Linotype" w:eastAsia="Times New Roman" w:hAnsi="Palatino Linotype" w:cs="Arial"/>
          <w:sz w:val="24"/>
          <w:szCs w:val="24"/>
          <w:lang w:val="es-ES" w:eastAsia="es-ES"/>
        </w:rPr>
        <w:t xml:space="preserve">formación pública que posean, </w:t>
      </w:r>
      <w:r w:rsidRPr="0010165E">
        <w:rPr>
          <w:rFonts w:ascii="Palatino Linotype" w:eastAsia="Times New Roman" w:hAnsi="Palatino Linotype" w:cs="Arial"/>
          <w:sz w:val="24"/>
          <w:szCs w:val="24"/>
          <w:lang w:val="es-ES" w:eastAsia="es-ES"/>
        </w:rPr>
        <w:t>están obligados a documentar todo acto que derive del ejercicio de sus facultades, competencias o funciones. En ese sentido, debe privilegiarse en todo momento el principio de máxima publicidad.</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77576288"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lastRenderedPageBreak/>
        <w:t xml:space="preserve">De la revisión de las constancias que obran en el Sistema de acceso a la Información Mexiquense (SAIMEX), se advierte que, </w:t>
      </w:r>
      <w:r w:rsidR="00552199">
        <w:rPr>
          <w:rFonts w:ascii="Palatino Linotype" w:hAnsi="Palatino Linotype"/>
          <w:sz w:val="24"/>
          <w:szCs w:val="24"/>
        </w:rPr>
        <w:t>el particular solicito</w:t>
      </w:r>
      <w:r>
        <w:rPr>
          <w:rFonts w:ascii="Palatino Linotype" w:hAnsi="Palatino Linotype"/>
          <w:sz w:val="24"/>
          <w:szCs w:val="24"/>
        </w:rPr>
        <w:t xml:space="preserve">: </w:t>
      </w:r>
    </w:p>
    <w:p w14:paraId="6E6C032C" w14:textId="18705EFD" w:rsidR="008D3836" w:rsidRDefault="008D3836" w:rsidP="00392C4E">
      <w:pPr>
        <w:autoSpaceDE w:val="0"/>
        <w:autoSpaceDN w:val="0"/>
        <w:adjustRightInd w:val="0"/>
        <w:spacing w:after="0" w:line="360" w:lineRule="auto"/>
        <w:jc w:val="both"/>
        <w:rPr>
          <w:rFonts w:ascii="Palatino Linotype" w:hAnsi="Palatino Linotype"/>
          <w:sz w:val="24"/>
          <w:szCs w:val="24"/>
        </w:rPr>
      </w:pPr>
    </w:p>
    <w:p w14:paraId="65EF8628" w14:textId="27334EA3" w:rsidR="000920FD" w:rsidRPr="0039077B" w:rsidRDefault="000920FD" w:rsidP="0039077B">
      <w:pPr>
        <w:pStyle w:val="Prrafodelista"/>
        <w:numPr>
          <w:ilvl w:val="0"/>
          <w:numId w:val="13"/>
        </w:numPr>
        <w:tabs>
          <w:tab w:val="left" w:pos="5647"/>
        </w:tabs>
        <w:spacing w:line="360" w:lineRule="auto"/>
        <w:ind w:right="851"/>
        <w:jc w:val="both"/>
        <w:rPr>
          <w:rFonts w:ascii="Palatino Linotype" w:hAnsi="Palatino Linotype"/>
          <w:b/>
          <w:bCs/>
          <w:i/>
          <w:iCs/>
        </w:rPr>
      </w:pPr>
      <w:r w:rsidRPr="0039077B">
        <w:rPr>
          <w:rFonts w:ascii="Palatino Linotype" w:hAnsi="Palatino Linotype"/>
          <w:color w:val="000000"/>
        </w:rPr>
        <w:t>Gacetas municipales publicadas desde el 1 de enero 2022 al 30 de junio del 2022, en formato digital</w:t>
      </w:r>
    </w:p>
    <w:p w14:paraId="37FF39A9" w14:textId="77777777" w:rsidR="00047726" w:rsidRDefault="00047726" w:rsidP="00392C4E">
      <w:pPr>
        <w:autoSpaceDE w:val="0"/>
        <w:autoSpaceDN w:val="0"/>
        <w:adjustRightInd w:val="0"/>
        <w:spacing w:after="0" w:line="360" w:lineRule="auto"/>
        <w:jc w:val="both"/>
        <w:rPr>
          <w:rFonts w:ascii="Palatino Linotype" w:hAnsi="Palatino Linotype"/>
          <w:sz w:val="24"/>
          <w:szCs w:val="24"/>
        </w:rPr>
      </w:pPr>
    </w:p>
    <w:p w14:paraId="011A2EBF" w14:textId="77777777" w:rsidR="00047726" w:rsidRDefault="00047726" w:rsidP="000477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solicitud que realizó y dando como razones o motivos de inconformidad la falta de respuesta.</w:t>
      </w:r>
    </w:p>
    <w:p w14:paraId="647FFC93" w14:textId="77777777" w:rsidR="00047726" w:rsidRPr="00883102" w:rsidRDefault="00047726" w:rsidP="000477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D096D2C" w14:textId="77777777" w:rsidR="00047726" w:rsidRPr="00883102" w:rsidRDefault="00047726" w:rsidP="00047726">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En ese orden de ideas, se tiene que </w:t>
      </w:r>
      <w:r>
        <w:rPr>
          <w:rFonts w:ascii="Palatino Linotype" w:hAnsi="Palatino Linotype"/>
          <w:b/>
          <w:sz w:val="24"/>
          <w:szCs w:val="24"/>
          <w:lang w:val="es-ES_tradnl"/>
        </w:rPr>
        <w:t>E</w:t>
      </w:r>
      <w:r w:rsidRPr="003834CC">
        <w:rPr>
          <w:rFonts w:ascii="Palatino Linotype" w:hAnsi="Palatino Linotype"/>
          <w:b/>
          <w:sz w:val="24"/>
          <w:szCs w:val="24"/>
          <w:lang w:val="es-ES_tradnl"/>
        </w:rPr>
        <w:t>l Sujeto Obligado</w:t>
      </w:r>
      <w:r w:rsidRPr="00883102">
        <w:rPr>
          <w:rFonts w:ascii="Palatino Linotype" w:hAnsi="Palatino Linotype"/>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w:t>
      </w:r>
      <w:r>
        <w:rPr>
          <w:rFonts w:ascii="Palatino Linotype" w:hAnsi="Palatino Linotype"/>
          <w:sz w:val="24"/>
          <w:szCs w:val="24"/>
          <w:lang w:val="es-ES_tradnl"/>
        </w:rPr>
        <w:t>el</w:t>
      </w:r>
      <w:r w:rsidRPr="00883102">
        <w:rPr>
          <w:rFonts w:ascii="Palatino Linotype" w:hAnsi="Palatino Linotype"/>
          <w:sz w:val="24"/>
          <w:szCs w:val="24"/>
          <w:lang w:val="es-ES_tradnl"/>
        </w:rPr>
        <w:t xml:space="preserve"> presente</w:t>
      </w:r>
      <w:r>
        <w:rPr>
          <w:rFonts w:ascii="Palatino Linotype" w:hAnsi="Palatino Linotype"/>
          <w:sz w:val="24"/>
          <w:szCs w:val="24"/>
          <w:lang w:val="es-ES_tradnl"/>
        </w:rPr>
        <w:t xml:space="preserve"> </w:t>
      </w:r>
      <w:r w:rsidRPr="00883102">
        <w:rPr>
          <w:rFonts w:ascii="Palatino Linotype" w:hAnsi="Palatino Linotype"/>
          <w:sz w:val="24"/>
          <w:szCs w:val="24"/>
          <w:lang w:val="es-ES_tradnl"/>
        </w:rPr>
        <w:t xml:space="preserve">medio de impugnación. </w:t>
      </w:r>
    </w:p>
    <w:p w14:paraId="0DADE0CB" w14:textId="77777777" w:rsidR="00047726" w:rsidRDefault="00047726" w:rsidP="00047726">
      <w:pPr>
        <w:spacing w:after="0" w:line="360" w:lineRule="auto"/>
        <w:jc w:val="both"/>
        <w:rPr>
          <w:rFonts w:ascii="Palatino Linotype" w:hAnsi="Palatino Linotype"/>
          <w:sz w:val="24"/>
          <w:szCs w:val="24"/>
          <w:lang w:val="es-ES_tradnl"/>
        </w:rPr>
      </w:pPr>
    </w:p>
    <w:p w14:paraId="62957AE0" w14:textId="77777777" w:rsidR="00047726" w:rsidRPr="00883102" w:rsidRDefault="00047726" w:rsidP="00047726">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1B97C6E2" w14:textId="77777777" w:rsidR="00047726" w:rsidRPr="00883102" w:rsidRDefault="00047726" w:rsidP="00047726">
      <w:pPr>
        <w:pStyle w:val="INFOEM"/>
        <w:rPr>
          <w:lang w:val="es-ES_tradnl"/>
        </w:rPr>
      </w:pPr>
      <w:r>
        <w:rPr>
          <w:b/>
          <w:lang w:val="es-ES_tradnl"/>
        </w:rPr>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28B587F9" w14:textId="77777777" w:rsidR="00047726" w:rsidRPr="00883102" w:rsidRDefault="00047726" w:rsidP="00047726">
      <w:pPr>
        <w:pStyle w:val="INFOEM"/>
        <w:rPr>
          <w:lang w:val="es-ES_tradnl"/>
        </w:rPr>
      </w:pPr>
      <w:r w:rsidRPr="00883102">
        <w:rPr>
          <w:b/>
          <w:lang w:val="es-ES_tradnl"/>
        </w:rPr>
        <w:lastRenderedPageBreak/>
        <w:t>(…)</w:t>
      </w:r>
    </w:p>
    <w:p w14:paraId="572E13F4" w14:textId="77777777" w:rsidR="00047726" w:rsidRPr="00883102" w:rsidRDefault="00047726" w:rsidP="00047726">
      <w:pPr>
        <w:pStyle w:val="INFOEM"/>
        <w:rPr>
          <w:b/>
          <w:lang w:val="es-ES_tradnl"/>
        </w:rPr>
      </w:pPr>
      <w:r w:rsidRPr="00883102">
        <w:rPr>
          <w:b/>
          <w:lang w:val="es-ES_tradnl"/>
        </w:rPr>
        <w:t>VII. La falta de respuesta a una solicitud de acceso a la información;</w:t>
      </w:r>
    </w:p>
    <w:p w14:paraId="1DC04FD5" w14:textId="77777777" w:rsidR="00047726" w:rsidRPr="00883102" w:rsidRDefault="00047726" w:rsidP="00047726">
      <w:pPr>
        <w:pStyle w:val="INFOEM"/>
        <w:rPr>
          <w:b/>
          <w:lang w:val="es-ES_tradnl"/>
        </w:rPr>
      </w:pPr>
      <w:r w:rsidRPr="00883102">
        <w:rPr>
          <w:b/>
          <w:lang w:val="es-ES_tradnl"/>
        </w:rPr>
        <w:t>(…)</w:t>
      </w:r>
    </w:p>
    <w:p w14:paraId="75C37033" w14:textId="77777777" w:rsidR="00047726" w:rsidRPr="00883102" w:rsidRDefault="00047726" w:rsidP="00047726">
      <w:pPr>
        <w:pStyle w:val="INFOEM"/>
        <w:rPr>
          <w:b/>
          <w:lang w:val="es-ES_tradnl"/>
        </w:rPr>
      </w:pPr>
      <w:r w:rsidRPr="00883102">
        <w:rPr>
          <w:b/>
          <w:lang w:val="es-ES_tradnl"/>
        </w:rPr>
        <w:t>XI. La falta de trámite a una solicitud;</w:t>
      </w:r>
    </w:p>
    <w:p w14:paraId="65B43BDA" w14:textId="77777777" w:rsidR="00047726" w:rsidRPr="003834CC" w:rsidRDefault="00047726" w:rsidP="00047726">
      <w:pPr>
        <w:pStyle w:val="INFOEM"/>
        <w:rPr>
          <w:b/>
          <w:lang w:val="es-ES_tradnl"/>
        </w:rPr>
      </w:pPr>
      <w:r w:rsidRPr="00883102">
        <w:rPr>
          <w:b/>
          <w:lang w:val="es-ES_tradnl"/>
        </w:rPr>
        <w:t>(…</w:t>
      </w:r>
      <w:r w:rsidRPr="00883102">
        <w:rPr>
          <w:lang w:val="es-ES_tradnl"/>
        </w:rPr>
        <w:t>)</w:t>
      </w:r>
      <w:r>
        <w:rPr>
          <w:lang w:val="es-ES_tradnl"/>
        </w:rPr>
        <w:t>”</w:t>
      </w:r>
      <w:r>
        <w:rPr>
          <w:b/>
          <w:lang w:val="es-ES_tradnl"/>
        </w:rPr>
        <w:t>(Sic)</w:t>
      </w:r>
    </w:p>
    <w:p w14:paraId="4E69069E" w14:textId="77777777" w:rsidR="00047726" w:rsidRPr="00883102" w:rsidRDefault="00047726" w:rsidP="000477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2FAEDF" w14:textId="77777777" w:rsidR="00047726" w:rsidRPr="00883102" w:rsidRDefault="00047726" w:rsidP="0004772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765461D2" w14:textId="77777777" w:rsidR="00047726" w:rsidRDefault="00047726" w:rsidP="000477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39BA10" w14:textId="77777777" w:rsidR="00047726" w:rsidRPr="00883102" w:rsidRDefault="00047726" w:rsidP="00047726">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7A3CC8F" w14:textId="77777777" w:rsidR="00047726" w:rsidRPr="00883102" w:rsidRDefault="00047726" w:rsidP="00047726">
      <w:pPr>
        <w:pStyle w:val="INFOEM"/>
        <w:rPr>
          <w:lang w:val="es-ES_tradnl" w:eastAsia="en-US"/>
        </w:rPr>
      </w:pPr>
      <w:r>
        <w:rPr>
          <w:b/>
          <w:lang w:val="es-ES_tradnl" w:eastAsia="en-US"/>
        </w:rPr>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51EB4E22" w14:textId="77777777" w:rsidR="00047726" w:rsidRPr="00883102" w:rsidRDefault="00047726" w:rsidP="00047726">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4B21536E" w14:textId="77777777" w:rsidR="00047726" w:rsidRPr="00883102" w:rsidRDefault="00047726" w:rsidP="00047726">
      <w:pPr>
        <w:pStyle w:val="INFOEM"/>
        <w:rPr>
          <w:lang w:val="es-ES_tradnl" w:eastAsia="en-US"/>
        </w:rPr>
      </w:pPr>
      <w:r w:rsidRPr="00883102">
        <w:rPr>
          <w:lang w:val="es-ES_tradnl" w:eastAsia="en-US"/>
        </w:rPr>
        <w:lastRenderedPageBreak/>
        <w:t>Para efectos de lo dispuesto en el presente artículo se observará lo siguiente:</w:t>
      </w:r>
    </w:p>
    <w:p w14:paraId="588A7E13" w14:textId="77777777" w:rsidR="00047726" w:rsidRPr="00883102" w:rsidRDefault="00047726" w:rsidP="00047726">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541373F2" w14:textId="77777777" w:rsidR="00047726" w:rsidRPr="00883102" w:rsidRDefault="00047726" w:rsidP="00047726">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0953EAFA" w14:textId="77777777" w:rsidR="00047726" w:rsidRPr="00883102" w:rsidRDefault="00047726" w:rsidP="00047726">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736A270C" w14:textId="77777777" w:rsidR="00047726" w:rsidRPr="00883102" w:rsidRDefault="00047726" w:rsidP="00047726">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4A68FA55" w14:textId="77777777" w:rsidR="00047726" w:rsidRPr="00883102" w:rsidRDefault="00047726" w:rsidP="00047726">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38587C33" w14:textId="77777777" w:rsidR="00047726" w:rsidRPr="00883102" w:rsidRDefault="00047726" w:rsidP="00047726">
      <w:pPr>
        <w:pStyle w:val="INFOEM"/>
        <w:rPr>
          <w:lang w:val="es-ES_tradnl" w:eastAsia="en-US"/>
        </w:rPr>
      </w:pPr>
      <w:r w:rsidRPr="00883102">
        <w:rPr>
          <w:b/>
          <w:lang w:val="es-ES_tradnl" w:eastAsia="en-US"/>
        </w:rPr>
        <w:lastRenderedPageBreak/>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35A18AE4" w14:textId="77777777" w:rsidR="00047726" w:rsidRPr="00883102" w:rsidRDefault="00047726" w:rsidP="00047726">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115A28EB" w14:textId="77777777" w:rsidR="00047726" w:rsidRPr="00883102" w:rsidRDefault="00047726" w:rsidP="00047726">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4AE07BEA" w14:textId="77777777" w:rsidR="00047726" w:rsidRPr="00883102" w:rsidRDefault="00047726" w:rsidP="00047726">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0FE90DC" w14:textId="77777777" w:rsidR="00047726" w:rsidRPr="00883102" w:rsidRDefault="00047726" w:rsidP="00047726">
      <w:pPr>
        <w:pStyle w:val="INFOEM"/>
        <w:rPr>
          <w:lang w:val="es-ES_tradnl" w:eastAsia="en-US"/>
        </w:rPr>
      </w:pPr>
      <w:r w:rsidRPr="00883102">
        <w:rPr>
          <w:lang w:val="es-ES_tradnl" w:eastAsia="en-US"/>
        </w:rPr>
        <w:t>(…)</w:t>
      </w:r>
    </w:p>
    <w:p w14:paraId="6107FB05" w14:textId="77777777" w:rsidR="00047726" w:rsidRPr="00883102" w:rsidRDefault="00047726" w:rsidP="00047726">
      <w:pPr>
        <w:pStyle w:val="INFOEM"/>
        <w:rPr>
          <w:lang w:val="es-ES_tradnl" w:eastAsia="en-US"/>
        </w:rPr>
      </w:pPr>
      <w:r w:rsidRPr="00883102">
        <w:rPr>
          <w:lang w:val="es-ES_tradnl" w:eastAsia="en-US"/>
        </w:rPr>
        <w:t>La ley establecerá aquella información que se considere reservada o confidencial.</w:t>
      </w:r>
    </w:p>
    <w:p w14:paraId="0A35EA60" w14:textId="77777777" w:rsidR="00047726" w:rsidRPr="003834CC" w:rsidRDefault="00047726" w:rsidP="00047726">
      <w:pPr>
        <w:pStyle w:val="INFOEM"/>
        <w:rPr>
          <w:b/>
          <w:lang w:val="es-ES_tradnl" w:eastAsia="en-US"/>
        </w:rPr>
      </w:pPr>
      <w:r w:rsidRPr="00883102">
        <w:rPr>
          <w:lang w:val="es-ES_tradnl" w:eastAsia="en-US"/>
        </w:rPr>
        <w:t xml:space="preserve">(…) </w:t>
      </w:r>
      <w:r>
        <w:rPr>
          <w:lang w:val="es-ES_tradnl" w:eastAsia="en-US"/>
        </w:rPr>
        <w:t xml:space="preserve">“ </w:t>
      </w:r>
      <w:r>
        <w:rPr>
          <w:b/>
          <w:lang w:val="es-ES_tradnl" w:eastAsia="en-US"/>
        </w:rPr>
        <w:t>(Sic)</w:t>
      </w:r>
    </w:p>
    <w:p w14:paraId="516D2C81" w14:textId="77777777" w:rsidR="00047726" w:rsidRPr="00883102" w:rsidRDefault="00047726" w:rsidP="00047726">
      <w:pPr>
        <w:spacing w:after="0" w:line="360" w:lineRule="auto"/>
        <w:jc w:val="both"/>
        <w:rPr>
          <w:rFonts w:ascii="Palatino Linotype" w:hAnsi="Palatino Linotype"/>
          <w:sz w:val="24"/>
          <w:szCs w:val="24"/>
          <w:lang w:val="es-ES_tradnl"/>
        </w:rPr>
      </w:pPr>
    </w:p>
    <w:p w14:paraId="64514394" w14:textId="77777777" w:rsidR="00047726" w:rsidRPr="00883102" w:rsidRDefault="00047726" w:rsidP="00047726">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Por su parte, la Constitución Política del Estado Libre y Soberano de México, en su artículo 5°, dispone en su parte conducente, lo siguiente:</w:t>
      </w:r>
    </w:p>
    <w:p w14:paraId="1C9A6221" w14:textId="77777777" w:rsidR="00047726" w:rsidRPr="00883102" w:rsidRDefault="00047726" w:rsidP="00047726">
      <w:pPr>
        <w:pStyle w:val="INFOEM"/>
        <w:rPr>
          <w:lang w:val="es-ES_tradnl" w:eastAsia="en-US"/>
        </w:rPr>
      </w:pPr>
      <w:r>
        <w:rPr>
          <w:lang w:val="es-ES_tradnl" w:eastAsia="en-US"/>
        </w:rPr>
        <w:t>“</w:t>
      </w:r>
      <w:r w:rsidRPr="00883102">
        <w:rPr>
          <w:lang w:val="es-ES_tradnl" w:eastAsia="en-US"/>
        </w:rPr>
        <w:t>Artículo 5. (…)</w:t>
      </w:r>
    </w:p>
    <w:p w14:paraId="69B34BE6" w14:textId="77777777" w:rsidR="00047726" w:rsidRPr="00883102" w:rsidRDefault="00047726" w:rsidP="00047726">
      <w:pPr>
        <w:pStyle w:val="INFOEM"/>
        <w:rPr>
          <w:lang w:val="es-ES_tradnl" w:eastAsia="en-US"/>
        </w:rPr>
      </w:pPr>
      <w:r w:rsidRPr="00883102">
        <w:rPr>
          <w:lang w:val="es-ES_tradnl" w:eastAsia="en-US"/>
        </w:rPr>
        <w:lastRenderedPageBreak/>
        <w:t xml:space="preserve">El derecho a la información será garantizado por el Estado. La ley establecerá las previsiones que permitan asegurar la protección, el respeto y la difusión de este derecho. </w:t>
      </w:r>
    </w:p>
    <w:p w14:paraId="1E73B470" w14:textId="77777777" w:rsidR="00047726" w:rsidRPr="00883102" w:rsidRDefault="00047726" w:rsidP="00047726">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7DDE628" w14:textId="77777777" w:rsidR="00047726" w:rsidRPr="00883102" w:rsidRDefault="00047726" w:rsidP="00047726">
      <w:pPr>
        <w:pStyle w:val="INFOEM"/>
        <w:rPr>
          <w:lang w:val="es-ES_tradnl" w:eastAsia="en-US"/>
        </w:rPr>
      </w:pPr>
      <w:r w:rsidRPr="00883102">
        <w:rPr>
          <w:lang w:val="es-ES_tradnl" w:eastAsia="en-US"/>
        </w:rPr>
        <w:t>Este derecho se regirá por los principios y bases siguientes:</w:t>
      </w:r>
    </w:p>
    <w:p w14:paraId="76D37295" w14:textId="77777777" w:rsidR="00047726" w:rsidRPr="00883102" w:rsidRDefault="00047726" w:rsidP="00047726">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DFA71B" w14:textId="77777777" w:rsidR="00047726" w:rsidRPr="00883102" w:rsidRDefault="00047726" w:rsidP="00047726">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271A7CB8" w14:textId="77777777" w:rsidR="00047726" w:rsidRPr="00883102" w:rsidRDefault="00047726" w:rsidP="00047726">
      <w:pPr>
        <w:pStyle w:val="INFOEM"/>
        <w:rPr>
          <w:lang w:val="es-ES_tradnl" w:eastAsia="en-US"/>
        </w:rPr>
      </w:pPr>
      <w:r w:rsidRPr="00883102">
        <w:rPr>
          <w:lang w:val="es-ES_tradnl" w:eastAsia="en-US"/>
        </w:rPr>
        <w:lastRenderedPageBreak/>
        <w:t>III. Toda persona, sin necesidad de acreditar interés alguno o justificar su utilización, tendrá acceso gratuito a la información pública, a sus datos personales o a la rectificación de éstos.</w:t>
      </w:r>
    </w:p>
    <w:p w14:paraId="3E2F6461" w14:textId="77777777" w:rsidR="00047726" w:rsidRPr="00883102" w:rsidRDefault="00047726" w:rsidP="00047726">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3B2AA64B" w14:textId="77777777" w:rsidR="00047726" w:rsidRPr="00883102" w:rsidRDefault="00047726" w:rsidP="00047726">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E3A68E7" w14:textId="77777777" w:rsidR="00047726" w:rsidRPr="00883102" w:rsidRDefault="00047726" w:rsidP="00047726">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1D76811" w14:textId="77777777" w:rsidR="00047726" w:rsidRPr="003834CC" w:rsidRDefault="00047726" w:rsidP="00047726">
      <w:pPr>
        <w:pStyle w:val="INFOEM"/>
        <w:rPr>
          <w:rFonts w:asciiTheme="minorHAnsi" w:hAnsiTheme="minorHAnsi"/>
          <w:b/>
          <w:lang w:val="es-ES_tradnl" w:eastAsia="en-US"/>
        </w:rPr>
      </w:pPr>
      <w:r w:rsidRPr="00883102">
        <w:rPr>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Pr="003834CC">
        <w:rPr>
          <w:b/>
          <w:lang w:val="es-ES_tradnl" w:eastAsia="en-US"/>
        </w:rPr>
        <w:t>(Sic)</w:t>
      </w:r>
    </w:p>
    <w:p w14:paraId="4FC041A5" w14:textId="77777777" w:rsidR="00047726" w:rsidRPr="00883102" w:rsidRDefault="00047726" w:rsidP="00047726">
      <w:pPr>
        <w:spacing w:after="0" w:line="360" w:lineRule="auto"/>
        <w:jc w:val="both"/>
        <w:rPr>
          <w:rFonts w:ascii="Palatino Linotype" w:hAnsi="Palatino Linotype"/>
          <w:sz w:val="24"/>
          <w:szCs w:val="24"/>
          <w:lang w:val="es-ES_tradnl"/>
        </w:rPr>
      </w:pPr>
    </w:p>
    <w:p w14:paraId="1DA33F3E" w14:textId="77777777" w:rsidR="00047726" w:rsidRPr="00883102" w:rsidRDefault="00047726" w:rsidP="00047726">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883102">
        <w:rPr>
          <w:rFonts w:ascii="Palatino Linotype" w:hAnsi="Palatino Linotype"/>
          <w:sz w:val="24"/>
          <w:szCs w:val="24"/>
          <w:lang w:val="es-ES_tradnl"/>
        </w:rPr>
        <w:lastRenderedPageBreak/>
        <w:t xml:space="preserve">la Ciudad de México o Municipales, con el fin de que los particulares conozcan toda aquella información que es considerada como pública. </w:t>
      </w:r>
    </w:p>
    <w:p w14:paraId="7FE7F7CB" w14:textId="77777777" w:rsidR="00047726" w:rsidRPr="00E92F3E" w:rsidRDefault="00047726" w:rsidP="00392C4E">
      <w:pPr>
        <w:autoSpaceDE w:val="0"/>
        <w:autoSpaceDN w:val="0"/>
        <w:adjustRightInd w:val="0"/>
        <w:spacing w:after="0" w:line="360" w:lineRule="auto"/>
        <w:jc w:val="both"/>
        <w:rPr>
          <w:rFonts w:ascii="Palatino Linotype" w:hAnsi="Palatino Linotype"/>
          <w:sz w:val="24"/>
          <w:szCs w:val="24"/>
        </w:rPr>
      </w:pPr>
    </w:p>
    <w:p w14:paraId="27C58E0D" w14:textId="2AC04B22" w:rsidR="00DF1912" w:rsidRDefault="00DF1912" w:rsidP="00DF1912">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sz w:val="24"/>
          <w:szCs w:val="24"/>
        </w:rPr>
        <w:t>Ahora bien,</w:t>
      </w:r>
      <w:r w:rsidR="00522AE5">
        <w:rPr>
          <w:rFonts w:ascii="Palatino Linotype" w:hAnsi="Palatino Linotype"/>
          <w:sz w:val="24"/>
          <w:szCs w:val="24"/>
        </w:rPr>
        <w:t xml:space="preserve"> respecto a lo solicitado por </w:t>
      </w:r>
      <w:r w:rsidR="0080347F">
        <w:rPr>
          <w:rFonts w:ascii="Palatino Linotype" w:hAnsi="Palatino Linotype"/>
          <w:sz w:val="24"/>
          <w:szCs w:val="24"/>
        </w:rPr>
        <w:t>la</w:t>
      </w:r>
      <w:r w:rsidR="006E7D7C">
        <w:rPr>
          <w:rFonts w:ascii="Palatino Linotype" w:hAnsi="Palatino Linotype"/>
          <w:sz w:val="24"/>
          <w:szCs w:val="24"/>
        </w:rPr>
        <w:t xml:space="preserve"> recurrente</w:t>
      </w:r>
      <w:r w:rsidR="0039077B">
        <w:rPr>
          <w:rFonts w:ascii="Palatino Linotype" w:hAnsi="Palatino Linotype"/>
          <w:sz w:val="24"/>
          <w:szCs w:val="24"/>
        </w:rPr>
        <w:t>,</w:t>
      </w:r>
      <w:r w:rsidR="0080347F">
        <w:rPr>
          <w:rFonts w:ascii="Palatino Linotype" w:hAnsi="Palatino Linotype"/>
          <w:sz w:val="24"/>
          <w:szCs w:val="24"/>
        </w:rPr>
        <w:t xml:space="preserve"> </w:t>
      </w:r>
      <w:r w:rsidR="0039077B">
        <w:rPr>
          <w:rFonts w:ascii="Palatino Linotype" w:hAnsi="Palatino Linotype"/>
          <w:sz w:val="24"/>
          <w:szCs w:val="24"/>
        </w:rPr>
        <w:t>s</w:t>
      </w:r>
      <w:r>
        <w:rPr>
          <w:rFonts w:ascii="Palatino Linotype" w:hAnsi="Palatino Linotype"/>
          <w:sz w:val="24"/>
          <w:szCs w:val="24"/>
        </w:rPr>
        <w:t xml:space="preserve">e considera pertinente citar lo establecido en </w:t>
      </w:r>
      <w:r>
        <w:rPr>
          <w:rFonts w:ascii="Palatino Linotype" w:hAnsi="Palatino Linotype" w:cs="Arial"/>
          <w:sz w:val="24"/>
          <w:szCs w:val="24"/>
        </w:rPr>
        <w:t>lo</w:t>
      </w:r>
      <w:r w:rsidR="006E7D7C">
        <w:rPr>
          <w:rFonts w:ascii="Palatino Linotype" w:hAnsi="Palatino Linotype" w:cs="Arial"/>
          <w:sz w:val="24"/>
          <w:szCs w:val="24"/>
        </w:rPr>
        <w:t>s artículos 24 fracción XII y 94</w:t>
      </w:r>
      <w:r>
        <w:rPr>
          <w:rFonts w:ascii="Palatino Linotype" w:hAnsi="Palatino Linotype" w:cs="Arial"/>
          <w:sz w:val="24"/>
          <w:szCs w:val="24"/>
        </w:rPr>
        <w:t xml:space="preserve"> fracción </w:t>
      </w:r>
      <w:r w:rsidR="006E7D7C">
        <w:rPr>
          <w:rFonts w:ascii="Palatino Linotype" w:hAnsi="Palatino Linotype" w:cs="Arial"/>
          <w:sz w:val="24"/>
          <w:szCs w:val="24"/>
        </w:rPr>
        <w:t>II, inciso a</w:t>
      </w:r>
      <w:r w:rsidR="003356AB">
        <w:rPr>
          <w:rFonts w:ascii="Palatino Linotype" w:hAnsi="Palatino Linotype" w:cs="Arial"/>
          <w:sz w:val="24"/>
          <w:szCs w:val="24"/>
        </w:rPr>
        <w:t xml:space="preserve"> </w:t>
      </w:r>
      <w:r>
        <w:rPr>
          <w:rFonts w:ascii="Palatino Linotype" w:hAnsi="Palatino Linotype" w:cs="Arial"/>
          <w:sz w:val="24"/>
          <w:szCs w:val="24"/>
        </w:rPr>
        <w:t xml:space="preserve">de la Ley de Transparencia y Acceso a la Información Pública del Estado de México y Municipios, cuyo contenido literal es el siguiente: </w:t>
      </w:r>
    </w:p>
    <w:p w14:paraId="6D76C171" w14:textId="77777777" w:rsidR="00047726" w:rsidRDefault="00047726" w:rsidP="00DF1912">
      <w:pPr>
        <w:autoSpaceDE w:val="0"/>
        <w:autoSpaceDN w:val="0"/>
        <w:adjustRightInd w:val="0"/>
        <w:spacing w:line="360" w:lineRule="auto"/>
        <w:jc w:val="both"/>
        <w:rPr>
          <w:rFonts w:ascii="Palatino Linotype" w:hAnsi="Palatino Linotype" w:cs="Arial"/>
          <w:sz w:val="24"/>
          <w:szCs w:val="24"/>
        </w:rPr>
      </w:pPr>
    </w:p>
    <w:p w14:paraId="243388B9" w14:textId="77777777" w:rsidR="00DF1912" w:rsidRDefault="00DF1912" w:rsidP="00DF1912">
      <w:pPr>
        <w:autoSpaceDE w:val="0"/>
        <w:autoSpaceDN w:val="0"/>
        <w:adjustRightInd w:val="0"/>
        <w:ind w:left="851" w:right="851"/>
        <w:jc w:val="both"/>
        <w:rPr>
          <w:rFonts w:ascii="Palatino Linotype" w:hAnsi="Palatino Linotype" w:cs="Arial"/>
          <w:b/>
          <w:bCs/>
          <w:i/>
          <w:color w:val="000000"/>
          <w:sz w:val="24"/>
          <w:szCs w:val="24"/>
        </w:rPr>
      </w:pPr>
      <w:r>
        <w:rPr>
          <w:rFonts w:ascii="Palatino Linotype" w:hAnsi="Palatino Linotype" w:cs="Arial"/>
          <w:b/>
          <w:bCs/>
          <w:i/>
          <w:color w:val="000000"/>
          <w:sz w:val="24"/>
          <w:szCs w:val="24"/>
        </w:rPr>
        <w:t xml:space="preserve">“Artículo 24. </w:t>
      </w:r>
      <w:r>
        <w:rPr>
          <w:rFonts w:ascii="Palatino Linotype" w:hAnsi="Palatino Linotype" w:cs="Arial"/>
          <w:i/>
          <w:color w:val="000000"/>
          <w:sz w:val="24"/>
          <w:szCs w:val="24"/>
        </w:rPr>
        <w:t>Para el cumplimiento de los objetivos de esta Ley, los sujetos obligados deberán cumplir con las siguientes obligaciones, según corresponda, de acuerdo a su naturaleza:</w:t>
      </w:r>
    </w:p>
    <w:p w14:paraId="6810F460" w14:textId="77777777" w:rsidR="00DF1912" w:rsidRDefault="00DF1912" w:rsidP="00DF1912">
      <w:pPr>
        <w:autoSpaceDE w:val="0"/>
        <w:autoSpaceDN w:val="0"/>
        <w:adjustRightInd w:val="0"/>
        <w:ind w:left="851" w:right="851"/>
        <w:jc w:val="both"/>
        <w:rPr>
          <w:rFonts w:ascii="Palatino Linotype" w:hAnsi="Palatino Linotype" w:cs="Arial"/>
          <w:b/>
          <w:bCs/>
          <w:i/>
          <w:color w:val="000000"/>
          <w:sz w:val="24"/>
          <w:szCs w:val="24"/>
        </w:rPr>
      </w:pPr>
      <w:r>
        <w:rPr>
          <w:rFonts w:ascii="Palatino Linotype" w:hAnsi="Palatino Linotype" w:cs="Arial"/>
          <w:b/>
          <w:bCs/>
          <w:i/>
          <w:color w:val="000000"/>
          <w:sz w:val="24"/>
          <w:szCs w:val="24"/>
        </w:rPr>
        <w:t xml:space="preserve">XII. </w:t>
      </w:r>
      <w:r>
        <w:rPr>
          <w:rFonts w:ascii="Palatino Linotype" w:hAnsi="Palatino Linotype" w:cs="Arial"/>
          <w:b/>
          <w:i/>
          <w:color w:val="000000"/>
          <w:sz w:val="24"/>
          <w:szCs w:val="24"/>
          <w:u w:val="single"/>
        </w:rPr>
        <w:t>Publicar y mantener actualizada la información relativa a las obligaciones generales de transparencia</w:t>
      </w:r>
      <w:r>
        <w:rPr>
          <w:rFonts w:ascii="Palatino Linotype" w:hAnsi="Palatino Linotype" w:cs="Arial"/>
          <w:i/>
          <w:color w:val="000000"/>
          <w:sz w:val="24"/>
          <w:szCs w:val="24"/>
        </w:rPr>
        <w:t xml:space="preserve"> previstas en la presente Ley o determinadas así por el Instituto, y en general aquella que sea de interés público;</w:t>
      </w:r>
    </w:p>
    <w:p w14:paraId="32153433" w14:textId="728058FF" w:rsidR="00E97E46" w:rsidRPr="00E97E46" w:rsidRDefault="00E97E46" w:rsidP="00E97E46">
      <w:pPr>
        <w:autoSpaceDE w:val="0"/>
        <w:autoSpaceDN w:val="0"/>
        <w:adjustRightInd w:val="0"/>
        <w:ind w:left="851" w:right="851"/>
        <w:jc w:val="center"/>
        <w:rPr>
          <w:rFonts w:ascii="Palatino Linotype" w:hAnsi="Palatino Linotype"/>
          <w:i/>
          <w:iCs/>
          <w:sz w:val="24"/>
          <w:szCs w:val="24"/>
        </w:rPr>
      </w:pPr>
      <w:r w:rsidRPr="00E97E46">
        <w:rPr>
          <w:rFonts w:ascii="Palatino Linotype" w:hAnsi="Palatino Linotype"/>
          <w:i/>
          <w:iCs/>
          <w:sz w:val="24"/>
          <w:szCs w:val="24"/>
        </w:rPr>
        <w:t>Capítulo II</w:t>
      </w:r>
    </w:p>
    <w:p w14:paraId="637C052C" w14:textId="40E331FC" w:rsidR="00E97E46" w:rsidRDefault="00E97E46" w:rsidP="00E97E46">
      <w:pPr>
        <w:autoSpaceDE w:val="0"/>
        <w:autoSpaceDN w:val="0"/>
        <w:adjustRightInd w:val="0"/>
        <w:ind w:left="851" w:right="851"/>
        <w:jc w:val="center"/>
        <w:rPr>
          <w:rFonts w:ascii="Palatino Linotype" w:hAnsi="Palatino Linotype"/>
          <w:i/>
          <w:iCs/>
          <w:sz w:val="24"/>
          <w:szCs w:val="24"/>
        </w:rPr>
      </w:pPr>
      <w:r w:rsidRPr="00E97E46">
        <w:rPr>
          <w:rFonts w:ascii="Palatino Linotype" w:hAnsi="Palatino Linotype"/>
          <w:i/>
          <w:iCs/>
          <w:sz w:val="24"/>
          <w:szCs w:val="24"/>
        </w:rPr>
        <w:t>De las Obligaciones de Transparencia Comunes</w:t>
      </w:r>
    </w:p>
    <w:p w14:paraId="67017A6B" w14:textId="77777777" w:rsidR="00E97E46" w:rsidRPr="00E97E46" w:rsidRDefault="00E97E46" w:rsidP="00E97E46">
      <w:pPr>
        <w:autoSpaceDE w:val="0"/>
        <w:autoSpaceDN w:val="0"/>
        <w:adjustRightInd w:val="0"/>
        <w:ind w:left="851" w:right="851"/>
        <w:jc w:val="center"/>
        <w:rPr>
          <w:rFonts w:ascii="Palatino Linotype" w:hAnsi="Palatino Linotype"/>
          <w:i/>
          <w:iCs/>
          <w:sz w:val="24"/>
          <w:szCs w:val="24"/>
        </w:rPr>
      </w:pPr>
    </w:p>
    <w:p w14:paraId="3F35B035" w14:textId="77777777" w:rsidR="00E97E46" w:rsidRDefault="00E97E46" w:rsidP="0089456B">
      <w:pPr>
        <w:autoSpaceDE w:val="0"/>
        <w:autoSpaceDN w:val="0"/>
        <w:adjustRightInd w:val="0"/>
        <w:ind w:left="851" w:right="851"/>
        <w:jc w:val="both"/>
        <w:rPr>
          <w:rFonts w:ascii="Palatino Linotype" w:hAnsi="Palatino Linotype"/>
          <w:i/>
          <w:iCs/>
          <w:sz w:val="24"/>
          <w:szCs w:val="24"/>
        </w:rPr>
      </w:pPr>
      <w:r w:rsidRPr="0039077B">
        <w:rPr>
          <w:rFonts w:ascii="Palatino Linotype" w:hAnsi="Palatino Linotype"/>
          <w:b/>
          <w:sz w:val="24"/>
          <w:szCs w:val="24"/>
        </w:rPr>
        <w:t xml:space="preserve"> </w:t>
      </w:r>
      <w:r w:rsidRPr="0039077B">
        <w:rPr>
          <w:rFonts w:ascii="Palatino Linotype" w:hAnsi="Palatino Linotype"/>
          <w:b/>
          <w:i/>
          <w:iCs/>
          <w:sz w:val="24"/>
          <w:szCs w:val="24"/>
        </w:rPr>
        <w:t>Artículo 92</w:t>
      </w:r>
      <w:r w:rsidRPr="00E97E46">
        <w:rPr>
          <w:rFonts w:ascii="Palatino Linotype" w:hAnsi="Palatino Linotype"/>
          <w:i/>
          <w:iCs/>
          <w:sz w:val="24"/>
          <w:szCs w:val="24"/>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9E077D" w14:textId="0C0232A8" w:rsidR="00E97E46" w:rsidRDefault="00E97E46" w:rsidP="00E97E46">
      <w:pPr>
        <w:pStyle w:val="Prrafodelista"/>
        <w:numPr>
          <w:ilvl w:val="0"/>
          <w:numId w:val="11"/>
        </w:numPr>
        <w:autoSpaceDE w:val="0"/>
        <w:autoSpaceDN w:val="0"/>
        <w:adjustRightInd w:val="0"/>
        <w:ind w:right="851"/>
        <w:jc w:val="both"/>
        <w:rPr>
          <w:rFonts w:ascii="Palatino Linotype" w:hAnsi="Palatino Linotype"/>
          <w:i/>
          <w:iCs/>
        </w:rPr>
      </w:pPr>
      <w:r w:rsidRPr="00E97E46">
        <w:rPr>
          <w:rFonts w:ascii="Palatino Linotype" w:hAnsi="Palatino Linotype"/>
          <w:i/>
          <w:iCs/>
        </w:rPr>
        <w:t xml:space="preserve">… </w:t>
      </w:r>
    </w:p>
    <w:p w14:paraId="4B5E082F" w14:textId="22214A01" w:rsidR="006E7D7C" w:rsidRDefault="006E7D7C" w:rsidP="00E97E46">
      <w:pPr>
        <w:pStyle w:val="Prrafodelista"/>
        <w:numPr>
          <w:ilvl w:val="0"/>
          <w:numId w:val="11"/>
        </w:numPr>
        <w:autoSpaceDE w:val="0"/>
        <w:autoSpaceDN w:val="0"/>
        <w:adjustRightInd w:val="0"/>
        <w:ind w:right="851"/>
        <w:jc w:val="both"/>
        <w:rPr>
          <w:rFonts w:ascii="Palatino Linotype" w:hAnsi="Palatino Linotype"/>
          <w:i/>
          <w:iCs/>
        </w:rPr>
      </w:pPr>
      <w:r>
        <w:rPr>
          <w:rFonts w:ascii="Palatino Linotype" w:hAnsi="Palatino Linotype"/>
          <w:i/>
          <w:iCs/>
        </w:rPr>
        <w:t>Adicionalmente en el caso de los municipios:</w:t>
      </w:r>
    </w:p>
    <w:p w14:paraId="7220DC35" w14:textId="3FDBCA70" w:rsidR="006E7D7C" w:rsidRPr="00E97E46" w:rsidRDefault="006E7D7C" w:rsidP="006E7D7C">
      <w:pPr>
        <w:pStyle w:val="Prrafodelista"/>
        <w:autoSpaceDE w:val="0"/>
        <w:autoSpaceDN w:val="0"/>
        <w:adjustRightInd w:val="0"/>
        <w:ind w:left="1631" w:right="851"/>
        <w:jc w:val="both"/>
        <w:rPr>
          <w:rFonts w:ascii="Palatino Linotype" w:hAnsi="Palatino Linotype"/>
          <w:i/>
          <w:iCs/>
        </w:rPr>
      </w:pPr>
      <w:r>
        <w:rPr>
          <w:rFonts w:ascii="Palatino Linotype" w:hAnsi="Palatino Linotype"/>
          <w:i/>
          <w:iCs/>
        </w:rPr>
        <w:lastRenderedPageBreak/>
        <w:t xml:space="preserve">a) </w:t>
      </w:r>
      <w:r w:rsidRPr="006E7D7C">
        <w:rPr>
          <w:rFonts w:ascii="Palatino Linotype" w:hAnsi="Palatino Linotype"/>
          <w:b/>
          <w:i/>
          <w:iCs/>
        </w:rPr>
        <w:t>El contenido de las gacetas municipales,</w:t>
      </w:r>
      <w:r>
        <w:rPr>
          <w:rFonts w:ascii="Palatino Linotype" w:hAnsi="Palatino Linotype"/>
          <w:i/>
          <w:iCs/>
        </w:rPr>
        <w:t xml:space="preserve"> las cuales deberán comprender los resolutivos y acuerdos aprobados por los ayuntamientos;…”</w:t>
      </w:r>
    </w:p>
    <w:p w14:paraId="05397FA6" w14:textId="77777777" w:rsidR="00E97E46" w:rsidRDefault="00E97E46" w:rsidP="00E97E46">
      <w:pPr>
        <w:pStyle w:val="Prrafodelista"/>
        <w:autoSpaceDE w:val="0"/>
        <w:autoSpaceDN w:val="0"/>
        <w:adjustRightInd w:val="0"/>
        <w:ind w:left="1631" w:right="851"/>
        <w:jc w:val="both"/>
        <w:rPr>
          <w:rFonts w:ascii="Palatino Linotype" w:hAnsi="Palatino Linotype"/>
          <w:i/>
          <w:iCs/>
        </w:rPr>
      </w:pPr>
    </w:p>
    <w:p w14:paraId="0ECDF168" w14:textId="77777777" w:rsidR="00155F13" w:rsidRDefault="00155F13" w:rsidP="002470D3">
      <w:pPr>
        <w:autoSpaceDE w:val="0"/>
        <w:autoSpaceDN w:val="0"/>
        <w:adjustRightInd w:val="0"/>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Con base en los ordenamientos citados, se acredita que existe fuente obligacional dentro del marco normativo del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Protección de Datos Personales en Posesión de Sujetos Obligados del Estado de México y Municipios</w:t>
      </w:r>
    </w:p>
    <w:p w14:paraId="238CF439" w14:textId="77777777" w:rsidR="00155F13" w:rsidRDefault="00155F13" w:rsidP="002470D3">
      <w:pPr>
        <w:autoSpaceDE w:val="0"/>
        <w:autoSpaceDN w:val="0"/>
        <w:adjustRightInd w:val="0"/>
        <w:spacing w:after="0" w:line="360" w:lineRule="auto"/>
        <w:jc w:val="both"/>
        <w:rPr>
          <w:rFonts w:ascii="Palatino Linotype" w:hAnsi="Palatino Linotype" w:cs="Arial"/>
          <w:sz w:val="24"/>
          <w:szCs w:val="24"/>
        </w:rPr>
      </w:pPr>
    </w:p>
    <w:p w14:paraId="3F0A6B58" w14:textId="0DB2E878" w:rsidR="002470D3" w:rsidRPr="0010165E" w:rsidRDefault="00954EE0"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este tenor es de destacar que </w:t>
      </w:r>
      <w:r w:rsidR="002470D3" w:rsidRPr="0010165E">
        <w:rPr>
          <w:rFonts w:ascii="Palatino Linotype" w:eastAsia="Times New Roman" w:hAnsi="Palatino Linotype" w:cs="Arial"/>
          <w:sz w:val="24"/>
          <w:szCs w:val="24"/>
          <w:lang w:val="es-ES" w:eastAsia="es-ES"/>
        </w:rPr>
        <w:t xml:space="preserve">en cumplimiento a las obligaciones que establece nuestra Carta Magna, la Constitución Estatal y </w:t>
      </w:r>
      <w:r w:rsidR="00CF5035">
        <w:rPr>
          <w:rFonts w:ascii="Palatino Linotype" w:eastAsia="Times New Roman" w:hAnsi="Palatino Linotype" w:cs="Arial"/>
          <w:sz w:val="24"/>
          <w:szCs w:val="24"/>
          <w:lang w:val="es-ES" w:eastAsia="es-ES"/>
        </w:rPr>
        <w:t xml:space="preserve">que </w:t>
      </w:r>
      <w:r w:rsidR="002470D3" w:rsidRPr="0010165E">
        <w:rPr>
          <w:rFonts w:ascii="Palatino Linotype" w:eastAsia="Times New Roman" w:hAnsi="Palatino Linotype" w:cs="Arial"/>
          <w:sz w:val="24"/>
          <w:szCs w:val="24"/>
          <w:lang w:val="es-ES" w:eastAsia="es-ES"/>
        </w:rPr>
        <w:t xml:space="preserve">la Ley de la materia le imponen,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fue omiso en dar respuesta a la solicitud.</w:t>
      </w:r>
    </w:p>
    <w:p w14:paraId="0DC4E511"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946556"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9007BDE"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3BA500" w14:textId="77777777" w:rsidR="00954EE0"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lastRenderedPageBreak/>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p>
    <w:p w14:paraId="2FE169B6" w14:textId="77777777" w:rsidR="00954EE0" w:rsidRDefault="00954EE0"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29CD581" w14:textId="4935CC0A" w:rsidR="002470D3" w:rsidRPr="0010165E"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w:t>
      </w:r>
      <w:r w:rsidRPr="0010165E">
        <w:rPr>
          <w:rFonts w:ascii="Palatino Linotype" w:hAnsi="Palatino Linotype" w:cs="Arial"/>
          <w:sz w:val="24"/>
          <w:szCs w:val="24"/>
        </w:rPr>
        <w:lastRenderedPageBreak/>
        <w:t>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10165E">
        <w:rPr>
          <w:rFonts w:ascii="Palatino Linotype" w:hAnsi="Palatino Linotype"/>
          <w:sz w:val="24"/>
          <w:szCs w:val="24"/>
        </w:rPr>
        <w:lastRenderedPageBreak/>
        <w:t xml:space="preserve">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lastRenderedPageBreak/>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7646D9A6"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w:t>
      </w:r>
      <w:r w:rsidR="00BC22EB" w:rsidRPr="00155F13">
        <w:rPr>
          <w:rFonts w:ascii="Palatino Linotype" w:hAnsi="Palatino Linotype" w:cs="Arial"/>
          <w:sz w:val="24"/>
          <w:szCs w:val="24"/>
        </w:rPr>
        <w:t>información</w:t>
      </w:r>
      <w:r w:rsidR="00D46F48" w:rsidRPr="00155F13">
        <w:rPr>
          <w:rFonts w:ascii="Palatino Linotype" w:hAnsi="Palatino Linotype" w:cs="Arial"/>
          <w:sz w:val="24"/>
          <w:szCs w:val="24"/>
        </w:rPr>
        <w:t xml:space="preserve"> </w:t>
      </w:r>
      <w:r w:rsidR="00155F13" w:rsidRPr="00155F13">
        <w:rPr>
          <w:rFonts w:ascii="Palatino Linotype" w:hAnsi="Palatino Linotype" w:cs="Arial"/>
          <w:b/>
          <w:bCs/>
          <w:color w:val="333333"/>
          <w:sz w:val="24"/>
          <w:szCs w:val="24"/>
        </w:rPr>
        <w:t>00178/OCOYOAC/IP/2022</w:t>
      </w:r>
      <w:r w:rsidR="00155F13">
        <w:rPr>
          <w:rFonts w:ascii="Arial" w:hAnsi="Arial" w:cs="Arial"/>
          <w:b/>
          <w:bCs/>
          <w:color w:val="333333"/>
          <w:sz w:val="15"/>
          <w:szCs w:val="15"/>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517AB6B1"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w:t>
      </w:r>
      <w:r w:rsidR="003646D8">
        <w:rPr>
          <w:rFonts w:ascii="Palatino Linotype" w:hAnsi="Palatino Linotype" w:cs="Arial"/>
          <w:b/>
          <w:bCs/>
          <w:sz w:val="24"/>
          <w:szCs w:val="24"/>
        </w:rPr>
        <w:t>La</w:t>
      </w:r>
      <w:r w:rsidR="000067F1">
        <w:rPr>
          <w:rFonts w:ascii="Palatino Linotype" w:hAnsi="Palatino Linotype" w:cs="Arial"/>
          <w:sz w:val="24"/>
          <w:szCs w:val="24"/>
        </w:rPr>
        <w:t xml:space="preserve">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35D5715C" w14:textId="1D952123"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lastRenderedPageBreak/>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 xml:space="preserve">de </w:t>
      </w:r>
      <w:r w:rsidR="00BC22EB" w:rsidRPr="00FB50E0">
        <w:rPr>
          <w:rFonts w:ascii="Palatino Linotype" w:hAnsi="Palatino Linotype" w:cs="Arial"/>
          <w:sz w:val="24"/>
          <w:szCs w:val="24"/>
        </w:rPr>
        <w:t>información</w:t>
      </w:r>
      <w:r w:rsidR="00155F13">
        <w:rPr>
          <w:rFonts w:ascii="Palatino Linotype" w:hAnsi="Palatino Linotype" w:cs="Arial"/>
          <w:sz w:val="24"/>
          <w:szCs w:val="24"/>
        </w:rPr>
        <w:t xml:space="preserve"> </w:t>
      </w:r>
      <w:r w:rsidR="00155F13" w:rsidRPr="00ED25E3">
        <w:rPr>
          <w:rFonts w:ascii="Palatino Linotype" w:hAnsi="Palatino Linotype" w:cs="Arial"/>
          <w:b/>
          <w:bCs/>
          <w:sz w:val="24"/>
          <w:szCs w:val="24"/>
        </w:rPr>
        <w:t>00178/OCOYOAC/IP/2022</w:t>
      </w:r>
      <w:r w:rsidR="006E69E5" w:rsidRPr="00ED25E3">
        <w:rPr>
          <w:rFonts w:ascii="Palatino Linotype" w:hAnsi="Palatino Linotype" w:cs="Arial"/>
          <w:b/>
          <w:sz w:val="24"/>
          <w:szCs w:val="24"/>
          <w:lang w:eastAsia="es-MX"/>
        </w:rPr>
        <w:t>;</w:t>
      </w:r>
      <w:r w:rsidRPr="00ED25E3">
        <w:rPr>
          <w:rFonts w:ascii="Palatino Linotype" w:hAnsi="Palatino Linotype" w:cs="Arial"/>
          <w:sz w:val="24"/>
          <w:szCs w:val="24"/>
        </w:rPr>
        <w:t xml:space="preserve"> </w:t>
      </w:r>
      <w:r w:rsidRPr="00FB50E0">
        <w:rPr>
          <w:rFonts w:ascii="Palatino Linotype" w:hAnsi="Palatino Linotype" w:cs="Arial"/>
          <w:sz w:val="24"/>
          <w:szCs w:val="24"/>
        </w:rPr>
        <w:t xml:space="preserve">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00094405">
        <w:rPr>
          <w:rFonts w:ascii="Palatino Linotype" w:hAnsi="Palatino Linotype" w:cs="Arial"/>
          <w:sz w:val="24"/>
          <w:szCs w:val="24"/>
        </w:rPr>
        <w:t xml:space="preserve"> </w:t>
      </w:r>
      <w:r w:rsidRPr="00FB50E0">
        <w:rPr>
          <w:rFonts w:ascii="Palatino Linotype" w:hAnsi="Palatino Linotype" w:cs="Arial"/>
          <w:sz w:val="24"/>
          <w:szCs w:val="24"/>
        </w:rPr>
        <w:t>vía Sistema de Acceso a la Información Mexiquense (SAIMEX)</w:t>
      </w:r>
      <w:r w:rsidR="00C70C9F">
        <w:rPr>
          <w:rFonts w:ascii="Palatino Linotype" w:hAnsi="Palatino Linotype" w:cs="Arial"/>
          <w:sz w:val="24"/>
          <w:szCs w:val="24"/>
        </w:rPr>
        <w:t>.</w:t>
      </w:r>
    </w:p>
    <w:p w14:paraId="3955CA55" w14:textId="77777777" w:rsidR="00C70C9F" w:rsidRPr="00FB50E0" w:rsidRDefault="00C70C9F" w:rsidP="00DB52AF">
      <w:pPr>
        <w:tabs>
          <w:tab w:val="left" w:pos="8647"/>
        </w:tabs>
        <w:spacing w:after="0" w:line="360" w:lineRule="auto"/>
        <w:ind w:right="51"/>
        <w:jc w:val="both"/>
        <w:rPr>
          <w:rFonts w:ascii="Palatino Linotype" w:hAnsi="Palatino Linotype" w:cs="Arial"/>
          <w:sz w:val="24"/>
          <w:szCs w:val="24"/>
        </w:rPr>
      </w:pPr>
    </w:p>
    <w:p w14:paraId="586AACBD" w14:textId="62D61E2F"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BC22EB" w:rsidRPr="00FB50E0">
        <w:rPr>
          <w:rFonts w:ascii="Palatino Linotype" w:hAnsi="Palatino Linotype" w:cs="Arial"/>
          <w:sz w:val="24"/>
          <w:szCs w:val="24"/>
        </w:rPr>
        <w:t>Municipios</w:t>
      </w:r>
      <w:r w:rsidRPr="00FB50E0">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1ECCCA15"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w:t>
      </w:r>
      <w:r w:rsidR="00B238EA">
        <w:rPr>
          <w:rFonts w:ascii="Palatino Linotype" w:eastAsia="Times New Roman" w:hAnsi="Palatino Linotype" w:cs="Arial"/>
          <w:b/>
          <w:sz w:val="24"/>
          <w:szCs w:val="24"/>
          <w:lang w:val="es-ES" w:eastAsia="es-ES"/>
        </w:rPr>
        <w:t xml:space="preserve"> la</w:t>
      </w:r>
      <w:r w:rsidR="000067F1">
        <w:rPr>
          <w:rFonts w:ascii="Palatino Linotype" w:eastAsia="Times New Roman" w:hAnsi="Palatino Linotype" w:cs="Arial"/>
          <w:b/>
          <w:sz w:val="24"/>
          <w:szCs w:val="24"/>
          <w:lang w:val="es-ES" w:eastAsia="es-ES"/>
        </w:rPr>
        <w:t xml:space="preserve"> </w:t>
      </w:r>
      <w:r w:rsidRPr="00FB50E0">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w:t>
      </w:r>
      <w:r w:rsidR="00B24A23" w:rsidRPr="00FB50E0">
        <w:rPr>
          <w:rFonts w:ascii="Palatino Linotype" w:hAnsi="Palatino Linotype" w:cs="Arial"/>
          <w:sz w:val="24"/>
          <w:szCs w:val="24"/>
        </w:rPr>
        <w:t xml:space="preserve">Sistema de Acceso a la </w:t>
      </w:r>
      <w:r w:rsidR="00B24A23">
        <w:rPr>
          <w:rFonts w:ascii="Palatino Linotype" w:hAnsi="Palatino Linotype" w:cs="Arial"/>
          <w:sz w:val="24"/>
          <w:szCs w:val="24"/>
        </w:rPr>
        <w:t>Información Mexiquense (SAIMEX)</w:t>
      </w:r>
      <w:r w:rsidR="00094405">
        <w:rPr>
          <w:rFonts w:ascii="Palatino Linotype" w:hAnsi="Palatino Linotype" w:cs="Arial"/>
          <w:sz w:val="24"/>
          <w:szCs w:val="24"/>
        </w:rPr>
        <w:t xml:space="preserve"> y correo electrónico</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00867082" w:rsidRPr="00FB50E0">
        <w:rPr>
          <w:rFonts w:ascii="Palatino Linotype" w:eastAsia="Times New Roman" w:hAnsi="Palatino Linotype" w:cs="Arial"/>
          <w:sz w:val="24"/>
          <w:szCs w:val="24"/>
          <w:lang w:val="es-ES" w:eastAsia="es-ES"/>
        </w:rPr>
        <w:t>de acuerdo con</w:t>
      </w:r>
      <w:r w:rsidRPr="00FB50E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7DA6D290"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lastRenderedPageBreak/>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w:t>
      </w:r>
      <w:r w:rsidR="00C24AEB" w:rsidRPr="00FB50E0">
        <w:rPr>
          <w:rFonts w:ascii="Palatino Linotype" w:eastAsia="Calibri" w:hAnsi="Palatino Linotype" w:cs="Times New Roman"/>
          <w:sz w:val="24"/>
          <w:szCs w:val="24"/>
          <w:lang w:eastAsia="es-ES_tradnl"/>
        </w:rPr>
        <w:t>a</w:t>
      </w:r>
      <w:r w:rsidR="00B238EA">
        <w:rPr>
          <w:rFonts w:ascii="Palatino Linotype" w:eastAsia="Calibri" w:hAnsi="Palatino Linotype" w:cs="Times New Roman"/>
          <w:sz w:val="24"/>
          <w:szCs w:val="24"/>
          <w:lang w:eastAsia="es-ES_tradnl"/>
        </w:rPr>
        <w:t xml:space="preserve"> la </w:t>
      </w:r>
      <w:r w:rsidR="00C24AEB"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0EB2D2A0"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949C6">
        <w:rPr>
          <w:rFonts w:ascii="Palatino Linotype" w:hAnsi="Palatino Linotype"/>
          <w:b/>
          <w:sz w:val="24"/>
          <w:szCs w:val="24"/>
          <w:lang w:eastAsia="es-ES_tradnl"/>
        </w:rPr>
        <w:t xml:space="preserve">Gírese </w:t>
      </w:r>
      <w:r w:rsidR="00DB52AF" w:rsidRPr="00FB50E0">
        <w:rPr>
          <w:rFonts w:ascii="Palatino Linotype" w:hAnsi="Palatino Linotype"/>
          <w:sz w:val="24"/>
          <w:szCs w:val="24"/>
          <w:lang w:eastAsia="es-ES_tradnl"/>
        </w:rPr>
        <w:t xml:space="preserve">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7A2513">
        <w:rPr>
          <w:rFonts w:ascii="Palatino Linotype" w:hAnsi="Palatino Linotype"/>
          <w:sz w:val="24"/>
          <w:szCs w:val="24"/>
          <w:lang w:eastAsia="es-ES_tradnl"/>
        </w:rPr>
        <w:t>CUARTO</w:t>
      </w:r>
      <w:r w:rsidR="00DB52AF" w:rsidRPr="00FB50E0">
        <w:rPr>
          <w:rFonts w:ascii="Palatino Linotype" w:hAnsi="Palatino Linotype"/>
          <w:sz w:val="24"/>
          <w:szCs w:val="24"/>
          <w:lang w:eastAsia="es-ES_tradnl"/>
        </w:rPr>
        <w:t xml:space="preserve"> de la presente resolución.</w:t>
      </w:r>
    </w:p>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17D37489" w14:textId="1F274E41"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BC22EB">
        <w:rPr>
          <w:rFonts w:ascii="Palatino Linotype" w:hAnsi="Palatino Linotype" w:cs="Arial"/>
          <w:sz w:val="24"/>
          <w:szCs w:val="24"/>
        </w:rPr>
        <w:t xml:space="preserve">EN </w:t>
      </w:r>
      <w:r w:rsidR="00024064" w:rsidRPr="00BC22EB">
        <w:rPr>
          <w:rFonts w:ascii="Palatino Linotype" w:hAnsi="Palatino Linotype" w:cs="Arial"/>
          <w:sz w:val="24"/>
          <w:szCs w:val="24"/>
        </w:rPr>
        <w:t xml:space="preserve">LA </w:t>
      </w:r>
      <w:r w:rsidR="00326B8C">
        <w:rPr>
          <w:rFonts w:ascii="Palatino Linotype" w:hAnsi="Palatino Linotype" w:cs="Arial"/>
          <w:sz w:val="24"/>
          <w:szCs w:val="24"/>
        </w:rPr>
        <w:t xml:space="preserve">TRIGÉSIMA </w:t>
      </w:r>
      <w:r w:rsidR="00155F13">
        <w:rPr>
          <w:rFonts w:ascii="Palatino Linotype" w:hAnsi="Palatino Linotype" w:cs="Arial"/>
          <w:sz w:val="24"/>
          <w:szCs w:val="24"/>
        </w:rPr>
        <w:t>TERCERA</w:t>
      </w:r>
      <w:r w:rsidR="007A2513">
        <w:rPr>
          <w:rFonts w:ascii="Palatino Linotype" w:hAnsi="Palatino Linotype" w:cs="Arial"/>
          <w:sz w:val="24"/>
          <w:szCs w:val="24"/>
        </w:rPr>
        <w:t xml:space="preserve"> </w:t>
      </w:r>
      <w:r w:rsidR="00024064" w:rsidRPr="00BC22EB">
        <w:rPr>
          <w:rFonts w:ascii="Palatino Linotype" w:hAnsi="Palatino Linotype" w:cs="Arial"/>
          <w:sz w:val="24"/>
          <w:szCs w:val="24"/>
        </w:rPr>
        <w:t>SESIÓN ORDINARIA CELEBRADA EL</w:t>
      </w:r>
      <w:r w:rsidR="007A2513">
        <w:rPr>
          <w:rFonts w:ascii="Palatino Linotype" w:hAnsi="Palatino Linotype" w:cs="Arial"/>
          <w:sz w:val="24"/>
          <w:szCs w:val="24"/>
        </w:rPr>
        <w:t xml:space="preserve"> </w:t>
      </w:r>
      <w:r w:rsidR="00155F13">
        <w:rPr>
          <w:rFonts w:ascii="Palatino Linotype" w:hAnsi="Palatino Linotype" w:cs="Arial"/>
          <w:sz w:val="24"/>
          <w:szCs w:val="24"/>
        </w:rPr>
        <w:t>CATORCE</w:t>
      </w:r>
      <w:r w:rsidR="007A2513">
        <w:rPr>
          <w:rFonts w:ascii="Palatino Linotype" w:hAnsi="Palatino Linotype" w:cs="Arial"/>
          <w:sz w:val="24"/>
          <w:szCs w:val="24"/>
        </w:rPr>
        <w:t xml:space="preserve"> DE SEPTIEMBRE DE DOS MIL VEINT</w:t>
      </w:r>
      <w:r w:rsidR="00D46F48">
        <w:rPr>
          <w:rFonts w:ascii="Palatino Linotype" w:hAnsi="Palatino Linotype" w:cs="Arial"/>
          <w:sz w:val="24"/>
          <w:szCs w:val="24"/>
        </w:rPr>
        <w:t>I</w:t>
      </w:r>
      <w:r w:rsidR="007A2513">
        <w:rPr>
          <w:rFonts w:ascii="Palatino Linotype" w:hAnsi="Palatino Linotype" w:cs="Arial"/>
          <w:sz w:val="24"/>
          <w:szCs w:val="24"/>
        </w:rPr>
        <w:t>DÓS</w:t>
      </w:r>
      <w:r w:rsidRPr="00BC22EB">
        <w:rPr>
          <w:rFonts w:ascii="Palatino Linotype" w:hAnsi="Palatino Linotype" w:cs="Arial"/>
          <w:sz w:val="24"/>
          <w:szCs w:val="24"/>
        </w:rPr>
        <w:t>,</w:t>
      </w:r>
      <w:r w:rsidRPr="0010165E">
        <w:rPr>
          <w:rFonts w:ascii="Palatino Linotype" w:hAnsi="Palatino Linotype" w:cs="Arial"/>
          <w:sz w:val="24"/>
          <w:szCs w:val="24"/>
        </w:rPr>
        <w:t xml:space="preserve">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r w:rsidR="00F26B6E">
        <w:rPr>
          <w:rFonts w:ascii="Palatino Linotype" w:hAnsi="Palatino Linotype" w:cs="Arial"/>
          <w:sz w:val="24"/>
          <w:szCs w:val="24"/>
        </w:rPr>
        <w:t>-------------------------------------</w:t>
      </w:r>
      <w:r w:rsidR="000D63AD">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JMV/CCR/pgch</w:t>
      </w:r>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2E5293"/>
    <w:sectPr w:rsidR="00EF5006" w:rsidSect="0013539D">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286F" w14:textId="77777777" w:rsidR="002E5293" w:rsidRDefault="002E5293" w:rsidP="00DB52AF">
      <w:pPr>
        <w:spacing w:after="0" w:line="240" w:lineRule="auto"/>
      </w:pPr>
      <w:r>
        <w:separator/>
      </w:r>
    </w:p>
  </w:endnote>
  <w:endnote w:type="continuationSeparator" w:id="0">
    <w:p w14:paraId="517B0A17" w14:textId="77777777" w:rsidR="002E5293" w:rsidRDefault="002E5293"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0B14B7A4"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4307">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E4307">
              <w:rPr>
                <w:rFonts w:ascii="Palatino Linotype" w:hAnsi="Palatino Linotype"/>
                <w:bCs/>
                <w:noProof/>
                <w:sz w:val="20"/>
              </w:rPr>
              <w:t>31</w:t>
            </w:r>
            <w:r>
              <w:rPr>
                <w:rFonts w:ascii="Palatino Linotype" w:hAnsi="Palatino Linotype"/>
                <w:bCs/>
                <w:noProof/>
                <w:sz w:val="20"/>
              </w:rPr>
              <w:fldChar w:fldCharType="end"/>
            </w:r>
          </w:p>
        </w:sdtContent>
      </w:sdt>
    </w:sdtContent>
  </w:sdt>
  <w:p w14:paraId="0CDE4F13" w14:textId="77777777" w:rsidR="002C0311" w:rsidRDefault="002E529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D14F" w14:textId="6B8236BB"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43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E4307">
      <w:rPr>
        <w:rFonts w:ascii="Palatino Linotype" w:hAnsi="Palatino Linotype"/>
        <w:bCs/>
        <w:noProof/>
        <w:sz w:val="20"/>
      </w:rPr>
      <w:t>31</w:t>
    </w:r>
    <w:r>
      <w:rPr>
        <w:rFonts w:ascii="Palatino Linotype" w:hAnsi="Palatino Linotype"/>
        <w:bCs/>
        <w:noProof/>
        <w:sz w:val="20"/>
      </w:rPr>
      <w:fldChar w:fldCharType="end"/>
    </w:r>
  </w:p>
  <w:p w14:paraId="3D338257" w14:textId="77777777" w:rsidR="002C0311" w:rsidRDefault="002E52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BFEBB" w14:textId="77777777" w:rsidR="002E5293" w:rsidRDefault="002E5293" w:rsidP="00DB52AF">
      <w:pPr>
        <w:spacing w:after="0" w:line="240" w:lineRule="auto"/>
      </w:pPr>
      <w:r>
        <w:separator/>
      </w:r>
    </w:p>
  </w:footnote>
  <w:footnote w:type="continuationSeparator" w:id="0">
    <w:p w14:paraId="6137C309" w14:textId="77777777" w:rsidR="002E5293" w:rsidRDefault="002E5293"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049F2FA3"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F06B1D">
            <w:rPr>
              <w:rFonts w:ascii="Palatino Linotype" w:hAnsi="Palatino Linotype" w:cs="Arial"/>
              <w:b/>
              <w:bCs/>
              <w:sz w:val="24"/>
              <w:lang w:eastAsia="es-MX"/>
            </w:rPr>
            <w:t>3</w:t>
          </w:r>
          <w:r w:rsidR="00AA2D12">
            <w:rPr>
              <w:rFonts w:ascii="Palatino Linotype" w:hAnsi="Palatino Linotype" w:cs="Arial"/>
              <w:b/>
              <w:bCs/>
              <w:sz w:val="24"/>
              <w:lang w:eastAsia="es-MX"/>
            </w:rPr>
            <w:t>230</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660CF9C4" w:rsidR="00E107EB" w:rsidRPr="00641471" w:rsidRDefault="00C506EE" w:rsidP="00AA2D12">
          <w:pPr>
            <w:spacing w:after="120" w:line="256" w:lineRule="auto"/>
            <w:ind w:left="633" w:right="214" w:hanging="633"/>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AA2D12">
            <w:rPr>
              <w:rFonts w:ascii="Palatino Linotype" w:hAnsi="Palatino Linotype" w:cs="Arial"/>
              <w:b/>
              <w:szCs w:val="20"/>
            </w:rPr>
            <w:t>Ayuntamiento de Ocoyoacac</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0FA28FFC"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F06B1D">
            <w:rPr>
              <w:rFonts w:ascii="Palatino Linotype" w:hAnsi="Palatino Linotype" w:cs="Arial"/>
              <w:b/>
              <w:bCs/>
              <w:sz w:val="24"/>
              <w:lang w:eastAsia="es-MX"/>
            </w:rPr>
            <w:t>3</w:t>
          </w:r>
          <w:r w:rsidR="00AA2D12">
            <w:rPr>
              <w:rFonts w:ascii="Palatino Linotype" w:hAnsi="Palatino Linotype" w:cs="Arial"/>
              <w:b/>
              <w:bCs/>
              <w:sz w:val="24"/>
              <w:lang w:eastAsia="es-MX"/>
            </w:rPr>
            <w:t>230</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3DA45058" w:rsidR="002C0311" w:rsidRPr="00641471" w:rsidRDefault="009A1107" w:rsidP="00AA2D12">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AA2D12">
            <w:rPr>
              <w:rFonts w:ascii="Palatino Linotype" w:hAnsi="Palatino Linotype" w:cs="Arial"/>
              <w:b/>
              <w:szCs w:val="20"/>
            </w:rPr>
            <w:t>Ayuntamiento de Ocoyoacac</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7C94DB59" w:rsidR="002C0311" w:rsidRPr="00641471" w:rsidRDefault="00D0018B" w:rsidP="002E4307">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2E4307">
            <w:rPr>
              <w:rFonts w:ascii="Palatino Linotype" w:hAnsi="Palatino Linotype" w:cs="Arial"/>
              <w:b/>
              <w:noProof/>
              <w:szCs w:val="20"/>
              <w:lang w:eastAsia="es-MX"/>
            </w:rPr>
            <w:t>XXXXXXXXXXXXXX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2E5293">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74"/>
    <w:multiLevelType w:val="multilevel"/>
    <w:tmpl w:val="D35C0F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254D72"/>
    <w:multiLevelType w:val="hybridMultilevel"/>
    <w:tmpl w:val="B346F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B27345"/>
    <w:multiLevelType w:val="hybridMultilevel"/>
    <w:tmpl w:val="BEB49204"/>
    <w:lvl w:ilvl="0" w:tplc="3904C436">
      <w:start w:val="1"/>
      <w:numFmt w:val="lowerLetter"/>
      <w:lvlText w:val="%1)"/>
      <w:lvlJc w:val="left"/>
      <w:pPr>
        <w:ind w:left="9636" w:hanging="705"/>
      </w:pPr>
    </w:lvl>
    <w:lvl w:ilvl="1" w:tplc="080A0019">
      <w:start w:val="1"/>
      <w:numFmt w:val="lowerLetter"/>
      <w:lvlText w:val="%2."/>
      <w:lvlJc w:val="left"/>
      <w:pPr>
        <w:ind w:left="10011" w:hanging="360"/>
      </w:pPr>
    </w:lvl>
    <w:lvl w:ilvl="2" w:tplc="080A001B">
      <w:start w:val="1"/>
      <w:numFmt w:val="lowerRoman"/>
      <w:lvlText w:val="%3."/>
      <w:lvlJc w:val="right"/>
      <w:pPr>
        <w:ind w:left="10731" w:hanging="180"/>
      </w:pPr>
    </w:lvl>
    <w:lvl w:ilvl="3" w:tplc="080A000F">
      <w:start w:val="1"/>
      <w:numFmt w:val="decimal"/>
      <w:lvlText w:val="%4."/>
      <w:lvlJc w:val="left"/>
      <w:pPr>
        <w:ind w:left="11451" w:hanging="360"/>
      </w:pPr>
    </w:lvl>
    <w:lvl w:ilvl="4" w:tplc="080A0019">
      <w:start w:val="1"/>
      <w:numFmt w:val="lowerLetter"/>
      <w:lvlText w:val="%5."/>
      <w:lvlJc w:val="left"/>
      <w:pPr>
        <w:ind w:left="12171" w:hanging="360"/>
      </w:pPr>
    </w:lvl>
    <w:lvl w:ilvl="5" w:tplc="080A001B">
      <w:start w:val="1"/>
      <w:numFmt w:val="lowerRoman"/>
      <w:lvlText w:val="%6."/>
      <w:lvlJc w:val="right"/>
      <w:pPr>
        <w:ind w:left="12891" w:hanging="180"/>
      </w:pPr>
    </w:lvl>
    <w:lvl w:ilvl="6" w:tplc="080A000F">
      <w:start w:val="1"/>
      <w:numFmt w:val="decimal"/>
      <w:lvlText w:val="%7."/>
      <w:lvlJc w:val="left"/>
      <w:pPr>
        <w:ind w:left="13611" w:hanging="360"/>
      </w:pPr>
    </w:lvl>
    <w:lvl w:ilvl="7" w:tplc="080A0019">
      <w:start w:val="1"/>
      <w:numFmt w:val="lowerLetter"/>
      <w:lvlText w:val="%8."/>
      <w:lvlJc w:val="left"/>
      <w:pPr>
        <w:ind w:left="14331" w:hanging="360"/>
      </w:pPr>
    </w:lvl>
    <w:lvl w:ilvl="8" w:tplc="080A001B">
      <w:start w:val="1"/>
      <w:numFmt w:val="lowerRoman"/>
      <w:lvlText w:val="%9."/>
      <w:lvlJc w:val="right"/>
      <w:pPr>
        <w:ind w:left="15051" w:hanging="180"/>
      </w:pPr>
    </w:lvl>
  </w:abstractNum>
  <w:abstractNum w:abstractNumId="5" w15:restartNumberingAfterBreak="0">
    <w:nsid w:val="41540239"/>
    <w:multiLevelType w:val="multilevel"/>
    <w:tmpl w:val="D38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9143"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lvl>
    <w:lvl w:ilvl="4" w:tplc="0BC4BF6C">
      <w:numFmt w:val="bullet"/>
      <w:lvlText w:val="•"/>
      <w:lvlJc w:val="left"/>
      <w:pPr>
        <w:ind w:left="2160" w:hanging="238"/>
      </w:pPr>
    </w:lvl>
    <w:lvl w:ilvl="5" w:tplc="29F6170C">
      <w:numFmt w:val="bullet"/>
      <w:lvlText w:val="•"/>
      <w:lvlJc w:val="left"/>
      <w:pPr>
        <w:ind w:left="3500" w:hanging="238"/>
      </w:pPr>
    </w:lvl>
    <w:lvl w:ilvl="6" w:tplc="71985FCC">
      <w:numFmt w:val="bullet"/>
      <w:lvlText w:val="•"/>
      <w:lvlJc w:val="left"/>
      <w:pPr>
        <w:ind w:left="4840" w:hanging="238"/>
      </w:pPr>
    </w:lvl>
    <w:lvl w:ilvl="7" w:tplc="922C3072">
      <w:numFmt w:val="bullet"/>
      <w:lvlText w:val="•"/>
      <w:lvlJc w:val="left"/>
      <w:pPr>
        <w:ind w:left="6181" w:hanging="238"/>
      </w:pPr>
    </w:lvl>
    <w:lvl w:ilvl="8" w:tplc="D15AF54C">
      <w:numFmt w:val="bullet"/>
      <w:lvlText w:val="•"/>
      <w:lvlJc w:val="left"/>
      <w:pPr>
        <w:ind w:left="7521" w:hanging="238"/>
      </w:pPr>
    </w:lvl>
  </w:abstractNum>
  <w:abstractNum w:abstractNumId="7" w15:restartNumberingAfterBreak="0">
    <w:nsid w:val="4A881332"/>
    <w:multiLevelType w:val="hybridMultilevel"/>
    <w:tmpl w:val="57222FE4"/>
    <w:lvl w:ilvl="0" w:tplc="E6F26D2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8" w15:restartNumberingAfterBreak="0">
    <w:nsid w:val="5BCB4B12"/>
    <w:multiLevelType w:val="multilevel"/>
    <w:tmpl w:val="5A5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378BF"/>
    <w:multiLevelType w:val="hybridMultilevel"/>
    <w:tmpl w:val="36D618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6F4C0964"/>
    <w:multiLevelType w:val="multilevel"/>
    <w:tmpl w:val="C10EE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4483646"/>
    <w:multiLevelType w:val="hybridMultilevel"/>
    <w:tmpl w:val="918066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5"/>
  </w:num>
  <w:num w:numId="9">
    <w:abstractNumId w:val="11"/>
  </w:num>
  <w:num w:numId="1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067F1"/>
    <w:rsid w:val="00024064"/>
    <w:rsid w:val="000354D5"/>
    <w:rsid w:val="00036F8B"/>
    <w:rsid w:val="00047726"/>
    <w:rsid w:val="00054C31"/>
    <w:rsid w:val="00065DD5"/>
    <w:rsid w:val="00090E4D"/>
    <w:rsid w:val="000920FD"/>
    <w:rsid w:val="000931DA"/>
    <w:rsid w:val="00094405"/>
    <w:rsid w:val="000A5835"/>
    <w:rsid w:val="000D63AD"/>
    <w:rsid w:val="000D7A2F"/>
    <w:rsid w:val="000E17B8"/>
    <w:rsid w:val="000E67BD"/>
    <w:rsid w:val="000E7ECA"/>
    <w:rsid w:val="00123996"/>
    <w:rsid w:val="00133CEF"/>
    <w:rsid w:val="0013539D"/>
    <w:rsid w:val="00136A0B"/>
    <w:rsid w:val="00146B00"/>
    <w:rsid w:val="00146E51"/>
    <w:rsid w:val="00155F13"/>
    <w:rsid w:val="00156080"/>
    <w:rsid w:val="0016518C"/>
    <w:rsid w:val="00171EA6"/>
    <w:rsid w:val="00176155"/>
    <w:rsid w:val="0018536B"/>
    <w:rsid w:val="00191561"/>
    <w:rsid w:val="001B1224"/>
    <w:rsid w:val="001D14AF"/>
    <w:rsid w:val="001D316A"/>
    <w:rsid w:val="00223ED7"/>
    <w:rsid w:val="002315E0"/>
    <w:rsid w:val="002470D3"/>
    <w:rsid w:val="00260C70"/>
    <w:rsid w:val="0027094A"/>
    <w:rsid w:val="002830F2"/>
    <w:rsid w:val="002A1FF4"/>
    <w:rsid w:val="002B2EB0"/>
    <w:rsid w:val="002E4307"/>
    <w:rsid w:val="002E5293"/>
    <w:rsid w:val="002E637C"/>
    <w:rsid w:val="002F0703"/>
    <w:rsid w:val="002F0A22"/>
    <w:rsid w:val="002F4177"/>
    <w:rsid w:val="002F4575"/>
    <w:rsid w:val="002F4897"/>
    <w:rsid w:val="003020D3"/>
    <w:rsid w:val="00326237"/>
    <w:rsid w:val="00326B8C"/>
    <w:rsid w:val="003356AB"/>
    <w:rsid w:val="003646D8"/>
    <w:rsid w:val="003676C9"/>
    <w:rsid w:val="003701CC"/>
    <w:rsid w:val="00383A4F"/>
    <w:rsid w:val="0039077B"/>
    <w:rsid w:val="00392C4E"/>
    <w:rsid w:val="003C3E18"/>
    <w:rsid w:val="003D057B"/>
    <w:rsid w:val="003D29DA"/>
    <w:rsid w:val="003D4652"/>
    <w:rsid w:val="003E7512"/>
    <w:rsid w:val="00437439"/>
    <w:rsid w:val="004478A7"/>
    <w:rsid w:val="004670EC"/>
    <w:rsid w:val="00467497"/>
    <w:rsid w:val="004C5CC8"/>
    <w:rsid w:val="004E08E6"/>
    <w:rsid w:val="004F44A6"/>
    <w:rsid w:val="004F596D"/>
    <w:rsid w:val="00502CDD"/>
    <w:rsid w:val="00522AE5"/>
    <w:rsid w:val="00524AE1"/>
    <w:rsid w:val="00546392"/>
    <w:rsid w:val="00552199"/>
    <w:rsid w:val="00582022"/>
    <w:rsid w:val="0059738E"/>
    <w:rsid w:val="005B53B8"/>
    <w:rsid w:val="005C1284"/>
    <w:rsid w:val="005C2D67"/>
    <w:rsid w:val="005C4F1D"/>
    <w:rsid w:val="0062601A"/>
    <w:rsid w:val="0063515A"/>
    <w:rsid w:val="0064175D"/>
    <w:rsid w:val="00643140"/>
    <w:rsid w:val="00651785"/>
    <w:rsid w:val="00672B13"/>
    <w:rsid w:val="006917B7"/>
    <w:rsid w:val="00692675"/>
    <w:rsid w:val="006C3B74"/>
    <w:rsid w:val="006E69E5"/>
    <w:rsid w:val="006E7D7C"/>
    <w:rsid w:val="00715CB6"/>
    <w:rsid w:val="00733405"/>
    <w:rsid w:val="007342D6"/>
    <w:rsid w:val="007523D3"/>
    <w:rsid w:val="00761ED2"/>
    <w:rsid w:val="0076383D"/>
    <w:rsid w:val="007730A6"/>
    <w:rsid w:val="007A2513"/>
    <w:rsid w:val="007A374B"/>
    <w:rsid w:val="007A3E3A"/>
    <w:rsid w:val="007B092B"/>
    <w:rsid w:val="007D763C"/>
    <w:rsid w:val="00803333"/>
    <w:rsid w:val="0080347F"/>
    <w:rsid w:val="00807101"/>
    <w:rsid w:val="008102D5"/>
    <w:rsid w:val="00824475"/>
    <w:rsid w:val="00827E36"/>
    <w:rsid w:val="00835EC5"/>
    <w:rsid w:val="00836EFA"/>
    <w:rsid w:val="008436AE"/>
    <w:rsid w:val="00843BBC"/>
    <w:rsid w:val="00845AE7"/>
    <w:rsid w:val="00864333"/>
    <w:rsid w:val="00867082"/>
    <w:rsid w:val="0089456B"/>
    <w:rsid w:val="008A73E2"/>
    <w:rsid w:val="008D3836"/>
    <w:rsid w:val="008D4AED"/>
    <w:rsid w:val="008F3FB0"/>
    <w:rsid w:val="00902AF3"/>
    <w:rsid w:val="00910F91"/>
    <w:rsid w:val="00911026"/>
    <w:rsid w:val="00935B43"/>
    <w:rsid w:val="0095360C"/>
    <w:rsid w:val="00954EE0"/>
    <w:rsid w:val="00982012"/>
    <w:rsid w:val="009A1107"/>
    <w:rsid w:val="009C4762"/>
    <w:rsid w:val="009F34D1"/>
    <w:rsid w:val="00A03F77"/>
    <w:rsid w:val="00A11562"/>
    <w:rsid w:val="00A1610C"/>
    <w:rsid w:val="00A171FB"/>
    <w:rsid w:val="00A47FC4"/>
    <w:rsid w:val="00AA1583"/>
    <w:rsid w:val="00AA2D12"/>
    <w:rsid w:val="00AA2E10"/>
    <w:rsid w:val="00AB673A"/>
    <w:rsid w:val="00AC1592"/>
    <w:rsid w:val="00B01147"/>
    <w:rsid w:val="00B07633"/>
    <w:rsid w:val="00B238EA"/>
    <w:rsid w:val="00B24A23"/>
    <w:rsid w:val="00B46081"/>
    <w:rsid w:val="00B626D4"/>
    <w:rsid w:val="00B67315"/>
    <w:rsid w:val="00B92815"/>
    <w:rsid w:val="00B97671"/>
    <w:rsid w:val="00BA1E3D"/>
    <w:rsid w:val="00BC22EB"/>
    <w:rsid w:val="00BD577E"/>
    <w:rsid w:val="00BD6386"/>
    <w:rsid w:val="00BF4181"/>
    <w:rsid w:val="00C2240D"/>
    <w:rsid w:val="00C235C3"/>
    <w:rsid w:val="00C24AEB"/>
    <w:rsid w:val="00C3343B"/>
    <w:rsid w:val="00C33803"/>
    <w:rsid w:val="00C36385"/>
    <w:rsid w:val="00C469DC"/>
    <w:rsid w:val="00C506EE"/>
    <w:rsid w:val="00C5567A"/>
    <w:rsid w:val="00C64147"/>
    <w:rsid w:val="00C64277"/>
    <w:rsid w:val="00C65A9D"/>
    <w:rsid w:val="00C70C9F"/>
    <w:rsid w:val="00CC4919"/>
    <w:rsid w:val="00CC7862"/>
    <w:rsid w:val="00CD6259"/>
    <w:rsid w:val="00CE509D"/>
    <w:rsid w:val="00CF2D0F"/>
    <w:rsid w:val="00CF5035"/>
    <w:rsid w:val="00D0018B"/>
    <w:rsid w:val="00D20CB3"/>
    <w:rsid w:val="00D30ECB"/>
    <w:rsid w:val="00D46F48"/>
    <w:rsid w:val="00D47391"/>
    <w:rsid w:val="00D518E9"/>
    <w:rsid w:val="00DA2AA3"/>
    <w:rsid w:val="00DA6DEB"/>
    <w:rsid w:val="00DB125E"/>
    <w:rsid w:val="00DB5122"/>
    <w:rsid w:val="00DB52AF"/>
    <w:rsid w:val="00DE1FE8"/>
    <w:rsid w:val="00DE59D8"/>
    <w:rsid w:val="00DF1912"/>
    <w:rsid w:val="00E107EB"/>
    <w:rsid w:val="00E15FFD"/>
    <w:rsid w:val="00E25131"/>
    <w:rsid w:val="00E32619"/>
    <w:rsid w:val="00E4178A"/>
    <w:rsid w:val="00E63FF3"/>
    <w:rsid w:val="00E70784"/>
    <w:rsid w:val="00E80756"/>
    <w:rsid w:val="00E92F3E"/>
    <w:rsid w:val="00E949C6"/>
    <w:rsid w:val="00E97E46"/>
    <w:rsid w:val="00ED25E3"/>
    <w:rsid w:val="00F06B1D"/>
    <w:rsid w:val="00F2490C"/>
    <w:rsid w:val="00F26B6E"/>
    <w:rsid w:val="00F75BB1"/>
    <w:rsid w:val="00FA7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basedOn w:val="Normal"/>
    <w:next w:val="Normal"/>
    <w:link w:val="Ttulo1Car"/>
    <w:uiPriority w:val="9"/>
    <w:qFormat/>
    <w:rsid w:val="00054C31"/>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54C31"/>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54C31"/>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54C31"/>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54C31"/>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54C31"/>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54C31"/>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54C31"/>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54C31"/>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sid w:val="00054C3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54C3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54C3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54C31"/>
    <w:rPr>
      <w:rFonts w:eastAsiaTheme="minorEastAsia"/>
      <w:b/>
      <w:bCs/>
      <w:sz w:val="28"/>
      <w:szCs w:val="28"/>
      <w:lang w:val="en-US"/>
    </w:rPr>
  </w:style>
  <w:style w:type="character" w:customStyle="1" w:styleId="Ttulo5Car">
    <w:name w:val="Título 5 Car"/>
    <w:basedOn w:val="Fuentedeprrafopredeter"/>
    <w:link w:val="Ttulo5"/>
    <w:uiPriority w:val="9"/>
    <w:semiHidden/>
    <w:rsid w:val="00054C31"/>
    <w:rPr>
      <w:rFonts w:eastAsiaTheme="minorEastAsia"/>
      <w:b/>
      <w:bCs/>
      <w:i/>
      <w:iCs/>
      <w:sz w:val="26"/>
      <w:szCs w:val="26"/>
      <w:lang w:val="en-US"/>
    </w:rPr>
  </w:style>
  <w:style w:type="character" w:customStyle="1" w:styleId="Ttulo6Car">
    <w:name w:val="Título 6 Car"/>
    <w:basedOn w:val="Fuentedeprrafopredeter"/>
    <w:link w:val="Ttulo6"/>
    <w:rsid w:val="00054C3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54C31"/>
    <w:rPr>
      <w:rFonts w:eastAsiaTheme="minorEastAsia"/>
      <w:sz w:val="24"/>
      <w:szCs w:val="24"/>
      <w:lang w:val="en-US"/>
    </w:rPr>
  </w:style>
  <w:style w:type="character" w:customStyle="1" w:styleId="Ttulo8Car">
    <w:name w:val="Título 8 Car"/>
    <w:basedOn w:val="Fuentedeprrafopredeter"/>
    <w:link w:val="Ttulo8"/>
    <w:uiPriority w:val="9"/>
    <w:semiHidden/>
    <w:rsid w:val="00054C31"/>
    <w:rPr>
      <w:rFonts w:eastAsiaTheme="minorEastAsia"/>
      <w:i/>
      <w:iCs/>
      <w:sz w:val="24"/>
      <w:szCs w:val="24"/>
      <w:lang w:val="en-US"/>
    </w:rPr>
  </w:style>
  <w:style w:type="character" w:customStyle="1" w:styleId="Ttulo9Car">
    <w:name w:val="Título 9 Car"/>
    <w:basedOn w:val="Fuentedeprrafopredeter"/>
    <w:link w:val="Ttulo9"/>
    <w:uiPriority w:val="9"/>
    <w:semiHidden/>
    <w:rsid w:val="00054C31"/>
    <w:rPr>
      <w:rFonts w:asciiTheme="majorHAnsi" w:eastAsiaTheme="majorEastAsia" w:hAnsiTheme="majorHAnsi" w:cstheme="majorBidi"/>
      <w:lang w:val="en-US"/>
    </w:rPr>
  </w:style>
  <w:style w:type="paragraph" w:styleId="Revisin">
    <w:name w:val="Revision"/>
    <w:hidden/>
    <w:uiPriority w:val="99"/>
    <w:semiHidden/>
    <w:rsid w:val="005B53B8"/>
    <w:pPr>
      <w:spacing w:after="0" w:line="240" w:lineRule="auto"/>
    </w:pPr>
  </w:style>
  <w:style w:type="paragraph" w:styleId="Textoindependiente">
    <w:name w:val="Body Text"/>
    <w:basedOn w:val="Normal"/>
    <w:link w:val="TextoindependienteCar1"/>
    <w:uiPriority w:val="1"/>
    <w:semiHidden/>
    <w:unhideWhenUsed/>
    <w:qFormat/>
    <w:rsid w:val="0089456B"/>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89456B"/>
  </w:style>
  <w:style w:type="character" w:customStyle="1" w:styleId="TextoindependienteCar1">
    <w:name w:val="Texto independiente Car1"/>
    <w:basedOn w:val="Fuentedeprrafopredeter"/>
    <w:link w:val="Textoindependiente"/>
    <w:uiPriority w:val="1"/>
    <w:semiHidden/>
    <w:locked/>
    <w:rsid w:val="0089456B"/>
    <w:rPr>
      <w:rFonts w:ascii="Arial" w:eastAsia="Arial" w:hAnsi="Arial" w:cs="Times New Roman"/>
      <w:sz w:val="19"/>
      <w:szCs w:val="19"/>
      <w:lang w:val="en-US"/>
    </w:rPr>
  </w:style>
  <w:style w:type="paragraph" w:customStyle="1" w:styleId="INFOEM">
    <w:name w:val="INFOEM"/>
    <w:basedOn w:val="Normal"/>
    <w:qFormat/>
    <w:rsid w:val="00047726"/>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746">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83654883">
      <w:bodyDiv w:val="1"/>
      <w:marLeft w:val="0"/>
      <w:marRight w:val="0"/>
      <w:marTop w:val="0"/>
      <w:marBottom w:val="0"/>
      <w:divBdr>
        <w:top w:val="none" w:sz="0" w:space="0" w:color="auto"/>
        <w:left w:val="none" w:sz="0" w:space="0" w:color="auto"/>
        <w:bottom w:val="none" w:sz="0" w:space="0" w:color="auto"/>
        <w:right w:val="none" w:sz="0" w:space="0" w:color="auto"/>
      </w:divBdr>
    </w:div>
    <w:div w:id="181669741">
      <w:bodyDiv w:val="1"/>
      <w:marLeft w:val="0"/>
      <w:marRight w:val="0"/>
      <w:marTop w:val="0"/>
      <w:marBottom w:val="0"/>
      <w:divBdr>
        <w:top w:val="none" w:sz="0" w:space="0" w:color="auto"/>
        <w:left w:val="none" w:sz="0" w:space="0" w:color="auto"/>
        <w:bottom w:val="none" w:sz="0" w:space="0" w:color="auto"/>
        <w:right w:val="none" w:sz="0" w:space="0" w:color="auto"/>
      </w:divBdr>
    </w:div>
    <w:div w:id="35993536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848716317">
      <w:bodyDiv w:val="1"/>
      <w:marLeft w:val="0"/>
      <w:marRight w:val="0"/>
      <w:marTop w:val="0"/>
      <w:marBottom w:val="0"/>
      <w:divBdr>
        <w:top w:val="none" w:sz="0" w:space="0" w:color="auto"/>
        <w:left w:val="none" w:sz="0" w:space="0" w:color="auto"/>
        <w:bottom w:val="none" w:sz="0" w:space="0" w:color="auto"/>
        <w:right w:val="none" w:sz="0" w:space="0" w:color="auto"/>
      </w:divBdr>
    </w:div>
    <w:div w:id="917787931">
      <w:bodyDiv w:val="1"/>
      <w:marLeft w:val="0"/>
      <w:marRight w:val="0"/>
      <w:marTop w:val="0"/>
      <w:marBottom w:val="0"/>
      <w:divBdr>
        <w:top w:val="none" w:sz="0" w:space="0" w:color="auto"/>
        <w:left w:val="none" w:sz="0" w:space="0" w:color="auto"/>
        <w:bottom w:val="none" w:sz="0" w:space="0" w:color="auto"/>
        <w:right w:val="none" w:sz="0" w:space="0" w:color="auto"/>
      </w:divBdr>
    </w:div>
    <w:div w:id="976648193">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7970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1F72F-A914-480A-A231-6A72796E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7545</Words>
  <Characters>41499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6</cp:revision>
  <dcterms:created xsi:type="dcterms:W3CDTF">2022-09-07T01:52:00Z</dcterms:created>
  <dcterms:modified xsi:type="dcterms:W3CDTF">2022-10-03T00:47:00Z</dcterms:modified>
</cp:coreProperties>
</file>