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veintisiete de abril de dos mil veintidós.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01004/INFOEM/IP/RR/2022</w:t>
      </w:r>
      <w:r>
        <w:rPr>
          <w:rFonts w:ascii="Palatino Linotype" w:eastAsia="Palatino Linotype" w:hAnsi="Palatino Linotype" w:cs="Palatino Linotype"/>
          <w:sz w:val="24"/>
          <w:szCs w:val="24"/>
        </w:rPr>
        <w:t xml:space="preserve">, interpuesto por </w:t>
      </w:r>
      <w:r w:rsidR="000C0544">
        <w:rPr>
          <w:rFonts w:ascii="Palatino Linotype" w:eastAsia="Palatino Linotype" w:hAnsi="Palatino Linotype" w:cs="Palatino Linotype"/>
          <w:sz w:val="24"/>
          <w:szCs w:val="24"/>
        </w:rPr>
        <w:t>xxxx</w:t>
      </w:r>
      <w:r>
        <w:rPr>
          <w:rFonts w:ascii="Palatino Linotype" w:eastAsia="Palatino Linotype" w:hAnsi="Palatino Linotype" w:cs="Palatino Linotype"/>
          <w:sz w:val="24"/>
          <w:szCs w:val="24"/>
        </w:rPr>
        <w:t xml:space="preserve"> </w:t>
      </w:r>
      <w:r w:rsidR="000C0544">
        <w:rPr>
          <w:rFonts w:ascii="Palatino Linotype" w:eastAsia="Palatino Linotype" w:hAnsi="Palatino Linotype" w:cs="Palatino Linotype"/>
          <w:sz w:val="24"/>
          <w:szCs w:val="24"/>
        </w:rPr>
        <w:t>xxxxxxx</w:t>
      </w:r>
      <w:r>
        <w:rPr>
          <w:rFonts w:ascii="Palatino Linotype" w:eastAsia="Palatino Linotype" w:hAnsi="Palatino Linotype" w:cs="Palatino Linotype"/>
          <w:sz w:val="24"/>
          <w:szCs w:val="24"/>
        </w:rPr>
        <w:t xml:space="preserve"> </w:t>
      </w:r>
      <w:r w:rsidR="000C0544">
        <w:rPr>
          <w:rFonts w:ascii="Palatino Linotype" w:eastAsia="Palatino Linotype" w:hAnsi="Palatino Linotype" w:cs="Palatino Linotype"/>
          <w:sz w:val="24"/>
          <w:szCs w:val="24"/>
        </w:rPr>
        <w:t>xxxxxxx</w:t>
      </w:r>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00023/JOCOTIT/IP</w:t>
      </w:r>
      <w:r>
        <w:rPr>
          <w:rFonts w:ascii="Palatino Linotype" w:eastAsia="Palatino Linotype" w:hAnsi="Palatino Linotype" w:cs="Palatino Linotype"/>
          <w:b/>
          <w:color w:val="000000"/>
          <w:sz w:val="24"/>
          <w:szCs w:val="24"/>
        </w:rPr>
        <w:t>/2022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del</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Ayuntamiento de Jocotitlán</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1E3DA4" w:rsidRDefault="004508DA">
      <w:pPr>
        <w:spacing w:before="240" w:after="24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treinta y uno de enero de dos mil veintidós, </w:t>
      </w:r>
      <w:r>
        <w:rPr>
          <w:rFonts w:ascii="Palatino Linotype" w:eastAsia="Palatino Linotype" w:hAnsi="Palatino Linotype" w:cs="Palatino Linotype"/>
          <w:b/>
          <w:sz w:val="24"/>
          <w:szCs w:val="24"/>
        </w:rPr>
        <w:t>EL RECURRE</w:t>
      </w:r>
      <w:r>
        <w:rPr>
          <w:rFonts w:ascii="Palatino Linotype" w:eastAsia="Palatino Linotype" w:hAnsi="Palatino Linotype" w:cs="Palatino Linotype"/>
          <w:b/>
          <w:sz w:val="24"/>
          <w:szCs w:val="24"/>
        </w:rPr>
        <w:t>NTE</w:t>
      </w:r>
      <w:r>
        <w:rPr>
          <w:rFonts w:ascii="Palatino Linotype" w:eastAsia="Palatino Linotype" w:hAnsi="Palatino Linotype" w:cs="Palatino Linotype"/>
          <w:sz w:val="24"/>
          <w:szCs w:val="24"/>
        </w:rPr>
        <w:t>, presentó a través de la Plataforma Nacional de Transparencia (</w:t>
      </w:r>
      <w:r>
        <w:rPr>
          <w:rFonts w:ascii="Palatino Linotype" w:eastAsia="Palatino Linotype" w:hAnsi="Palatino Linotype" w:cs="Palatino Linotype"/>
          <w:b/>
          <w:sz w:val="24"/>
          <w:szCs w:val="24"/>
        </w:rPr>
        <w:t>PNT)</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vinculada al Sistema de Acceso a la Información Mexiquense (SAIMEX)</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 xml:space="preserve">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FF0000"/>
        </w:rPr>
        <w:t> </w:t>
      </w:r>
      <w:r>
        <w:rPr>
          <w:rFonts w:ascii="Palatino Linotype" w:eastAsia="Palatino Linotype" w:hAnsi="Palatino Linotype" w:cs="Palatino Linotype"/>
          <w:b/>
          <w:color w:val="000000"/>
          <w:sz w:val="24"/>
          <w:szCs w:val="24"/>
        </w:rPr>
        <w:t>0002</w:t>
      </w:r>
      <w:r>
        <w:rPr>
          <w:rFonts w:ascii="Palatino Linotype" w:eastAsia="Palatino Linotype" w:hAnsi="Palatino Linotype" w:cs="Palatino Linotype"/>
          <w:b/>
          <w:color w:val="000000"/>
          <w:sz w:val="24"/>
          <w:szCs w:val="24"/>
        </w:rPr>
        <w:t>3/JOCOTIT/IP/2022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rsidR="001E3DA4" w:rsidRDefault="004508DA">
      <w:pPr>
        <w:spacing w:before="240" w:after="240" w:line="276" w:lineRule="auto"/>
        <w:ind w:left="851" w:right="900"/>
        <w:jc w:val="both"/>
        <w:rPr>
          <w:rFonts w:ascii="Palatino Linotype" w:eastAsia="Palatino Linotype" w:hAnsi="Palatino Linotype" w:cs="Palatino Linotype"/>
          <w:i/>
          <w:sz w:val="40"/>
          <w:szCs w:val="40"/>
        </w:rPr>
      </w:pPr>
      <w:r>
        <w:rPr>
          <w:rFonts w:ascii="Palatino Linotype" w:eastAsia="Palatino Linotype" w:hAnsi="Palatino Linotype" w:cs="Palatino Linotype"/>
          <w:i/>
          <w:color w:val="000000"/>
        </w:rPr>
        <w:t>“Solicito Obtener la opinión de cumplimiento proporcionada directamente por el ente fiscalizador hacia los ayuntamientos y sus descentralizadas (DIF, Sistema de agua, Instituto</w:t>
      </w:r>
      <w:r>
        <w:rPr>
          <w:rFonts w:ascii="Palatino Linotype" w:eastAsia="Palatino Linotype" w:hAnsi="Palatino Linotype" w:cs="Palatino Linotype"/>
          <w:i/>
          <w:color w:val="000000"/>
        </w:rPr>
        <w:t xml:space="preserve"> de la mujer, casa de la cultura, etc): SAT, IMSS, INFONAVIT y SATEM, cada uno en sus respectivos ámbitos y generada x el mismo ente obligado; ya que los reportes fiscales los baja la persona autorizada por el ente obligado con la clave CIEC tratándose del</w:t>
      </w:r>
      <w:r>
        <w:rPr>
          <w:rFonts w:ascii="Palatino Linotype" w:eastAsia="Palatino Linotype" w:hAnsi="Palatino Linotype" w:cs="Palatino Linotype"/>
          <w:i/>
          <w:color w:val="000000"/>
        </w:rPr>
        <w:t xml:space="preserve"> ISR salarios y asimilados y/o asalariados. Se solicita lo siguiente: I. Reportes del aplicativo “Visor de nómina </w:t>
      </w:r>
      <w:r>
        <w:rPr>
          <w:rFonts w:ascii="Palatino Linotype" w:eastAsia="Palatino Linotype" w:hAnsi="Palatino Linotype" w:cs="Palatino Linotype"/>
          <w:i/>
          <w:color w:val="000000"/>
        </w:rPr>
        <w:lastRenderedPageBreak/>
        <w:t>del SAT” por los años 2018, 2019, 2020, y 2021 en sus tres presentaciones: a) Vista anual acumulada. b) Detalle mensual. c) Detalle diferencia</w:t>
      </w:r>
      <w:r>
        <w:rPr>
          <w:rFonts w:ascii="Palatino Linotype" w:eastAsia="Palatino Linotype" w:hAnsi="Palatino Linotype" w:cs="Palatino Linotype"/>
          <w:i/>
          <w:color w:val="000000"/>
        </w:rPr>
        <w:t>s sueldos y salarios. II. La constancia de situación fiscal de no adeudo emitida por el INFONAVIT, generada desde el portal empresarial de esa Institución, a través de internet. III. La opinión de no adeudo en el cumplimiento de obligaciones fiscales en ma</w:t>
      </w:r>
      <w:r>
        <w:rPr>
          <w:rFonts w:ascii="Palatino Linotype" w:eastAsia="Palatino Linotype" w:hAnsi="Palatino Linotype" w:cs="Palatino Linotype"/>
          <w:i/>
          <w:color w:val="000000"/>
        </w:rPr>
        <w:t>teria de seguridad social emitida x el IMSS, generada desde el portal de esa Institución, a través de internet. IV. La opinión de no adeudo en el cumplimiento de obligaciones fiscales estatales emitida por el SATEM, generada desde el portal de esa Instituc</w:t>
      </w:r>
      <w:r>
        <w:rPr>
          <w:rFonts w:ascii="Palatino Linotype" w:eastAsia="Palatino Linotype" w:hAnsi="Palatino Linotype" w:cs="Palatino Linotype"/>
          <w:i/>
          <w:color w:val="000000"/>
        </w:rPr>
        <w:t>ión, a través de internet. V. Un papel de trabajo por el municipio, y otro por cada una de sus descentralizadas que contenga los datos para identificar el ISR participable recuperado por cada mes desde Enero de 2019 hasta Octubre de 2021. Propongo un papel</w:t>
      </w:r>
      <w:r>
        <w:rPr>
          <w:rFonts w:ascii="Palatino Linotype" w:eastAsia="Palatino Linotype" w:hAnsi="Palatino Linotype" w:cs="Palatino Linotype"/>
          <w:i/>
          <w:color w:val="000000"/>
        </w:rPr>
        <w:t xml:space="preserve"> de trabajo con los siguientes encabezados: A) En la columna A “Mes”. B) En la columna B “Año”. C) En la columna C “ISR salarios retenido”. D) En la columna D “ISR salarios enterado”. E) En la columna E “ISR asimilados retenido”. F) En la columna F “ISR as</w:t>
      </w:r>
      <w:r>
        <w:rPr>
          <w:rFonts w:ascii="Palatino Linotype" w:eastAsia="Palatino Linotype" w:hAnsi="Palatino Linotype" w:cs="Palatino Linotype"/>
          <w:i/>
          <w:color w:val="000000"/>
        </w:rPr>
        <w:t xml:space="preserve">imilados enterado”. G) En la columna G “ISR honorarios y arrendamiento retenido”. H) En la columna H “ISR honorarios y arrendamiento enterado”. I) En la columna I “ISR participable recuperado a valor histórico”. J) En la columna J “Subsidio para el empleo </w:t>
      </w:r>
      <w:r>
        <w:rPr>
          <w:rFonts w:ascii="Palatino Linotype" w:eastAsia="Palatino Linotype" w:hAnsi="Palatino Linotype" w:cs="Palatino Linotype"/>
          <w:i/>
          <w:color w:val="000000"/>
        </w:rPr>
        <w:t>entregado en el mes al trabajador”. K) En la columna K “Subsidio para el empleo acreditado en el mes contra las contribuciones que proceda”. En las filas correspondientes a cada mes, capturar la información de ese periodo. Al calce del papel de trabajo, el</w:t>
      </w:r>
      <w:r>
        <w:rPr>
          <w:rFonts w:ascii="Palatino Linotype" w:eastAsia="Palatino Linotype" w:hAnsi="Palatino Linotype" w:cs="Palatino Linotype"/>
          <w:i/>
          <w:color w:val="000000"/>
        </w:rPr>
        <w:t xml:space="preserve"> monto del ISR participable que no se ha podido recuperar, separando el monto que está pendiente de solicitar, del monto que se solicitó y no se recuperó. VI. Para comprobar que los trabajadores no están siendo afectados x errores en el cálculo de sus impu</w:t>
      </w:r>
      <w:r>
        <w:rPr>
          <w:rFonts w:ascii="Palatino Linotype" w:eastAsia="Palatino Linotype" w:hAnsi="Palatino Linotype" w:cs="Palatino Linotype"/>
          <w:i/>
          <w:color w:val="000000"/>
        </w:rPr>
        <w:t>estos (No tienen diferencias a cargo, ni diferencias a favor en su declaración anual precargada), propongo q seleccionen al azar 5 muestras del ayuntamiento y tres muestras de cada descentralizada. A cada uno de los trabajadores seleccionados el personal r</w:t>
      </w:r>
      <w:r>
        <w:rPr>
          <w:rFonts w:ascii="Palatino Linotype" w:eastAsia="Palatino Linotype" w:hAnsi="Palatino Linotype" w:cs="Palatino Linotype"/>
          <w:i/>
          <w:color w:val="000000"/>
        </w:rPr>
        <w:t>esponsable del municipio y/o de las descentralizadas, les calcularán el impuesto anual por los años 2017, 2018, 2019, y 2020, con base en los datos precargados en el expediente fiscal del trabajador. Para guardar la confidencialidad, a mi solo me entregará</w:t>
      </w:r>
      <w:r>
        <w:rPr>
          <w:rFonts w:ascii="Palatino Linotype" w:eastAsia="Palatino Linotype" w:hAnsi="Palatino Linotype" w:cs="Palatino Linotype"/>
          <w:i/>
          <w:color w:val="000000"/>
        </w:rPr>
        <w:t xml:space="preserve">n un papel de trabajo con los siguientes encabezados: A) En la columna A “Nombre del trabajador”, pudiendo identificarlos como: trabajador 1, </w:t>
      </w:r>
      <w:r>
        <w:rPr>
          <w:rFonts w:ascii="Palatino Linotype" w:eastAsia="Palatino Linotype" w:hAnsi="Palatino Linotype" w:cs="Palatino Linotype"/>
          <w:i/>
          <w:color w:val="000000"/>
        </w:rPr>
        <w:lastRenderedPageBreak/>
        <w:t>trabajador 2, trabajador 3 B) En la columna B “Año”. C) En la columna C “Saldo a favor de ISR”. D) En la columna D</w:t>
      </w:r>
      <w:r>
        <w:rPr>
          <w:rFonts w:ascii="Palatino Linotype" w:eastAsia="Palatino Linotype" w:hAnsi="Palatino Linotype" w:cs="Palatino Linotype"/>
          <w:i/>
          <w:color w:val="000000"/>
        </w:rPr>
        <w:t xml:space="preserve"> “Saldo a cargo en el ISR”. E) En la columna E “Diferencia 0 en el ISR”. En las filas se captura la información que corresponda a los resultados de cada trabajador. Si fuera el caso que los trabajadores de la muestra no laboraron para el ayuntamiento o par</w:t>
      </w:r>
      <w:r>
        <w:rPr>
          <w:rFonts w:ascii="Palatino Linotype" w:eastAsia="Palatino Linotype" w:hAnsi="Palatino Linotype" w:cs="Palatino Linotype"/>
          <w:i/>
          <w:color w:val="000000"/>
        </w:rPr>
        <w:t>a las descentralizada durante los 4 años, solamente se captura la información de los años que si hayan trabajado. “(Sic)</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Modalidad elegida para la entrega de la información: </w:t>
      </w:r>
      <w:r>
        <w:rPr>
          <w:rFonts w:ascii="Palatino Linotype" w:eastAsia="Palatino Linotype" w:hAnsi="Palatino Linotype" w:cs="Palatino Linotype"/>
          <w:sz w:val="24"/>
          <w:szCs w:val="24"/>
        </w:rPr>
        <w:t>Toda vez que la solicitud se presentó 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través de la Plataforma Nacional de Transparencia, se entiende que la información se requiere a través del SAIMEX, correo electrónico y por cualquier otro medio electrónico (USB, SD o CD).</w:t>
      </w:r>
    </w:p>
    <w:p w:rsidR="001E3DA4" w:rsidRDefault="004508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603240" cy="570865"/>
            <wp:effectExtent l="0" t="0" r="0" b="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03240" cy="570865"/>
                    </a:xfrm>
                    <a:prstGeom prst="rect">
                      <a:avLst/>
                    </a:prstGeom>
                    <a:ln/>
                  </pic:spPr>
                </pic:pic>
              </a:graphicData>
            </a:graphic>
          </wp:inline>
        </w:drawing>
      </w:r>
    </w:p>
    <w:p w:rsidR="001E3DA4" w:rsidRDefault="004508DA">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2. RESPUESTA DEL SUJETO OBLIGADO. </w:t>
      </w:r>
      <w:r>
        <w:rPr>
          <w:rFonts w:ascii="Palatino Linotype" w:eastAsia="Palatino Linotype" w:hAnsi="Palatino Linotype" w:cs="Palatino Linotype"/>
          <w:sz w:val="24"/>
          <w:szCs w:val="24"/>
        </w:rPr>
        <w:t xml:space="preserve">Con fecha dieciocho de febrero </w:t>
      </w:r>
      <w:r>
        <w:rPr>
          <w:rFonts w:ascii="Palatino Linotype" w:eastAsia="Palatino Linotype" w:hAnsi="Palatino Linotype" w:cs="Palatino Linotype"/>
          <w:sz w:val="24"/>
          <w:szCs w:val="24"/>
        </w:rPr>
        <w:t xml:space="preserve">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1E3DA4" w:rsidRDefault="004508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w:t>
      </w:r>
      <w:r>
        <w:rPr>
          <w:rFonts w:ascii="Palatino Linotype" w:eastAsia="Palatino Linotype" w:hAnsi="Palatino Linotype" w:cs="Palatino Linotype"/>
          <w:i/>
        </w:rPr>
        <w:t>ulo 53, Fracciones: II, V y VI de la Ley de Transparencia y Acceso a la Información Pública del Estado de México y Municipios, le contestamos que:</w:t>
      </w:r>
    </w:p>
    <w:p w:rsidR="001E3DA4" w:rsidRDefault="004508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atención a la Solicitud 00023 donde solicita: Solicito Obtener la opinión de cumplimiento proporcionada di</w:t>
      </w:r>
      <w:r>
        <w:rPr>
          <w:rFonts w:ascii="Palatino Linotype" w:eastAsia="Palatino Linotype" w:hAnsi="Palatino Linotype" w:cs="Palatino Linotype"/>
          <w:i/>
        </w:rPr>
        <w:t>rectamente por el ente fiscalizador hacia los ayuntamientos y sus descentralizadas (DIF, Sistema de agua, Instituto de la mujer, casa de la cultura, etc): SAT, IMSS, INFONAVIT y SATEM, cada uno en sus respectivos ámbitos y generada x el mismo ente obligado</w:t>
      </w:r>
      <w:r>
        <w:rPr>
          <w:rFonts w:ascii="Palatino Linotype" w:eastAsia="Palatino Linotype" w:hAnsi="Palatino Linotype" w:cs="Palatino Linotype"/>
          <w:i/>
        </w:rPr>
        <w:t xml:space="preserve">; ya que los reportes fiscales los baja la persona autorizada por el ente obligado con la clave </w:t>
      </w:r>
      <w:r>
        <w:rPr>
          <w:rFonts w:ascii="Palatino Linotype" w:eastAsia="Palatino Linotype" w:hAnsi="Palatino Linotype" w:cs="Palatino Linotype"/>
          <w:i/>
        </w:rPr>
        <w:lastRenderedPageBreak/>
        <w:t>CIEC tratándose del ISR salarios y asimilados y/o asalariados. Se solicita lo siguiente: I. Reportes del aplicativo “Visor de nómina del SAT” por los años 2018,</w:t>
      </w:r>
      <w:r>
        <w:rPr>
          <w:rFonts w:ascii="Palatino Linotype" w:eastAsia="Palatino Linotype" w:hAnsi="Palatino Linotype" w:cs="Palatino Linotype"/>
          <w:i/>
        </w:rPr>
        <w:t xml:space="preserve"> 2019, 2020, y 2021 en sus tres presentaciones: a) Vista anual acumulada. b) Detalle mensual. c) Detalle diferencias sueldos y salarios. II. La constancia de situación fiscal de no adeudo emitida por el INFONAVIT, generada desde el portal empresarial de es</w:t>
      </w:r>
      <w:r>
        <w:rPr>
          <w:rFonts w:ascii="Palatino Linotype" w:eastAsia="Palatino Linotype" w:hAnsi="Palatino Linotype" w:cs="Palatino Linotype"/>
          <w:i/>
        </w:rPr>
        <w:t>a Institución, a través de internet. III. La opinión de no adeudo en el cumplimiento de obligaciones fiscales en materia de seguridad social emitida x el IMSS, generada desde el portal de esa Institución, a través de internet. IV. La opinión de no adeudo e</w:t>
      </w:r>
      <w:r>
        <w:rPr>
          <w:rFonts w:ascii="Palatino Linotype" w:eastAsia="Palatino Linotype" w:hAnsi="Palatino Linotype" w:cs="Palatino Linotype"/>
          <w:i/>
        </w:rPr>
        <w:t>n el cumplimiento de obligaciones fiscales estatales emitida por el SATEM, generada desde el portal de esa Institución, a través de internet. V. Un papel de trabajo por el municipio, y otro por cada una de sus descentralizadas que contenga los datos para i</w:t>
      </w:r>
      <w:r>
        <w:rPr>
          <w:rFonts w:ascii="Palatino Linotype" w:eastAsia="Palatino Linotype" w:hAnsi="Palatino Linotype" w:cs="Palatino Linotype"/>
          <w:i/>
        </w:rPr>
        <w:t>dentificar el ISR participable recuperado por cada mes desde Enero de 2019 hasta Octubre de 2021. Propongo un papel de trabajo con los siguientes encabezados: A) En la columna A “Mes”. B) En la columna B “Año”. C) En la columna C “ISR salarios retenido”. D</w:t>
      </w:r>
      <w:r>
        <w:rPr>
          <w:rFonts w:ascii="Palatino Linotype" w:eastAsia="Palatino Linotype" w:hAnsi="Palatino Linotype" w:cs="Palatino Linotype"/>
          <w:i/>
        </w:rPr>
        <w:t>) En la columna D “ISR salarios enterado”. E) En la columna E “ISR asimilados retenido”. F) En la columna F “ISR asimilados enterado”. G) En la columna G “ISR honorarios y arrendamiento retenido”. H) En la columna H “ISR honorarios y arrendamiento enterado</w:t>
      </w:r>
      <w:r>
        <w:rPr>
          <w:rFonts w:ascii="Palatino Linotype" w:eastAsia="Palatino Linotype" w:hAnsi="Palatino Linotype" w:cs="Palatino Linotype"/>
          <w:i/>
        </w:rPr>
        <w:t xml:space="preserve">”. I) En la columna I “ISR participable recuperado a valor histórico”. J) En la columna J “Subsidio para el empleo entregado en el mes al trabajador”. K) En la columna K “Subsidio para el empleo acreditado en el mes contra las contribuciones que proceda”. </w:t>
      </w:r>
      <w:r>
        <w:rPr>
          <w:rFonts w:ascii="Palatino Linotype" w:eastAsia="Palatino Linotype" w:hAnsi="Palatino Linotype" w:cs="Palatino Linotype"/>
          <w:i/>
        </w:rPr>
        <w:t>En las filas correspondientes a cada mes, capturar la información de ese periodo. Al calce del papel de trabajo, el monto del ISR participable que no se ha podido recuperar, separando el monto que está pendiente de solicitar, del monto que se solicitó y no</w:t>
      </w:r>
      <w:r>
        <w:rPr>
          <w:rFonts w:ascii="Palatino Linotype" w:eastAsia="Palatino Linotype" w:hAnsi="Palatino Linotype" w:cs="Palatino Linotype"/>
          <w:i/>
        </w:rPr>
        <w:t xml:space="preserve"> se recuperó. VI. Para comprobar que los trabajadores no están siendo afectados x errores en el cálculo de sus impuestos (No tienen diferencias a cargo, ni diferencias a favor en su declaración anual precargada), propongo q seleccionen al azar 5 muestras d</w:t>
      </w:r>
      <w:r>
        <w:rPr>
          <w:rFonts w:ascii="Palatino Linotype" w:eastAsia="Palatino Linotype" w:hAnsi="Palatino Linotype" w:cs="Palatino Linotype"/>
          <w:i/>
        </w:rPr>
        <w:t>el ayuntamiento y tres muestras de cada descentralizada. A cada uno de los trabajadores seleccionados el personal responsable del municipio y/o de las descentralizadas, les calcularán el impuesto anual por los años 2017, 2018, 2019, y 2020, con base en los</w:t>
      </w:r>
      <w:r>
        <w:rPr>
          <w:rFonts w:ascii="Palatino Linotype" w:eastAsia="Palatino Linotype" w:hAnsi="Palatino Linotype" w:cs="Palatino Linotype"/>
          <w:i/>
        </w:rPr>
        <w:t xml:space="preserve"> datos precargados en el expediente fiscal del trabajador. Para guardar la confidencialidad, a mi solo me entregarán un papel de trabajo con los siguientes encabezados: A) En la columna A “Nombre del trabajador”, pudiendo identificarlos como: trabajador 1,</w:t>
      </w:r>
      <w:r>
        <w:rPr>
          <w:rFonts w:ascii="Palatino Linotype" w:eastAsia="Palatino Linotype" w:hAnsi="Palatino Linotype" w:cs="Palatino Linotype"/>
          <w:i/>
        </w:rPr>
        <w:t xml:space="preserve"> trabajador 2, trabajador </w:t>
      </w:r>
      <w:r>
        <w:rPr>
          <w:rFonts w:ascii="Palatino Linotype" w:eastAsia="Palatino Linotype" w:hAnsi="Palatino Linotype" w:cs="Palatino Linotype"/>
          <w:i/>
        </w:rPr>
        <w:lastRenderedPageBreak/>
        <w:t>3 B) En la columna B “Año”. C) En la columna C “Saldo a favor de ISR”. D) En la columna D “Saldo a cargo en el ISR”. E) En la columna E “Diferencia 0 en el ISR”. En las filas se captura la información que corresponda a los resulta</w:t>
      </w:r>
      <w:r>
        <w:rPr>
          <w:rFonts w:ascii="Palatino Linotype" w:eastAsia="Palatino Linotype" w:hAnsi="Palatino Linotype" w:cs="Palatino Linotype"/>
          <w:i/>
        </w:rPr>
        <w:t>dos de cada trabajador. Si fuera el caso que los trabajadores de la muestra no laboraron para el ayuntamiento o para las descentralizada durante los 4 años, solamente se captura la información de los años que si hayan trabajado. Al respecto me permito adju</w:t>
      </w:r>
      <w:r>
        <w:rPr>
          <w:rFonts w:ascii="Palatino Linotype" w:eastAsia="Palatino Linotype" w:hAnsi="Palatino Linotype" w:cs="Palatino Linotype"/>
          <w:i/>
        </w:rPr>
        <w:t>ntar los archivos los que encontrará la información solicitada al respecto.</w:t>
      </w:r>
    </w:p>
    <w:p w:rsidR="001E3DA4" w:rsidRDefault="004508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1E3DA4" w:rsidRDefault="004508DA">
      <w:pPr>
        <w:ind w:left="851" w:right="900"/>
        <w:jc w:val="both"/>
        <w:rPr>
          <w:rFonts w:ascii="Palatino Linotype" w:eastAsia="Palatino Linotype" w:hAnsi="Palatino Linotype" w:cs="Palatino Linotype"/>
        </w:rPr>
      </w:pPr>
      <w:r>
        <w:rPr>
          <w:rFonts w:ascii="Palatino Linotype" w:eastAsia="Palatino Linotype" w:hAnsi="Palatino Linotype" w:cs="Palatino Linotype"/>
          <w:i/>
        </w:rPr>
        <w:t>MTRO. ERICK NAVA MARTÍNEZ</w:t>
      </w:r>
    </w:p>
    <w:p w:rsidR="001E3DA4" w:rsidRDefault="004508DA">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los archivos electrónicos denominados:</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sz w:val="24"/>
          <w:szCs w:val="24"/>
          <w:u w:val="single"/>
        </w:rPr>
        <w:t xml:space="preserve">ANEXO I.pdf </w:t>
      </w:r>
      <w:r>
        <w:rPr>
          <w:rFonts w:ascii="Palatino Linotype" w:eastAsia="Palatino Linotype" w:hAnsi="Palatino Linotype" w:cs="Palatino Linotype"/>
          <w:color w:val="000000"/>
          <w:sz w:val="24"/>
          <w:szCs w:val="24"/>
        </w:rPr>
        <w:t>el cual contiene</w:t>
      </w:r>
      <w:r>
        <w:rPr>
          <w:rFonts w:ascii="Palatino Linotype" w:eastAsia="Palatino Linotype" w:hAnsi="Palatino Linotype" w:cs="Palatino Linotype"/>
          <w:sz w:val="24"/>
          <w:szCs w:val="24"/>
        </w:rPr>
        <w:t xml:space="preserve"> oficio TM/045/2022 de fecha once de febrero de dos mil veintidós signado por la C. María Teresa Garduño Manjarrez, Tesorera Municipal mediante el cual adjunta el link </w:t>
      </w:r>
      <w:hyperlink r:id="rId9">
        <w:r>
          <w:rPr>
            <w:rFonts w:ascii="Palatino Linotype" w:eastAsia="Palatino Linotype" w:hAnsi="Palatino Linotype" w:cs="Palatino Linotype"/>
            <w:color w:val="0563C1"/>
            <w:sz w:val="24"/>
            <w:szCs w:val="24"/>
            <w:u w:val="single"/>
          </w:rPr>
          <w:t>https://www.ipomex.org.mx/ipo3/lgt/indice/JOCOTITLAN/art_92_viii_b.web</w:t>
        </w:r>
      </w:hyperlink>
      <w:r>
        <w:rPr>
          <w:rFonts w:ascii="Palatino Linotype" w:eastAsia="Palatino Linotype" w:hAnsi="Palatino Linotype" w:cs="Palatino Linotype"/>
          <w:sz w:val="24"/>
          <w:szCs w:val="24"/>
        </w:rPr>
        <w:t xml:space="preserve"> en donde se podrá visualizar la nómina de los años 2018, 2019, 2020 y 2021 del Ayuntamiento de Jocotitlán en donde podrá localizar la información. </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sz w:val="24"/>
          <w:szCs w:val="24"/>
          <w:u w:val="single"/>
        </w:rPr>
        <w:t>ANEXO II.pdf</w:t>
      </w:r>
      <w:r>
        <w:rPr>
          <w:rFonts w:ascii="Palatino Linotype" w:eastAsia="Palatino Linotype" w:hAnsi="Palatino Linotype" w:cs="Palatino Linotype"/>
          <w:sz w:val="24"/>
          <w:szCs w:val="24"/>
        </w:rPr>
        <w:t xml:space="preserve"> el</w:t>
      </w:r>
      <w:r>
        <w:rPr>
          <w:rFonts w:ascii="Palatino Linotype" w:eastAsia="Palatino Linotype" w:hAnsi="Palatino Linotype" w:cs="Palatino Linotype"/>
          <w:color w:val="000000"/>
          <w:sz w:val="24"/>
          <w:szCs w:val="24"/>
        </w:rPr>
        <w:t xml:space="preserve"> cual contiene</w:t>
      </w:r>
      <w:r>
        <w:rPr>
          <w:rFonts w:ascii="Palatino Linotype" w:eastAsia="Palatino Linotype" w:hAnsi="Palatino Linotype" w:cs="Palatino Linotype"/>
          <w:sz w:val="24"/>
          <w:szCs w:val="24"/>
        </w:rPr>
        <w:t xml:space="preserve"> el of</w:t>
      </w:r>
      <w:r>
        <w:rPr>
          <w:rFonts w:ascii="Palatino Linotype" w:eastAsia="Palatino Linotype" w:hAnsi="Palatino Linotype" w:cs="Palatino Linotype"/>
          <w:sz w:val="24"/>
          <w:szCs w:val="24"/>
        </w:rPr>
        <w:t>icio OPDAP/10/02/2022/014-A, de fecha diez de febrero de dos mil veintidós signado por el Téc. Efrain Nieto Nava Director General del Organismo Operador de Agua de Jocotitlán mediante el cual adjunta el link web donde podrá visualizar la nómina de los años</w:t>
      </w:r>
      <w:r>
        <w:rPr>
          <w:rFonts w:ascii="Palatino Linotype" w:eastAsia="Palatino Linotype" w:hAnsi="Palatino Linotype" w:cs="Palatino Linotype"/>
          <w:sz w:val="24"/>
          <w:szCs w:val="24"/>
        </w:rPr>
        <w:t xml:space="preserve"> 2018, 2019, 2020 y 2021 del Organismo Público Descentralizado para la Prestación de los Servicios de Agua Potable, Drenaje y Tratamiento de Aguas Residuales del Municipio de Jocotitlán México donde podrá localizar la información que solicita, tal como se </w:t>
      </w:r>
      <w:r>
        <w:rPr>
          <w:rFonts w:ascii="Palatino Linotype" w:eastAsia="Palatino Linotype" w:hAnsi="Palatino Linotype" w:cs="Palatino Linotype"/>
          <w:sz w:val="24"/>
          <w:szCs w:val="24"/>
        </w:rPr>
        <w:t>observa a continuación:</w:t>
      </w:r>
    </w:p>
    <w:p w:rsidR="001E3DA4" w:rsidRDefault="004508DA">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901454" cy="1707450"/>
            <wp:effectExtent l="0" t="0" r="0" b="0"/>
            <wp:docPr id="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l="40903" t="32891" r="29055" b="36632"/>
                    <a:stretch>
                      <a:fillRect/>
                    </a:stretch>
                  </pic:blipFill>
                  <pic:spPr>
                    <a:xfrm>
                      <a:off x="0" y="0"/>
                      <a:ext cx="5901454" cy="170745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-165099</wp:posOffset>
                </wp:positionH>
                <wp:positionV relativeFrom="paragraph">
                  <wp:posOffset>1968500</wp:posOffset>
                </wp:positionV>
                <wp:extent cx="5734050" cy="5267325"/>
                <wp:effectExtent l="0" t="0" r="0" b="0"/>
                <wp:wrapNone/>
                <wp:docPr id="72" name="Conector recto de flecha 72"/>
                <wp:cNvGraphicFramePr/>
                <a:graphic xmlns:a="http://schemas.openxmlformats.org/drawingml/2006/main">
                  <a:graphicData uri="http://schemas.microsoft.com/office/word/2010/wordprocessingShape">
                    <wps:wsp>
                      <wps:cNvCnPr/>
                      <wps:spPr>
                        <a:xfrm>
                          <a:off x="2498025" y="1165388"/>
                          <a:ext cx="5695950" cy="5229225"/>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1968500</wp:posOffset>
                </wp:positionV>
                <wp:extent cx="5734050" cy="5267325"/>
                <wp:effectExtent b="0" l="0" r="0" t="0"/>
                <wp:wrapNone/>
                <wp:docPr id="72"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734050" cy="5267325"/>
                        </a:xfrm>
                        <a:prstGeom prst="rect"/>
                        <a:ln/>
                      </pic:spPr>
                    </pic:pic>
                  </a:graphicData>
                </a:graphic>
              </wp:anchor>
            </w:drawing>
          </mc:Fallback>
        </mc:AlternateContent>
      </w:r>
    </w:p>
    <w:p w:rsidR="001E3DA4" w:rsidRDefault="004508DA">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612130" cy="7471800"/>
            <wp:effectExtent l="0" t="0" r="0" b="0"/>
            <wp:docPr id="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41412" t="17803" r="29395" b="13095"/>
                    <a:stretch>
                      <a:fillRect/>
                    </a:stretch>
                  </pic:blipFill>
                  <pic:spPr>
                    <a:xfrm>
                      <a:off x="0" y="0"/>
                      <a:ext cx="5612130" cy="7471800"/>
                    </a:xfrm>
                    <a:prstGeom prst="rect">
                      <a:avLst/>
                    </a:prstGeom>
                    <a:ln/>
                  </pic:spPr>
                </pic:pic>
              </a:graphicData>
            </a:graphic>
          </wp:inline>
        </w:drawing>
      </w:r>
    </w:p>
    <w:p w:rsidR="001E3DA4" w:rsidRDefault="004508DA">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612130" cy="3515581"/>
            <wp:effectExtent l="0" t="0" r="0" b="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l="41243" t="23537" r="29226" b="43573"/>
                    <a:stretch>
                      <a:fillRect/>
                    </a:stretch>
                  </pic:blipFill>
                  <pic:spPr>
                    <a:xfrm>
                      <a:off x="0" y="0"/>
                      <a:ext cx="5612130" cy="3515581"/>
                    </a:xfrm>
                    <a:prstGeom prst="rect">
                      <a:avLst/>
                    </a:prstGeom>
                    <a:ln/>
                  </pic:spPr>
                </pic:pic>
              </a:graphicData>
            </a:graphic>
          </wp:inline>
        </w:drawing>
      </w:r>
      <w:r>
        <w:rPr>
          <w:rFonts w:ascii="Palatino Linotype" w:eastAsia="Palatino Linotype" w:hAnsi="Palatino Linotype" w:cs="Palatino Linotype"/>
          <w:b/>
          <w:i/>
          <w:sz w:val="24"/>
          <w:szCs w:val="24"/>
          <w:u w:val="single"/>
        </w:rPr>
        <w:t xml:space="preserve"> ANEXO 3.pdf</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el cual contiene</w:t>
      </w:r>
      <w:r>
        <w:rPr>
          <w:rFonts w:ascii="Palatino Linotype" w:eastAsia="Palatino Linotype" w:hAnsi="Palatino Linotype" w:cs="Palatino Linotype"/>
          <w:sz w:val="24"/>
          <w:szCs w:val="24"/>
        </w:rPr>
        <w:t xml:space="preserve"> el oficio DIR/DIF/066/22 de fecha dos de febrero de dos mil veintidós, signado por la Mtra. Begonia Plata Castañeda Directora del Sistema Municipal DIF de Jocotitlán, mediante el cual adjunta el l</w:t>
      </w:r>
      <w:r>
        <w:rPr>
          <w:rFonts w:ascii="Palatino Linotype" w:eastAsia="Palatino Linotype" w:hAnsi="Palatino Linotype" w:cs="Palatino Linotype"/>
          <w:sz w:val="24"/>
          <w:szCs w:val="24"/>
        </w:rPr>
        <w:t xml:space="preserve">ink a fin de que se puedan visualizar las nóminas de los años requeridos </w:t>
      </w:r>
      <w:hyperlink r:id="rId14">
        <w:r>
          <w:rPr>
            <w:rFonts w:ascii="Palatino Linotype" w:eastAsia="Palatino Linotype" w:hAnsi="Palatino Linotype" w:cs="Palatino Linotype"/>
            <w:color w:val="0563C1"/>
            <w:sz w:val="24"/>
            <w:szCs w:val="24"/>
            <w:u w:val="single"/>
          </w:rPr>
          <w:t>https://www.ipomex.org.mx/ipo3/lgt/indice/JOCOTITLAN/art_92_viii_b.web</w:t>
        </w:r>
      </w:hyperlink>
      <w:r>
        <w:rPr>
          <w:rFonts w:ascii="Palatino Linotype" w:eastAsia="Palatino Linotype" w:hAnsi="Palatino Linotype" w:cs="Palatino Linotype"/>
          <w:sz w:val="24"/>
          <w:szCs w:val="24"/>
        </w:rPr>
        <w:t xml:space="preserve"> </w:t>
      </w:r>
    </w:p>
    <w:p w:rsidR="001E3DA4" w:rsidRDefault="004508DA">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Cabe precisar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en duplicado los archivos antes descritos por lo cual resulta innecesaria de nueva cuenta su descripción.</w:t>
      </w:r>
    </w:p>
    <w:p w:rsidR="001E3DA4" w:rsidRDefault="004508DA">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veintiuno de febrero de dos mil veintidós</w:t>
      </w:r>
      <w:r>
        <w:rPr>
          <w:rFonts w:ascii="Palatino Linotype" w:eastAsia="Palatino Linotype" w:hAnsi="Palatino Linotype" w:cs="Palatino Linotype"/>
          <w:b/>
          <w:sz w:val="24"/>
          <w:szCs w:val="24"/>
        </w:rPr>
        <w:t>, E</w:t>
      </w:r>
      <w:r>
        <w:rPr>
          <w:rFonts w:ascii="Palatino Linotype" w:eastAsia="Palatino Linotype" w:hAnsi="Palatino Linotype" w:cs="Palatino Linotype"/>
          <w:b/>
          <w:sz w:val="24"/>
          <w:szCs w:val="24"/>
        </w:rPr>
        <w:t xml:space="preserve">L RECURRENTE </w:t>
      </w:r>
      <w:r>
        <w:rPr>
          <w:rFonts w:ascii="Palatino Linotype" w:eastAsia="Palatino Linotype" w:hAnsi="Palatino Linotype" w:cs="Palatino Linotype"/>
          <w:sz w:val="24"/>
          <w:szCs w:val="24"/>
        </w:rPr>
        <w:t xml:space="preserve">interpuso el </w:t>
      </w:r>
      <w:r>
        <w:rPr>
          <w:rFonts w:ascii="Palatino Linotype" w:eastAsia="Palatino Linotype" w:hAnsi="Palatino Linotype" w:cs="Palatino Linotype"/>
          <w:sz w:val="24"/>
          <w:szCs w:val="24"/>
        </w:rPr>
        <w:lastRenderedPageBreak/>
        <w:t>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01004/INFOEM/IP/RR/2022</w:t>
      </w:r>
      <w:r>
        <w:rPr>
          <w:rFonts w:ascii="Palatino Linotype" w:eastAsia="Palatino Linotype" w:hAnsi="Palatino Linotype" w:cs="Palatino Linotype"/>
          <w:sz w:val="24"/>
          <w:szCs w:val="24"/>
        </w:rPr>
        <w:t>, en el cual manifiesta, lo siguiente:</w:t>
      </w:r>
    </w:p>
    <w:p w:rsidR="001E3DA4" w:rsidRDefault="004508DA">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1E3DA4" w:rsidRDefault="004508DA">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Sus respuestas oficio con información que no es lo que solicite</w:t>
      </w:r>
      <w:r>
        <w:rPr>
          <w:rFonts w:ascii="Palatino Linotype" w:eastAsia="Palatino Linotype" w:hAnsi="Palatino Linotype" w:cs="Palatino Linotype"/>
          <w:i/>
        </w:rPr>
        <w:t>” [sic]</w:t>
      </w:r>
    </w:p>
    <w:p w:rsidR="001E3DA4" w:rsidRDefault="004508DA">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1E3DA4" w:rsidRDefault="004508DA">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Por medio de la presente hoy 19 de febrero de 2022 interpongo ante El Instituto de Transparencia, Acceso a la Información Pública y Protección de Da</w:t>
      </w:r>
      <w:r>
        <w:rPr>
          <w:rFonts w:ascii="Palatino Linotype" w:eastAsia="Palatino Linotype" w:hAnsi="Palatino Linotype" w:cs="Palatino Linotype"/>
          <w:i/>
          <w:color w:val="000000"/>
        </w:rPr>
        <w:t>tos Personales del Estado de México y Municipios; mi Derecho argumentado en los artículo 176, 177 y 178 de la Ley de Transparencia y Acceso a la Información Pública del Estado de México y Municipios, que es el Recurso de Revisión (queja) en contra del Ente</w:t>
      </w:r>
      <w:r>
        <w:rPr>
          <w:rFonts w:ascii="Palatino Linotype" w:eastAsia="Palatino Linotype" w:hAnsi="Palatino Linotype" w:cs="Palatino Linotype"/>
          <w:i/>
          <w:color w:val="000000"/>
        </w:rPr>
        <w:t xml:space="preserve"> Público Obligado Ayuntamiento de Jocotitlán, ya que su respuesta; oficios diversos que me entrego por la plataforma a mi petición de información recae en los supuestos establecidos por las fracciones I, II, III, IV, X, XI, XII, XIII y XIV del artículo 179</w:t>
      </w:r>
      <w:r>
        <w:rPr>
          <w:rFonts w:ascii="Palatino Linotype" w:eastAsia="Palatino Linotype" w:hAnsi="Palatino Linotype" w:cs="Palatino Linotype"/>
          <w:i/>
          <w:color w:val="000000"/>
        </w:rPr>
        <w:t xml:space="preserve"> de la misma Ley de Transparencia y Acceso a la Información Pública del Estado de México y Municipios por lo cual procede en contra. Con el fin de que quede más claro al Ente Obligado Público, para ello me adhiero a lo estipulado en el artículo cuadragésim</w:t>
      </w:r>
      <w:r>
        <w:rPr>
          <w:rFonts w:ascii="Palatino Linotype" w:eastAsia="Palatino Linotype" w:hAnsi="Palatino Linotype" w:cs="Palatino Linotype"/>
          <w:i/>
          <w:color w:val="000000"/>
        </w:rPr>
        <w:t>o quinto del ACUERDO del Consejo Nacional del Sistema Nacional de Transparencia, Acceso a la Información Pública y Protección de Datos Personales, por el que se aprueban los Lineamientos Generales en materia de clasificación y desclasificación de la inform</w:t>
      </w:r>
      <w:r>
        <w:rPr>
          <w:rFonts w:ascii="Palatino Linotype" w:eastAsia="Palatino Linotype" w:hAnsi="Palatino Linotype" w:cs="Palatino Linotype"/>
          <w:i/>
          <w:color w:val="000000"/>
        </w:rPr>
        <w:t>ación, así como para la elaboración de versiones públicas. Publicado en el Diario Oficial de la Federación y por ser un ENTE PÚBLICO OBLIGADO no un contribuyente privado. Y con el afán de cordialidad y apoyar al Ente Público Obligado y cumpla con su Obliga</w:t>
      </w:r>
      <w:r>
        <w:rPr>
          <w:rFonts w:ascii="Palatino Linotype" w:eastAsia="Palatino Linotype" w:hAnsi="Palatino Linotype" w:cs="Palatino Linotype"/>
          <w:i/>
          <w:color w:val="000000"/>
        </w:rPr>
        <w:t>ción de entregarme lo solicitado, porque pareciera no entendió que si es de su competencia, ya que los reportes visores de nómina solo puede generarlos el Ente Público Obligado desde su portal del SAT; se reitera es información fácil que ya tiene el Ente O</w:t>
      </w:r>
      <w:r>
        <w:rPr>
          <w:rFonts w:ascii="Palatino Linotype" w:eastAsia="Palatino Linotype" w:hAnsi="Palatino Linotype" w:cs="Palatino Linotype"/>
          <w:i/>
          <w:color w:val="000000"/>
        </w:rPr>
        <w:t>bligado en su portal del SAT, repito directamente en su portal del SAT ya que son simples REPORTES reitero REPORTES que ya hizo y entregó Ayuntamiento de Jocotitlán al ente fiscalizador SAT, y en ningún momento distraen de sus actividades al Ente Público O</w:t>
      </w:r>
      <w:r>
        <w:rPr>
          <w:rFonts w:ascii="Palatino Linotype" w:eastAsia="Palatino Linotype" w:hAnsi="Palatino Linotype" w:cs="Palatino Linotype"/>
          <w:i/>
          <w:color w:val="000000"/>
        </w:rPr>
        <w:t xml:space="preserve">bligado y mucho menos son SECRETO DE ESTADO, ya que </w:t>
      </w:r>
      <w:r>
        <w:rPr>
          <w:rFonts w:ascii="Palatino Linotype" w:eastAsia="Palatino Linotype" w:hAnsi="Palatino Linotype" w:cs="Palatino Linotype"/>
          <w:i/>
          <w:color w:val="000000"/>
        </w:rPr>
        <w:lastRenderedPageBreak/>
        <w:t>se tienen en máximo 10 minutos. Respecto a la presentación “Detalle Diferencias de Sueldos y Salarios” por cada año (2018, 2019, 2020 Y 2021) cuando el sistema del SAT te los despliega en tablas resúmenes</w:t>
      </w:r>
      <w:r>
        <w:rPr>
          <w:rFonts w:ascii="Palatino Linotype" w:eastAsia="Palatino Linotype" w:hAnsi="Palatino Linotype" w:cs="Palatino Linotype"/>
          <w:i/>
          <w:color w:val="000000"/>
        </w:rPr>
        <w:t xml:space="preserve"> se hacen capturas de pantalla de las tablas que arroja el visor de nóminas del SAT, luego se pegan esas capturas de pantalla en un documento y se convierte a un pdf, se envían y listo. Respecto a las otras dos presentaciones del visor de nóminas del SAT (</w:t>
      </w:r>
      <w:r>
        <w:rPr>
          <w:rFonts w:ascii="Palatino Linotype" w:eastAsia="Palatino Linotype" w:hAnsi="Palatino Linotype" w:cs="Palatino Linotype"/>
          <w:i/>
          <w:color w:val="000000"/>
        </w:rPr>
        <w:t>Vista anual acumulada y detalle mensual) solo tiene que descargar los pdf. de su portal del SAT. Dando solo dos clicks y descargando los archivos. Ahora para enviar la información se puede enviar en carpetas comprimidas o por medio de un link de la nube dr</w:t>
      </w:r>
      <w:r>
        <w:rPr>
          <w:rFonts w:ascii="Palatino Linotype" w:eastAsia="Palatino Linotype" w:hAnsi="Palatino Linotype" w:cs="Palatino Linotype"/>
          <w:i/>
          <w:color w:val="000000"/>
        </w:rPr>
        <w:t>ive es sencillo. Como ya me han hecho favor de entregar otros entes públicos Obligados del Estado de México de las mismas características y sin ningún contratiempo para hacerlo. Respecto a los puntos solicitados II, III y IV si no se tiene convenios de col</w:t>
      </w:r>
      <w:r>
        <w:rPr>
          <w:rFonts w:ascii="Palatino Linotype" w:eastAsia="Palatino Linotype" w:hAnsi="Palatino Linotype" w:cs="Palatino Linotype"/>
          <w:i/>
          <w:color w:val="000000"/>
        </w:rPr>
        <w:t>aboración con esos entes fiscalizadores está bien la respuesta que no aplica si esto es así, pero respecto al punto I espero ahora si lo haya entendido que es una herramienta de ayuda del SAT para ellos y son reportes ya entregados y si aún así no le queda</w:t>
      </w:r>
      <w:r>
        <w:rPr>
          <w:rFonts w:ascii="Palatino Linotype" w:eastAsia="Palatino Linotype" w:hAnsi="Palatino Linotype" w:cs="Palatino Linotype"/>
          <w:i/>
          <w:color w:val="000000"/>
        </w:rPr>
        <w:t xml:space="preserve"> claro para ayudarlo le adjunto ejemplos reales de otros entes públicos y sepa que es lo que le solicito. Esperando por fin le haya quedado claro lo requerido al Ente Público Obligado, pido de favor se atienda lo solicitado a la brevedad y no mandarme evas</w:t>
      </w:r>
      <w:r>
        <w:rPr>
          <w:rFonts w:ascii="Palatino Linotype" w:eastAsia="Palatino Linotype" w:hAnsi="Palatino Linotype" w:cs="Palatino Linotype"/>
          <w:i/>
          <w:color w:val="000000"/>
        </w:rPr>
        <w:t xml:space="preserve">ivas sin sustentos. Ocupo los visores de nómina en sus tres presentaciones; a) vista anual acumulada, detalle mensual y detalle diferencias sueldos y salarios por los años 2018, 2019, 2020 y 2021 .Además de los otros puntos II, III y IV si es que aplican. </w:t>
      </w:r>
      <w:r>
        <w:rPr>
          <w:rFonts w:ascii="Palatino Linotype" w:eastAsia="Palatino Linotype" w:hAnsi="Palatino Linotype" w:cs="Palatino Linotype"/>
          <w:i/>
          <w:color w:val="000000"/>
        </w:rPr>
        <w:t>Y el V y VI es una sugerencia par eficientar y mejorar sus actividades. El acceso a la información y la transparencia no solo es un derecho humano, es democracia básica, no un privilegio. Que ya se entiendan de una vez esto. Esperando se pueda dar una reso</w:t>
      </w:r>
      <w:r>
        <w:rPr>
          <w:rFonts w:ascii="Palatino Linotype" w:eastAsia="Palatino Linotype" w:hAnsi="Palatino Linotype" w:cs="Palatino Linotype"/>
          <w:i/>
          <w:color w:val="000000"/>
        </w:rPr>
        <w:t>lución lo antes posible con la Información solicitada de manera completa y legible por parte del Ente Público Obligado, confiando de que este Órgano (Instituto de Transparencia, Acceso a la Información Pública y Protección de Datos Personales del Estado de</w:t>
      </w:r>
      <w:r>
        <w:rPr>
          <w:rFonts w:ascii="Palatino Linotype" w:eastAsia="Palatino Linotype" w:hAnsi="Palatino Linotype" w:cs="Palatino Linotype"/>
          <w:i/>
          <w:color w:val="000000"/>
        </w:rPr>
        <w:t xml:space="preserve"> México y Municipios) actué eficiente y eficazmente con el tema. Saludos cordiales. Gracias. Atte. </w:t>
      </w:r>
      <w:r w:rsidR="000C0544">
        <w:rPr>
          <w:rFonts w:ascii="Palatino Linotype" w:eastAsia="Palatino Linotype" w:hAnsi="Palatino Linotype" w:cs="Palatino Linotype"/>
          <w:i/>
          <w:color w:val="000000"/>
        </w:rPr>
        <w:t>xxxx</w:t>
      </w:r>
      <w:r>
        <w:rPr>
          <w:rFonts w:ascii="Palatino Linotype" w:eastAsia="Palatino Linotype" w:hAnsi="Palatino Linotype" w:cs="Palatino Linotype"/>
          <w:i/>
          <w:color w:val="000000"/>
        </w:rPr>
        <w:t xml:space="preserve"> </w:t>
      </w:r>
      <w:r w:rsidR="000C0544">
        <w:rPr>
          <w:rFonts w:ascii="Palatino Linotype" w:eastAsia="Palatino Linotype" w:hAnsi="Palatino Linotype" w:cs="Palatino Linotype"/>
          <w:i/>
          <w:color w:val="000000"/>
        </w:rPr>
        <w:t>xxxxxxx</w:t>
      </w:r>
      <w:bookmarkStart w:id="0" w:name="_GoBack"/>
      <w:bookmarkEnd w:id="0"/>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Resulta preciso señalar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adjuntó los siguientes documentos electrónicos, en el que precisa lo siguiente:</w:t>
      </w:r>
    </w:p>
    <w:p w:rsidR="001E3DA4" w:rsidRDefault="004508DA">
      <w:pPr>
        <w:spacing w:line="360" w:lineRule="auto"/>
        <w:jc w:val="both"/>
        <w:rPr>
          <w:rFonts w:ascii="Palatino Linotype" w:eastAsia="Palatino Linotype" w:hAnsi="Palatino Linotype" w:cs="Palatino Linotype"/>
          <w:b/>
          <w:i/>
          <w:color w:val="000000"/>
          <w:sz w:val="24"/>
          <w:szCs w:val="24"/>
          <w:u w:val="single"/>
        </w:rPr>
      </w:pPr>
      <w:hyperlink r:id="rId15">
        <w:r>
          <w:rPr>
            <w:rFonts w:ascii="Palatino Linotype" w:eastAsia="Palatino Linotype" w:hAnsi="Palatino Linotype" w:cs="Palatino Linotype"/>
            <w:b/>
            <w:i/>
            <w:color w:val="000000"/>
            <w:sz w:val="24"/>
            <w:szCs w:val="24"/>
            <w:u w:val="single"/>
          </w:rPr>
          <w:t>G-35-03-03-2018-01 ejemplo presentación detalle mensual.pdf</w:t>
        </w:r>
      </w:hyperlink>
      <w:r>
        <w:rPr>
          <w:rFonts w:ascii="Palatino Linotype" w:eastAsia="Palatino Linotype" w:hAnsi="Palatino Linotype" w:cs="Palatino Linotype"/>
          <w:b/>
          <w:i/>
          <w:color w:val="000000"/>
          <w:sz w:val="24"/>
          <w:szCs w:val="24"/>
          <w:u w:val="single"/>
        </w:rPr>
        <w:t>:</w:t>
      </w:r>
    </w:p>
    <w:p w:rsidR="001E3DA4" w:rsidRDefault="004508DA">
      <w:pPr>
        <w:spacing w:line="360" w:lineRule="auto"/>
        <w:jc w:val="both"/>
        <w:rPr>
          <w:rFonts w:ascii="Palatino Linotype" w:eastAsia="Palatino Linotype" w:hAnsi="Palatino Linotype" w:cs="Palatino Linotype"/>
          <w:b/>
          <w:i/>
          <w:color w:val="000000"/>
          <w:sz w:val="24"/>
          <w:szCs w:val="24"/>
          <w:u w:val="single"/>
        </w:rPr>
      </w:pPr>
      <w:r>
        <w:rPr>
          <w:noProof/>
        </w:rPr>
        <w:lastRenderedPageBreak/>
        <w:drawing>
          <wp:inline distT="0" distB="0" distL="0" distR="0">
            <wp:extent cx="2902528" cy="1986695"/>
            <wp:effectExtent l="0" t="0" r="0" b="0"/>
            <wp:docPr id="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28684" t="13881" r="13610" b="20337"/>
                    <a:stretch>
                      <a:fillRect/>
                    </a:stretch>
                  </pic:blipFill>
                  <pic:spPr>
                    <a:xfrm>
                      <a:off x="0" y="0"/>
                      <a:ext cx="2902528" cy="1986695"/>
                    </a:xfrm>
                    <a:prstGeom prst="rect">
                      <a:avLst/>
                    </a:prstGeom>
                    <a:ln/>
                  </pic:spPr>
                </pic:pic>
              </a:graphicData>
            </a:graphic>
          </wp:inline>
        </w:drawing>
      </w:r>
      <w:r>
        <w:rPr>
          <w:noProof/>
        </w:rPr>
        <w:drawing>
          <wp:inline distT="0" distB="0" distL="0" distR="0">
            <wp:extent cx="2714034" cy="2041860"/>
            <wp:effectExtent l="0" t="0" r="0" b="0"/>
            <wp:docPr id="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l="28512" t="14485" r="13781" b="18828"/>
                    <a:stretch>
                      <a:fillRect/>
                    </a:stretch>
                  </pic:blipFill>
                  <pic:spPr>
                    <a:xfrm>
                      <a:off x="0" y="0"/>
                      <a:ext cx="2714034" cy="2041860"/>
                    </a:xfrm>
                    <a:prstGeom prst="rect">
                      <a:avLst/>
                    </a:prstGeom>
                    <a:ln/>
                  </pic:spPr>
                </pic:pic>
              </a:graphicData>
            </a:graphic>
          </wp:inline>
        </w:drawing>
      </w:r>
    </w:p>
    <w:p w:rsidR="001E3DA4" w:rsidRDefault="004508DA">
      <w:pPr>
        <w:spacing w:line="360" w:lineRule="auto"/>
        <w:jc w:val="both"/>
        <w:rPr>
          <w:rFonts w:ascii="Palatino Linotype" w:eastAsia="Palatino Linotype" w:hAnsi="Palatino Linotype" w:cs="Palatino Linotype"/>
          <w:b/>
          <w:i/>
          <w:color w:val="000000"/>
          <w:sz w:val="24"/>
          <w:szCs w:val="24"/>
          <w:u w:val="single"/>
        </w:rPr>
      </w:pPr>
      <w:hyperlink r:id="rId18">
        <w:r>
          <w:rPr>
            <w:rFonts w:ascii="Palatino Linotype" w:eastAsia="Palatino Linotype" w:hAnsi="Palatino Linotype" w:cs="Palatino Linotype"/>
            <w:b/>
            <w:i/>
            <w:color w:val="000000"/>
            <w:sz w:val="24"/>
            <w:szCs w:val="24"/>
            <w:u w:val="single"/>
          </w:rPr>
          <w:t>G-13-03-01-201</w:t>
        </w:r>
        <w:r>
          <w:rPr>
            <w:rFonts w:ascii="Palatino Linotype" w:eastAsia="Palatino Linotype" w:hAnsi="Palatino Linotype" w:cs="Palatino Linotype"/>
            <w:b/>
            <w:i/>
            <w:color w:val="000000"/>
            <w:sz w:val="24"/>
            <w:szCs w:val="24"/>
            <w:u w:val="single"/>
          </w:rPr>
          <w:t>9-01 ejemplo vista anual acumulado o global.pdf</w:t>
        </w:r>
      </w:hyperlink>
      <w:r>
        <w:rPr>
          <w:noProof/>
        </w:rPr>
        <mc:AlternateContent>
          <mc:Choice Requires="wpg">
            <w:drawing>
              <wp:anchor distT="0" distB="0" distL="114300" distR="114300" simplePos="0" relativeHeight="251659264" behindDoc="0" locked="0" layoutInCell="1" hidden="0" allowOverlap="1">
                <wp:simplePos x="0" y="0"/>
                <wp:positionH relativeFrom="column">
                  <wp:posOffset>-152399</wp:posOffset>
                </wp:positionH>
                <wp:positionV relativeFrom="paragraph">
                  <wp:posOffset>431800</wp:posOffset>
                </wp:positionV>
                <wp:extent cx="5753100" cy="4781550"/>
                <wp:effectExtent l="0" t="0" r="0" b="0"/>
                <wp:wrapNone/>
                <wp:docPr id="73" name="Conector recto de flecha 73"/>
                <wp:cNvGraphicFramePr/>
                <a:graphic xmlns:a="http://schemas.openxmlformats.org/drawingml/2006/main">
                  <a:graphicData uri="http://schemas.microsoft.com/office/word/2010/wordprocessingShape">
                    <wps:wsp>
                      <wps:cNvCnPr/>
                      <wps:spPr>
                        <a:xfrm>
                          <a:off x="2488500" y="1408275"/>
                          <a:ext cx="5715000" cy="4743450"/>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431800</wp:posOffset>
                </wp:positionV>
                <wp:extent cx="5753100" cy="4781550"/>
                <wp:effectExtent b="0" l="0" r="0" t="0"/>
                <wp:wrapNone/>
                <wp:docPr id="73"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5753100" cy="4781550"/>
                        </a:xfrm>
                        <a:prstGeom prst="rect"/>
                        <a:ln/>
                      </pic:spPr>
                    </pic:pic>
                  </a:graphicData>
                </a:graphic>
              </wp:anchor>
            </w:drawing>
          </mc:Fallback>
        </mc:AlternateContent>
      </w:r>
    </w:p>
    <w:p w:rsidR="001E3DA4" w:rsidRDefault="001E3DA4">
      <w:pPr>
        <w:spacing w:line="360" w:lineRule="auto"/>
        <w:jc w:val="both"/>
        <w:rPr>
          <w:rFonts w:ascii="Palatino Linotype" w:eastAsia="Palatino Linotype" w:hAnsi="Palatino Linotype" w:cs="Palatino Linotype"/>
          <w:b/>
          <w:i/>
          <w:color w:val="000000"/>
          <w:sz w:val="24"/>
          <w:szCs w:val="24"/>
          <w:u w:val="single"/>
        </w:rPr>
      </w:pPr>
    </w:p>
    <w:p w:rsidR="001E3DA4" w:rsidRDefault="004508DA">
      <w:pPr>
        <w:spacing w:line="360" w:lineRule="auto"/>
        <w:jc w:val="both"/>
        <w:rPr>
          <w:rFonts w:ascii="Palatino Linotype" w:eastAsia="Palatino Linotype" w:hAnsi="Palatino Linotype" w:cs="Palatino Linotype"/>
          <w:b/>
          <w:i/>
          <w:color w:val="000000"/>
          <w:sz w:val="24"/>
          <w:szCs w:val="24"/>
          <w:u w:val="single"/>
        </w:rPr>
      </w:pPr>
      <w:r>
        <w:rPr>
          <w:noProof/>
        </w:rPr>
        <w:lastRenderedPageBreak/>
        <w:drawing>
          <wp:inline distT="0" distB="0" distL="0" distR="0">
            <wp:extent cx="5662543" cy="2619156"/>
            <wp:effectExtent l="0" t="0" r="0" b="0"/>
            <wp:docPr id="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l="30890" t="15993" r="17006" b="41159"/>
                    <a:stretch>
                      <a:fillRect/>
                    </a:stretch>
                  </pic:blipFill>
                  <pic:spPr>
                    <a:xfrm>
                      <a:off x="0" y="0"/>
                      <a:ext cx="5662543" cy="2619156"/>
                    </a:xfrm>
                    <a:prstGeom prst="rect">
                      <a:avLst/>
                    </a:prstGeom>
                    <a:ln/>
                  </pic:spPr>
                </pic:pic>
              </a:graphicData>
            </a:graphic>
          </wp:inline>
        </w:drawing>
      </w:r>
      <w:r>
        <w:t xml:space="preserve"> </w:t>
      </w:r>
      <w:r>
        <w:rPr>
          <w:noProof/>
        </w:rPr>
        <w:drawing>
          <wp:inline distT="0" distB="0" distL="0" distR="0">
            <wp:extent cx="5249424" cy="4194440"/>
            <wp:effectExtent l="0" t="0" r="0" b="0"/>
            <wp:docPr id="8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l="39036" t="22028" r="24812" b="10681"/>
                    <a:stretch>
                      <a:fillRect/>
                    </a:stretch>
                  </pic:blipFill>
                  <pic:spPr>
                    <a:xfrm>
                      <a:off x="0" y="0"/>
                      <a:ext cx="5249424" cy="4194440"/>
                    </a:xfrm>
                    <a:prstGeom prst="rect">
                      <a:avLst/>
                    </a:prstGeom>
                    <a:ln/>
                  </pic:spPr>
                </pic:pic>
              </a:graphicData>
            </a:graphic>
          </wp:inline>
        </w:drawing>
      </w:r>
    </w:p>
    <w:p w:rsidR="001E3DA4" w:rsidRDefault="004508DA">
      <w:pPr>
        <w:spacing w:line="360" w:lineRule="auto"/>
        <w:jc w:val="both"/>
        <w:rPr>
          <w:rFonts w:ascii="Palatino Linotype" w:eastAsia="Palatino Linotype" w:hAnsi="Palatino Linotype" w:cs="Palatino Linotype"/>
          <w:b/>
          <w:i/>
          <w:color w:val="000000"/>
          <w:sz w:val="24"/>
          <w:szCs w:val="24"/>
          <w:u w:val="single"/>
        </w:rPr>
      </w:pPr>
      <w:hyperlink r:id="rId22">
        <w:r>
          <w:rPr>
            <w:rFonts w:ascii="Palatino Linotype" w:eastAsia="Palatino Linotype" w:hAnsi="Palatino Linotype" w:cs="Palatino Linotype"/>
            <w:b/>
            <w:i/>
            <w:color w:val="000000"/>
            <w:sz w:val="24"/>
            <w:szCs w:val="24"/>
            <w:u w:val="single"/>
          </w:rPr>
          <w:t>G-13-01-02-2019-01 ejemplo detalle diferencias sueldos y salarios, diferencias mensuales.pdf</w:t>
        </w:r>
      </w:hyperlink>
    </w:p>
    <w:p w:rsidR="001E3DA4" w:rsidRDefault="004508DA">
      <w:pPr>
        <w:spacing w:line="360" w:lineRule="auto"/>
        <w:jc w:val="both"/>
        <w:rPr>
          <w:rFonts w:ascii="Palatino Linotype" w:eastAsia="Palatino Linotype" w:hAnsi="Palatino Linotype" w:cs="Palatino Linotype"/>
          <w:sz w:val="24"/>
          <w:szCs w:val="24"/>
        </w:rPr>
      </w:pPr>
      <w:r>
        <w:rPr>
          <w:noProof/>
        </w:rPr>
        <w:drawing>
          <wp:inline distT="0" distB="0" distL="0" distR="0">
            <wp:extent cx="5365360" cy="3056076"/>
            <wp:effectExtent l="0" t="0" r="0" b="0"/>
            <wp:docPr id="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l="38357" t="25648" r="35505" b="18829"/>
                    <a:stretch>
                      <a:fillRect/>
                    </a:stretch>
                  </pic:blipFill>
                  <pic:spPr>
                    <a:xfrm>
                      <a:off x="0" y="0"/>
                      <a:ext cx="5365360" cy="3056076"/>
                    </a:xfrm>
                    <a:prstGeom prst="rect">
                      <a:avLst/>
                    </a:prstGeom>
                    <a:ln/>
                  </pic:spPr>
                </pic:pic>
              </a:graphicData>
            </a:graphic>
          </wp:inline>
        </w:drawing>
      </w:r>
    </w:p>
    <w:p w:rsidR="001E3DA4" w:rsidRDefault="004508DA">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419485" cy="3325738"/>
            <wp:effectExtent l="0" t="0" r="0" b="0"/>
            <wp:docPr id="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l="38018" t="40434" r="36185" b="29390"/>
                    <a:stretch>
                      <a:fillRect/>
                    </a:stretch>
                  </pic:blipFill>
                  <pic:spPr>
                    <a:xfrm>
                      <a:off x="0" y="0"/>
                      <a:ext cx="5419485" cy="3325738"/>
                    </a:xfrm>
                    <a:prstGeom prst="rect">
                      <a:avLst/>
                    </a:prstGeom>
                    <a:ln/>
                  </pic:spPr>
                </pic:pic>
              </a:graphicData>
            </a:graphic>
          </wp:inline>
        </w:drawing>
      </w:r>
    </w:p>
    <w:p w:rsidR="001E3DA4" w:rsidRDefault="004508DA">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De conformidad con el artículo 185 fracción I de la Ley de Transparencia y Acceso a la Información Pública del Estado de México y Municipios vigente, el presente recurso de revisión se turnó por el sistema electrónico del Instituto de Transparencia, Acceso</w:t>
      </w:r>
      <w:r>
        <w:rPr>
          <w:rFonts w:ascii="Palatino Linotype" w:eastAsia="Palatino Linotype" w:hAnsi="Palatino Linotype" w:cs="Palatino Linotype"/>
          <w:sz w:val="24"/>
          <w:szCs w:val="24"/>
        </w:rPr>
        <w:t xml:space="preserve">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veinticuat</w:t>
      </w:r>
      <w:r>
        <w:rPr>
          <w:rFonts w:ascii="Palatino Linotype" w:eastAsia="Palatino Linotype" w:hAnsi="Palatino Linotype" w:cs="Palatino Linotype"/>
          <w:b/>
          <w:sz w:val="24"/>
          <w:szCs w:val="24"/>
        </w:rPr>
        <w:t xml:space="preserve">ro de febrero de dos mil veintidós,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admitió a trámite el recurso de revisión que ahora se resuelve, dando un plazo máximo d</w:t>
      </w:r>
      <w:r>
        <w:rPr>
          <w:rFonts w:ascii="Palatino Linotype" w:eastAsia="Palatino Linotype" w:hAnsi="Palatino Linotype" w:cs="Palatino Linotype"/>
          <w:sz w:val="24"/>
          <w:szCs w:val="24"/>
        </w:rPr>
        <w:t xml:space="preserve">e siete días hábiles para que las partes manifestaran lo que a su derecho </w:t>
      </w:r>
      <w:r>
        <w:rPr>
          <w:rFonts w:ascii="Palatino Linotype" w:eastAsia="Palatino Linotype" w:hAnsi="Palatino Linotype" w:cs="Palatino Linotype"/>
          <w:sz w:val="24"/>
          <w:szCs w:val="24"/>
        </w:rPr>
        <w:lastRenderedPageBreak/>
        <w:t xml:space="preserve">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1E3DA4" w:rsidRDefault="004508DA">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El primero de marzo d</w:t>
      </w:r>
      <w:r>
        <w:rPr>
          <w:rFonts w:ascii="Palatino Linotype" w:eastAsia="Palatino Linotype" w:hAnsi="Palatino Linotype" w:cs="Palatino Linotype"/>
          <w:sz w:val="24"/>
          <w:szCs w:val="24"/>
        </w:rPr>
        <w:t xml:space="preserve">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rsidR="001E3DA4" w:rsidRDefault="004508DA">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sz w:val="24"/>
          <w:szCs w:val="24"/>
          <w:u w:val="single"/>
        </w:rPr>
        <w:t xml:space="preserve">RECURSO DE REVISIÓN 01004.pdf </w:t>
      </w:r>
      <w:r>
        <w:rPr>
          <w:rFonts w:ascii="Palatino Linotype" w:eastAsia="Palatino Linotype" w:hAnsi="Palatino Linotype" w:cs="Palatino Linotype"/>
          <w:color w:val="000000"/>
          <w:sz w:val="24"/>
          <w:szCs w:val="24"/>
        </w:rPr>
        <w:t xml:space="preserve">contiene el oficio a través del cual el Titular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ratifica en términos generales su respuesta original. </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Así mismo adjunta los archivos </w:t>
      </w:r>
      <w:r>
        <w:rPr>
          <w:rFonts w:ascii="Palatino Linotype" w:eastAsia="Palatino Linotype" w:hAnsi="Palatino Linotype" w:cs="Palatino Linotype"/>
          <w:b/>
          <w:i/>
          <w:sz w:val="24"/>
          <w:szCs w:val="24"/>
          <w:u w:val="single"/>
        </w:rPr>
        <w:t xml:space="preserve">ANEXO I.pdf, ANEXO II.pdf </w:t>
      </w:r>
      <w:r>
        <w:rPr>
          <w:rFonts w:ascii="Palatino Linotype" w:eastAsia="Palatino Linotype" w:hAnsi="Palatino Linotype" w:cs="Palatino Linotype"/>
          <w:color w:val="000000"/>
          <w:sz w:val="24"/>
          <w:szCs w:val="24"/>
        </w:rPr>
        <w:t>y</w:t>
      </w:r>
      <w:r>
        <w:rPr>
          <w:rFonts w:ascii="Palatino Linotype" w:eastAsia="Palatino Linotype" w:hAnsi="Palatino Linotype" w:cs="Palatino Linotype"/>
          <w:b/>
          <w:i/>
          <w:sz w:val="24"/>
          <w:szCs w:val="24"/>
          <w:u w:val="single"/>
        </w:rPr>
        <w:t xml:space="preserve"> ANEXO 3.pdf</w:t>
      </w:r>
      <w:r>
        <w:rPr>
          <w:rFonts w:ascii="Palatino Linotype" w:eastAsia="Palatino Linotype" w:hAnsi="Palatino Linotype" w:cs="Palatino Linotype"/>
          <w:sz w:val="24"/>
          <w:szCs w:val="24"/>
        </w:rPr>
        <w:t>, resultando ser los mismos archi</w:t>
      </w:r>
      <w:r>
        <w:rPr>
          <w:rFonts w:ascii="Palatino Linotype" w:eastAsia="Palatino Linotype" w:hAnsi="Palatino Linotype" w:cs="Palatino Linotype"/>
          <w:sz w:val="24"/>
          <w:szCs w:val="24"/>
        </w:rPr>
        <w:t xml:space="preserve">vos que entrega en su respuesta inicial. </w:t>
      </w:r>
    </w:p>
    <w:p w:rsidR="001E3DA4" w:rsidRDefault="004508DA">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En fecha veintiuno de abril de dos mil veintidós, se amplió el término para resolver el recurso de revisión en términos del artículo 181 párrafo tercero de la Ley de Transpa</w:t>
      </w:r>
      <w:r>
        <w:rPr>
          <w:rFonts w:ascii="Palatino Linotype" w:eastAsia="Palatino Linotype" w:hAnsi="Palatino Linotype" w:cs="Palatino Linotype"/>
          <w:sz w:val="24"/>
          <w:szCs w:val="24"/>
        </w:rPr>
        <w:t>rencia y Acceso a la Información Pública del Estado de México y Municipios por un plazo de quince días hábiles.</w:t>
      </w:r>
    </w:p>
    <w:p w:rsidR="001E3DA4" w:rsidRDefault="004508DA">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 9. CIERRE DE INSTRUCCIÓN. </w:t>
      </w:r>
      <w:r>
        <w:rPr>
          <w:rFonts w:ascii="Palatino Linotype" w:eastAsia="Palatino Linotype" w:hAnsi="Palatino Linotype" w:cs="Palatino Linotype"/>
          <w:color w:val="000000"/>
          <w:sz w:val="24"/>
          <w:szCs w:val="24"/>
        </w:rPr>
        <w:t>El veinticinco de abril de dos mil veintidós, al no existir diligencias pendientes por desahogar, se emitió el acuerd</w:t>
      </w:r>
      <w:r>
        <w:rPr>
          <w:rFonts w:ascii="Palatino Linotype" w:eastAsia="Palatino Linotype" w:hAnsi="Palatino Linotype" w:cs="Palatino Linotype"/>
          <w:color w:val="000000"/>
          <w:sz w:val="24"/>
          <w:szCs w:val="24"/>
        </w:rPr>
        <w:t xml:space="preserve">o por medio del cual se declaró cerrada la instrucción y se determinó pasar el expediente a resolución, en términos del artículo 185 fracción VI y VIII de la Ley de Transparencia y Acceso a la </w:t>
      </w:r>
      <w:r>
        <w:rPr>
          <w:rFonts w:ascii="Palatino Linotype" w:eastAsia="Palatino Linotype" w:hAnsi="Palatino Linotype" w:cs="Palatino Linotype"/>
          <w:color w:val="000000"/>
          <w:sz w:val="24"/>
          <w:szCs w:val="24"/>
        </w:rPr>
        <w:lastRenderedPageBreak/>
        <w:t>Información Pública del Estado de México y Municipios, iniciand</w:t>
      </w:r>
      <w:r>
        <w:rPr>
          <w:rFonts w:ascii="Palatino Linotype" w:eastAsia="Palatino Linotype" w:hAnsi="Palatino Linotype" w:cs="Palatino Linotype"/>
          <w:color w:val="000000"/>
          <w:sz w:val="24"/>
          <w:szCs w:val="24"/>
        </w:rPr>
        <w:t xml:space="preserve">o el término legal para dictar resolución definitiva del asunto. </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w:t>
      </w:r>
      <w:r>
        <w:rPr>
          <w:rFonts w:ascii="Palatino Linotype" w:eastAsia="Palatino Linotype" w:hAnsi="Palatino Linotype" w:cs="Palatino Linotype"/>
          <w:sz w:val="24"/>
          <w:szCs w:val="24"/>
        </w:rPr>
        <w:t xml:space="preserve">siguientes: </w:t>
      </w:r>
    </w:p>
    <w:p w:rsidR="001E3DA4" w:rsidRDefault="004508DA">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w:t>
      </w:r>
      <w:r>
        <w:rPr>
          <w:rFonts w:ascii="Palatino Linotype" w:eastAsia="Palatino Linotype" w:hAnsi="Palatino Linotype" w:cs="Palatino Linotype"/>
          <w:sz w:val="24"/>
          <w:szCs w:val="24"/>
        </w:rPr>
        <w:t xml:space="preserve">isión interpuesto por la parte recurrente, conforme a lo dispuesto en los artículos 6, apartado A de la Constitución Política de los Estados Unidos Mexicanos; 5 párrafos trigésimo, trigésimo primero y trigésimo segundo fracciones IV y V de la Constitución </w:t>
      </w:r>
      <w:r>
        <w:rPr>
          <w:rFonts w:ascii="Palatino Linotype" w:eastAsia="Palatino Linotype" w:hAnsi="Palatino Linotype" w:cs="Palatino Linotype"/>
          <w:sz w:val="24"/>
          <w:szCs w:val="24"/>
        </w:rPr>
        <w:t>Política del Estado Libre y Soberano de México; 2, fracción II; 29, 36 fracciones I y II; 176, 178, 181, 185, fracción I, 186 y 188 de la Ley Transparencia y Acceso a la Información Pública del Estado de México y Municipios; 9, fracciones I y XXIV y 11 del</w:t>
      </w:r>
      <w:r>
        <w:rPr>
          <w:rFonts w:ascii="Palatino Linotype" w:eastAsia="Palatino Linotype" w:hAnsi="Palatino Linotype" w:cs="Palatino Linotype"/>
          <w:sz w:val="24"/>
          <w:szCs w:val="24"/>
        </w:rPr>
        <w:t xml:space="preserve"> Reglamento Interior del Instituto de Transparencia, Acceso a la Información Pública y Protección de Datos Personales del Estado de México y Municipios.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Previo al estudio del fondo del asunto, </w:t>
      </w:r>
      <w:r>
        <w:rPr>
          <w:rFonts w:ascii="Palatino Linotype" w:eastAsia="Palatino Linotype" w:hAnsi="Palatino Linotype" w:cs="Palatino Linotype"/>
          <w:sz w:val="24"/>
          <w:szCs w:val="24"/>
        </w:rPr>
        <w:t xml:space="preserve">se procede a analizar los requisitos de oportunidad y procedibilidad que debe reunir el recurso de revisión </w:t>
      </w:r>
      <w:r>
        <w:rPr>
          <w:rFonts w:ascii="Palatino Linotype" w:eastAsia="Palatino Linotype" w:hAnsi="Palatino Linotype" w:cs="Palatino Linotype"/>
          <w:sz w:val="24"/>
          <w:szCs w:val="24"/>
        </w:rPr>
        <w:lastRenderedPageBreak/>
        <w:t>interpuesto, previstos en los artículos 178 y 180 de la Ley de Transparencia y Acceso a la Información Pública del Estado de México y Municipios.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w:t>
      </w:r>
      <w:r>
        <w:rPr>
          <w:rFonts w:ascii="Palatino Linotype" w:eastAsia="Palatino Linotype" w:hAnsi="Palatino Linotype" w:cs="Palatino Linotype"/>
          <w:sz w:val="24"/>
          <w:szCs w:val="24"/>
        </w:rPr>
        <w:t xml:space="preserve">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remitió la respuesta a</w:t>
      </w:r>
      <w:r>
        <w:rPr>
          <w:rFonts w:ascii="Palatino Linotype" w:eastAsia="Palatino Linotype" w:hAnsi="Palatino Linotype" w:cs="Palatino Linotype"/>
          <w:sz w:val="24"/>
          <w:szCs w:val="24"/>
        </w:rPr>
        <w:t xml:space="preserve"> la solicitud de información el día </w:t>
      </w:r>
      <w:r>
        <w:rPr>
          <w:rFonts w:ascii="Palatino Linotype" w:eastAsia="Palatino Linotype" w:hAnsi="Palatino Linotype" w:cs="Palatino Linotype"/>
          <w:b/>
          <w:sz w:val="24"/>
          <w:szCs w:val="24"/>
        </w:rPr>
        <w:t xml:space="preserve">dieciocho de febrero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veintiuno de febrero de dos mil veintidós</w:t>
      </w:r>
      <w:r>
        <w:rPr>
          <w:rFonts w:ascii="Palatino Linotype" w:eastAsia="Palatino Linotype" w:hAnsi="Palatino Linotype" w:cs="Palatino Linotype"/>
          <w:sz w:val="24"/>
          <w:szCs w:val="24"/>
        </w:rPr>
        <w:t>, esto es, al siguiente día hábil en que tuvo conocimiento de la respuesta impugnada.</w:t>
      </w:r>
    </w:p>
    <w:p w:rsidR="001E3DA4" w:rsidRDefault="004508DA">
      <w:pPr>
        <w:spacing w:before="240" w:after="240" w:line="360" w:lineRule="auto"/>
        <w:jc w:val="both"/>
        <w:rPr>
          <w:rFonts w:ascii="Palatino Linotype" w:eastAsia="Palatino Linotype" w:hAnsi="Palatino Linotype" w:cs="Palatino Linotype"/>
          <w:sz w:val="24"/>
          <w:szCs w:val="24"/>
        </w:rPr>
      </w:pPr>
      <w:bookmarkStart w:id="1" w:name="_heading=h.3znysh7" w:colFirst="0" w:colLast="0"/>
      <w:bookmarkEnd w:id="1"/>
      <w:r>
        <w:rPr>
          <w:rFonts w:ascii="Palatino Linotype" w:eastAsia="Palatino Linotype" w:hAnsi="Palatino Linotype" w:cs="Palatino Linotype"/>
          <w:sz w:val="24"/>
          <w:szCs w:val="24"/>
        </w:rPr>
        <w:t xml:space="preserve">En este sentido, al considerar la fecha en que se formuló la solicitud y la fecha en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w:t>
      </w:r>
      <w:r>
        <w:rPr>
          <w:rFonts w:ascii="Palatino Linotype" w:eastAsia="Palatino Linotype" w:hAnsi="Palatino Linotype" w:cs="Palatino Linotype"/>
          <w:sz w:val="24"/>
          <w:szCs w:val="24"/>
        </w:rPr>
        <w:t>urso de revisión, se concluye que el presente recurso de revisión se encuentra dentro de los márgenes temporales previstos las disposiciones legales referidas.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también, por cuanto hace a la procedibilidad del recurso de revisión, una vez realizado el a</w:t>
      </w:r>
      <w:r>
        <w:rPr>
          <w:rFonts w:ascii="Palatino Linotype" w:eastAsia="Palatino Linotype" w:hAnsi="Palatino Linotype" w:cs="Palatino Linotype"/>
          <w:sz w:val="24"/>
          <w:szCs w:val="24"/>
        </w:rPr>
        <w:t>nálisis de los formatos de interposición del recurso, se concluye la acreditación plena de los elementos formales precisados por el artículo 180 de la Ley de Transparencia y Acceso a la Información Pública del Estado de México y Municipios, en atención a q</w:t>
      </w:r>
      <w:r>
        <w:rPr>
          <w:rFonts w:ascii="Palatino Linotype" w:eastAsia="Palatino Linotype" w:hAnsi="Palatino Linotype" w:cs="Palatino Linotype"/>
          <w:sz w:val="24"/>
          <w:szCs w:val="24"/>
        </w:rPr>
        <w:t>ue fue presentado mediante el formato visible en el SAIMEX.</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Finalmente, se advierte que resulta procedente la interposición del recurso, según lo manifestado por el recurrente en sus motivos de inconformidad, de acuerdo al artículo 179, f</w:t>
      </w:r>
      <w:r>
        <w:rPr>
          <w:rFonts w:ascii="Palatino Linotype" w:eastAsia="Palatino Linotype" w:hAnsi="Palatino Linotype" w:cs="Palatino Linotype"/>
          <w:color w:val="000000"/>
          <w:sz w:val="24"/>
          <w:szCs w:val="24"/>
        </w:rPr>
        <w:t>racción VI</w:t>
      </w:r>
      <w:r>
        <w:rPr>
          <w:rFonts w:ascii="Palatino Linotype" w:eastAsia="Palatino Linotype" w:hAnsi="Palatino Linotype" w:cs="Palatino Linotype"/>
          <w:sz w:val="24"/>
          <w:szCs w:val="24"/>
        </w:rPr>
        <w:t xml:space="preserve"> del ord</w:t>
      </w:r>
      <w:r>
        <w:rPr>
          <w:rFonts w:ascii="Palatino Linotype" w:eastAsia="Palatino Linotype" w:hAnsi="Palatino Linotype" w:cs="Palatino Linotype"/>
          <w:sz w:val="24"/>
          <w:szCs w:val="24"/>
        </w:rPr>
        <w:t>enamiento legal citado, que a la letra dice: </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rsidR="001E3DA4" w:rsidRDefault="004508DA">
      <w:pPr>
        <w:spacing w:before="120" w:after="120"/>
        <w:ind w:left="993" w:right="902"/>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1E3DA4" w:rsidRDefault="004508DA">
      <w:pPr>
        <w:spacing w:before="120" w:after="120"/>
        <w:ind w:left="993" w:right="902"/>
        <w:jc w:val="both"/>
        <w:rPr>
          <w:rFonts w:ascii="Palatino Linotype" w:eastAsia="Palatino Linotype" w:hAnsi="Palatino Linotype" w:cs="Palatino Linotype"/>
          <w:i/>
        </w:rPr>
      </w:pPr>
      <w:r>
        <w:rPr>
          <w:rFonts w:ascii="Palatino Linotype" w:eastAsia="Palatino Linotype" w:hAnsi="Palatino Linotype" w:cs="Palatino Linotype"/>
          <w:b/>
          <w:i/>
        </w:rPr>
        <w:t>VI. La entrega de información que no corresponda con</w:t>
      </w:r>
      <w:r>
        <w:rPr>
          <w:rFonts w:ascii="Palatino Linotype" w:eastAsia="Palatino Linotype" w:hAnsi="Palatino Linotype" w:cs="Palatino Linotype"/>
          <w:b/>
          <w:i/>
        </w:rPr>
        <w:t xml:space="preserve"> lo solicitado;</w:t>
      </w:r>
      <w:r>
        <w:rPr>
          <w:rFonts w:ascii="Palatino Linotype" w:eastAsia="Palatino Linotype" w:hAnsi="Palatino Linotype" w:cs="Palatino Linotype"/>
          <w:i/>
        </w:rPr>
        <w:t>”</w:t>
      </w:r>
    </w:p>
    <w:p w:rsidR="001E3DA4" w:rsidRDefault="001E3DA4">
      <w:pPr>
        <w:spacing w:line="360" w:lineRule="auto"/>
        <w:jc w:val="both"/>
        <w:rPr>
          <w:rFonts w:ascii="Palatino Linotype" w:eastAsia="Palatino Linotype" w:hAnsi="Palatino Linotype" w:cs="Palatino Linotype"/>
          <w:sz w:val="24"/>
          <w:szCs w:val="24"/>
        </w:rPr>
      </w:pP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w:t>
      </w:r>
      <w:r>
        <w:rPr>
          <w:rFonts w:ascii="Palatino Linotype" w:eastAsia="Palatino Linotype" w:hAnsi="Palatino Linotype" w:cs="Palatino Linotype"/>
          <w:sz w:val="24"/>
          <w:szCs w:val="24"/>
        </w:rPr>
        <w:t xml:space="preserve">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w:t>
      </w:r>
      <w:r>
        <w:rPr>
          <w:rFonts w:ascii="Palatino Linotype" w:eastAsia="Palatino Linotype" w:hAnsi="Palatino Linotype" w:cs="Palatino Linotype"/>
          <w:sz w:val="24"/>
          <w:szCs w:val="24"/>
        </w:rPr>
        <w:t>tuna.</w:t>
      </w:r>
    </w:p>
    <w:p w:rsidR="001E3DA4" w:rsidRDefault="004508D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primera instancia, debe resaltarse que el derecho de acceso a información pública, es un derecho humano, mismo que en términos del artículo 1° de la Constitución Política de los Estados Unidos Mexicanos, t</w:t>
      </w:r>
      <w:r>
        <w:rPr>
          <w:rFonts w:ascii="Palatino Linotype" w:eastAsia="Palatino Linotype" w:hAnsi="Palatino Linotype" w:cs="Palatino Linotype"/>
          <w:sz w:val="24"/>
          <w:szCs w:val="24"/>
        </w:rPr>
        <w:t xml:space="preserve">oda autoridad tiene la ineludible obligación de promoverlo, respetarlo, protegerlo y garantizarlo, lo que deriva en que se deben reparar las violaciones al derecho humano en cuestión, incluso se prevé que se deberán </w:t>
      </w:r>
      <w:r>
        <w:rPr>
          <w:rFonts w:ascii="Palatino Linotype" w:eastAsia="Palatino Linotype" w:hAnsi="Palatino Linotype" w:cs="Palatino Linotype"/>
          <w:sz w:val="24"/>
          <w:szCs w:val="24"/>
        </w:rPr>
        <w:lastRenderedPageBreak/>
        <w:t>interpretar las normas favoreciendo en t</w:t>
      </w:r>
      <w:r>
        <w:rPr>
          <w:rFonts w:ascii="Palatino Linotype" w:eastAsia="Palatino Linotype" w:hAnsi="Palatino Linotype" w:cs="Palatino Linotype"/>
          <w:sz w:val="24"/>
          <w:szCs w:val="24"/>
        </w:rPr>
        <w:t xml:space="preserve">odo tiempo a las personas con la protección más amplia. </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mismo, resulta indispensable referir que el derecho de acceso a la información pública implica que cualquier persona pueda acceder y conocer la información contenida en los documentos que se encu</w:t>
      </w:r>
      <w:r>
        <w:rPr>
          <w:rFonts w:ascii="Palatino Linotype" w:eastAsia="Palatino Linotype" w:hAnsi="Palatino Linotype" w:cs="Palatino Linotype"/>
          <w:sz w:val="24"/>
          <w:szCs w:val="24"/>
        </w:rPr>
        <w:t xml:space="preserve">entran en posesión de los Sujetos Obligados. </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manera que, la obligación de acceso a la información se tendrá por cumplida cuando el solicitante tenga a su disposición la información requerida, o cuando realice su consulta en el lugar que ésta se localic</w:t>
      </w:r>
      <w:r>
        <w:rPr>
          <w:rFonts w:ascii="Palatino Linotype" w:eastAsia="Palatino Linotype" w:hAnsi="Palatino Linotype" w:cs="Palatino Linotype"/>
          <w:sz w:val="24"/>
          <w:szCs w:val="24"/>
        </w:rPr>
        <w:t>e, conforme a los artículos 3 fracción XI, XII 4, 12 y 24 último párrafo de la Ley de Transparencia y Acceso a la Información Pública del Estado de México y Municipios:</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XI. Documento: </w:t>
      </w:r>
      <w:r>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w:t>
      </w:r>
      <w:r>
        <w:rPr>
          <w:rFonts w:ascii="Palatino Linotype" w:eastAsia="Palatino Linotype" w:hAnsi="Palatino Linotype" w:cs="Palatino Linotype"/>
          <w:i/>
        </w:rPr>
        <w:t>o de las facultades, funciones y competencias de los sujetos obligados, sus servidores públicos e integrantes, sin importar su fuente o fecha de elaboración. Los documentos podrán estar en cualquier medio, sea escrito, impreso, sonoro, visual, electrónico,</w:t>
      </w:r>
      <w:r>
        <w:rPr>
          <w:rFonts w:ascii="Palatino Linotype" w:eastAsia="Palatino Linotype" w:hAnsi="Palatino Linotype" w:cs="Palatino Linotype"/>
          <w:i/>
        </w:rPr>
        <w:t xml:space="preserve"> informático u holográfico;</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XII. Documento electrónico:</w:t>
      </w:r>
      <w:r>
        <w:rPr>
          <w:rFonts w:ascii="Palatino Linotype" w:eastAsia="Palatino Linotype" w:hAnsi="Palatino Linotype" w:cs="Palatino Linotype"/>
          <w:i/>
        </w:rPr>
        <w:t xml:space="preserve"> Al soporte escrito con caracteres alfanuméricos, archivo de imagen, video, audio o cualquier otro formato tecnológicamente disponible, que contenga información en lenguaje natural o convencional, inte</w:t>
      </w:r>
      <w:r>
        <w:rPr>
          <w:rFonts w:ascii="Palatino Linotype" w:eastAsia="Palatino Linotype" w:hAnsi="Palatino Linotype" w:cs="Palatino Linotype"/>
          <w:i/>
        </w:rPr>
        <w:t xml:space="preserve">rcambiado por medios electrónicos, con el que sea posible dar constancia de un </w:t>
      </w:r>
      <w:r>
        <w:rPr>
          <w:rFonts w:ascii="Palatino Linotype" w:eastAsia="Palatino Linotype" w:hAnsi="Palatino Linotype" w:cs="Palatino Linotype"/>
          <w:i/>
        </w:rPr>
        <w:lastRenderedPageBreak/>
        <w:t>hecho y que esté signado con la firma electrónica avanzada y/o en el que se encuentre plasmado el sello electrónico;</w:t>
      </w:r>
    </w:p>
    <w:p w:rsidR="001E3DA4" w:rsidRDefault="004508DA">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4. El derecho humano de acceso a la información pública es la prerrogativa de las personas para buscar, difundir, investigar, recabar, recibir y solicitar información pública</w:t>
      </w:r>
      <w:r>
        <w:rPr>
          <w:rFonts w:ascii="Palatino Linotype" w:eastAsia="Palatino Linotype" w:hAnsi="Palatino Linotype" w:cs="Palatino Linotype"/>
          <w:i/>
        </w:rPr>
        <w:t>, sin necesidad de acreditar personalidad ni interés jurídico.</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Toda la in</w:t>
      </w:r>
      <w:r>
        <w:rPr>
          <w:rFonts w:ascii="Palatino Linotype" w:eastAsia="Palatino Linotype" w:hAnsi="Palatino Linotype" w:cs="Palatino Linotype"/>
          <w:b/>
          <w:i/>
        </w:rPr>
        <w:t xml:space="preserve">formación generada, obtenida, adquirida, transformada, administrada o en posesión de los sujetos obligados es pública y accesible de manera permanente a cualquier persona, en los términos y condiciones que se establezcan en los tratados internacionales de </w:t>
      </w:r>
      <w:r>
        <w:rPr>
          <w:rFonts w:ascii="Palatino Linotype" w:eastAsia="Palatino Linotype" w:hAnsi="Palatino Linotype" w:cs="Palatino Linotype"/>
          <w:b/>
          <w:i/>
        </w:rPr>
        <w:t>los que el Estado mexicano sea parte, en la Ley General, la presente Ley y demás disposiciones de la materia, privilegiando el principio de máxima publicidad de la información.</w:t>
      </w:r>
      <w:r>
        <w:rPr>
          <w:rFonts w:ascii="Palatino Linotype" w:eastAsia="Palatino Linotype" w:hAnsi="Palatino Linotype" w:cs="Palatino Linotype"/>
          <w:i/>
        </w:rPr>
        <w:t xml:space="preserve"> Solo podrá ser clasificada excepcionalmente como reservada temporalmente por ra</w:t>
      </w:r>
      <w:r>
        <w:rPr>
          <w:rFonts w:ascii="Palatino Linotype" w:eastAsia="Palatino Linotype" w:hAnsi="Palatino Linotype" w:cs="Palatino Linotype"/>
          <w:i/>
        </w:rPr>
        <w:t>zones de interés público, en los términos de las causas legítimas y estrictamente necesarias previstas por esta Ley.</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w:t>
      </w:r>
      <w:r>
        <w:rPr>
          <w:rFonts w:ascii="Palatino Linotype" w:eastAsia="Palatino Linotype" w:hAnsi="Palatino Linotype" w:cs="Palatino Linotype"/>
          <w:i/>
        </w:rPr>
        <w:t>eracidad, oportunidad, precisión y suficiencia en beneficio de los solicitantes.</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12. </w:t>
      </w:r>
      <w:r>
        <w:rPr>
          <w:rFonts w:ascii="Palatino Linotype" w:eastAsia="Palatino Linotype" w:hAnsi="Palatino Linotype" w:cs="Palatino Linotype"/>
          <w:i/>
        </w:rPr>
        <w:t>Quienes generen, recopilen, administren, manejen, procesen, archiven o conserven información pública serán responsables de la misma en los términos de las disposi</w:t>
      </w:r>
      <w:r>
        <w:rPr>
          <w:rFonts w:ascii="Palatino Linotype" w:eastAsia="Palatino Linotype" w:hAnsi="Palatino Linotype" w:cs="Palatino Linotype"/>
          <w:i/>
        </w:rPr>
        <w:t>ciones jurídicas aplicables.</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u w:val="single"/>
        </w:rPr>
        <w:t>.</w:t>
      </w:r>
      <w:r>
        <w:rPr>
          <w:rFonts w:ascii="Palatino Linotype" w:eastAsia="Palatino Linotype" w:hAnsi="Palatino Linotype" w:cs="Palatino Linotype"/>
          <w:i/>
        </w:rPr>
        <w:t xml:space="preserve"> La obligación de proporcionar información no comprende el procesamiento de</w:t>
      </w:r>
      <w:r>
        <w:rPr>
          <w:rFonts w:ascii="Palatino Linotype" w:eastAsia="Palatino Linotype" w:hAnsi="Palatino Linotype" w:cs="Palatino Linotype"/>
          <w:i/>
        </w:rPr>
        <w:t xml:space="preserve"> la misma, ni el presentarla conforme al interés del solicitante; no estarán obligados a generarla, resumirla, efectuar cálculos o practicar investigaciones. </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Artículo 24. </w:t>
      </w:r>
      <w:r>
        <w:rPr>
          <w:rFonts w:ascii="Palatino Linotype" w:eastAsia="Palatino Linotype" w:hAnsi="Palatino Linotype" w:cs="Palatino Linotype"/>
          <w:i/>
        </w:rPr>
        <w:t>Para el cumplimiento de los objetivos de esta Ley, los sujetos obligados deberán</w:t>
      </w:r>
      <w:r>
        <w:rPr>
          <w:rFonts w:ascii="Palatino Linotype" w:eastAsia="Palatino Linotype" w:hAnsi="Palatino Linotype" w:cs="Palatino Linotype"/>
          <w:i/>
        </w:rPr>
        <w:t xml:space="preserve"> cumplir con las siguientes obligaciones, según corresponda, de acuerdo a su naturaleza:</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240" w:after="240" w:line="276" w:lineRule="auto"/>
        <w:ind w:left="567" w:right="902"/>
        <w:jc w:val="both"/>
        <w:rPr>
          <w:rFonts w:ascii="Palatino Linotype" w:eastAsia="Palatino Linotype" w:hAnsi="Palatino Linotype" w:cs="Palatino Linotype"/>
          <w:i/>
          <w:u w:val="single"/>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Fomentar el uso de tecnologías de la información para garantizar la transparencia, el derecho de acceso a la información y la accesibilidad a éstos;</w:t>
      </w:r>
    </w:p>
    <w:p w:rsidR="001E3DA4" w:rsidRDefault="004508DA">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w:t>
      </w:r>
      <w:r>
        <w:rPr>
          <w:rFonts w:ascii="Palatino Linotype" w:eastAsia="Palatino Linotype" w:hAnsi="Palatino Linotype" w:cs="Palatino Linotype"/>
          <w:i/>
        </w:rPr>
        <w:t>Dar acceso a la información pública que le sea requerida, en los términos de la Ley General, esta Ley y demás disposiciones jurídicas aplicables;</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En la administración, gestión y custodia de los archivos de información pública, los sujetos obligados, lo</w:t>
      </w:r>
      <w:r>
        <w:rPr>
          <w:rFonts w:ascii="Palatino Linotype" w:eastAsia="Palatino Linotype" w:hAnsi="Palatino Linotype" w:cs="Palatino Linotype"/>
          <w:i/>
        </w:rPr>
        <w:t>s servidores públicos habilitados y los servidores públicos en general, se ajustarán a lo establecido por la normatividad aplicable.</w:t>
      </w:r>
    </w:p>
    <w:p w:rsidR="001E3DA4" w:rsidRDefault="004508DA">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Los sujetos obligados solo proporcionarán la información pública que generen, administren o posean en el ejercicio de sus a</w:t>
      </w:r>
      <w:r>
        <w:rPr>
          <w:rFonts w:ascii="Palatino Linotype" w:eastAsia="Palatino Linotype" w:hAnsi="Palatino Linotype" w:cs="Palatino Linotype"/>
          <w:b/>
          <w:i/>
        </w:rPr>
        <w:t>tribuciones.”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el ejercicio del derecho de acceso a la información pública es la prerrogativa de las personas para buscar, difundir, investigar, recabar, recibir y solicitar información pública, sin necesidad de acreditar personalidad ni interés </w:t>
      </w:r>
      <w:r>
        <w:rPr>
          <w:rFonts w:ascii="Palatino Linotype" w:eastAsia="Palatino Linotype" w:hAnsi="Palatino Linotype" w:cs="Palatino Linotype"/>
          <w:sz w:val="24"/>
          <w:szCs w:val="24"/>
        </w:rPr>
        <w:t xml:space="preserve">jurídico. </w:t>
      </w:r>
    </w:p>
    <w:p w:rsidR="001E3DA4" w:rsidRDefault="004508D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precisado lo anterior conviene recordar que la parte solicitante requirió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lo siguiente:</w:t>
      </w:r>
    </w:p>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I. </w:t>
      </w:r>
      <w:r>
        <w:rPr>
          <w:rFonts w:ascii="Palatino Linotype" w:eastAsia="Palatino Linotype" w:hAnsi="Palatino Linotype" w:cs="Palatino Linotype"/>
          <w:sz w:val="24"/>
          <w:szCs w:val="24"/>
        </w:rPr>
        <w:t xml:space="preserve">Reportes del aplicativo “Visor de nómina del SAT” por los años 2018, 2019, 2020, y 2021 en sus tres presentaciones: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a.</w:t>
      </w:r>
      <w:r>
        <w:rPr>
          <w:rFonts w:ascii="Palatino Linotype" w:eastAsia="Palatino Linotype" w:hAnsi="Palatino Linotype" w:cs="Palatino Linotype"/>
          <w:sz w:val="24"/>
          <w:szCs w:val="24"/>
        </w:rPr>
        <w:t xml:space="preserve"> Vista anual acumulada.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b.</w:t>
      </w:r>
      <w:r>
        <w:rPr>
          <w:rFonts w:ascii="Palatino Linotype" w:eastAsia="Palatino Linotype" w:hAnsi="Palatino Linotype" w:cs="Palatino Linotype"/>
          <w:sz w:val="24"/>
          <w:szCs w:val="24"/>
        </w:rPr>
        <w:t xml:space="preserve"> Detalle mensual.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w:t>
      </w:r>
      <w:r>
        <w:rPr>
          <w:rFonts w:ascii="Palatino Linotype" w:eastAsia="Palatino Linotype" w:hAnsi="Palatino Linotype" w:cs="Palatino Linotype"/>
          <w:sz w:val="24"/>
          <w:szCs w:val="24"/>
        </w:rPr>
        <w:t xml:space="preserve"> Detalle diferencias sueldos y salarios. </w:t>
      </w:r>
    </w:p>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II. </w:t>
      </w:r>
      <w:r>
        <w:rPr>
          <w:rFonts w:ascii="Palatino Linotype" w:eastAsia="Palatino Linotype" w:hAnsi="Palatino Linotype" w:cs="Palatino Linotype"/>
          <w:sz w:val="24"/>
          <w:szCs w:val="24"/>
        </w:rPr>
        <w:t xml:space="preserve">La constancia de situación fiscal de no adeudo emitida por el INFONAVIT, generada desde el portal empresarial de esa Institución, a través de internet. </w:t>
      </w:r>
    </w:p>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III.</w:t>
      </w:r>
      <w:r>
        <w:rPr>
          <w:rFonts w:ascii="Palatino Linotype" w:eastAsia="Palatino Linotype" w:hAnsi="Palatino Linotype" w:cs="Palatino Linotype"/>
          <w:sz w:val="24"/>
          <w:szCs w:val="24"/>
        </w:rPr>
        <w:t xml:space="preserve"> La o</w:t>
      </w:r>
      <w:r>
        <w:rPr>
          <w:rFonts w:ascii="Palatino Linotype" w:eastAsia="Palatino Linotype" w:hAnsi="Palatino Linotype" w:cs="Palatino Linotype"/>
          <w:sz w:val="24"/>
          <w:szCs w:val="24"/>
        </w:rPr>
        <w:t xml:space="preserve">pinión de no adeudo en el cumplimiento de obligaciones fiscales en materia de seguridad social emitida por el IMSS, generada desde el portal de esa Institución, a través de internet. </w:t>
      </w:r>
    </w:p>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IV.</w:t>
      </w:r>
      <w:r>
        <w:rPr>
          <w:rFonts w:ascii="Palatino Linotype" w:eastAsia="Palatino Linotype" w:hAnsi="Palatino Linotype" w:cs="Palatino Linotype"/>
          <w:sz w:val="24"/>
          <w:szCs w:val="24"/>
        </w:rPr>
        <w:t xml:space="preserve"> La opinión de no adeudo en el cumplimiento de obligaciones fiscales </w:t>
      </w:r>
      <w:r>
        <w:rPr>
          <w:rFonts w:ascii="Palatino Linotype" w:eastAsia="Palatino Linotype" w:hAnsi="Palatino Linotype" w:cs="Palatino Linotype"/>
          <w:sz w:val="24"/>
          <w:szCs w:val="24"/>
        </w:rPr>
        <w:t xml:space="preserve">estatales emitida por el SATEM, generada desde el portal de esa Institución, a través de internet. </w:t>
      </w:r>
    </w:p>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V.</w:t>
      </w:r>
      <w:r>
        <w:rPr>
          <w:rFonts w:ascii="Palatino Linotype" w:eastAsia="Palatino Linotype" w:hAnsi="Palatino Linotype" w:cs="Palatino Linotype"/>
          <w:sz w:val="24"/>
          <w:szCs w:val="24"/>
        </w:rPr>
        <w:t xml:space="preserve"> Un papel de trabajo por el municipio, y otro por cada una de sus descentralizadas que contenga los datos para identificar el ISR participable recuperado </w:t>
      </w:r>
      <w:r>
        <w:rPr>
          <w:rFonts w:ascii="Palatino Linotype" w:eastAsia="Palatino Linotype" w:hAnsi="Palatino Linotype" w:cs="Palatino Linotype"/>
          <w:sz w:val="24"/>
          <w:szCs w:val="24"/>
        </w:rPr>
        <w:t xml:space="preserve">por cada mes desde Enero de 2019 hasta Octubre de 2021. Propongo un papel de trabajo con los siguientes encabezados: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w:t>
      </w:r>
      <w:r>
        <w:rPr>
          <w:rFonts w:ascii="Palatino Linotype" w:eastAsia="Palatino Linotype" w:hAnsi="Palatino Linotype" w:cs="Palatino Linotype"/>
          <w:sz w:val="24"/>
          <w:szCs w:val="24"/>
        </w:rPr>
        <w:t xml:space="preserve"> En la columna A “Mes”.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B.</w:t>
      </w:r>
      <w:r>
        <w:rPr>
          <w:rFonts w:ascii="Palatino Linotype" w:eastAsia="Palatino Linotype" w:hAnsi="Palatino Linotype" w:cs="Palatino Linotype"/>
          <w:sz w:val="24"/>
          <w:szCs w:val="24"/>
        </w:rPr>
        <w:t xml:space="preserve"> En la columna B “Año”.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w:t>
      </w:r>
      <w:r>
        <w:rPr>
          <w:rFonts w:ascii="Palatino Linotype" w:eastAsia="Palatino Linotype" w:hAnsi="Palatino Linotype" w:cs="Palatino Linotype"/>
          <w:sz w:val="24"/>
          <w:szCs w:val="24"/>
        </w:rPr>
        <w:t xml:space="preserve">. En la columna C “ISR salarios retenido”.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D.</w:t>
      </w:r>
      <w:r>
        <w:rPr>
          <w:rFonts w:ascii="Palatino Linotype" w:eastAsia="Palatino Linotype" w:hAnsi="Palatino Linotype" w:cs="Palatino Linotype"/>
          <w:sz w:val="24"/>
          <w:szCs w:val="24"/>
        </w:rPr>
        <w:t xml:space="preserve"> En la columna D “ISR salarios entera</w:t>
      </w:r>
      <w:r>
        <w:rPr>
          <w:rFonts w:ascii="Palatino Linotype" w:eastAsia="Palatino Linotype" w:hAnsi="Palatino Linotype" w:cs="Palatino Linotype"/>
          <w:sz w:val="24"/>
          <w:szCs w:val="24"/>
        </w:rPr>
        <w:t xml:space="preserve">do”.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w:t>
      </w:r>
      <w:r>
        <w:rPr>
          <w:rFonts w:ascii="Palatino Linotype" w:eastAsia="Palatino Linotype" w:hAnsi="Palatino Linotype" w:cs="Palatino Linotype"/>
          <w:sz w:val="24"/>
          <w:szCs w:val="24"/>
        </w:rPr>
        <w:t xml:space="preserve"> En la columna E “ISR asimilados retenido”.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w:t>
      </w:r>
      <w:r>
        <w:rPr>
          <w:rFonts w:ascii="Palatino Linotype" w:eastAsia="Palatino Linotype" w:hAnsi="Palatino Linotype" w:cs="Palatino Linotype"/>
          <w:sz w:val="24"/>
          <w:szCs w:val="24"/>
        </w:rPr>
        <w:t xml:space="preserve"> En la columna F “ISR asimilados enterado”.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G.</w:t>
      </w:r>
      <w:r>
        <w:rPr>
          <w:rFonts w:ascii="Palatino Linotype" w:eastAsia="Palatino Linotype" w:hAnsi="Palatino Linotype" w:cs="Palatino Linotype"/>
          <w:sz w:val="24"/>
          <w:szCs w:val="24"/>
        </w:rPr>
        <w:t xml:space="preserve"> En la columna G “ISR honorarios y arrendamiento retenido”.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H. </w:t>
      </w:r>
      <w:r>
        <w:rPr>
          <w:rFonts w:ascii="Palatino Linotype" w:eastAsia="Palatino Linotype" w:hAnsi="Palatino Linotype" w:cs="Palatino Linotype"/>
          <w:sz w:val="24"/>
          <w:szCs w:val="24"/>
        </w:rPr>
        <w:t xml:space="preserve">En la columna H “ISR honorarios y arrendamiento enterado”.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I. </w:t>
      </w:r>
      <w:r>
        <w:rPr>
          <w:rFonts w:ascii="Palatino Linotype" w:eastAsia="Palatino Linotype" w:hAnsi="Palatino Linotype" w:cs="Palatino Linotype"/>
          <w:sz w:val="24"/>
          <w:szCs w:val="24"/>
        </w:rPr>
        <w:t>En la columna I “ISR partic</w:t>
      </w:r>
      <w:r>
        <w:rPr>
          <w:rFonts w:ascii="Palatino Linotype" w:eastAsia="Palatino Linotype" w:hAnsi="Palatino Linotype" w:cs="Palatino Linotype"/>
          <w:sz w:val="24"/>
          <w:szCs w:val="24"/>
        </w:rPr>
        <w:t xml:space="preserve">ipable recuperado a valor histórico”.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J.</w:t>
      </w:r>
      <w:r>
        <w:rPr>
          <w:rFonts w:ascii="Palatino Linotype" w:eastAsia="Palatino Linotype" w:hAnsi="Palatino Linotype" w:cs="Palatino Linotype"/>
          <w:sz w:val="24"/>
          <w:szCs w:val="24"/>
        </w:rPr>
        <w:t xml:space="preserve"> En la columna J “Subsidio para el empleo entregado en el mes al trabajador”.</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K. </w:t>
      </w:r>
      <w:r>
        <w:rPr>
          <w:rFonts w:ascii="Palatino Linotype" w:eastAsia="Palatino Linotype" w:hAnsi="Palatino Linotype" w:cs="Palatino Linotype"/>
          <w:sz w:val="24"/>
          <w:szCs w:val="24"/>
        </w:rPr>
        <w:t xml:space="preserve">En la columna K “Subsidio para el empleo acreditado en el mes contra las contribuciones que proceda”.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las filas correspondientes a</w:t>
      </w:r>
      <w:r>
        <w:rPr>
          <w:rFonts w:ascii="Palatino Linotype" w:eastAsia="Palatino Linotype" w:hAnsi="Palatino Linotype" w:cs="Palatino Linotype"/>
          <w:sz w:val="24"/>
          <w:szCs w:val="24"/>
        </w:rPr>
        <w:t xml:space="preserve"> cada mes, capturar la información de ese periodo. Al calce del papel de trabajo, el monto del ISR participable que no se ha podido recuperar, separando el monto que está pendiente de solicitar, del monto que se solicitó y no se recuperó.</w:t>
      </w:r>
    </w:p>
    <w:p w:rsidR="001E3DA4" w:rsidRDefault="004508DA">
      <w:pPr>
        <w:spacing w:before="240" w:after="240" w:line="360" w:lineRule="auto"/>
        <w:ind w:left="142"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VI.</w:t>
      </w:r>
      <w:r>
        <w:rPr>
          <w:rFonts w:ascii="Palatino Linotype" w:eastAsia="Palatino Linotype" w:hAnsi="Palatino Linotype" w:cs="Palatino Linotype"/>
          <w:sz w:val="24"/>
          <w:szCs w:val="24"/>
        </w:rPr>
        <w:t xml:space="preserve"> Para comproba</w:t>
      </w:r>
      <w:r>
        <w:rPr>
          <w:rFonts w:ascii="Palatino Linotype" w:eastAsia="Palatino Linotype" w:hAnsi="Palatino Linotype" w:cs="Palatino Linotype"/>
          <w:sz w:val="24"/>
          <w:szCs w:val="24"/>
        </w:rPr>
        <w:t>r que los trabajadores no están siendo afectados x errores en el cálculo de sus impuestos (No tienen diferencias a cargo, ni diferencias a favor en su declaración anual precargada), propongo q seleccionen al azar 5 muestras del ayuntamiento y tres muestras</w:t>
      </w:r>
      <w:r>
        <w:rPr>
          <w:rFonts w:ascii="Palatino Linotype" w:eastAsia="Palatino Linotype" w:hAnsi="Palatino Linotype" w:cs="Palatino Linotype"/>
          <w:sz w:val="24"/>
          <w:szCs w:val="24"/>
        </w:rPr>
        <w:t xml:space="preserve"> de cada descentralizada. A cada uno de los trabajadores seleccionados el personal responsable del municipio y/o de las descentralizadas, les calcularán el impuesto anual por los años 2017, 2018, 2019, y </w:t>
      </w:r>
      <w:r>
        <w:rPr>
          <w:rFonts w:ascii="Palatino Linotype" w:eastAsia="Palatino Linotype" w:hAnsi="Palatino Linotype" w:cs="Palatino Linotype"/>
          <w:sz w:val="24"/>
          <w:szCs w:val="24"/>
        </w:rPr>
        <w:lastRenderedPageBreak/>
        <w:t>2020, con base en los datos precargados en el expedi</w:t>
      </w:r>
      <w:r>
        <w:rPr>
          <w:rFonts w:ascii="Palatino Linotype" w:eastAsia="Palatino Linotype" w:hAnsi="Palatino Linotype" w:cs="Palatino Linotype"/>
          <w:sz w:val="24"/>
          <w:szCs w:val="24"/>
        </w:rPr>
        <w:t>ente fiscal del trabajador. Para guardar la confidencialidad, a mí solo me entregarán un papel de trabajo con los siguientes encabezados:</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w:t>
      </w:r>
      <w:r>
        <w:rPr>
          <w:rFonts w:ascii="Palatino Linotype" w:eastAsia="Palatino Linotype" w:hAnsi="Palatino Linotype" w:cs="Palatino Linotype"/>
          <w:sz w:val="24"/>
          <w:szCs w:val="24"/>
        </w:rPr>
        <w:t xml:space="preserve"> En la columna A “Nombre del trabajador”, pudiendo identificarlos como: trabajador 1, trabajador 2, trabajador 3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B. </w:t>
      </w:r>
      <w:r>
        <w:rPr>
          <w:rFonts w:ascii="Palatino Linotype" w:eastAsia="Palatino Linotype" w:hAnsi="Palatino Linotype" w:cs="Palatino Linotype"/>
          <w:sz w:val="24"/>
          <w:szCs w:val="24"/>
        </w:rPr>
        <w:t xml:space="preserve">En la columna B “Año”.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w:t>
      </w:r>
      <w:r>
        <w:rPr>
          <w:rFonts w:ascii="Palatino Linotype" w:eastAsia="Palatino Linotype" w:hAnsi="Palatino Linotype" w:cs="Palatino Linotype"/>
          <w:sz w:val="24"/>
          <w:szCs w:val="24"/>
        </w:rPr>
        <w:t xml:space="preserve"> En la columna C “Saldo a favor de ISR”.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D.</w:t>
      </w:r>
      <w:r>
        <w:rPr>
          <w:rFonts w:ascii="Palatino Linotype" w:eastAsia="Palatino Linotype" w:hAnsi="Palatino Linotype" w:cs="Palatino Linotype"/>
          <w:sz w:val="24"/>
          <w:szCs w:val="24"/>
        </w:rPr>
        <w:t xml:space="preserve"> En la columna D “Saldo a cargo en el ISR”. </w:t>
      </w:r>
    </w:p>
    <w:p w:rsidR="001E3DA4" w:rsidRDefault="004508DA">
      <w:pPr>
        <w:spacing w:before="240" w:after="24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E. </w:t>
      </w:r>
      <w:r>
        <w:rPr>
          <w:rFonts w:ascii="Palatino Linotype" w:eastAsia="Palatino Linotype" w:hAnsi="Palatino Linotype" w:cs="Palatino Linotype"/>
          <w:sz w:val="24"/>
          <w:szCs w:val="24"/>
        </w:rPr>
        <w:t xml:space="preserve">En la columna E “Diferencia 0 en el ISR”. </w:t>
      </w:r>
    </w:p>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las filas se captura la información que corresponda a los resultados de cada trabajador. Si fuera el caso que los trabajadores de la muestra no laboraron para el ayuntamiento o para las descentralizadas durante los 4 años, solamente se captura la inform</w:t>
      </w:r>
      <w:r>
        <w:rPr>
          <w:rFonts w:ascii="Palatino Linotype" w:eastAsia="Palatino Linotype" w:hAnsi="Palatino Linotype" w:cs="Palatino Linotype"/>
          <w:sz w:val="24"/>
          <w:szCs w:val="24"/>
        </w:rPr>
        <w:t>ación de los años que si hayan trabajado.</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respuesta,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mediante la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C. María Teresa Garduño Manjarrez, Tesorera Municipal mediante el cual adjunta el link </w:t>
      </w:r>
      <w:hyperlink r:id="rId25">
        <w:r>
          <w:rPr>
            <w:rFonts w:ascii="Palatino Linotype" w:eastAsia="Palatino Linotype" w:hAnsi="Palatino Linotype" w:cs="Palatino Linotype"/>
            <w:color w:val="0563C1"/>
            <w:sz w:val="24"/>
            <w:szCs w:val="24"/>
            <w:u w:val="single"/>
          </w:rPr>
          <w:t>https://www.ipomex.org.mx/ipo3/lgt/indice/JOCOTITLAN/art_92_viii_b.web</w:t>
        </w:r>
      </w:hyperlink>
      <w:r>
        <w:rPr>
          <w:rFonts w:ascii="Palatino Linotype" w:eastAsia="Palatino Linotype" w:hAnsi="Palatino Linotype" w:cs="Palatino Linotype"/>
          <w:sz w:val="24"/>
          <w:szCs w:val="24"/>
        </w:rPr>
        <w:t>, del cual se observa el índice del tabulador de sueldos publicado en el IPOMEX del Ayuntamiento de Jocotitlán:</w:t>
      </w:r>
    </w:p>
    <w:p w:rsidR="001E3DA4" w:rsidRDefault="004508DA">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645533" cy="2222993"/>
            <wp:effectExtent l="0" t="0" r="0" b="0"/>
            <wp:docPr id="8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l="29613" t="21726" r="30283" b="45685"/>
                    <a:stretch>
                      <a:fillRect/>
                    </a:stretch>
                  </pic:blipFill>
                  <pic:spPr>
                    <a:xfrm>
                      <a:off x="0" y="0"/>
                      <a:ext cx="5645533" cy="2222993"/>
                    </a:xfrm>
                    <a:prstGeom prst="rect">
                      <a:avLst/>
                    </a:prstGeom>
                    <a:ln/>
                  </pic:spPr>
                </pic:pic>
              </a:graphicData>
            </a:graphic>
          </wp:inline>
        </w:drawing>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mismo sentido el Téc. Efrain Nieto Nava Director General</w:t>
      </w:r>
      <w:r>
        <w:rPr>
          <w:rFonts w:ascii="Palatino Linotype" w:eastAsia="Palatino Linotype" w:hAnsi="Palatino Linotype" w:cs="Palatino Linotype"/>
          <w:sz w:val="24"/>
          <w:szCs w:val="24"/>
        </w:rPr>
        <w:t xml:space="preserve"> del Organismo Operador de Agua de Jocotitlán mediante el cual adjunta las ligas electrónicas del cual se observa el índice de remuneraciones publicado en el IPOMEX de cada área que compone el Organismo Público Descentralizado para la Prestación de los Ser</w:t>
      </w:r>
      <w:r>
        <w:rPr>
          <w:rFonts w:ascii="Palatino Linotype" w:eastAsia="Palatino Linotype" w:hAnsi="Palatino Linotype" w:cs="Palatino Linotype"/>
          <w:sz w:val="24"/>
          <w:szCs w:val="24"/>
        </w:rPr>
        <w:t>vicios de Agua Potable, Drenaje y Tratamiento de Aguas Residuales del Municipio de Jocotitlán, que a manera de ejemplo se observa lo siguiente:</w:t>
      </w:r>
      <w:r>
        <w:rPr>
          <w:noProof/>
        </w:rPr>
        <mc:AlternateContent>
          <mc:Choice Requires="wpg">
            <w:drawing>
              <wp:anchor distT="0" distB="0" distL="114300" distR="114300" simplePos="0" relativeHeight="251660288" behindDoc="0" locked="0" layoutInCell="1" hidden="0" allowOverlap="1">
                <wp:simplePos x="0" y="0"/>
                <wp:positionH relativeFrom="column">
                  <wp:posOffset>-12699</wp:posOffset>
                </wp:positionH>
                <wp:positionV relativeFrom="paragraph">
                  <wp:posOffset>1892300</wp:posOffset>
                </wp:positionV>
                <wp:extent cx="5619750" cy="2266950"/>
                <wp:effectExtent l="0" t="0" r="0" b="0"/>
                <wp:wrapNone/>
                <wp:docPr id="69" name="Conector recto de flecha 69"/>
                <wp:cNvGraphicFramePr/>
                <a:graphic xmlns:a="http://schemas.openxmlformats.org/drawingml/2006/main">
                  <a:graphicData uri="http://schemas.microsoft.com/office/word/2010/wordprocessingShape">
                    <wps:wsp>
                      <wps:cNvCnPr/>
                      <wps:spPr>
                        <a:xfrm>
                          <a:off x="2555175" y="2665575"/>
                          <a:ext cx="5581650" cy="2228850"/>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1892300</wp:posOffset>
                </wp:positionV>
                <wp:extent cx="5619750" cy="2266950"/>
                <wp:effectExtent b="0" l="0" r="0" t="0"/>
                <wp:wrapNone/>
                <wp:docPr id="69" name="image4.png"/>
                <a:graphic>
                  <a:graphicData uri="http://schemas.openxmlformats.org/drawingml/2006/picture">
                    <pic:pic>
                      <pic:nvPicPr>
                        <pic:cNvPr id="0" name="image4.png"/>
                        <pic:cNvPicPr preferRelativeResize="0"/>
                      </pic:nvPicPr>
                      <pic:blipFill>
                        <a:blip r:embed="rId27"/>
                        <a:srcRect/>
                        <a:stretch>
                          <a:fillRect/>
                        </a:stretch>
                      </pic:blipFill>
                      <pic:spPr>
                        <a:xfrm>
                          <a:off x="0" y="0"/>
                          <a:ext cx="5619750" cy="2266950"/>
                        </a:xfrm>
                        <a:prstGeom prst="rect"/>
                        <a:ln/>
                      </pic:spPr>
                    </pic:pic>
                  </a:graphicData>
                </a:graphic>
              </wp:anchor>
            </w:drawing>
          </mc:Fallback>
        </mc:AlternateContent>
      </w:r>
    </w:p>
    <w:p w:rsidR="001E3DA4" w:rsidRDefault="004508DA">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626047" cy="2969634"/>
            <wp:effectExtent l="0" t="0" r="0" b="0"/>
            <wp:docPr id="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l="27741" t="8356" r="30103" b="25899"/>
                    <a:stretch>
                      <a:fillRect/>
                    </a:stretch>
                  </pic:blipFill>
                  <pic:spPr>
                    <a:xfrm>
                      <a:off x="0" y="0"/>
                      <a:ext cx="5626047" cy="2969634"/>
                    </a:xfrm>
                    <a:prstGeom prst="rect">
                      <a:avLst/>
                    </a:prstGeom>
                    <a:ln/>
                  </pic:spPr>
                </pic:pic>
              </a:graphicData>
            </a:graphic>
          </wp:inline>
        </w:drawing>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igual forma la Mtra. Begonia Plata Castañeda Directora del Sistema Municipal DIF de Jocotitlán, mediante e</w:t>
      </w:r>
      <w:r>
        <w:rPr>
          <w:rFonts w:ascii="Palatino Linotype" w:eastAsia="Palatino Linotype" w:hAnsi="Palatino Linotype" w:cs="Palatino Linotype"/>
          <w:sz w:val="24"/>
          <w:szCs w:val="24"/>
        </w:rPr>
        <w:t xml:space="preserve">l cual adjunta el link </w:t>
      </w:r>
      <w:hyperlink r:id="rId29">
        <w:r>
          <w:rPr>
            <w:rFonts w:ascii="Palatino Linotype" w:eastAsia="Palatino Linotype" w:hAnsi="Palatino Linotype" w:cs="Palatino Linotype"/>
            <w:color w:val="0563C1"/>
            <w:sz w:val="24"/>
            <w:szCs w:val="24"/>
            <w:u w:val="single"/>
          </w:rPr>
          <w:t>https://www.ipomex.org.mx/ipo3/lgt/indice/JOCOTITLAN/art_92_viii_b.web</w:t>
        </w:r>
      </w:hyperlink>
      <w:r>
        <w:rPr>
          <w:rFonts w:ascii="Palatino Linotype" w:eastAsia="Palatino Linotype" w:hAnsi="Palatino Linotype" w:cs="Palatino Linotype"/>
          <w:sz w:val="24"/>
          <w:szCs w:val="24"/>
        </w:rPr>
        <w:t xml:space="preserve"> en donde se observa el índice del tabulador de sueldos y salarios public</w:t>
      </w:r>
      <w:r>
        <w:rPr>
          <w:rFonts w:ascii="Palatino Linotype" w:eastAsia="Palatino Linotype" w:hAnsi="Palatino Linotype" w:cs="Palatino Linotype"/>
          <w:sz w:val="24"/>
          <w:szCs w:val="24"/>
        </w:rPr>
        <w:t>ado en el IPOMEX a fin de que se puedan visualizar las nóminas de los años requeridos.</w:t>
      </w:r>
      <w:r>
        <w:rPr>
          <w:noProof/>
        </w:rPr>
        <mc:AlternateContent>
          <mc:Choice Requires="wpg">
            <w:drawing>
              <wp:anchor distT="0" distB="0" distL="114300" distR="114300" simplePos="0" relativeHeight="251661312" behindDoc="0" locked="0" layoutInCell="1" hidden="0" allowOverlap="1">
                <wp:simplePos x="0" y="0"/>
                <wp:positionH relativeFrom="column">
                  <wp:posOffset>-114299</wp:posOffset>
                </wp:positionH>
                <wp:positionV relativeFrom="paragraph">
                  <wp:posOffset>1600200</wp:posOffset>
                </wp:positionV>
                <wp:extent cx="5610225" cy="2571750"/>
                <wp:effectExtent l="0" t="0" r="0" b="0"/>
                <wp:wrapNone/>
                <wp:docPr id="70" name="Conector recto de flecha 70"/>
                <wp:cNvGraphicFramePr/>
                <a:graphic xmlns:a="http://schemas.openxmlformats.org/drawingml/2006/main">
                  <a:graphicData uri="http://schemas.microsoft.com/office/word/2010/wordprocessingShape">
                    <wps:wsp>
                      <wps:cNvCnPr/>
                      <wps:spPr>
                        <a:xfrm>
                          <a:off x="2559938" y="2513175"/>
                          <a:ext cx="5572125" cy="2533650"/>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1600200</wp:posOffset>
                </wp:positionV>
                <wp:extent cx="5610225" cy="2571750"/>
                <wp:effectExtent b="0" l="0" r="0" t="0"/>
                <wp:wrapNone/>
                <wp:docPr id="70"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5610225" cy="2571750"/>
                        </a:xfrm>
                        <a:prstGeom prst="rect"/>
                        <a:ln/>
                      </pic:spPr>
                    </pic:pic>
                  </a:graphicData>
                </a:graphic>
              </wp:anchor>
            </w:drawing>
          </mc:Fallback>
        </mc:AlternateContent>
      </w:r>
    </w:p>
    <w:p w:rsidR="001E3DA4" w:rsidRDefault="004508DA">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extent cx="5681434" cy="4913989"/>
            <wp:effectExtent l="0" t="0" r="0"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29142" t="8360" r="29186" b="27559"/>
                    <a:stretch>
                      <a:fillRect/>
                    </a:stretch>
                  </pic:blipFill>
                  <pic:spPr>
                    <a:xfrm>
                      <a:off x="0" y="0"/>
                      <a:ext cx="5681434" cy="4913989"/>
                    </a:xfrm>
                    <a:prstGeom prst="rect">
                      <a:avLst/>
                    </a:prstGeom>
                    <a:ln/>
                  </pic:spPr>
                </pic:pic>
              </a:graphicData>
            </a:graphic>
          </wp:inline>
        </w:drawing>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w:t>
      </w:r>
      <w:r>
        <w:rPr>
          <w:rFonts w:ascii="Palatino Linotype" w:eastAsia="Palatino Linotype" w:hAnsi="Palatino Linotype" w:cs="Palatino Linotype"/>
          <w:sz w:val="24"/>
          <w:szCs w:val="24"/>
        </w:rPr>
        <w:t>o motivo de inconformidad, en lo medular que no es la información que solicitó</w:t>
      </w:r>
      <w:r>
        <w:rPr>
          <w:rFonts w:ascii="Palatino Linotype" w:eastAsia="Palatino Linotype" w:hAnsi="Palatino Linotype" w:cs="Palatino Linotype"/>
          <w:color w:val="000000"/>
          <w:sz w:val="24"/>
          <w:szCs w:val="24"/>
        </w:rPr>
        <w:t xml:space="preserve">. </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Admitido el presente recurso de revisión, en términos del artículo 185 fracción II</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de la Ley de Transparencia y Acceso a la Información Pública del Estado de México y Municip</w:t>
      </w:r>
      <w:r>
        <w:rPr>
          <w:rFonts w:ascii="Palatino Linotype" w:eastAsia="Palatino Linotype" w:hAnsi="Palatino Linotype" w:cs="Palatino Linotype"/>
          <w:sz w:val="24"/>
          <w:szCs w:val="24"/>
        </w:rPr>
        <w:t>ios, se integró el expediente y se puso a disposición de las partes para que, en un plazo máximo de siete días hábiles, manifestaran lo que a su derecho resultara conveniente.</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tal sentido, la Unidad de Transparencia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remitió su inform</w:t>
      </w:r>
      <w:r>
        <w:rPr>
          <w:rFonts w:ascii="Palatino Linotype" w:eastAsia="Palatino Linotype" w:hAnsi="Palatino Linotype" w:cs="Palatino Linotype"/>
          <w:sz w:val="24"/>
          <w:szCs w:val="24"/>
        </w:rPr>
        <w:t>e justificado, mediante el cual, ratificó en lo sustancial la respuesta proporcionada en primera instancia.</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este Organismo Garante estima que la información remitida por el Sujeto Obligado  en efecto no corresponde con lo solicitado por las consideraciones que se exponen a continuación: </w:t>
      </w:r>
    </w:p>
    <w:p w:rsidR="001E3DA4" w:rsidRDefault="004508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Tocante al punto I y IV, mediante los cuales se requieren l</w:t>
      </w:r>
      <w:r>
        <w:rPr>
          <w:rFonts w:ascii="Palatino Linotype" w:eastAsia="Palatino Linotype" w:hAnsi="Palatino Linotype" w:cs="Palatino Linotype"/>
          <w:sz w:val="24"/>
          <w:szCs w:val="24"/>
        </w:rPr>
        <w:t xml:space="preserve">os </w:t>
      </w:r>
      <w:r>
        <w:rPr>
          <w:rFonts w:ascii="Palatino Linotype" w:eastAsia="Palatino Linotype" w:hAnsi="Palatino Linotype" w:cs="Palatino Linotype"/>
          <w:i/>
          <w:sz w:val="24"/>
          <w:szCs w:val="24"/>
        </w:rPr>
        <w:t xml:space="preserve">reportes del aplicativo “Visor de nómina del SAT” de los años 2018, 2019, 2020, y 2021 en sus tres presentaciones: </w:t>
      </w:r>
      <w:r>
        <w:rPr>
          <w:rFonts w:ascii="Palatino Linotype" w:eastAsia="Palatino Linotype" w:hAnsi="Palatino Linotype" w:cs="Palatino Linotype"/>
          <w:b/>
          <w:i/>
          <w:sz w:val="24"/>
          <w:szCs w:val="24"/>
        </w:rPr>
        <w:t>a.</w:t>
      </w:r>
      <w:r>
        <w:rPr>
          <w:rFonts w:ascii="Palatino Linotype" w:eastAsia="Palatino Linotype" w:hAnsi="Palatino Linotype" w:cs="Palatino Linotype"/>
          <w:i/>
          <w:sz w:val="24"/>
          <w:szCs w:val="24"/>
        </w:rPr>
        <w:t xml:space="preserve"> Vista anual acumulada, </w:t>
      </w:r>
      <w:r>
        <w:rPr>
          <w:rFonts w:ascii="Palatino Linotype" w:eastAsia="Palatino Linotype" w:hAnsi="Palatino Linotype" w:cs="Palatino Linotype"/>
          <w:b/>
          <w:i/>
          <w:sz w:val="24"/>
          <w:szCs w:val="24"/>
        </w:rPr>
        <w:t>b.</w:t>
      </w:r>
      <w:r>
        <w:rPr>
          <w:rFonts w:ascii="Palatino Linotype" w:eastAsia="Palatino Linotype" w:hAnsi="Palatino Linotype" w:cs="Palatino Linotype"/>
          <w:i/>
          <w:sz w:val="24"/>
          <w:szCs w:val="24"/>
        </w:rPr>
        <w:t xml:space="preserve"> Detalle mensual y </w:t>
      </w:r>
      <w:r>
        <w:rPr>
          <w:rFonts w:ascii="Palatino Linotype" w:eastAsia="Palatino Linotype" w:hAnsi="Palatino Linotype" w:cs="Palatino Linotype"/>
          <w:b/>
          <w:i/>
          <w:sz w:val="24"/>
          <w:szCs w:val="24"/>
        </w:rPr>
        <w:t>c.</w:t>
      </w:r>
      <w:r>
        <w:rPr>
          <w:rFonts w:ascii="Palatino Linotype" w:eastAsia="Palatino Linotype" w:hAnsi="Palatino Linotype" w:cs="Palatino Linotype"/>
          <w:i/>
          <w:sz w:val="24"/>
          <w:szCs w:val="24"/>
        </w:rPr>
        <w:t xml:space="preserve"> Detalle diferencias sueldos y salarios,</w:t>
      </w:r>
      <w:r>
        <w:rPr>
          <w:rFonts w:ascii="Palatino Linotype" w:eastAsia="Palatino Linotype" w:hAnsi="Palatino Linotype" w:cs="Palatino Linotype"/>
          <w:sz w:val="24"/>
          <w:szCs w:val="24"/>
        </w:rPr>
        <w:t xml:space="preserve"> y la </w:t>
      </w:r>
      <w:r>
        <w:rPr>
          <w:rFonts w:ascii="Palatino Linotype" w:eastAsia="Palatino Linotype" w:hAnsi="Palatino Linotype" w:cs="Palatino Linotype"/>
          <w:i/>
          <w:sz w:val="24"/>
          <w:szCs w:val="24"/>
        </w:rPr>
        <w:t xml:space="preserve">opinión de no adeudo en el cumplimiento de </w:t>
      </w:r>
      <w:r>
        <w:rPr>
          <w:rFonts w:ascii="Palatino Linotype" w:eastAsia="Palatino Linotype" w:hAnsi="Palatino Linotype" w:cs="Palatino Linotype"/>
          <w:i/>
          <w:sz w:val="24"/>
          <w:szCs w:val="24"/>
        </w:rPr>
        <w:t>obligaciones fiscales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estatales</w:t>
      </w:r>
      <w:r>
        <w:rPr>
          <w:rFonts w:ascii="Palatino Linotype" w:eastAsia="Palatino Linotype" w:hAnsi="Palatino Linotype" w:cs="Palatino Linotype"/>
          <w:sz w:val="24"/>
          <w:szCs w:val="24"/>
        </w:rPr>
        <w:t xml:space="preserve"> emitida por el SAT, es preciso referir, en primer lugar, que las personas físicas y morales están obligadas al pago del impuesto sobre la renta respecto de todos sus ingresos, en los términos establecidos en el artículo 1 de</w:t>
      </w:r>
      <w:r>
        <w:rPr>
          <w:rFonts w:ascii="Palatino Linotype" w:eastAsia="Palatino Linotype" w:hAnsi="Palatino Linotype" w:cs="Palatino Linotype"/>
          <w:sz w:val="24"/>
          <w:szCs w:val="24"/>
        </w:rPr>
        <w:t xml:space="preserve"> la Ley del Impuesto Sobre la Renta.</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el caso de las personas físicas, se consideran ingresos por la prestación de un servicio personal subordinado, los salarios y demás prestaciones que deriven de una relación laboral, incluyendo la participación de los</w:t>
      </w:r>
      <w:r>
        <w:rPr>
          <w:rFonts w:ascii="Palatino Linotype" w:eastAsia="Palatino Linotype" w:hAnsi="Palatino Linotype" w:cs="Palatino Linotype"/>
          <w:sz w:val="24"/>
          <w:szCs w:val="24"/>
        </w:rPr>
        <w:t xml:space="preserve"> trabajadores en las utilidades de las empresas y las prestaciones percibidas como consecuencia de la terminación de la relación laboral, encontrándose obligados a efectuar las retenciones y enteros mensuales quienes hagan pagos por dichos conceptos, y exp</w:t>
      </w:r>
      <w:r>
        <w:rPr>
          <w:rFonts w:ascii="Palatino Linotype" w:eastAsia="Palatino Linotype" w:hAnsi="Palatino Linotype" w:cs="Palatino Linotype"/>
          <w:sz w:val="24"/>
          <w:szCs w:val="24"/>
        </w:rPr>
        <w:t>edir y entregar comprobantes fiscales respectivos, de conformidad con los artículos 94 fracción I,  96 párrafo primero y 99 fracciones I y II de la Ley del Impuesto Sobre la Renta, a saber:</w:t>
      </w:r>
    </w:p>
    <w:p w:rsidR="001E3DA4" w:rsidRDefault="004508DA">
      <w:pPr>
        <w:tabs>
          <w:tab w:val="left" w:pos="7938"/>
        </w:tabs>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94. </w:t>
      </w:r>
      <w:r>
        <w:rPr>
          <w:rFonts w:ascii="Palatino Linotype" w:eastAsia="Palatino Linotype" w:hAnsi="Palatino Linotype" w:cs="Palatino Linotype"/>
          <w:b/>
          <w:i/>
          <w:u w:val="single"/>
        </w:rPr>
        <w:t>Se consideran ingresos por la prestación de un servi</w:t>
      </w:r>
      <w:r>
        <w:rPr>
          <w:rFonts w:ascii="Palatino Linotype" w:eastAsia="Palatino Linotype" w:hAnsi="Palatino Linotype" w:cs="Palatino Linotype"/>
          <w:b/>
          <w:i/>
          <w:u w:val="single"/>
        </w:rPr>
        <w:t>cio personal subordinado</w:t>
      </w:r>
      <w:r>
        <w:rPr>
          <w:rFonts w:ascii="Palatino Linotype" w:eastAsia="Palatino Linotype" w:hAnsi="Palatino Linotype" w:cs="Palatino Linotype"/>
          <w:i/>
        </w:rPr>
        <w:t>, los salarios y demás prestaciones que deriven de una relación laboral, incluyendo la participación de los trabajadores en las utilidades de las empresas y las prestaciones percibidas como consecuencia de la terminación de la relac</w:t>
      </w:r>
      <w:r>
        <w:rPr>
          <w:rFonts w:ascii="Palatino Linotype" w:eastAsia="Palatino Linotype" w:hAnsi="Palatino Linotype" w:cs="Palatino Linotype"/>
          <w:i/>
        </w:rPr>
        <w:t xml:space="preserve">ión laboral. Para los efectos de este impuesto, </w:t>
      </w:r>
      <w:r>
        <w:rPr>
          <w:rFonts w:ascii="Palatino Linotype" w:eastAsia="Palatino Linotype" w:hAnsi="Palatino Linotype" w:cs="Palatino Linotype"/>
          <w:b/>
          <w:i/>
        </w:rPr>
        <w:t xml:space="preserve">se asimilan a estos ingresos </w:t>
      </w:r>
      <w:r>
        <w:rPr>
          <w:rFonts w:ascii="Palatino Linotype" w:eastAsia="Palatino Linotype" w:hAnsi="Palatino Linotype" w:cs="Palatino Linotype"/>
          <w:i/>
        </w:rPr>
        <w:t>los siguientes:</w:t>
      </w:r>
    </w:p>
    <w:p w:rsidR="001E3DA4" w:rsidRDefault="004508DA">
      <w:pPr>
        <w:tabs>
          <w:tab w:val="left" w:pos="7938"/>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 Las remuneraciones y demás prestaciones, obtenidas por los funcionarios y trabajadores de</w:t>
      </w:r>
      <w:r>
        <w:rPr>
          <w:rFonts w:ascii="Palatino Linotype" w:eastAsia="Palatino Linotype" w:hAnsi="Palatino Linotype" w:cs="Palatino Linotype"/>
          <w:i/>
        </w:rPr>
        <w:t xml:space="preserve"> la Federación, de las entidades federativas y de </w:t>
      </w:r>
      <w:r>
        <w:rPr>
          <w:rFonts w:ascii="Palatino Linotype" w:eastAsia="Palatino Linotype" w:hAnsi="Palatino Linotype" w:cs="Palatino Linotype"/>
          <w:b/>
          <w:i/>
        </w:rPr>
        <w:t>los municipios</w:t>
      </w:r>
      <w:r>
        <w:rPr>
          <w:rFonts w:ascii="Palatino Linotype" w:eastAsia="Palatino Linotype" w:hAnsi="Palatino Linotype" w:cs="Palatino Linotype"/>
          <w:i/>
        </w:rPr>
        <w:t>, aun c</w:t>
      </w:r>
      <w:r>
        <w:rPr>
          <w:rFonts w:ascii="Palatino Linotype" w:eastAsia="Palatino Linotype" w:hAnsi="Palatino Linotype" w:cs="Palatino Linotype"/>
          <w:i/>
        </w:rPr>
        <w:t>uando sean por concepto de gastos no sujetos a comprobación, así como los obtenidos por los miembros de las fuerzas armadas.</w:t>
      </w:r>
    </w:p>
    <w:p w:rsidR="001E3DA4" w:rsidRDefault="004508DA">
      <w:pPr>
        <w:tabs>
          <w:tab w:val="left" w:pos="7938"/>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tabs>
          <w:tab w:val="left" w:pos="7938"/>
        </w:tabs>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96. </w:t>
      </w:r>
      <w:r>
        <w:rPr>
          <w:rFonts w:ascii="Palatino Linotype" w:eastAsia="Palatino Linotype" w:hAnsi="Palatino Linotype" w:cs="Palatino Linotype"/>
          <w:b/>
          <w:i/>
          <w:u w:val="single"/>
        </w:rPr>
        <w:t>Quienes hagan pagos por los conceptos a que se refiere este Capítulo están obligados a efectuar retenciones y enteros mensuales</w:t>
      </w:r>
      <w:r>
        <w:rPr>
          <w:rFonts w:ascii="Palatino Linotype" w:eastAsia="Palatino Linotype" w:hAnsi="Palatino Linotype" w:cs="Palatino Linotype"/>
          <w:i/>
          <w:u w:val="single"/>
        </w:rPr>
        <w:t xml:space="preserve"> </w:t>
      </w:r>
      <w:r>
        <w:rPr>
          <w:rFonts w:ascii="Palatino Linotype" w:eastAsia="Palatino Linotype" w:hAnsi="Palatino Linotype" w:cs="Palatino Linotype"/>
          <w:i/>
        </w:rPr>
        <w:t>que tendrán el carácter de pagos provisionales a cuenta del impuesto anual. No se efectuará retención a las personas que en el m</w:t>
      </w:r>
      <w:r>
        <w:rPr>
          <w:rFonts w:ascii="Palatino Linotype" w:eastAsia="Palatino Linotype" w:hAnsi="Palatino Linotype" w:cs="Palatino Linotype"/>
          <w:i/>
        </w:rPr>
        <w:t>es únicamente perciban un salario mínimo general correspondiente al área geográfica del contribuyente.</w:t>
      </w:r>
    </w:p>
    <w:p w:rsidR="001E3DA4" w:rsidRDefault="004508DA">
      <w:pPr>
        <w:tabs>
          <w:tab w:val="left" w:pos="7938"/>
        </w:tabs>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w:t>
      </w:r>
    </w:p>
    <w:p w:rsidR="001E3DA4" w:rsidRDefault="004508DA">
      <w:pPr>
        <w:tabs>
          <w:tab w:val="left" w:pos="7938"/>
        </w:tabs>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99.</w:t>
      </w:r>
      <w:r>
        <w:rPr>
          <w:rFonts w:ascii="Palatino Linotype" w:eastAsia="Palatino Linotype" w:hAnsi="Palatino Linotype" w:cs="Palatino Linotype"/>
          <w:i/>
        </w:rPr>
        <w:t xml:space="preserve"> Quienes hagan pagos por los conceptos a que se refiere este Capítulo, tendrán las siguientes obligaciones: </w:t>
      </w:r>
    </w:p>
    <w:p w:rsidR="001E3DA4" w:rsidRDefault="004508DA">
      <w:pPr>
        <w:tabs>
          <w:tab w:val="left" w:pos="7938"/>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Efectuar las retenciones </w:t>
      </w:r>
      <w:r>
        <w:rPr>
          <w:rFonts w:ascii="Palatino Linotype" w:eastAsia="Palatino Linotype" w:hAnsi="Palatino Linotype" w:cs="Palatino Linotype"/>
          <w:i/>
        </w:rPr>
        <w:t>se</w:t>
      </w:r>
      <w:r>
        <w:rPr>
          <w:rFonts w:ascii="Palatino Linotype" w:eastAsia="Palatino Linotype" w:hAnsi="Palatino Linotype" w:cs="Palatino Linotype"/>
          <w:i/>
        </w:rPr>
        <w:t>ñaladas en el artículo 96 de esta Ley.</w:t>
      </w:r>
    </w:p>
    <w:p w:rsidR="001E3DA4" w:rsidRDefault="004508DA">
      <w:pPr>
        <w:tabs>
          <w:tab w:val="left" w:pos="7938"/>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rsidR="001E3DA4" w:rsidRDefault="004508DA">
      <w:pPr>
        <w:tabs>
          <w:tab w:val="left" w:pos="7938"/>
        </w:tabs>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Expedir y entregar comprobantes fiscales</w:t>
      </w:r>
      <w:r>
        <w:rPr>
          <w:rFonts w:ascii="Palatino Linotype" w:eastAsia="Palatino Linotype" w:hAnsi="Palatino Linotype" w:cs="Palatino Linotype"/>
          <w:i/>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w:t>
      </w:r>
      <w:r>
        <w:rPr>
          <w:rFonts w:ascii="Palatino Linotype" w:eastAsia="Palatino Linotype" w:hAnsi="Palatino Linotype" w:cs="Palatino Linotype"/>
          <w:i/>
        </w:rPr>
        <w:t>fieren los artículos 132 fracciones VII y VIII, y 804, primer párrafo, fracciones II y IV, de la Ley Federal de Trabajo.”</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orden de ideas, se advierte que los municipios, al estar obligados a realizar el pago a los servidores públicos por los servic</w:t>
      </w:r>
      <w:r>
        <w:rPr>
          <w:rFonts w:ascii="Palatino Linotype" w:eastAsia="Palatino Linotype" w:hAnsi="Palatino Linotype" w:cs="Palatino Linotype"/>
          <w:sz w:val="24"/>
          <w:szCs w:val="24"/>
        </w:rPr>
        <w:t>ios prestados, de conformidad con el artículo 71 de la Ley del Trabajo de los Servidores Públicos del Estado de México, deben retener el impuesto sobre la renta y enterarlo al Servicio de Administración Tributaria, SAT, a más tardar el día 17 del mes inmed</w:t>
      </w:r>
      <w:r>
        <w:rPr>
          <w:rFonts w:ascii="Palatino Linotype" w:eastAsia="Palatino Linotype" w:hAnsi="Palatino Linotype" w:cs="Palatino Linotype"/>
          <w:sz w:val="24"/>
          <w:szCs w:val="24"/>
        </w:rPr>
        <w:t>iato posterior a aquel que corresponda el pago, al ser la dependencia que se encarga de la recaudación, impuestos y la vigilancia del cumplimiento de las obligaciones fiscales por parte de los contribuyentes.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tales efectos, la entidad retenedora, debe</w:t>
      </w:r>
      <w:r>
        <w:rPr>
          <w:rFonts w:ascii="Palatino Linotype" w:eastAsia="Palatino Linotype" w:hAnsi="Palatino Linotype" w:cs="Palatino Linotype"/>
          <w:sz w:val="24"/>
          <w:szCs w:val="24"/>
        </w:rPr>
        <w:t xml:space="preserve"> entregar un comprobante fiscal que ampare las respectivas retenciones conforme a lo establecido en los artículos 29 párrafo primero y 32-G fracción I del Código Financiero de la Federación:</w:t>
      </w:r>
    </w:p>
    <w:p w:rsidR="001E3DA4" w:rsidRDefault="004508DA">
      <w:pPr>
        <w:spacing w:before="120" w:after="120"/>
        <w:ind w:left="709"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29.</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Cuando las leyes fiscales </w:t>
      </w:r>
      <w:r>
        <w:rPr>
          <w:rFonts w:ascii="Palatino Linotype" w:eastAsia="Palatino Linotype" w:hAnsi="Palatino Linotype" w:cs="Palatino Linotype"/>
          <w:b/>
          <w:i/>
          <w:u w:val="single"/>
        </w:rPr>
        <w:t>establezcan la obligación</w:t>
      </w:r>
      <w:r>
        <w:rPr>
          <w:rFonts w:ascii="Palatino Linotype" w:eastAsia="Palatino Linotype" w:hAnsi="Palatino Linotype" w:cs="Palatino Linotype"/>
          <w:b/>
          <w:i/>
          <w:u w:val="single"/>
        </w:rPr>
        <w:t xml:space="preserve"> de expedir comprobantes fiscales</w:t>
      </w:r>
      <w:r>
        <w:rPr>
          <w:rFonts w:ascii="Palatino Linotype" w:eastAsia="Palatino Linotype" w:hAnsi="Palatino Linotype" w:cs="Palatino Linotype"/>
          <w:b/>
          <w:i/>
        </w:rPr>
        <w:t xml:space="preserve"> por los actos o actividades que realicen, por los ingresos que se perciban o por las retenciones de contribuciones que efectúen</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l</w:t>
      </w:r>
      <w:r>
        <w:rPr>
          <w:rFonts w:ascii="Palatino Linotype" w:eastAsia="Palatino Linotype" w:hAnsi="Palatino Linotype" w:cs="Palatino Linotype"/>
          <w:b/>
          <w:i/>
          <w:u w:val="single"/>
        </w:rPr>
        <w:t>os contribuyentes deberán emitirlos mediante documentos digitales a través de la página de I</w:t>
      </w:r>
      <w:r>
        <w:rPr>
          <w:rFonts w:ascii="Palatino Linotype" w:eastAsia="Palatino Linotype" w:hAnsi="Palatino Linotype" w:cs="Palatino Linotype"/>
          <w:b/>
          <w:i/>
          <w:u w:val="single"/>
        </w:rPr>
        <w:t>nternet del Servicio de Administración Tributaria</w:t>
      </w:r>
      <w:r>
        <w:rPr>
          <w:rFonts w:ascii="Palatino Linotype" w:eastAsia="Palatino Linotype" w:hAnsi="Palatino Linotype" w:cs="Palatino Linotype"/>
          <w:i/>
        </w:rPr>
        <w:t xml:space="preserve">. Las personas que adquieran bienes, disfruten de su uso o goce temporal, reciban servicios, realicen pagos parciales o diferidos que liquidan saldos de comprobantes fiscales digitales por Internet, o </w:t>
      </w:r>
      <w:r>
        <w:rPr>
          <w:rFonts w:ascii="Palatino Linotype" w:eastAsia="Palatino Linotype" w:hAnsi="Palatino Linotype" w:cs="Palatino Linotype"/>
          <w:b/>
          <w:i/>
        </w:rPr>
        <w:t>aquéll</w:t>
      </w:r>
      <w:r>
        <w:rPr>
          <w:rFonts w:ascii="Palatino Linotype" w:eastAsia="Palatino Linotype" w:hAnsi="Palatino Linotype" w:cs="Palatino Linotype"/>
          <w:b/>
          <w:i/>
        </w:rPr>
        <w:t xml:space="preserve">as a las que les hubieren retenido contribuciones deberán solicitar el comprobante fiscal digital por </w:t>
      </w:r>
      <w:r>
        <w:rPr>
          <w:rFonts w:ascii="Palatino Linotype" w:eastAsia="Palatino Linotype" w:hAnsi="Palatino Linotype" w:cs="Palatino Linotype"/>
          <w:b/>
          <w:i/>
        </w:rPr>
        <w:lastRenderedPageBreak/>
        <w:t xml:space="preserve">Internet respectivo. </w:t>
      </w:r>
      <w:r>
        <w:rPr>
          <w:rFonts w:ascii="Palatino Linotype" w:eastAsia="Palatino Linotype" w:hAnsi="Palatino Linotype" w:cs="Palatino Linotype"/>
          <w:i/>
        </w:rPr>
        <w:t>Los contribuyentes que exporten mercancías que no sean objeto de enajenación o cuya enajenación sea a título gratuito, deberán expedi</w:t>
      </w:r>
      <w:r>
        <w:rPr>
          <w:rFonts w:ascii="Palatino Linotype" w:eastAsia="Palatino Linotype" w:hAnsi="Palatino Linotype" w:cs="Palatino Linotype"/>
          <w:i/>
        </w:rPr>
        <w:t>r el comprobante fiscal digital por Internet que ampare la operación.</w:t>
      </w:r>
    </w:p>
    <w:p w:rsidR="001E3DA4" w:rsidRDefault="004508DA">
      <w:pPr>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1E3DA4" w:rsidRDefault="004508DA">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Artículo 32-G.</w:t>
      </w:r>
      <w:r>
        <w:rPr>
          <w:rFonts w:ascii="Palatino Linotype" w:eastAsia="Palatino Linotype" w:hAnsi="Palatino Linotype" w:cs="Palatino Linotype"/>
          <w:i/>
        </w:rPr>
        <w:t xml:space="preserve"> La Federación, las Entidades Federativas, el Distrito Federal, y sus Organismos Descentralizados, así como los </w:t>
      </w:r>
      <w:r>
        <w:rPr>
          <w:rFonts w:ascii="Palatino Linotype" w:eastAsia="Palatino Linotype" w:hAnsi="Palatino Linotype" w:cs="Palatino Linotype"/>
          <w:b/>
          <w:i/>
        </w:rPr>
        <w:t>Municipios,</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tendrán la </w:t>
      </w:r>
      <w:r>
        <w:rPr>
          <w:rFonts w:ascii="Palatino Linotype" w:eastAsia="Palatino Linotype" w:hAnsi="Palatino Linotype" w:cs="Palatino Linotype"/>
          <w:b/>
          <w:i/>
          <w:u w:val="single"/>
        </w:rPr>
        <w:t>obligación de presentar ante las au</w:t>
      </w:r>
      <w:r>
        <w:rPr>
          <w:rFonts w:ascii="Palatino Linotype" w:eastAsia="Palatino Linotype" w:hAnsi="Palatino Linotype" w:cs="Palatino Linotype"/>
          <w:b/>
          <w:i/>
          <w:u w:val="single"/>
        </w:rPr>
        <w:t xml:space="preserve">toridades fiscales, </w:t>
      </w:r>
      <w:r>
        <w:rPr>
          <w:rFonts w:ascii="Palatino Linotype" w:eastAsia="Palatino Linotype" w:hAnsi="Palatino Linotype" w:cs="Palatino Linotype"/>
          <w:b/>
          <w:i/>
        </w:rPr>
        <w:t>a través de los medios y formatos electrónicos que señale el Servicio de Administración, la información relativa a:</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personas a las que en el mes inmediato anterior l</w:t>
      </w:r>
      <w:r>
        <w:rPr>
          <w:rFonts w:ascii="Palatino Linotype" w:eastAsia="Palatino Linotype" w:hAnsi="Palatino Linotype" w:cs="Palatino Linotype"/>
          <w:b/>
          <w:i/>
          <w:u w:val="single"/>
        </w:rPr>
        <w:t>es hubieren efectuado retenciones de impuesto sobre la renta</w:t>
      </w:r>
      <w:r>
        <w:rPr>
          <w:rFonts w:ascii="Palatino Linotype" w:eastAsia="Palatino Linotype" w:hAnsi="Palatino Linotype" w:cs="Palatino Linotype"/>
          <w:b/>
          <w:i/>
        </w:rPr>
        <w:t>,</w:t>
      </w:r>
      <w:r>
        <w:rPr>
          <w:rFonts w:ascii="Palatino Linotype" w:eastAsia="Palatino Linotype" w:hAnsi="Palatino Linotype" w:cs="Palatino Linotype"/>
          <w:i/>
        </w:rPr>
        <w:t xml:space="preserve"> as</w:t>
      </w:r>
      <w:r>
        <w:rPr>
          <w:rFonts w:ascii="Palatino Linotype" w:eastAsia="Palatino Linotype" w:hAnsi="Palatino Linotype" w:cs="Palatino Linotype"/>
          <w:i/>
        </w:rPr>
        <w:t>í como de los residentes en el extranjero a los que les hayan efectuado pagos de acuerdo con lo previsto en el Título V de la Ley del Impuesto sobre la Renta.”</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respecto del “visor de comprobantes nómina” del Servicio de Administración Tributari</w:t>
      </w:r>
      <w:r>
        <w:rPr>
          <w:rFonts w:ascii="Palatino Linotype" w:eastAsia="Palatino Linotype" w:hAnsi="Palatino Linotype" w:cs="Palatino Linotype"/>
          <w:sz w:val="24"/>
          <w:szCs w:val="24"/>
        </w:rPr>
        <w:t xml:space="preserve">a, cabe señalar que es una herramienta o aplicación en línea que permite a los </w:t>
      </w:r>
      <w:r>
        <w:rPr>
          <w:rFonts w:ascii="Palatino Linotype" w:eastAsia="Palatino Linotype" w:hAnsi="Palatino Linotype" w:cs="Palatino Linotype"/>
          <w:i/>
          <w:sz w:val="24"/>
          <w:szCs w:val="24"/>
        </w:rPr>
        <w:t>trabajadores</w:t>
      </w:r>
      <w:r>
        <w:rPr>
          <w:rFonts w:ascii="Palatino Linotype" w:eastAsia="Palatino Linotype" w:hAnsi="Palatino Linotype" w:cs="Palatino Linotype"/>
          <w:sz w:val="24"/>
          <w:szCs w:val="24"/>
        </w:rPr>
        <w:t xml:space="preserve"> consultar de manera anticipada el acumulado de ingresos y retenciones provenientes de comprobantes de nómina, y a los </w:t>
      </w:r>
      <w:r>
        <w:rPr>
          <w:rFonts w:ascii="Palatino Linotype" w:eastAsia="Palatino Linotype" w:hAnsi="Palatino Linotype" w:cs="Palatino Linotype"/>
          <w:i/>
          <w:sz w:val="24"/>
          <w:szCs w:val="24"/>
        </w:rPr>
        <w:t>patrones</w:t>
      </w:r>
      <w:r>
        <w:rPr>
          <w:rFonts w:ascii="Palatino Linotype" w:eastAsia="Palatino Linotype" w:hAnsi="Palatino Linotype" w:cs="Palatino Linotype"/>
          <w:sz w:val="24"/>
          <w:szCs w:val="24"/>
        </w:rPr>
        <w:t xml:space="preserve"> consultar los pagos realizados de los</w:t>
      </w:r>
      <w:r>
        <w:rPr>
          <w:rFonts w:ascii="Palatino Linotype" w:eastAsia="Palatino Linotype" w:hAnsi="Palatino Linotype" w:cs="Palatino Linotype"/>
          <w:sz w:val="24"/>
          <w:szCs w:val="24"/>
        </w:rPr>
        <w:t xml:space="preserve"> trabajadores de forma acumulada, provenientes de los comprobantes de nómina, asimismo, permite verificar la información de forma individual de cada uno de los trabajadores a los que se les haya expedido un comprobante de nómina, permitiendo conciliar el i</w:t>
      </w:r>
      <w:r>
        <w:rPr>
          <w:rFonts w:ascii="Palatino Linotype" w:eastAsia="Palatino Linotype" w:hAnsi="Palatino Linotype" w:cs="Palatino Linotype"/>
          <w:sz w:val="24"/>
          <w:szCs w:val="24"/>
        </w:rPr>
        <w:t>mpuesto retenido, contra el enterado en pagos provisionales, la finalidad de dicho aplicativo, es identificar de manera oportuna errores en la información timbrada, y en su caso corregirla.</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caso concreto, el requerimiento señalado con el romano I, se enfoca en el visor de comprobantes de nómina para patrones, que tiene por objetivo consultar la </w:t>
      </w:r>
      <w:r>
        <w:rPr>
          <w:rFonts w:ascii="Palatino Linotype" w:eastAsia="Palatino Linotype" w:hAnsi="Palatino Linotype" w:cs="Palatino Linotype"/>
          <w:sz w:val="24"/>
          <w:szCs w:val="24"/>
        </w:rPr>
        <w:lastRenderedPageBreak/>
        <w:t>información correspondiente a los pagos realizados por concepto de sueldos y salarios a los t</w:t>
      </w:r>
      <w:r>
        <w:rPr>
          <w:rFonts w:ascii="Palatino Linotype" w:eastAsia="Palatino Linotype" w:hAnsi="Palatino Linotype" w:cs="Palatino Linotype"/>
          <w:sz w:val="24"/>
          <w:szCs w:val="24"/>
        </w:rPr>
        <w:t>rabajadores, así como el pre llenado y entero de pagos provisionales del impuesto sobre la renta, retenidos por salarios y asimilados a salarios.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Cabe señalar que dicha herramienta, es un servicio que se localiza en el portal de internet del SAT, concretamente en el apartado de declaraciones, y, para acceder a la misma, es necesario autenticarse con el RFC y la contraseña o e. Firma, asimismo, de co</w:t>
      </w:r>
      <w:r>
        <w:rPr>
          <w:rFonts w:ascii="Palatino Linotype" w:eastAsia="Palatino Linotype" w:hAnsi="Palatino Linotype" w:cs="Palatino Linotype"/>
          <w:sz w:val="24"/>
          <w:szCs w:val="24"/>
        </w:rPr>
        <w:t>nformidad con la Guía de Usuario del visor de comprobantes de nómina del patrón, las modalidades de consulta son las siguientes: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drawing>
          <wp:inline distT="0" distB="0" distL="0" distR="0">
            <wp:extent cx="5608955" cy="972185"/>
            <wp:effectExtent l="0" t="0" r="0" b="0"/>
            <wp:docPr id="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608955" cy="972185"/>
                    </a:xfrm>
                    <a:prstGeom prst="rect">
                      <a:avLst/>
                    </a:prstGeom>
                    <a:ln/>
                  </pic:spPr>
                </pic:pic>
              </a:graphicData>
            </a:graphic>
          </wp:inline>
        </w:drawing>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Advirtiéndose que la información a la cual desea acceder el particular corresponde con la generada a partir de una consulta g</w:t>
      </w:r>
      <w:r>
        <w:rPr>
          <w:rFonts w:ascii="Palatino Linotype" w:eastAsia="Palatino Linotype" w:hAnsi="Palatino Linotype" w:cs="Palatino Linotype"/>
          <w:sz w:val="24"/>
          <w:szCs w:val="24"/>
        </w:rPr>
        <w:t>lobal, misma que permite al retenedor conocer la información global o acumulada que asentó en los comprobantes de todos sus trabajadores, que contempla las modalidades “vista anual acumulada”, “vista anual” y “vista mensual”, información que puede descarga</w:t>
      </w:r>
      <w:r>
        <w:rPr>
          <w:rFonts w:ascii="Palatino Linotype" w:eastAsia="Palatino Linotype" w:hAnsi="Palatino Linotype" w:cs="Palatino Linotype"/>
          <w:sz w:val="24"/>
          <w:szCs w:val="24"/>
        </w:rPr>
        <w:t>rse en archivo pdf, corresponde con los incisos a y b del requerimiento de información.</w:t>
      </w:r>
    </w:p>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Respecto del detalle de diferencias sueldos y salarios, dicha información corresponde a un resumen de los comprobantes de nómina que se expidieron por conceptos de suel</w:t>
      </w:r>
      <w:r>
        <w:rPr>
          <w:rFonts w:ascii="Palatino Linotype" w:eastAsia="Palatino Linotype" w:hAnsi="Palatino Linotype" w:cs="Palatino Linotype"/>
          <w:sz w:val="24"/>
          <w:szCs w:val="24"/>
        </w:rPr>
        <w:t>dos y salarios, que se desglosa al seleccionar “consultar información Global”, tal y como lo establece la guía:</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lastRenderedPageBreak/>
        <w:drawing>
          <wp:inline distT="0" distB="0" distL="0" distR="0">
            <wp:extent cx="5459659" cy="3715606"/>
            <wp:effectExtent l="0" t="0" r="0" b="0"/>
            <wp:docPr id="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b="30696"/>
                    <a:stretch>
                      <a:fillRect/>
                    </a:stretch>
                  </pic:blipFill>
                  <pic:spPr>
                    <a:xfrm>
                      <a:off x="0" y="0"/>
                      <a:ext cx="5459659" cy="3715606"/>
                    </a:xfrm>
                    <a:prstGeom prst="rect">
                      <a:avLst/>
                    </a:prstGeom>
                    <a:ln/>
                  </pic:spPr>
                </pic:pic>
              </a:graphicData>
            </a:graphic>
          </wp:inline>
        </w:drawing>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drawing>
          <wp:inline distT="0" distB="0" distL="0" distR="0">
            <wp:extent cx="5571926" cy="1985046"/>
            <wp:effectExtent l="0" t="0" r="0" b="0"/>
            <wp:docPr id="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t="69304"/>
                    <a:stretch>
                      <a:fillRect/>
                    </a:stretch>
                  </pic:blipFill>
                  <pic:spPr>
                    <a:xfrm>
                      <a:off x="0" y="0"/>
                      <a:ext cx="5571926" cy="1985046"/>
                    </a:xfrm>
                    <a:prstGeom prst="rect">
                      <a:avLst/>
                    </a:prstGeom>
                    <a:ln/>
                  </pic:spPr>
                </pic:pic>
              </a:graphicData>
            </a:graphic>
          </wp:inline>
        </w:drawing>
      </w:r>
    </w:p>
    <w:p w:rsidR="001E3DA4" w:rsidRDefault="004508DA">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Derivado de lo anterior, se presume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al ser un ente retenedor del impuesto sobre la renta que se genere por ingresos </w:t>
      </w:r>
      <w:r>
        <w:rPr>
          <w:rFonts w:ascii="Palatino Linotype" w:eastAsia="Palatino Linotype" w:hAnsi="Palatino Linotype" w:cs="Palatino Linotype"/>
          <w:sz w:val="24"/>
          <w:szCs w:val="24"/>
        </w:rPr>
        <w:t xml:space="preserve">por salarios -y en general por la prestación de un servicio-, y encontrarse constreñido a entregar un </w:t>
      </w:r>
      <w:r>
        <w:rPr>
          <w:rFonts w:ascii="Palatino Linotype" w:eastAsia="Palatino Linotype" w:hAnsi="Palatino Linotype" w:cs="Palatino Linotype"/>
          <w:sz w:val="24"/>
          <w:szCs w:val="24"/>
        </w:rPr>
        <w:lastRenderedPageBreak/>
        <w:t>comprobante fiscal digital por internet que ampare dichas retenciones, para el cumplimiento de las obligaciones fiscales que le impone la Ley, podría enco</w:t>
      </w:r>
      <w:r>
        <w:rPr>
          <w:rFonts w:ascii="Palatino Linotype" w:eastAsia="Palatino Linotype" w:hAnsi="Palatino Linotype" w:cs="Palatino Linotype"/>
          <w:sz w:val="24"/>
          <w:szCs w:val="24"/>
        </w:rPr>
        <w:t>ntrarse en posibilidad de entregar la información que es tema de estudio, toda vez que la información alojada en el referido aplicativo se alimenta con la información que deriva del timbrado de los comprobantes fiscales, una vez que estos se generan, siend</w:t>
      </w:r>
      <w:r>
        <w:rPr>
          <w:rFonts w:ascii="Palatino Linotype" w:eastAsia="Palatino Linotype" w:hAnsi="Palatino Linotype" w:cs="Palatino Linotype"/>
          <w:sz w:val="24"/>
          <w:szCs w:val="24"/>
        </w:rPr>
        <w:t>o procedente ordenar, en versión pública de ser necesario, la entrega de los reportes generados en el visor de comprobantes de nómina del patrón, que le fueron requeridos de los años 2018, 2019, 2020 y 2021, para el caso de que cuente con ellos.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No obstant</w:t>
      </w:r>
      <w:r>
        <w:rPr>
          <w:rFonts w:ascii="Palatino Linotype" w:eastAsia="Palatino Linotype" w:hAnsi="Palatino Linotype" w:cs="Palatino Linotype"/>
          <w:sz w:val="24"/>
          <w:szCs w:val="24"/>
        </w:rPr>
        <w:t xml:space="preserve">e de lo anterior, no debe perderse de vista que la normatividad aplicable no establece como obligatorio el uso de dicha herramienta, por lo que, si la información a la que se hace referencia no obra en los archivos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bastará con que así </w:t>
      </w:r>
      <w:r>
        <w:rPr>
          <w:rFonts w:ascii="Palatino Linotype" w:eastAsia="Palatino Linotype" w:hAnsi="Palatino Linotype" w:cs="Palatino Linotype"/>
          <w:sz w:val="24"/>
          <w:szCs w:val="24"/>
        </w:rPr>
        <w:t>se haga del conocimiento del particular para tener por colmado el derecho de acceso del particular.</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es así en virtud de que los entes públicos únicamente se encuentran obligados a entregar aquella información que les sea requerida y que hubiera</w:t>
      </w:r>
      <w:r>
        <w:rPr>
          <w:rFonts w:ascii="Palatino Linotype" w:eastAsia="Palatino Linotype" w:hAnsi="Palatino Linotype" w:cs="Palatino Linotype"/>
          <w:sz w:val="24"/>
          <w:szCs w:val="24"/>
        </w:rPr>
        <w:t>n generado, administren o posean y obre en sus archivos, en estado en el que se encuentre, más no les constriñe a procesar, generar o resumir información, realizar cálculos o practicar investigaciones para presentarla conforme al interés de los particulare</w:t>
      </w:r>
      <w:r>
        <w:rPr>
          <w:rFonts w:ascii="Palatino Linotype" w:eastAsia="Palatino Linotype" w:hAnsi="Palatino Linotype" w:cs="Palatino Linotype"/>
          <w:sz w:val="24"/>
          <w:szCs w:val="24"/>
        </w:rPr>
        <w:t>s, según lo establece el párrafo segundo de la Ley de Transparencia y Acceso a la Información Pública del Estado de México y Municipios.</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Respecto del romano IV mediante el cual se solicita la opinión de no adeudo en el cumplimiento de obligaciones fiscales</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 xml:space="preserve">se menciona que es un trámite que se realiza </w:t>
      </w:r>
      <w:r>
        <w:rPr>
          <w:rFonts w:ascii="Palatino Linotype" w:eastAsia="Palatino Linotype" w:hAnsi="Palatino Linotype" w:cs="Palatino Linotype"/>
          <w:sz w:val="24"/>
          <w:szCs w:val="24"/>
        </w:rPr>
        <w:lastRenderedPageBreak/>
        <w:t>en línea, a través del portal de internet del SAT</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xml:space="preserve">, que consiste en un reporte emitido por el SAT que permite consultar de manera instantánea la situación del cumplimiento de las obligaciones fiscales </w:t>
      </w:r>
      <w:r>
        <w:rPr>
          <w:rFonts w:ascii="Palatino Linotype" w:eastAsia="Palatino Linotype" w:hAnsi="Palatino Linotype" w:cs="Palatino Linotype"/>
          <w:sz w:val="24"/>
          <w:szCs w:val="24"/>
          <w:u w:val="single"/>
        </w:rPr>
        <w:t>al momen</w:t>
      </w:r>
      <w:r>
        <w:rPr>
          <w:rFonts w:ascii="Palatino Linotype" w:eastAsia="Palatino Linotype" w:hAnsi="Palatino Linotype" w:cs="Palatino Linotype"/>
          <w:sz w:val="24"/>
          <w:szCs w:val="24"/>
          <w:u w:val="single"/>
        </w:rPr>
        <w:t>to de la fecha de la consulta</w:t>
      </w:r>
      <w:r>
        <w:rPr>
          <w:rFonts w:ascii="Palatino Linotype" w:eastAsia="Palatino Linotype" w:hAnsi="Palatino Linotype" w:cs="Palatino Linotype"/>
          <w:sz w:val="24"/>
          <w:szCs w:val="24"/>
        </w:rPr>
        <w:t xml:space="preserve">, por lo que, si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 entre otras obligaciones fiscales, se encuentra constreñido a retener el impuesto sobre la renta, así como enterarlo al Servicio de Administración Tributaria, a través de sus declaraciones </w:t>
      </w:r>
      <w:r>
        <w:rPr>
          <w:rFonts w:ascii="Palatino Linotype" w:eastAsia="Palatino Linotype" w:hAnsi="Palatino Linotype" w:cs="Palatino Linotype"/>
          <w:sz w:val="24"/>
          <w:szCs w:val="24"/>
        </w:rPr>
        <w:t>provisionales y anual, resulta de interés a la sociedad el conocer si se encuentra al corriente en el cumplimiento de las mismas, consecuentemente es procedente ordenar la entrega del referido documento, para tener por atendido el requerimiento de informac</w:t>
      </w:r>
      <w:r>
        <w:rPr>
          <w:rFonts w:ascii="Palatino Linotype" w:eastAsia="Palatino Linotype" w:hAnsi="Palatino Linotype" w:cs="Palatino Linotype"/>
          <w:sz w:val="24"/>
          <w:szCs w:val="24"/>
        </w:rPr>
        <w:t>ión, para lo cual no está demás señalar que en el portal del SAT, se contemplan las siguientes opciones para su obtención:</w:t>
      </w:r>
    </w:p>
    <w:p w:rsidR="001E3DA4" w:rsidRDefault="004508DA">
      <w:pPr>
        <w:jc w:val="center"/>
        <w:rPr>
          <w:rFonts w:ascii="Palatino Linotype" w:eastAsia="Palatino Linotype" w:hAnsi="Palatino Linotype" w:cs="Palatino Linotype"/>
          <w:sz w:val="28"/>
          <w:szCs w:val="28"/>
        </w:rPr>
      </w:pPr>
      <w:r>
        <w:rPr>
          <w:rFonts w:ascii="Palatino Linotype" w:eastAsia="Palatino Linotype" w:hAnsi="Palatino Linotype" w:cs="Palatino Linotype"/>
          <w:noProof/>
        </w:rPr>
        <w:drawing>
          <wp:inline distT="0" distB="0" distL="0" distR="0">
            <wp:extent cx="3520603" cy="2614048"/>
            <wp:effectExtent l="0" t="0" r="0" b="0"/>
            <wp:docPr id="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3520603" cy="2614048"/>
                    </a:xfrm>
                    <a:prstGeom prst="rect">
                      <a:avLst/>
                    </a:prstGeom>
                    <a:ln/>
                  </pic:spPr>
                </pic:pic>
              </a:graphicData>
            </a:graphic>
          </wp:inline>
        </w:drawing>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Asimismo, la Resolución Miscelánea Fiscal para 2022 establece, en la regla 2.1.37 el procedimiento que debe observarse para la obte</w:t>
      </w:r>
      <w:r>
        <w:rPr>
          <w:rFonts w:ascii="Palatino Linotype" w:eastAsia="Palatino Linotype" w:hAnsi="Palatino Linotype" w:cs="Palatino Linotype"/>
          <w:sz w:val="24"/>
          <w:szCs w:val="24"/>
        </w:rPr>
        <w:t>nción de la opinión de cumplimiento de obligaciones fiscales, a saber:</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rPr>
        <w:drawing>
          <wp:inline distT="0" distB="0" distL="0" distR="0">
            <wp:extent cx="5609590" cy="1934210"/>
            <wp:effectExtent l="0" t="0" r="0" b="0"/>
            <wp:docPr id="9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5609590" cy="1934210"/>
                    </a:xfrm>
                    <a:prstGeom prst="rect">
                      <a:avLst/>
                    </a:prstGeom>
                    <a:ln/>
                  </pic:spPr>
                </pic:pic>
              </a:graphicData>
            </a:graphic>
          </wp:inline>
        </w:drawing>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multicitada opinión se generará atendiendo a la situación fiscal del contribuyente en los siguientes sentidos:</w:t>
      </w:r>
    </w:p>
    <w:p w:rsidR="001E3DA4" w:rsidRDefault="004508DA">
      <w:pPr>
        <w:spacing w:before="240" w:after="240" w:line="360" w:lineRule="auto"/>
        <w:ind w:left="28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Positiva.</w:t>
      </w:r>
      <w:r>
        <w:rPr>
          <w:rFonts w:ascii="Palatino Linotype" w:eastAsia="Palatino Linotype" w:hAnsi="Palatino Linotype" w:cs="Palatino Linotype"/>
          <w:sz w:val="24"/>
          <w:szCs w:val="24"/>
        </w:rPr>
        <w:t xml:space="preserve">- Cuando el contribuyente esté inscrito y al corriente en </w:t>
      </w:r>
      <w:r>
        <w:rPr>
          <w:rFonts w:ascii="Palatino Linotype" w:eastAsia="Palatino Linotype" w:hAnsi="Palatino Linotype" w:cs="Palatino Linotype"/>
          <w:sz w:val="24"/>
          <w:szCs w:val="24"/>
        </w:rPr>
        <w:t>el cumplimiento de las obligaciones que se consideran en los numerales 1 a 12 de esta regla.</w:t>
      </w:r>
    </w:p>
    <w:p w:rsidR="001E3DA4" w:rsidRDefault="004508DA">
      <w:pPr>
        <w:spacing w:before="240" w:after="240" w:line="360" w:lineRule="auto"/>
        <w:ind w:left="28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Negativa.-</w:t>
      </w:r>
      <w:r>
        <w:rPr>
          <w:rFonts w:ascii="Palatino Linotype" w:eastAsia="Palatino Linotype" w:hAnsi="Palatino Linotype" w:cs="Palatino Linotype"/>
          <w:sz w:val="24"/>
          <w:szCs w:val="24"/>
        </w:rPr>
        <w:t xml:space="preserve"> Cuando el contribuyente no esté al corriente en el cumplimiento de las obligaciones que se consideran en los numerales 1 a 12 de esta regla.</w:t>
      </w:r>
    </w:p>
    <w:p w:rsidR="001E3DA4" w:rsidRDefault="004508DA">
      <w:pPr>
        <w:spacing w:before="240" w:after="240" w:line="360" w:lineRule="auto"/>
        <w:ind w:left="28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Inscrito sin obligaciones.</w:t>
      </w:r>
      <w:r>
        <w:rPr>
          <w:rFonts w:ascii="Palatino Linotype" w:eastAsia="Palatino Linotype" w:hAnsi="Palatino Linotype" w:cs="Palatino Linotype"/>
          <w:sz w:val="24"/>
          <w:szCs w:val="24"/>
        </w:rPr>
        <w:t>- Cuando el contribuyente está inscrito en el RFC pero no tiene obligaciones fiscales.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autoridad, a fin de generar la opinión del cumplimiento de obligaciones fiscales, revisará que el contribuyente solicitante:</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noProof/>
        </w:rPr>
        <w:lastRenderedPageBreak/>
        <w:drawing>
          <wp:inline distT="0" distB="0" distL="0" distR="0">
            <wp:extent cx="5040000" cy="3657604"/>
            <wp:effectExtent l="0" t="0" r="0" b="0"/>
            <wp:docPr id="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b="27427"/>
                    <a:stretch>
                      <a:fillRect/>
                    </a:stretch>
                  </pic:blipFill>
                  <pic:spPr>
                    <a:xfrm>
                      <a:off x="0" y="0"/>
                      <a:ext cx="5040000" cy="3657604"/>
                    </a:xfrm>
                    <a:prstGeom prst="rect">
                      <a:avLst/>
                    </a:prstGeom>
                    <a:ln/>
                  </pic:spPr>
                </pic:pic>
              </a:graphicData>
            </a:graphic>
          </wp:inline>
        </w:drawing>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noProof/>
        </w:rPr>
        <w:drawing>
          <wp:inline distT="0" distB="0" distL="0" distR="0">
            <wp:extent cx="5040000" cy="1391921"/>
            <wp:effectExtent l="0" t="0" r="0" b="0"/>
            <wp:docPr id="9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t="72383"/>
                    <a:stretch>
                      <a:fillRect/>
                    </a:stretch>
                  </pic:blipFill>
                  <pic:spPr>
                    <a:xfrm>
                      <a:off x="0" y="0"/>
                      <a:ext cx="5040000" cy="1391921"/>
                    </a:xfrm>
                    <a:prstGeom prst="rect">
                      <a:avLst/>
                    </a:prstGeom>
                    <a:ln/>
                  </pic:spPr>
                </pic:pic>
              </a:graphicData>
            </a:graphic>
          </wp:inline>
        </w:drawing>
      </w:r>
    </w:p>
    <w:p w:rsidR="001E3DA4" w:rsidRDefault="004508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Tocante a</w:t>
      </w:r>
      <w:r>
        <w:rPr>
          <w:rFonts w:ascii="Palatino Linotype" w:eastAsia="Palatino Linotype" w:hAnsi="Palatino Linotype" w:cs="Palatino Linotype"/>
        </w:rPr>
        <w:t xml:space="preserve"> los romanos II y III, mediante los cuales se requiere la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i/>
        </w:rPr>
        <w:t>constancia de situación fiscal de no adeudo emitida por el INFONAVIT, generada desde el portal empresarial de esa Institución, a través de internet</w:t>
      </w:r>
      <w:r>
        <w:rPr>
          <w:rFonts w:ascii="Palatino Linotype" w:eastAsia="Palatino Linotype" w:hAnsi="Palatino Linotype" w:cs="Palatino Linotype"/>
        </w:rPr>
        <w:t xml:space="preserve"> y </w:t>
      </w:r>
      <w:r>
        <w:rPr>
          <w:rFonts w:ascii="Palatino Linotype" w:eastAsia="Palatino Linotype" w:hAnsi="Palatino Linotype" w:cs="Palatino Linotype"/>
          <w:i/>
        </w:rPr>
        <w:t>la opinión de no adeudo en el cumplimiento de ob</w:t>
      </w:r>
      <w:r>
        <w:rPr>
          <w:rFonts w:ascii="Palatino Linotype" w:eastAsia="Palatino Linotype" w:hAnsi="Palatino Linotype" w:cs="Palatino Linotype"/>
          <w:i/>
        </w:rPr>
        <w:t>ligaciones fiscales en materia de seguridad social emitida por el IMSS, generada desde el portal de esa Institución, a través de internet,</w:t>
      </w:r>
      <w:r>
        <w:rPr>
          <w:rFonts w:ascii="Palatino Linotype" w:eastAsia="Palatino Linotype" w:hAnsi="Palatino Linotype" w:cs="Palatino Linotype"/>
        </w:rPr>
        <w:t xml:space="preserve"> se precisa lo siguiente: </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Con relación a la opinión de cumplimiento emitida por el Instituto del Fondo Nacional de la</w:t>
      </w:r>
      <w:r>
        <w:rPr>
          <w:rFonts w:ascii="Palatino Linotype" w:eastAsia="Palatino Linotype" w:hAnsi="Palatino Linotype" w:cs="Palatino Linotype"/>
          <w:sz w:val="24"/>
          <w:szCs w:val="24"/>
        </w:rPr>
        <w:t xml:space="preserve"> Vivienda para los Trabajadores, INFONAVIT, resulta alusivo el contenido del artículo 123 apartado A, fracción XII de la Constitución Política de los Estados Unidos Mexicanos, el cual establece las bases que rigen las relaciones laborales entre las empresa</w:t>
      </w:r>
      <w:r>
        <w:rPr>
          <w:rFonts w:ascii="Palatino Linotype" w:eastAsia="Palatino Linotype" w:hAnsi="Palatino Linotype" w:cs="Palatino Linotype"/>
          <w:sz w:val="24"/>
          <w:szCs w:val="24"/>
        </w:rPr>
        <w:t>s y los particulares, se cita a continuación, para mayor referencia:</w:t>
      </w:r>
    </w:p>
    <w:p w:rsidR="001E3DA4" w:rsidRDefault="004508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123. </w:t>
      </w:r>
      <w:r>
        <w:rPr>
          <w:rFonts w:ascii="Palatino Linotype" w:eastAsia="Palatino Linotype" w:hAnsi="Palatino Linotype" w:cs="Palatino Linotype"/>
          <w:i/>
        </w:rPr>
        <w:t>Toda persona tiene derecho al trabajo digno y socialmente útil; al efecto, se promoverán la creación de empleos y la organización social de trabajo, conforme a la ley.</w:t>
      </w:r>
    </w:p>
    <w:p w:rsidR="001E3DA4" w:rsidRDefault="004508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El Congreso de la Unión, sin contravenir a las bases siguientes deberá expedir leyes sobre el trabajo, las cuales regirán:</w:t>
      </w:r>
    </w:p>
    <w:p w:rsidR="001E3DA4" w:rsidRDefault="004508DA">
      <w:pPr>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w:t>
      </w:r>
      <w:r>
        <w:rPr>
          <w:rFonts w:ascii="Palatino Linotype" w:eastAsia="Palatino Linotype" w:hAnsi="Palatino Linotype" w:cs="Palatino Linotype"/>
          <w:i/>
        </w:rPr>
        <w:t>Entre los obreros, jornaleros, empleados domésticos, artesanos y de una manera general, todo contrato de trabajo:</w:t>
      </w:r>
    </w:p>
    <w:p w:rsidR="001E3DA4" w:rsidRDefault="004508DA">
      <w:pPr>
        <w:ind w:left="1418"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ind w:left="1418" w:right="900"/>
        <w:jc w:val="both"/>
        <w:rPr>
          <w:rFonts w:ascii="Palatino Linotype" w:eastAsia="Palatino Linotype" w:hAnsi="Palatino Linotype" w:cs="Palatino Linotype"/>
          <w:i/>
        </w:rPr>
      </w:pPr>
      <w:r>
        <w:rPr>
          <w:rFonts w:ascii="Palatino Linotype" w:eastAsia="Palatino Linotype" w:hAnsi="Palatino Linotype" w:cs="Palatino Linotype"/>
          <w:b/>
          <w:i/>
        </w:rPr>
        <w:t>XII</w:t>
      </w:r>
      <w:r>
        <w:rPr>
          <w:rFonts w:ascii="Palatino Linotype" w:eastAsia="Palatino Linotype" w:hAnsi="Palatino Linotype" w:cs="Palatino Linotype"/>
          <w:i/>
        </w:rPr>
        <w:t>. Toda em</w:t>
      </w:r>
      <w:r>
        <w:rPr>
          <w:rFonts w:ascii="Palatino Linotype" w:eastAsia="Palatino Linotype" w:hAnsi="Palatino Linotype" w:cs="Palatino Linotype"/>
          <w:i/>
        </w:rPr>
        <w:t xml:space="preserve">presa agrícola, industrial, minera o de cualquier otra clase de trabajo, estará obligada, según lo determinen las leyes reglamentarias a proporcionar a los trabajadores habitaciones cómodas e higiénicas. </w:t>
      </w:r>
      <w:r>
        <w:rPr>
          <w:rFonts w:ascii="Palatino Linotype" w:eastAsia="Palatino Linotype" w:hAnsi="Palatino Linotype" w:cs="Palatino Linotype"/>
          <w:b/>
          <w:i/>
        </w:rPr>
        <w:t>Esta obligación se cumplirá mediante las aportacione</w:t>
      </w:r>
      <w:r>
        <w:rPr>
          <w:rFonts w:ascii="Palatino Linotype" w:eastAsia="Palatino Linotype" w:hAnsi="Palatino Linotype" w:cs="Palatino Linotype"/>
          <w:b/>
          <w:i/>
        </w:rPr>
        <w:t>s que las empresas hagan a un fondo nacional de la vivienda a fin de constituir depósitos en favor de sus trabajadores</w:t>
      </w:r>
      <w:r>
        <w:rPr>
          <w:rFonts w:ascii="Palatino Linotype" w:eastAsia="Palatino Linotype" w:hAnsi="Palatino Linotype" w:cs="Palatino Linotype"/>
          <w:i/>
        </w:rPr>
        <w:t xml:space="preserve"> y establecer un sistema de financiamiento que permita otorgar a éstos crédito barato y suficiente para que adquieran en propiedad tales h</w:t>
      </w:r>
      <w:r>
        <w:rPr>
          <w:rFonts w:ascii="Palatino Linotype" w:eastAsia="Palatino Linotype" w:hAnsi="Palatino Linotype" w:cs="Palatino Linotype"/>
          <w:i/>
        </w:rPr>
        <w:t>abitaciones.</w:t>
      </w:r>
    </w:p>
    <w:p w:rsidR="001E3DA4" w:rsidRDefault="004508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Se considera de utilidad social la expedición de una ley para la creación de un organismo integrado por representantes del Gobierno Federal, de los trabajadores y de los patrones, que administre los recursos del fondo nacional de la vivienda. </w:t>
      </w:r>
      <w:r>
        <w:rPr>
          <w:rFonts w:ascii="Palatino Linotype" w:eastAsia="Palatino Linotype" w:hAnsi="Palatino Linotype" w:cs="Palatino Linotype"/>
          <w:i/>
        </w:rPr>
        <w:t>Dicha ley regulará las formas y procedimientos conforme a los cuales los trabajadores podrán adquirir en propiedad las habitaciones antes mencionadas.”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otro lado de conformidad con los artículos 2 y 3 de Ley del Instituto del Fondo Nacional de la Vivie</w:t>
      </w:r>
      <w:r>
        <w:rPr>
          <w:rFonts w:ascii="Palatino Linotype" w:eastAsia="Palatino Linotype" w:hAnsi="Palatino Linotype" w:cs="Palatino Linotype"/>
          <w:sz w:val="24"/>
          <w:szCs w:val="24"/>
        </w:rPr>
        <w:t>nda para los Trabajadores, el Instituto es un organismo de servicio social con personalidad jurídica y patrimonio propio, cuyos objetivos son entre otros, administrar los recursos del Fondo Nacional de Vivienda, se cita para mayor referencia:</w:t>
      </w:r>
    </w:p>
    <w:p w:rsidR="001E3DA4" w:rsidRDefault="004508DA">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3o.</w:t>
      </w:r>
      <w:r>
        <w:rPr>
          <w:rFonts w:ascii="Palatino Linotype" w:eastAsia="Palatino Linotype" w:hAnsi="Palatino Linotype" w:cs="Palatino Linotype"/>
          <w:b/>
          <w:i/>
        </w:rPr>
        <w:t>-</w:t>
      </w:r>
      <w:r>
        <w:rPr>
          <w:rFonts w:ascii="Palatino Linotype" w:eastAsia="Palatino Linotype" w:hAnsi="Palatino Linotype" w:cs="Palatino Linotype"/>
          <w:i/>
        </w:rPr>
        <w:t xml:space="preserve"> El Instituto tiene por objeto:</w:t>
      </w:r>
    </w:p>
    <w:p w:rsidR="001E3DA4" w:rsidRDefault="004508DA">
      <w:pPr>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Administrar los recursos del Fondo Nacional de la Vivienda;</w:t>
      </w:r>
    </w:p>
    <w:p w:rsidR="001E3DA4" w:rsidRDefault="004508DA">
      <w:pPr>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Establecer y operar un sistema de financiamiento que permita a los trabajadores obtener crédito barato y suficiente para:</w:t>
      </w:r>
    </w:p>
    <w:p w:rsidR="001E3DA4" w:rsidRDefault="004508DA">
      <w:pPr>
        <w:ind w:left="1418" w:right="900"/>
        <w:jc w:val="both"/>
        <w:rPr>
          <w:rFonts w:ascii="Palatino Linotype" w:eastAsia="Palatino Linotype" w:hAnsi="Palatino Linotype" w:cs="Palatino Linotype"/>
          <w:i/>
        </w:rPr>
      </w:pPr>
      <w:r>
        <w:rPr>
          <w:rFonts w:ascii="Palatino Linotype" w:eastAsia="Palatino Linotype" w:hAnsi="Palatino Linotype" w:cs="Palatino Linotype"/>
          <w:b/>
          <w:i/>
        </w:rPr>
        <w:t>a)</w:t>
      </w:r>
      <w:r>
        <w:rPr>
          <w:rFonts w:ascii="Palatino Linotype" w:eastAsia="Palatino Linotype" w:hAnsi="Palatino Linotype" w:cs="Palatino Linotype"/>
          <w:i/>
        </w:rPr>
        <w:t>.- La adquisición en propiedad de habitaciones cómodas e higiénicas,</w:t>
      </w:r>
    </w:p>
    <w:p w:rsidR="001E3DA4" w:rsidRDefault="004508DA">
      <w:pPr>
        <w:ind w:left="1418" w:right="900"/>
        <w:jc w:val="both"/>
        <w:rPr>
          <w:rFonts w:ascii="Palatino Linotype" w:eastAsia="Palatino Linotype" w:hAnsi="Palatino Linotype" w:cs="Palatino Linotype"/>
          <w:i/>
        </w:rPr>
      </w:pPr>
      <w:r>
        <w:rPr>
          <w:rFonts w:ascii="Palatino Linotype" w:eastAsia="Palatino Linotype" w:hAnsi="Palatino Linotype" w:cs="Palatino Linotype"/>
          <w:b/>
          <w:i/>
        </w:rPr>
        <w:t>b).</w:t>
      </w:r>
      <w:r>
        <w:rPr>
          <w:rFonts w:ascii="Palatino Linotype" w:eastAsia="Palatino Linotype" w:hAnsi="Palatino Linotype" w:cs="Palatino Linotype"/>
          <w:i/>
        </w:rPr>
        <w:t>- La construcción, reparación, ampliación o mejoramiento de sus habitaciones, y</w:t>
      </w:r>
    </w:p>
    <w:p w:rsidR="001E3DA4" w:rsidRDefault="004508DA">
      <w:pPr>
        <w:ind w:left="1418" w:right="900"/>
        <w:jc w:val="both"/>
        <w:rPr>
          <w:rFonts w:ascii="Palatino Linotype" w:eastAsia="Palatino Linotype" w:hAnsi="Palatino Linotype" w:cs="Palatino Linotype"/>
          <w:i/>
        </w:rPr>
      </w:pPr>
      <w:r>
        <w:rPr>
          <w:rFonts w:ascii="Palatino Linotype" w:eastAsia="Palatino Linotype" w:hAnsi="Palatino Linotype" w:cs="Palatino Linotype"/>
          <w:b/>
          <w:i/>
        </w:rPr>
        <w:t>c)</w:t>
      </w:r>
      <w:r>
        <w:rPr>
          <w:rFonts w:ascii="Palatino Linotype" w:eastAsia="Palatino Linotype" w:hAnsi="Palatino Linotype" w:cs="Palatino Linotype"/>
          <w:i/>
        </w:rPr>
        <w:t>.- El pago de pasivos contraídos por los conceptos anteriores;</w:t>
      </w:r>
    </w:p>
    <w:p w:rsidR="001E3DA4" w:rsidRDefault="004508DA">
      <w:pPr>
        <w:ind w:left="1418" w:right="900"/>
        <w:jc w:val="both"/>
        <w:rPr>
          <w:rFonts w:ascii="Palatino Linotype" w:eastAsia="Palatino Linotype" w:hAnsi="Palatino Linotype" w:cs="Palatino Linotype"/>
          <w:i/>
        </w:rPr>
      </w:pPr>
      <w:r>
        <w:rPr>
          <w:rFonts w:ascii="Palatino Linotype" w:eastAsia="Palatino Linotype" w:hAnsi="Palatino Linotype" w:cs="Palatino Linotype"/>
          <w:b/>
          <w:i/>
        </w:rPr>
        <w:t>d).-</w:t>
      </w:r>
      <w:r>
        <w:rPr>
          <w:rFonts w:ascii="Palatino Linotype" w:eastAsia="Palatino Linotype" w:hAnsi="Palatino Linotype" w:cs="Palatino Linotype"/>
          <w:i/>
        </w:rPr>
        <w:t xml:space="preserve"> La adquisición en propiedad de sue</w:t>
      </w:r>
      <w:r>
        <w:rPr>
          <w:rFonts w:ascii="Palatino Linotype" w:eastAsia="Palatino Linotype" w:hAnsi="Palatino Linotype" w:cs="Palatino Linotype"/>
          <w:i/>
        </w:rPr>
        <w:t>lo destinado para la construcción de sus habitaciones;</w:t>
      </w:r>
    </w:p>
    <w:p w:rsidR="001E3DA4" w:rsidRDefault="004508DA">
      <w:pPr>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Coordinar y financiar programas de construcción de habitaciones destinadas a ser adquiridas en propiedad por los trabajadores; y</w:t>
      </w:r>
    </w:p>
    <w:p w:rsidR="001E3DA4" w:rsidRDefault="004508DA">
      <w:pPr>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Lo demás a que se refiere la fracción XII del Apartado A del </w:t>
      </w:r>
      <w:r>
        <w:rPr>
          <w:rFonts w:ascii="Palatino Linotype" w:eastAsia="Palatino Linotype" w:hAnsi="Palatino Linotype" w:cs="Palatino Linotype"/>
          <w:i/>
        </w:rPr>
        <w:t>Artículo 123 Constitucional y el</w:t>
      </w:r>
    </w:p>
    <w:p w:rsidR="001E3DA4" w:rsidRDefault="004508DA">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Título Cuarto, Capítulo III de la Ley Federal del Trabajo, así como lo que esta ley establece.”</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 base en lo expuesto se concluye que lo relativo al Fondo Nacional de Vivienda, se encuentra únicamente contemplado en las r</w:t>
      </w:r>
      <w:r>
        <w:rPr>
          <w:rFonts w:ascii="Palatino Linotype" w:eastAsia="Palatino Linotype" w:hAnsi="Palatino Linotype" w:cs="Palatino Linotype"/>
          <w:sz w:val="24"/>
          <w:szCs w:val="24"/>
        </w:rPr>
        <w:t xml:space="preserve">elaciones laborales entre particulares (privados), por lo que la opinión de cumplimiento del INFONAVIT, (correctamente denominada Constancia de Situación Fiscal de las obligaciones patronales), </w:t>
      </w:r>
      <w:r>
        <w:rPr>
          <w:rFonts w:ascii="Palatino Linotype" w:eastAsia="Palatino Linotype" w:hAnsi="Palatino Linotype" w:cs="Palatino Linotype"/>
          <w:sz w:val="24"/>
          <w:szCs w:val="24"/>
        </w:rPr>
        <w:lastRenderedPageBreak/>
        <w:t xml:space="preserve">únicamente es requerida y exigible a los Patrones del régimen </w:t>
      </w:r>
      <w:r>
        <w:rPr>
          <w:rFonts w:ascii="Palatino Linotype" w:eastAsia="Palatino Linotype" w:hAnsi="Palatino Linotype" w:cs="Palatino Linotype"/>
          <w:sz w:val="24"/>
          <w:szCs w:val="24"/>
        </w:rPr>
        <w:t>laboral entre particulares, por lo que la entrega de la misma, por parte de entidades gubernamentales no resulta procedente, derivado de no encuadrar en los supuestos de los ordenamientos citados, en ese sentido se atiende que 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resulta in</w:t>
      </w:r>
      <w:r>
        <w:rPr>
          <w:rFonts w:ascii="Palatino Linotype" w:eastAsia="Palatino Linotype" w:hAnsi="Palatino Linotype" w:cs="Palatino Linotype"/>
          <w:sz w:val="24"/>
          <w:szCs w:val="24"/>
        </w:rPr>
        <w:t>competente para atender este apartado de la solicitud de información.</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respecto de </w:t>
      </w:r>
      <w:r>
        <w:rPr>
          <w:rFonts w:ascii="Palatino Linotype" w:eastAsia="Palatino Linotype" w:hAnsi="Palatino Linotype" w:cs="Palatino Linotype"/>
          <w:i/>
          <w:sz w:val="24"/>
          <w:szCs w:val="24"/>
        </w:rPr>
        <w:t>la opinión de no adeudo en el cumplimiento de obligaciones fiscales en materia de seguridad social emitida por el IMSS, generada desde el portal de esa Institu</w:t>
      </w:r>
      <w:r>
        <w:rPr>
          <w:rFonts w:ascii="Palatino Linotype" w:eastAsia="Palatino Linotype" w:hAnsi="Palatino Linotype" w:cs="Palatino Linotype"/>
          <w:i/>
          <w:sz w:val="24"/>
          <w:szCs w:val="24"/>
        </w:rPr>
        <w:t xml:space="preserve">ción, a través de internet, </w:t>
      </w:r>
      <w:r>
        <w:rPr>
          <w:rFonts w:ascii="Palatino Linotype" w:eastAsia="Palatino Linotype" w:hAnsi="Palatino Linotype" w:cs="Palatino Linotype"/>
          <w:sz w:val="24"/>
          <w:szCs w:val="24"/>
        </w:rPr>
        <w:t>se señala que de conformidad con el artículo 5 de la Ley del Seguro Social</w:t>
      </w:r>
      <w:r>
        <w:rPr>
          <w:rFonts w:ascii="Palatino Linotype" w:eastAsia="Palatino Linotype" w:hAnsi="Palatino Linotype" w:cs="Palatino Linotype"/>
          <w:sz w:val="24"/>
          <w:szCs w:val="24"/>
          <w:vertAlign w:val="superscript"/>
        </w:rPr>
        <w:footnoteReference w:id="3"/>
      </w:r>
      <w:r>
        <w:rPr>
          <w:rFonts w:ascii="Palatino Linotype" w:eastAsia="Palatino Linotype" w:hAnsi="Palatino Linotype" w:cs="Palatino Linotype"/>
          <w:sz w:val="24"/>
          <w:szCs w:val="24"/>
        </w:rPr>
        <w:t xml:space="preserve"> el Instituto Mexicano del Seguro Social, IMSS, este es un organismo público descentralizado con personalidad jurídica y patrimonio propios, de integraci</w:t>
      </w:r>
      <w:r>
        <w:rPr>
          <w:rFonts w:ascii="Palatino Linotype" w:eastAsia="Palatino Linotype" w:hAnsi="Palatino Linotype" w:cs="Palatino Linotype"/>
          <w:sz w:val="24"/>
          <w:szCs w:val="24"/>
        </w:rPr>
        <w:t>ón operativa tripartita, en razón de que a la misma concurren los sectores público, social y privado, el cual tiene también el carácter de organismo fiscal autónomo. Cuya función principal es relativa a tutear la seguridad social, entendiéndose como garant</w:t>
      </w:r>
      <w:r>
        <w:rPr>
          <w:rFonts w:ascii="Palatino Linotype" w:eastAsia="Palatino Linotype" w:hAnsi="Palatino Linotype" w:cs="Palatino Linotype"/>
          <w:sz w:val="24"/>
          <w:szCs w:val="24"/>
        </w:rPr>
        <w:t>izar el derecho a la salud, la asistencia médica, la protección de los medios de subsistencia y los servicios sociales necesarios para el bienestar individual y colectivo, así como el otorgamiento de una pensión que, en su caso y previo cumplimiento de los</w:t>
      </w:r>
      <w:r>
        <w:rPr>
          <w:rFonts w:ascii="Palatino Linotype" w:eastAsia="Palatino Linotype" w:hAnsi="Palatino Linotype" w:cs="Palatino Linotype"/>
          <w:sz w:val="24"/>
          <w:szCs w:val="24"/>
        </w:rPr>
        <w:t xml:space="preserve"> requisitos legales, será garantizada por el Estado.</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Sin embargo, en el caso concreto debe precisarse que el Organismo competente para garantizar el derecho a la seguridad social, de los servidores públicos del Estado de </w:t>
      </w:r>
      <w:r>
        <w:rPr>
          <w:rFonts w:ascii="Palatino Linotype" w:eastAsia="Palatino Linotype" w:hAnsi="Palatino Linotype" w:cs="Palatino Linotype"/>
          <w:sz w:val="24"/>
          <w:szCs w:val="24"/>
        </w:rPr>
        <w:lastRenderedPageBreak/>
        <w:t>México y Municipios, es el Institut</w:t>
      </w:r>
      <w:r>
        <w:rPr>
          <w:rFonts w:ascii="Palatino Linotype" w:eastAsia="Palatino Linotype" w:hAnsi="Palatino Linotype" w:cs="Palatino Linotype"/>
          <w:sz w:val="24"/>
          <w:szCs w:val="24"/>
        </w:rPr>
        <w:t>o de Seguridad Social del Estado de México y Municipios, ISSEMyM, de conformidad con los artículos 1, 2, 3 y 5 fracciones II y III de la Ley de Seguridad Social para los Servidores Públicos del Estado de México y Municipios, que son del tenor literal sigui</w:t>
      </w:r>
      <w:r>
        <w:rPr>
          <w:rFonts w:ascii="Palatino Linotype" w:eastAsia="Palatino Linotype" w:hAnsi="Palatino Linotype" w:cs="Palatino Linotype"/>
          <w:sz w:val="24"/>
          <w:szCs w:val="24"/>
        </w:rPr>
        <w:t>ente:</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ARTICULO 1.- </w:t>
      </w:r>
      <w:r>
        <w:rPr>
          <w:rFonts w:ascii="Palatino Linotype" w:eastAsia="Palatino Linotype" w:hAnsi="Palatino Linotype" w:cs="Palatino Linotype"/>
          <w:i/>
        </w:rPr>
        <w:t>La presente ley es de orden público e interés general y tiene por objeto regular el régimen de seguridad social en favor de los servidores públicos del estado y municipios, así como de sus organismos auxiliares y fideicomisos públicos.</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ARTICULO 2.- </w:t>
      </w:r>
      <w:r>
        <w:rPr>
          <w:rFonts w:ascii="Palatino Linotype" w:eastAsia="Palatino Linotype" w:hAnsi="Palatino Linotype" w:cs="Palatino Linotype"/>
          <w:i/>
        </w:rPr>
        <w:t>La aplicación y cumplimiento del régimen de seguridad social que regula esta ley, le corresponde al Instituto de Seguridad Social del Estado de México y Municipios, organismo público descentralizado con personalidad jurídica y patrimonio propi</w:t>
      </w:r>
      <w:r>
        <w:rPr>
          <w:rFonts w:ascii="Palatino Linotype" w:eastAsia="Palatino Linotype" w:hAnsi="Palatino Linotype" w:cs="Palatino Linotype"/>
          <w:i/>
        </w:rPr>
        <w:t>os.</w:t>
      </w:r>
      <w:r>
        <w:rPr>
          <w:rFonts w:ascii="Palatino Linotype" w:eastAsia="Palatino Linotype" w:hAnsi="Palatino Linotype" w:cs="Palatino Linotype"/>
          <w:i/>
        </w:rPr>
        <w:br/>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Son sujetos de esta ley:</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Los poderes públicos del estado, los municipios a través de los ayuntamientos y los tribunales administrativos, así como los organismos auxiliares y fideicomisos públicos de carácter estatal y municipal, siempre</w:t>
      </w:r>
      <w:r>
        <w:rPr>
          <w:rFonts w:ascii="Palatino Linotype" w:eastAsia="Palatino Linotype" w:hAnsi="Palatino Linotype" w:cs="Palatino Linotype"/>
          <w:i/>
        </w:rPr>
        <w:t xml:space="preserve"> y cuando éstos últimos no estén afectos a un régimen distinto de seguridad social;</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 </w:t>
      </w:r>
      <w:r>
        <w:rPr>
          <w:rFonts w:ascii="Palatino Linotype" w:eastAsia="Palatino Linotype" w:hAnsi="Palatino Linotype" w:cs="Palatino Linotype"/>
          <w:i/>
        </w:rPr>
        <w:t>Los servidores públicos de las instituciones públicas mencionadas en la fracción anterior;</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Los pensionados y pensionistas;</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Los familiares y dependientes económ</w:t>
      </w:r>
      <w:r>
        <w:rPr>
          <w:rFonts w:ascii="Palatino Linotype" w:eastAsia="Palatino Linotype" w:hAnsi="Palatino Linotype" w:cs="Palatino Linotype"/>
          <w:i/>
        </w:rPr>
        <w:t>icos de los servidores públicos y de los pensionados.</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ARTICULO 5</w:t>
      </w:r>
      <w:r>
        <w:rPr>
          <w:rFonts w:ascii="Palatino Linotype" w:eastAsia="Palatino Linotype" w:hAnsi="Palatino Linotype" w:cs="Palatino Linotype"/>
          <w:i/>
        </w:rPr>
        <w:t>.- Para los efectos de esta ley se entiende por:</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 Institución pública,</w:t>
      </w:r>
      <w:r>
        <w:rPr>
          <w:rFonts w:ascii="Palatino Linotype" w:eastAsia="Palatino Linotype" w:hAnsi="Palatino Linotype" w:cs="Palatino Linotype"/>
          <w:i/>
        </w:rPr>
        <w:t xml:space="preserve"> a los poderes públicos del estado, los ayuntamientos de los municipios y los tribunales administrativos, así como los organismos auxiliares y fideicomisos públicos de carácter estatal y municipal;</w:t>
      </w:r>
    </w:p>
    <w:p w:rsidR="001E3DA4" w:rsidRDefault="004508DA">
      <w:pPr>
        <w:spacing w:before="120" w:after="120"/>
        <w:ind w:left="1134" w:right="902"/>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III. Servidor público</w:t>
      </w:r>
      <w:r>
        <w:rPr>
          <w:rFonts w:ascii="Palatino Linotype" w:eastAsia="Palatino Linotype" w:hAnsi="Palatino Linotype" w:cs="Palatino Linotype"/>
          <w:i/>
        </w:rPr>
        <w:t>, a toda persona que desempeñe un emp</w:t>
      </w:r>
      <w:r>
        <w:rPr>
          <w:rFonts w:ascii="Palatino Linotype" w:eastAsia="Palatino Linotype" w:hAnsi="Palatino Linotype" w:cs="Palatino Linotype"/>
          <w:i/>
        </w:rPr>
        <w:t>leo, cargo o comisión ya sea por elección popular o por nombramiento, o bien, preste sus servicios mediante contrato por tiempo u obra determinados, así como las que se encuentren en lista de raya, en cualquiera de las instituciones públicas a que se refie</w:t>
      </w:r>
      <w:r>
        <w:rPr>
          <w:rFonts w:ascii="Palatino Linotype" w:eastAsia="Palatino Linotype" w:hAnsi="Palatino Linotype" w:cs="Palatino Linotype"/>
          <w:i/>
        </w:rPr>
        <w:t>re la fracción II de este artículo. Quedan exceptuadas aquellas que estén sujetas a contrato civil o mercantil, o a pago de honorarios;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conformidad con los preceptos legales, se acredita que compete Instituto de Seguridad Social del Estado de México y M</w:t>
      </w:r>
      <w:r>
        <w:rPr>
          <w:rFonts w:ascii="Palatino Linotype" w:eastAsia="Palatino Linotype" w:hAnsi="Palatino Linotype" w:cs="Palatino Linotype"/>
          <w:sz w:val="24"/>
          <w:szCs w:val="24"/>
        </w:rPr>
        <w:t>unicipios, ISSEMyM, re</w:t>
      </w:r>
      <w:r>
        <w:rPr>
          <w:rFonts w:ascii="Palatino Linotype" w:eastAsia="Palatino Linotype" w:hAnsi="Palatino Linotype" w:cs="Palatino Linotype"/>
          <w:b/>
          <w:sz w:val="24"/>
          <w:szCs w:val="24"/>
        </w:rPr>
        <w:t>g</w:t>
      </w:r>
      <w:r>
        <w:rPr>
          <w:rFonts w:ascii="Palatino Linotype" w:eastAsia="Palatino Linotype" w:hAnsi="Palatino Linotype" w:cs="Palatino Linotype"/>
          <w:sz w:val="24"/>
          <w:szCs w:val="24"/>
        </w:rPr>
        <w:t xml:space="preserve">ular el régimen de seguridad social en favor de los servidores públicos del estado y municipios, consecuentemente, se advierte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resulta incompetente para tener en sus archivos la información relativa a la opini</w:t>
      </w:r>
      <w:r>
        <w:rPr>
          <w:rFonts w:ascii="Palatino Linotype" w:eastAsia="Palatino Linotype" w:hAnsi="Palatino Linotype" w:cs="Palatino Linotype"/>
          <w:sz w:val="24"/>
          <w:szCs w:val="24"/>
        </w:rPr>
        <w:t>ón de cumplimiento de sus obligaciones fiscales en materia de Seguridad Social” emitida por el Instituto Mexicano del Seguro Social.</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orden de ideas, cabe señalar que una vez advertida la notoria incompetencia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aten</w:t>
      </w:r>
      <w:r>
        <w:rPr>
          <w:rFonts w:ascii="Palatino Linotype" w:eastAsia="Palatino Linotype" w:hAnsi="Palatino Linotype" w:cs="Palatino Linotype"/>
          <w:sz w:val="24"/>
          <w:szCs w:val="24"/>
        </w:rPr>
        <w:t xml:space="preserve">der los requerimientos de información no lo hizo del conocimiento del particular, sin embargo, no escapa de la óptica de este Organismo Garante que dicha circunstancia no se hizo valer en el plazo establecido para tal efecto, de conformidad con el párrafo </w:t>
      </w:r>
      <w:r>
        <w:rPr>
          <w:rFonts w:ascii="Palatino Linotype" w:eastAsia="Palatino Linotype" w:hAnsi="Palatino Linotype" w:cs="Palatino Linotype"/>
          <w:sz w:val="24"/>
          <w:szCs w:val="24"/>
        </w:rPr>
        <w:t>primero del artículo 167</w:t>
      </w:r>
      <w:r>
        <w:rPr>
          <w:rFonts w:ascii="Palatino Linotype" w:eastAsia="Palatino Linotype" w:hAnsi="Palatino Linotype" w:cs="Palatino Linotype"/>
          <w:sz w:val="24"/>
          <w:szCs w:val="24"/>
          <w:vertAlign w:val="superscript"/>
        </w:rPr>
        <w:footnoteReference w:id="4"/>
      </w:r>
      <w:r>
        <w:rPr>
          <w:rFonts w:ascii="Palatino Linotype" w:eastAsia="Palatino Linotype" w:hAnsi="Palatino Linotype" w:cs="Palatino Linotype"/>
          <w:sz w:val="24"/>
          <w:szCs w:val="24"/>
        </w:rPr>
        <w:t xml:space="preserve"> de la Ley de Transparencia y Acceso a la Información Pública del Estado de México y Municipios, por lo que se le insta para que en próximas ocasiones observe las </w:t>
      </w:r>
      <w:r>
        <w:rPr>
          <w:rFonts w:ascii="Palatino Linotype" w:eastAsia="Palatino Linotype" w:hAnsi="Palatino Linotype" w:cs="Palatino Linotype"/>
          <w:sz w:val="24"/>
          <w:szCs w:val="24"/>
        </w:rPr>
        <w:lastRenderedPageBreak/>
        <w:t>formalidades que prevén las leyes de la materia a efecto de  no vuln</w:t>
      </w:r>
      <w:r>
        <w:rPr>
          <w:rFonts w:ascii="Palatino Linotype" w:eastAsia="Palatino Linotype" w:hAnsi="Palatino Linotype" w:cs="Palatino Linotype"/>
          <w:sz w:val="24"/>
          <w:szCs w:val="24"/>
        </w:rPr>
        <w:t>erar el derecho de acceso a la información de los particulares.</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se hace de su conocimiento el mismo precepto legal, en su párrafo segundo concede, a los Sujetos Obligados, la posibilidad de atender de manera parcial las solicitudes de acceso a la</w:t>
      </w:r>
      <w:r>
        <w:rPr>
          <w:rFonts w:ascii="Palatino Linotype" w:eastAsia="Palatino Linotype" w:hAnsi="Palatino Linotype" w:cs="Palatino Linotype"/>
          <w:sz w:val="24"/>
          <w:szCs w:val="24"/>
        </w:rPr>
        <w:t xml:space="preserve"> información, dando respuesta únicamente respecto de aquellos requerimientos sobre los cuales se tiene competencia dentro del plazo de quince días hábiles contados a partir del día siguiente a la presentación de la solicitud, de conformidad con el párrafo </w:t>
      </w:r>
      <w:r>
        <w:rPr>
          <w:rFonts w:ascii="Palatino Linotype" w:eastAsia="Palatino Linotype" w:hAnsi="Palatino Linotype" w:cs="Palatino Linotype"/>
          <w:sz w:val="24"/>
          <w:szCs w:val="24"/>
        </w:rPr>
        <w:t>primero del artículo 163</w:t>
      </w:r>
      <w:r>
        <w:rPr>
          <w:rFonts w:ascii="Palatino Linotype" w:eastAsia="Palatino Linotype" w:hAnsi="Palatino Linotype" w:cs="Palatino Linotype"/>
          <w:sz w:val="24"/>
          <w:szCs w:val="24"/>
          <w:vertAlign w:val="superscript"/>
        </w:rPr>
        <w:footnoteReference w:id="5"/>
      </w:r>
      <w:r>
        <w:rPr>
          <w:rFonts w:ascii="Palatino Linotype" w:eastAsia="Palatino Linotype" w:hAnsi="Palatino Linotype" w:cs="Palatino Linotype"/>
          <w:sz w:val="24"/>
          <w:szCs w:val="24"/>
        </w:rPr>
        <w:t xml:space="preserve"> de la Ley de la Materia, y, respecto de la información sobre la cual se es incompetente, declarar la incompetencia en el término de tres días hábiles posteriores a la recepción de la solicitud.</w:t>
      </w:r>
    </w:p>
    <w:p w:rsidR="001E3DA4" w:rsidRDefault="004508DA">
      <w:pPr>
        <w:spacing w:before="240" w:after="240" w:line="360" w:lineRule="auto"/>
        <w:jc w:val="both"/>
        <w:rPr>
          <w:rFonts w:ascii="Palatino Linotype" w:eastAsia="Palatino Linotype" w:hAnsi="Palatino Linotype" w:cs="Palatino Linotype"/>
          <w:color w:val="222222"/>
          <w:sz w:val="24"/>
          <w:szCs w:val="24"/>
          <w:highlight w:val="white"/>
        </w:rPr>
      </w:pPr>
      <w:r>
        <w:rPr>
          <w:rFonts w:ascii="Palatino Linotype" w:eastAsia="Palatino Linotype" w:hAnsi="Palatino Linotype" w:cs="Palatino Linotype"/>
          <w:color w:val="222222"/>
          <w:sz w:val="24"/>
          <w:szCs w:val="24"/>
          <w:highlight w:val="white"/>
        </w:rPr>
        <w:t>Por otro lado, es pertinente señalar</w:t>
      </w:r>
      <w:r>
        <w:rPr>
          <w:rFonts w:ascii="Palatino Linotype" w:eastAsia="Palatino Linotype" w:hAnsi="Palatino Linotype" w:cs="Palatino Linotype"/>
          <w:color w:val="222222"/>
          <w:sz w:val="24"/>
          <w:szCs w:val="24"/>
          <w:highlight w:val="white"/>
        </w:rPr>
        <w:t xml:space="preserve"> que respecto del punto IV. “La opinión de no adeudo en el cumplimiento de obligaciones fiscales estatales emitida por el SATEM, generada desde el portal de esa Institución, a través de internet”, de una revisión a la Ley</w:t>
      </w:r>
      <w:r>
        <w:rPr>
          <w:color w:val="222222"/>
          <w:sz w:val="24"/>
          <w:szCs w:val="24"/>
          <w:highlight w:val="white"/>
        </w:rPr>
        <w:t> </w:t>
      </w:r>
      <w:r>
        <w:rPr>
          <w:rFonts w:ascii="Palatino Linotype" w:eastAsia="Palatino Linotype" w:hAnsi="Palatino Linotype" w:cs="Palatino Linotype"/>
          <w:color w:val="222222"/>
          <w:sz w:val="24"/>
          <w:szCs w:val="24"/>
          <w:highlight w:val="white"/>
        </w:rPr>
        <w:t>Orgánica de la Administración Públ</w:t>
      </w:r>
      <w:r>
        <w:rPr>
          <w:rFonts w:ascii="Palatino Linotype" w:eastAsia="Palatino Linotype" w:hAnsi="Palatino Linotype" w:cs="Palatino Linotype"/>
          <w:color w:val="222222"/>
          <w:sz w:val="24"/>
          <w:szCs w:val="24"/>
          <w:highlight w:val="white"/>
        </w:rPr>
        <w:t xml:space="preserve">ica del Estado de México, Bando Municipal del </w:t>
      </w:r>
      <w:r>
        <w:rPr>
          <w:rFonts w:ascii="Palatino Linotype" w:eastAsia="Palatino Linotype" w:hAnsi="Palatino Linotype" w:cs="Palatino Linotype"/>
          <w:color w:val="000000"/>
          <w:sz w:val="24"/>
          <w:szCs w:val="24"/>
          <w:highlight w:val="white"/>
        </w:rPr>
        <w:t>Ayuntamiento de Jocotitlán</w:t>
      </w:r>
      <w:r>
        <w:rPr>
          <w:rFonts w:ascii="Palatino Linotype" w:eastAsia="Palatino Linotype" w:hAnsi="Palatino Linotype" w:cs="Palatino Linotype"/>
          <w:color w:val="FF0000"/>
          <w:sz w:val="24"/>
          <w:szCs w:val="24"/>
          <w:highlight w:val="white"/>
        </w:rPr>
        <w:t xml:space="preserve"> </w:t>
      </w:r>
      <w:r>
        <w:rPr>
          <w:rFonts w:ascii="Palatino Linotype" w:eastAsia="Palatino Linotype" w:hAnsi="Palatino Linotype" w:cs="Palatino Linotype"/>
          <w:color w:val="222222"/>
          <w:sz w:val="24"/>
          <w:szCs w:val="24"/>
          <w:highlight w:val="white"/>
        </w:rPr>
        <w:t>y Ley del Servicio de Administración Tributaria, no se advierte la existencia del SATEM, por lo que se concluye que el mismo no existe; de ahí que no es procedente ordena su entrega. </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Respecto al romano V, relativo al </w:t>
      </w:r>
      <w:r>
        <w:rPr>
          <w:rFonts w:ascii="Palatino Linotype" w:eastAsia="Palatino Linotype" w:hAnsi="Palatino Linotype" w:cs="Palatino Linotype"/>
          <w:i/>
          <w:sz w:val="24"/>
          <w:szCs w:val="24"/>
        </w:rPr>
        <w:t xml:space="preserve">papel de trabajo por Municipio y por sus órganos paramunicipales, que contenga los datos de identificación de ISR, recuperado por mes, del </w:t>
      </w:r>
      <w:r>
        <w:rPr>
          <w:rFonts w:ascii="Palatino Linotype" w:eastAsia="Palatino Linotype" w:hAnsi="Palatino Linotype" w:cs="Palatino Linotype"/>
          <w:i/>
          <w:sz w:val="24"/>
          <w:szCs w:val="24"/>
        </w:rPr>
        <w:lastRenderedPageBreak/>
        <w:t xml:space="preserve">periodo del uno de enero de dos mil diecinueve al treinta y uno de octubre de dos </w:t>
      </w:r>
      <w:r>
        <w:rPr>
          <w:rFonts w:ascii="Palatino Linotype" w:eastAsia="Palatino Linotype" w:hAnsi="Palatino Linotype" w:cs="Palatino Linotype"/>
          <w:i/>
          <w:sz w:val="24"/>
          <w:szCs w:val="24"/>
        </w:rPr>
        <w:t xml:space="preserve">mil veintiuno; </w:t>
      </w:r>
      <w:r>
        <w:rPr>
          <w:rFonts w:ascii="Palatino Linotype" w:eastAsia="Palatino Linotype" w:hAnsi="Palatino Linotype" w:cs="Palatino Linotype"/>
          <w:sz w:val="24"/>
          <w:szCs w:val="24"/>
        </w:rPr>
        <w:t xml:space="preserve">se precisa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requiere un documento de tipo específico que contenga desagregada la información en diversos apartados, por lo que, se hace de su conocimiento que de conformidad con los artículos 12 y 24 de la Ley de Trans</w:t>
      </w:r>
      <w:r>
        <w:rPr>
          <w:rFonts w:ascii="Palatino Linotype" w:eastAsia="Palatino Linotype" w:hAnsi="Palatino Linotype" w:cs="Palatino Linotype"/>
          <w:sz w:val="24"/>
          <w:szCs w:val="24"/>
        </w:rPr>
        <w:t>parencia local, se establece la obligación de los Sujetos Obligados de hacer pública toda la información que generen, administren, procesen o posean en sus archivos, en ejercicio de sus atribuciones, dicha obligación no los constriñe a que, deba procesarse</w:t>
      </w:r>
      <w:r>
        <w:rPr>
          <w:rFonts w:ascii="Palatino Linotype" w:eastAsia="Palatino Linotype" w:hAnsi="Palatino Linotype" w:cs="Palatino Linotype"/>
          <w:sz w:val="24"/>
          <w:szCs w:val="24"/>
        </w:rPr>
        <w:t xml:space="preserve"> la misma a efecto de generar un documento que deba entregarse conforme a los intereses de los particulares, sino que debe entregarse el soporte documental en el cual obre.</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Acotado lo anterior, del contenido del requerimiento, podemos sintetizar que, la pa</w:t>
      </w:r>
      <w:r>
        <w:rPr>
          <w:rFonts w:ascii="Palatino Linotype" w:eastAsia="Palatino Linotype" w:hAnsi="Palatino Linotype" w:cs="Palatino Linotype"/>
          <w:sz w:val="24"/>
          <w:szCs w:val="24"/>
        </w:rPr>
        <w:t xml:space="preserve">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peticiona el soporte documental en el que sea observable el Impuesto Sobre la Renta ISR, participable y recuperado, en esa virtud, resulta necesario traer a colación que dentro de los Lineamientos para la elaboración y presentación de la Cue</w:t>
      </w:r>
      <w:r>
        <w:rPr>
          <w:rFonts w:ascii="Palatino Linotype" w:eastAsia="Palatino Linotype" w:hAnsi="Palatino Linotype" w:cs="Palatino Linotype"/>
          <w:sz w:val="24"/>
          <w:szCs w:val="24"/>
        </w:rPr>
        <w:t>nta Pública Municipal 2019, se encuentra el documento denominado “Retenciones del Impuesto Sobre la Renta por Salarios, Honorarios y Arrendamiento”, que precisa lo siguiente:</w:t>
      </w:r>
    </w:p>
    <w:p w:rsidR="001E3DA4" w:rsidRDefault="004508DA">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48. Retenciones del Impuesto Sobre la Renta por Salarios, Honorarios y Arrendami</w:t>
      </w:r>
      <w:r>
        <w:rPr>
          <w:rFonts w:ascii="Palatino Linotype" w:eastAsia="Palatino Linotype" w:hAnsi="Palatino Linotype" w:cs="Palatino Linotype"/>
          <w:b/>
          <w:i/>
        </w:rPr>
        <w:t>ento</w:t>
      </w:r>
    </w:p>
    <w:p w:rsidR="001E3DA4" w:rsidRDefault="004508DA">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Formato: el archivo se presentará en .pdf y .xls</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Objetivo</w:t>
      </w:r>
      <w:r>
        <w:rPr>
          <w:rFonts w:ascii="Palatino Linotype" w:eastAsia="Palatino Linotype" w:hAnsi="Palatino Linotype" w:cs="Palatino Linotype"/>
          <w:i/>
        </w:rPr>
        <w:t>: Concentrar toda la información de las Retenciones del Impuesto Sobre la Renta por Salarios, Honorarios y Arrendamiento.</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Instructivo:</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1. Entidad Municipal:</w:t>
      </w:r>
      <w:r>
        <w:rPr>
          <w:rFonts w:ascii="Palatino Linotype" w:eastAsia="Palatino Linotype" w:hAnsi="Palatino Linotype" w:cs="Palatino Linotype"/>
          <w:i/>
        </w:rPr>
        <w:t xml:space="preserve"> Anotar el nombre de la entidad, segui</w:t>
      </w:r>
      <w:r>
        <w:rPr>
          <w:rFonts w:ascii="Palatino Linotype" w:eastAsia="Palatino Linotype" w:hAnsi="Palatino Linotype" w:cs="Palatino Linotype"/>
          <w:i/>
        </w:rPr>
        <w:t>do del número que le corresponde, por ejemplo: Toluca, 101.</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2. Periodo de Presentación; </w:t>
      </w:r>
      <w:r>
        <w:rPr>
          <w:rFonts w:ascii="Palatino Linotype" w:eastAsia="Palatino Linotype" w:hAnsi="Palatino Linotype" w:cs="Palatino Linotype"/>
          <w:i/>
        </w:rPr>
        <w:t xml:space="preserve">Indicar a que fecha se presenta la información requisitada. </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3. ISR Retenido por Salarios:</w:t>
      </w:r>
      <w:r>
        <w:rPr>
          <w:rFonts w:ascii="Palatino Linotype" w:eastAsia="Palatino Linotype" w:hAnsi="Palatino Linotype" w:cs="Palatino Linotype"/>
          <w:i/>
        </w:rPr>
        <w:t xml:space="preserve"> Anotar en pesos el importe mensual registrado por este concepto durante el ej</w:t>
      </w:r>
      <w:r>
        <w:rPr>
          <w:rFonts w:ascii="Palatino Linotype" w:eastAsia="Palatino Linotype" w:hAnsi="Palatino Linotype" w:cs="Palatino Linotype"/>
          <w:i/>
        </w:rPr>
        <w:t>ercicio 2019.</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4. ISR Retenido por Honorarios: </w:t>
      </w:r>
      <w:r>
        <w:rPr>
          <w:rFonts w:ascii="Palatino Linotype" w:eastAsia="Palatino Linotype" w:hAnsi="Palatino Linotype" w:cs="Palatino Linotype"/>
          <w:i/>
        </w:rPr>
        <w:t>Colocar en pesos el importe mensual registrado por este concepto durante el ejercicio 2019.</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5. ISR por pago a cuenta de Terceros o Retenciones por Arrendamiento de Inmuebles:</w:t>
      </w:r>
      <w:r>
        <w:rPr>
          <w:rFonts w:ascii="Palatino Linotype" w:eastAsia="Palatino Linotype" w:hAnsi="Palatino Linotype" w:cs="Palatino Linotype"/>
          <w:i/>
        </w:rPr>
        <w:t xml:space="preserve"> En caso de que la entidad presente retenciones por estos conceptos deberá anotar en pesos el importe mensual registrado por este concepto durante el ejercicio 2019.</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6.- ISR Retenido por algún otro concepto:</w:t>
      </w:r>
      <w:r>
        <w:rPr>
          <w:rFonts w:ascii="Palatino Linotype" w:eastAsia="Palatino Linotype" w:hAnsi="Palatino Linotype" w:cs="Palatino Linotype"/>
          <w:i/>
        </w:rPr>
        <w:t xml:space="preserve"> En caso de que la entidad presente retenciones p</w:t>
      </w:r>
      <w:r>
        <w:rPr>
          <w:rFonts w:ascii="Palatino Linotype" w:eastAsia="Palatino Linotype" w:hAnsi="Palatino Linotype" w:cs="Palatino Linotype"/>
          <w:i/>
        </w:rPr>
        <w:t>or algún otro concepto no detallado entre los principales, estos deberá anotarse en pesos el importe mensual registrado por este concepto durante el ejercicio 2019.</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7.- Actualizaciones y Recargos:</w:t>
      </w:r>
      <w:r>
        <w:rPr>
          <w:rFonts w:ascii="Palatino Linotype" w:eastAsia="Palatino Linotype" w:hAnsi="Palatino Linotype" w:cs="Palatino Linotype"/>
          <w:i/>
        </w:rPr>
        <w:t xml:space="preserve"> En casos de cumplimiento extemporáneo de obligaciones deber</w:t>
      </w:r>
      <w:r>
        <w:rPr>
          <w:rFonts w:ascii="Palatino Linotype" w:eastAsia="Palatino Linotype" w:hAnsi="Palatino Linotype" w:cs="Palatino Linotype"/>
          <w:i/>
        </w:rPr>
        <w:t>án anotar la suma en pesos de las actualizaciones y los recargos que fueron originados al momento de cumplir con la obligación.</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8.- Subsidio al empleo: </w:t>
      </w:r>
      <w:r>
        <w:rPr>
          <w:rFonts w:ascii="Palatino Linotype" w:eastAsia="Palatino Linotype" w:hAnsi="Palatino Linotype" w:cs="Palatino Linotype"/>
          <w:i/>
        </w:rPr>
        <w:t>Anotar en pesos el importe mensual registrado por este concepto de ayuda o apoyo que por ley debe pagarl</w:t>
      </w:r>
      <w:r>
        <w:rPr>
          <w:rFonts w:ascii="Palatino Linotype" w:eastAsia="Palatino Linotype" w:hAnsi="Palatino Linotype" w:cs="Palatino Linotype"/>
          <w:i/>
        </w:rPr>
        <w:t>e el patrón al trabajador cuando éste último percibe el salario mínimo durante el ejercicio y que se acredito contra el ISR a cargo.</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9.- ISR por pagar; </w:t>
      </w:r>
      <w:r>
        <w:rPr>
          <w:rFonts w:ascii="Palatino Linotype" w:eastAsia="Palatino Linotype" w:hAnsi="Palatino Linotype" w:cs="Palatino Linotype"/>
          <w:i/>
        </w:rPr>
        <w:t>Operación aritmética que consiste en sumar los conceptos de retención de ISR con las actualizaciones y r</w:t>
      </w:r>
      <w:r>
        <w:rPr>
          <w:rFonts w:ascii="Palatino Linotype" w:eastAsia="Palatino Linotype" w:hAnsi="Palatino Linotype" w:cs="Palatino Linotype"/>
          <w:i/>
        </w:rPr>
        <w:t>ecargos que en su caso se originaron descontando el subsidio.</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Refleja el saldo mensual que se debió pagar de las Retenciones del Impuesto Sobre la Renta por Salarios, Honorarios y Arrendamiento del ejercicio 2019.</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10.- Pagos realizados de acuerdo a expedie</w:t>
      </w:r>
      <w:r>
        <w:rPr>
          <w:rFonts w:ascii="Palatino Linotype" w:eastAsia="Palatino Linotype" w:hAnsi="Palatino Linotype" w:cs="Palatino Linotype"/>
          <w:b/>
          <w:i/>
        </w:rPr>
        <w:t>nte;</w:t>
      </w:r>
      <w:r>
        <w:rPr>
          <w:rFonts w:ascii="Palatino Linotype" w:eastAsia="Palatino Linotype" w:hAnsi="Palatino Linotype" w:cs="Palatino Linotype"/>
          <w:i/>
        </w:rPr>
        <w:t xml:space="preserve"> Anotar en pesos el importe correspondiente a cada mes de los pagos efectuados por las Retenciones del </w:t>
      </w:r>
      <w:r>
        <w:rPr>
          <w:rFonts w:ascii="Palatino Linotype" w:eastAsia="Palatino Linotype" w:hAnsi="Palatino Linotype" w:cs="Palatino Linotype"/>
          <w:i/>
        </w:rPr>
        <w:lastRenderedPageBreak/>
        <w:t>Impuesto Sobre la Renta por Salarios, Honorarios y Arrendamiento del ejercicio 2019.</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11.- Fecha de pago: </w:t>
      </w:r>
      <w:r>
        <w:rPr>
          <w:rFonts w:ascii="Palatino Linotype" w:eastAsia="Palatino Linotype" w:hAnsi="Palatino Linotype" w:cs="Palatino Linotype"/>
          <w:i/>
        </w:rPr>
        <w:t>Especificar la fecha en que se realizó el pa</w:t>
      </w:r>
      <w:r>
        <w:rPr>
          <w:rFonts w:ascii="Palatino Linotype" w:eastAsia="Palatino Linotype" w:hAnsi="Palatino Linotype" w:cs="Palatino Linotype"/>
          <w:i/>
        </w:rPr>
        <w:t>go de dicha obligación.</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12.- Remanente por pagar:</w:t>
      </w:r>
      <w:r>
        <w:rPr>
          <w:rFonts w:ascii="Palatino Linotype" w:eastAsia="Palatino Linotype" w:hAnsi="Palatino Linotype" w:cs="Palatino Linotype"/>
          <w:i/>
        </w:rPr>
        <w:t xml:space="preserve"> Operación aritmética que refleja la diferencia entre el ISR por pagar y los pagos realizados correspondientes a los meses del ejercicio 2019 de acuerdo al expediente técnico de las Retenciones del Impuesto </w:t>
      </w:r>
      <w:r>
        <w:rPr>
          <w:rFonts w:ascii="Palatino Linotype" w:eastAsia="Palatino Linotype" w:hAnsi="Palatino Linotype" w:cs="Palatino Linotype"/>
          <w:i/>
        </w:rPr>
        <w:t>Sobre la Renta por Salarios, Honorarios y Arrendamiento del ejercicio 2019.</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13.- Cuenta Contable:</w:t>
      </w:r>
      <w:r>
        <w:rPr>
          <w:rFonts w:ascii="Palatino Linotype" w:eastAsia="Palatino Linotype" w:hAnsi="Palatino Linotype" w:cs="Palatino Linotype"/>
          <w:i/>
        </w:rPr>
        <w:t xml:space="preserve"> Anotar las subcuentas a nivel registro de la cuenta contable donde se registró la provisión del pasivo para el pago de las Retenciones del Impuesto Sobre la R</w:t>
      </w:r>
      <w:r>
        <w:rPr>
          <w:rFonts w:ascii="Palatino Linotype" w:eastAsia="Palatino Linotype" w:hAnsi="Palatino Linotype" w:cs="Palatino Linotype"/>
          <w:i/>
        </w:rPr>
        <w:t>enta por Salarios, Honorarios y Arrendamiento del ejercicio 2019.</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14.- Saldo de la Cuenta de pasivo:</w:t>
      </w:r>
      <w:r>
        <w:rPr>
          <w:rFonts w:ascii="Palatino Linotype" w:eastAsia="Palatino Linotype" w:hAnsi="Palatino Linotype" w:cs="Palatino Linotype"/>
          <w:i/>
        </w:rPr>
        <w:t xml:space="preserve"> Colocar en pesos el saldo de la cuenta de pasivo que reflejan los reportes contables para cada cuenta que le corresponda.</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15. Apartado de Firmas:</w:t>
      </w:r>
      <w:r>
        <w:rPr>
          <w:rFonts w:ascii="Palatino Linotype" w:eastAsia="Palatino Linotype" w:hAnsi="Palatino Linotype" w:cs="Palatino Linotype"/>
          <w:i/>
        </w:rPr>
        <w:t xml:space="preserve"> Plasmar l</w:t>
      </w:r>
      <w:r>
        <w:rPr>
          <w:rFonts w:ascii="Palatino Linotype" w:eastAsia="Palatino Linotype" w:hAnsi="Palatino Linotype" w:cs="Palatino Linotype"/>
          <w:i/>
        </w:rPr>
        <w:t>as firmas de los servidores públicos. En cada caso se deberá anotar la profesión, nombre completo y cargo, estampar su firma autógrafa con tinta azul y colocar el sello correspondiente; por ningún motivo la firma o sello deben cubrir los datos, de lo contr</w:t>
      </w:r>
      <w:r>
        <w:rPr>
          <w:rFonts w:ascii="Palatino Linotype" w:eastAsia="Palatino Linotype" w:hAnsi="Palatino Linotype" w:cs="Palatino Linotype"/>
          <w:i/>
        </w:rPr>
        <w:t>ario lo invalidaría.</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Aplica para: Ayuntamiento, Organismo Descentralizado DIF, Organismo Descentralizado Operador de Agua, Instituto del Deporte, Instituto Municipal de la Juventud y Organismo Descentralizado de Mantenimiento de Vialidades de Cuautitlán Iz</w:t>
      </w:r>
      <w:r>
        <w:rPr>
          <w:rFonts w:ascii="Palatino Linotype" w:eastAsia="Palatino Linotype" w:hAnsi="Palatino Linotype" w:cs="Palatino Linotype"/>
          <w:i/>
        </w:rPr>
        <w:t>calli, atendiendo a la matriz de firmas para cada entidad.</w:t>
      </w:r>
    </w:p>
    <w:p w:rsidR="001E3DA4" w:rsidRDefault="001E3DA4">
      <w:pPr>
        <w:spacing w:before="120" w:after="120"/>
        <w:ind w:left="851" w:right="902"/>
        <w:jc w:val="both"/>
        <w:rPr>
          <w:rFonts w:ascii="Palatino Linotype" w:eastAsia="Palatino Linotype" w:hAnsi="Palatino Linotype" w:cs="Palatino Linotype"/>
          <w:i/>
        </w:rPr>
      </w:pPr>
    </w:p>
    <w:p w:rsidR="001E3DA4" w:rsidRDefault="004508D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5544000" cy="3131331"/>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5544000" cy="3131331"/>
                    </a:xfrm>
                    <a:prstGeom prst="rect">
                      <a:avLst/>
                    </a:prstGeom>
                    <a:ln/>
                  </pic:spPr>
                </pic:pic>
              </a:graphicData>
            </a:graphic>
          </wp:inline>
        </w:drawing>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podemos observar, el documento denominado “Retenciones del Impuesto Sobre la Renta por Salarios, Honorarios y Arrendamiento”, podía satisfacer el requerimiento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al ap</w:t>
      </w:r>
      <w:r>
        <w:rPr>
          <w:rFonts w:ascii="Palatino Linotype" w:eastAsia="Palatino Linotype" w:hAnsi="Palatino Linotype" w:cs="Palatino Linotype"/>
          <w:sz w:val="24"/>
          <w:szCs w:val="24"/>
        </w:rPr>
        <w:t xml:space="preserve">reciarse en los apartados del documento, que contiene la información peticionada, en consecuencia,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al ser ente fiscalizable por el Órgano Superior de Fiscalización del Estado de México OSFEM, que lo constriñe a remitir la información ref</w:t>
      </w:r>
      <w:r>
        <w:rPr>
          <w:rFonts w:ascii="Palatino Linotype" w:eastAsia="Palatino Linotype" w:hAnsi="Palatino Linotype" w:cs="Palatino Linotype"/>
          <w:sz w:val="24"/>
          <w:szCs w:val="24"/>
        </w:rPr>
        <w:t>erida, se encuentra obligado a tenerla en sus archivos, consecuentemente es dable ordenar su entrega.</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Referente al romano VI, de la lectura del mismo, se acredita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peticiona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realice un procesamiento de información,</w:t>
      </w:r>
      <w:r>
        <w:rPr>
          <w:rFonts w:ascii="Palatino Linotype" w:eastAsia="Palatino Linotype" w:hAnsi="Palatino Linotype" w:cs="Palatino Linotype"/>
          <w:sz w:val="24"/>
          <w:szCs w:val="24"/>
        </w:rPr>
        <w:t xml:space="preserve"> a efecto de poder comprobarse que los servidores públicos no están siendo afectados por errores en el cálculo de impuestos, por lo que a manera de </w:t>
      </w:r>
      <w:r>
        <w:rPr>
          <w:rFonts w:ascii="Palatino Linotype" w:eastAsia="Palatino Linotype" w:hAnsi="Palatino Linotype" w:cs="Palatino Linotype"/>
          <w:sz w:val="24"/>
          <w:szCs w:val="24"/>
        </w:rPr>
        <w:lastRenderedPageBreak/>
        <w:t xml:space="preserve">muestra </w:t>
      </w:r>
      <w:r>
        <w:rPr>
          <w:rFonts w:ascii="Palatino Linotype" w:eastAsia="Palatino Linotype" w:hAnsi="Palatino Linotype" w:cs="Palatino Linotype"/>
          <w:b/>
          <w:sz w:val="24"/>
          <w:szCs w:val="24"/>
          <w:u w:val="single"/>
        </w:rPr>
        <w:t>calculen los impuestos anuales</w:t>
      </w:r>
      <w:r>
        <w:rPr>
          <w:rFonts w:ascii="Palatino Linotype" w:eastAsia="Palatino Linotype" w:hAnsi="Palatino Linotype" w:cs="Palatino Linotype"/>
          <w:sz w:val="24"/>
          <w:szCs w:val="24"/>
        </w:rPr>
        <w:t xml:space="preserve"> de los años 2017, 2018, 2019 y 2020, una vez hecho el procesamiento de la información, deberá realizar un documento de tipo específico que la contenga desagregada conforme a los apartados señalados.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Atentos a lo anterior, ya ha quedado precisado en párraf</w:t>
      </w:r>
      <w:r>
        <w:rPr>
          <w:rFonts w:ascii="Palatino Linotype" w:eastAsia="Palatino Linotype" w:hAnsi="Palatino Linotype" w:cs="Palatino Linotype"/>
          <w:sz w:val="24"/>
          <w:szCs w:val="24"/>
        </w:rPr>
        <w:t xml:space="preserve">os previos que los Sujetos Obligados tienen la obligación o deber de atender las solicitudes de acceso a la información pública que se les hagan de su conocimiento y proporcionar la información pública que obren en su poder </w:t>
      </w:r>
      <w:r>
        <w:rPr>
          <w:rFonts w:ascii="Palatino Linotype" w:eastAsia="Palatino Linotype" w:hAnsi="Palatino Linotype" w:cs="Palatino Linotype"/>
          <w:b/>
          <w:sz w:val="24"/>
          <w:szCs w:val="24"/>
          <w:u w:val="single"/>
        </w:rPr>
        <w:t xml:space="preserve">en el estado que se encuentra y </w:t>
      </w:r>
      <w:r>
        <w:rPr>
          <w:rFonts w:ascii="Palatino Linotype" w:eastAsia="Palatino Linotype" w:hAnsi="Palatino Linotype" w:cs="Palatino Linotype"/>
          <w:b/>
          <w:sz w:val="24"/>
          <w:szCs w:val="24"/>
          <w:u w:val="single"/>
        </w:rPr>
        <w:t>no hacer un procesamiento de la misma, ni presentarla conforme al interés del solicitante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como así lo establece el artículo 12 de la Ley de Transparencia y Acceso a la Información Pública del Estado de México y Municipios, que a la letra dice:</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w:t>
      </w:r>
      <w:r>
        <w:rPr>
          <w:rFonts w:ascii="Palatino Linotype" w:eastAsia="Palatino Linotype" w:hAnsi="Palatino Linotype" w:cs="Palatino Linotype"/>
          <w:b/>
          <w:i/>
        </w:rPr>
        <w:t>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w:t>
      </w:r>
      <w:r>
        <w:rPr>
          <w:rFonts w:ascii="Palatino Linotype" w:eastAsia="Palatino Linotype" w:hAnsi="Palatino Linotype" w:cs="Palatino Linotype"/>
          <w:b/>
          <w:i/>
        </w:rPr>
        <w:t>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w:t>
      </w:r>
      <w:r>
        <w:rPr>
          <w:rFonts w:ascii="Palatino Linotype" w:eastAsia="Palatino Linotype" w:hAnsi="Palatino Linotype" w:cs="Palatino Linotype"/>
          <w:b/>
          <w:i/>
        </w:rPr>
        <w:t>generarla, resumirla, efectuar cálculos o practicar investigaciones.” (Sic)</w:t>
      </w:r>
    </w:p>
    <w:p w:rsidR="001E3DA4" w:rsidRDefault="004508DA">
      <w:pPr>
        <w:spacing w:before="240" w:after="24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decir, que todo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que genere, recopile, administre, procese, archive, posea o conserven, son responsables de la misma teniendo a su vez la obligación de proporcion</w:t>
      </w:r>
      <w:r>
        <w:rPr>
          <w:rFonts w:ascii="Palatino Linotype" w:eastAsia="Palatino Linotype" w:hAnsi="Palatino Linotype" w:cs="Palatino Linotype"/>
          <w:sz w:val="24"/>
          <w:szCs w:val="24"/>
        </w:rPr>
        <w:t xml:space="preserve">ar la información que se les requiera sin necesidad de resumirla, efectuar procedimientos para obtenerla, calcular y practicar investigaciones; en otras palabras, que los Sujetos Obligados sólo se concretaran a </w:t>
      </w:r>
      <w:r>
        <w:rPr>
          <w:rFonts w:ascii="Palatino Linotype" w:eastAsia="Palatino Linotype" w:hAnsi="Palatino Linotype" w:cs="Palatino Linotype"/>
          <w:sz w:val="24"/>
          <w:szCs w:val="24"/>
        </w:rPr>
        <w:lastRenderedPageBreak/>
        <w:t>proporcionar la información solicitada que te</w:t>
      </w:r>
      <w:r>
        <w:rPr>
          <w:rFonts w:ascii="Palatino Linotype" w:eastAsia="Palatino Linotype" w:hAnsi="Palatino Linotype" w:cs="Palatino Linotype"/>
          <w:sz w:val="24"/>
          <w:szCs w:val="24"/>
        </w:rPr>
        <w:t>ngan en su poder en el estado que se encuentran, sin necesidad de concretarse al interés o términos específicos del solicitante.</w:t>
      </w:r>
    </w:p>
    <w:p w:rsidR="001E3DA4" w:rsidRDefault="004508DA">
      <w:pPr>
        <w:spacing w:before="240" w:after="24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Sirve de apoyo a lo anterior, el criterio 03-17, expuesto por el Instituto Nacional de Transparencia, Acceso a la Información y</w:t>
      </w:r>
      <w:r>
        <w:rPr>
          <w:rFonts w:ascii="Palatino Linotype" w:eastAsia="Palatino Linotype" w:hAnsi="Palatino Linotype" w:cs="Palatino Linotype"/>
          <w:sz w:val="24"/>
          <w:szCs w:val="24"/>
        </w:rPr>
        <w:t xml:space="preserve"> Protección de Datos Personales, que dice:</w:t>
      </w:r>
      <w:r>
        <w:rPr>
          <w:rFonts w:ascii="Palatino Linotype" w:eastAsia="Palatino Linotype" w:hAnsi="Palatino Linotype" w:cs="Palatino Linotype"/>
          <w:b/>
          <w:sz w:val="24"/>
          <w:szCs w:val="24"/>
        </w:rPr>
        <w:t xml:space="preserve"> </w:t>
      </w:r>
    </w:p>
    <w:p w:rsidR="001E3DA4" w:rsidRDefault="004508DA">
      <w:pPr>
        <w:ind w:left="851" w:right="900"/>
        <w:jc w:val="both"/>
        <w:rPr>
          <w:rFonts w:ascii="Palatino Linotype" w:eastAsia="Palatino Linotype" w:hAnsi="Palatino Linotype" w:cs="Palatino Linotype"/>
          <w:i/>
        </w:rPr>
      </w:pPr>
      <w:bookmarkStart w:id="2" w:name="_heading=h.17dp8vu" w:colFirst="0" w:colLast="0"/>
      <w:bookmarkEnd w:id="2"/>
      <w:r>
        <w:rPr>
          <w:rFonts w:ascii="Palatino Linotype" w:eastAsia="Palatino Linotype" w:hAnsi="Palatino Linotype" w:cs="Palatino Linotype"/>
          <w:i/>
        </w:rPr>
        <w:t>“</w:t>
      </w:r>
      <w:r>
        <w:rPr>
          <w:rFonts w:ascii="Palatino Linotype" w:eastAsia="Palatino Linotype" w:hAnsi="Palatino Linotype" w:cs="Palatino Linotype"/>
          <w:b/>
          <w:i/>
        </w:rPr>
        <w:t>No existe obligación de elaborar documentos ad hoc para atender las solicitudes de acceso a la información.</w:t>
      </w:r>
      <w:r>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w:t>
      </w:r>
      <w:r>
        <w:rPr>
          <w:rFonts w:ascii="Palatino Linotype" w:eastAsia="Palatino Linotype" w:hAnsi="Palatino Linotype" w:cs="Palatino Linotype"/>
          <w:i/>
        </w:rPr>
        <w:t>ue se encuentren en sus archivos o que estén obligados a documentar, de acuerdo con sus facultades, competencias o funciones, conforme a las características físicas de la información o del lugar donde se encuentre. Por lo anterior, los sujetos obligados de</w:t>
      </w:r>
      <w:r>
        <w:rPr>
          <w:rFonts w:ascii="Palatino Linotype" w:eastAsia="Palatino Linotype" w:hAnsi="Palatino Linotype" w:cs="Palatino Linotype"/>
          <w:i/>
        </w:rPr>
        <w:t>ben garantizar el derecho de acceso a la información del particular, proporcionando la información con la que cuentan en el formato en que la misma obre en sus archivos; sin necesidad de elaborar documentos ad hoc para atender las solicitudes de informació</w:t>
      </w:r>
      <w:r>
        <w:rPr>
          <w:rFonts w:ascii="Palatino Linotype" w:eastAsia="Palatino Linotype" w:hAnsi="Palatino Linotype" w:cs="Palatino Linotype"/>
          <w:i/>
        </w:rPr>
        <w:t>n.”</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tal contexto al apreciarse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desea acceder a un soporte documental, sino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realice un procesamiento y cálculo de la información, una vez realizados, genere un documento que contenga desagregada la inform</w:t>
      </w:r>
      <w:r>
        <w:rPr>
          <w:rFonts w:ascii="Palatino Linotype" w:eastAsia="Palatino Linotype" w:hAnsi="Palatino Linotype" w:cs="Palatino Linotype"/>
          <w:sz w:val="24"/>
          <w:szCs w:val="24"/>
        </w:rPr>
        <w:t>ación, en apartados específicos; lo cual no resulta exigible, consecuentemente, no resulta dable ordenar su entrega.</w:t>
      </w:r>
    </w:p>
    <w:p w:rsidR="001E3DA4" w:rsidRDefault="004508D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Finalmente, con relación a las modalidad de entrega de la información </w:t>
      </w: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sz w:val="24"/>
          <w:szCs w:val="24"/>
        </w:rPr>
        <w:t xml:space="preserve">usb, sd y cd-rom.” </w:t>
      </w:r>
      <w:r>
        <w:rPr>
          <w:rFonts w:ascii="Palatino Linotype" w:eastAsia="Palatino Linotype" w:hAnsi="Palatino Linotype" w:cs="Palatino Linotype"/>
          <w:sz w:val="24"/>
          <w:szCs w:val="24"/>
        </w:rPr>
        <w:t xml:space="preserve">es menester señalar que se encuentran reguladas </w:t>
      </w:r>
      <w:r>
        <w:rPr>
          <w:rFonts w:ascii="Palatino Linotype" w:eastAsia="Palatino Linotype" w:hAnsi="Palatino Linotype" w:cs="Palatino Linotype"/>
          <w:sz w:val="24"/>
          <w:szCs w:val="24"/>
        </w:rPr>
        <w:t xml:space="preserve">por el Código Financiero del Estado de México y Municipios en su artículo 148, fracciones III y IV, aplicable </w:t>
      </w:r>
      <w:r>
        <w:rPr>
          <w:rFonts w:ascii="Palatino Linotype" w:eastAsia="Palatino Linotype" w:hAnsi="Palatino Linotype" w:cs="Palatino Linotype"/>
          <w:sz w:val="24"/>
          <w:szCs w:val="24"/>
        </w:rPr>
        <w:lastRenderedPageBreak/>
        <w:t xml:space="preserve">al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al estar incluido en el Título Cuarto “De los Ingresos de los Municipios”, Capítulo segundo “De los Derechos”, Sección cuarta “</w:t>
      </w:r>
      <w:r>
        <w:rPr>
          <w:rFonts w:ascii="Palatino Linotype" w:eastAsia="Palatino Linotype" w:hAnsi="Palatino Linotype" w:cs="Palatino Linotype"/>
          <w:sz w:val="24"/>
          <w:szCs w:val="24"/>
        </w:rPr>
        <w:t xml:space="preserve">De los Derechos por Servicios Prestados por Autoridades Fiscales, Administrativas y de Acceso a la Información Pública”, porción normativa que dispone a la literalidad lo siguiente: </w:t>
      </w:r>
    </w:p>
    <w:p w:rsidR="001E3DA4" w:rsidRDefault="004508DA">
      <w:pPr>
        <w:spacing w:after="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687068" cy="2733984"/>
            <wp:effectExtent l="0" t="0" r="0" b="0"/>
            <wp:docPr id="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5687068" cy="2733984"/>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simplePos x="0" y="0"/>
                <wp:positionH relativeFrom="column">
                  <wp:posOffset>127000</wp:posOffset>
                </wp:positionH>
                <wp:positionV relativeFrom="paragraph">
                  <wp:posOffset>1790700</wp:posOffset>
                </wp:positionV>
                <wp:extent cx="5076825" cy="600075"/>
                <wp:effectExtent l="0" t="0" r="0" b="0"/>
                <wp:wrapNone/>
                <wp:docPr id="71" name="Rectángulo 71"/>
                <wp:cNvGraphicFramePr/>
                <a:graphic xmlns:a="http://schemas.openxmlformats.org/drawingml/2006/main">
                  <a:graphicData uri="http://schemas.microsoft.com/office/word/2010/wordprocessingShape">
                    <wps:wsp>
                      <wps:cNvSpPr/>
                      <wps:spPr>
                        <a:xfrm>
                          <a:off x="2826638" y="3499013"/>
                          <a:ext cx="5038725" cy="561975"/>
                        </a:xfrm>
                        <a:prstGeom prst="rect">
                          <a:avLst/>
                        </a:prstGeom>
                        <a:noFill/>
                        <a:ln w="38100" cap="flat" cmpd="sng">
                          <a:solidFill>
                            <a:srgbClr val="C00000"/>
                          </a:solidFill>
                          <a:prstDash val="solid"/>
                          <a:round/>
                          <a:headEnd type="none" w="sm" len="sm"/>
                          <a:tailEnd type="none" w="sm" len="sm"/>
                        </a:ln>
                      </wps:spPr>
                      <wps:txbx>
                        <w:txbxContent>
                          <w:p w:rsidR="001E3DA4" w:rsidRDefault="001E3DA4">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1790700</wp:posOffset>
                </wp:positionV>
                <wp:extent cx="5076825" cy="600075"/>
                <wp:effectExtent b="0" l="0" r="0" t="0"/>
                <wp:wrapNone/>
                <wp:docPr id="71" name="image6.png"/>
                <a:graphic>
                  <a:graphicData uri="http://schemas.openxmlformats.org/drawingml/2006/picture">
                    <pic:pic>
                      <pic:nvPicPr>
                        <pic:cNvPr id="0" name="image6.png"/>
                        <pic:cNvPicPr preferRelativeResize="0"/>
                      </pic:nvPicPr>
                      <pic:blipFill>
                        <a:blip r:embed="rId39"/>
                        <a:srcRect/>
                        <a:stretch>
                          <a:fillRect/>
                        </a:stretch>
                      </pic:blipFill>
                      <pic:spPr>
                        <a:xfrm>
                          <a:off x="0" y="0"/>
                          <a:ext cx="5076825" cy="600075"/>
                        </a:xfrm>
                        <a:prstGeom prst="rect"/>
                        <a:ln/>
                      </pic:spPr>
                    </pic:pic>
                  </a:graphicData>
                </a:graphic>
              </wp:anchor>
            </w:drawing>
          </mc:Fallback>
        </mc:AlternateContent>
      </w:r>
    </w:p>
    <w:p w:rsidR="001E3DA4" w:rsidRDefault="004508DA">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w:t>
      </w:r>
      <w:r>
        <w:rPr>
          <w:rFonts w:ascii="Palatino Linotype" w:eastAsia="Palatino Linotype" w:hAnsi="Palatino Linotype" w:cs="Palatino Linotype"/>
          <w:sz w:val="24"/>
          <w:szCs w:val="24"/>
        </w:rPr>
        <w:t xml:space="preserve">manera previa para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le proporcione la información que es de su interés,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sin embargo, dicho cobró no resultará procedente en el caso de que el solicitante proporcione el medio en el que requiera le sea entregada la información pública.</w:t>
      </w:r>
    </w:p>
    <w:p w:rsidR="001E3DA4" w:rsidRDefault="004508DA">
      <w:pPr>
        <w:spacing w:before="240" w:after="240" w:line="360" w:lineRule="auto"/>
        <w:jc w:val="both"/>
        <w:rPr>
          <w:rFonts w:ascii="Palatino Linotype" w:eastAsia="Palatino Linotype" w:hAnsi="Palatino Linotype" w:cs="Palatino Linotype"/>
          <w:sz w:val="24"/>
          <w:szCs w:val="24"/>
        </w:rPr>
      </w:pPr>
      <w:bookmarkStart w:id="3" w:name="_heading=h.gjdgxs" w:colFirst="0" w:colLast="0"/>
      <w:bookmarkEnd w:id="3"/>
      <w:r>
        <w:rPr>
          <w:rFonts w:ascii="Palatino Linotype" w:eastAsia="Palatino Linotype" w:hAnsi="Palatino Linotype" w:cs="Palatino Linotype"/>
          <w:sz w:val="24"/>
          <w:szCs w:val="24"/>
        </w:rPr>
        <w:t xml:space="preserve">Asimismo, no escapa de la óptica de este Organismo Garante que el particular requirió información del Ayuntamiento y de sus descentralizadas, es decir, del </w:t>
      </w:r>
      <w:r>
        <w:rPr>
          <w:rFonts w:ascii="Palatino Linotype" w:eastAsia="Palatino Linotype" w:hAnsi="Palatino Linotype" w:cs="Palatino Linotype"/>
          <w:sz w:val="24"/>
          <w:szCs w:val="24"/>
        </w:rPr>
        <w:lastRenderedPageBreak/>
        <w:t>Sistema Municipal para el Desarrollo Integral de la Familia, DIF, el  Sistema de agua, Instituto Mu</w:t>
      </w:r>
      <w:r>
        <w:rPr>
          <w:rFonts w:ascii="Palatino Linotype" w:eastAsia="Palatino Linotype" w:hAnsi="Palatino Linotype" w:cs="Palatino Linotype"/>
          <w:sz w:val="24"/>
          <w:szCs w:val="24"/>
        </w:rPr>
        <w:t>nicipal de Cultura Física y Deporte de Jocotitlán que, de conformidad con su Bando Municipal, la administración pública municipal descentralizada se integra por los siguientes organismos:</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62.- Para el estudio, planeación y despacho de los asuntos </w:t>
      </w:r>
      <w:r>
        <w:rPr>
          <w:rFonts w:ascii="Palatino Linotype" w:eastAsia="Palatino Linotype" w:hAnsi="Palatino Linotype" w:cs="Palatino Linotype"/>
          <w:i/>
        </w:rPr>
        <w:t>de la administración pública municipal, el Presidente se auxiliará de las siguientes dependencias, unidades administrativas y organismos:</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Organismos Descentralizados</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I. Sistema Municipal para el Desarrollo Integral de la Familia de Jocotitlán;</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II. Orga</w:t>
      </w:r>
      <w:r>
        <w:rPr>
          <w:rFonts w:ascii="Palatino Linotype" w:eastAsia="Palatino Linotype" w:hAnsi="Palatino Linotype" w:cs="Palatino Linotype"/>
          <w:i/>
        </w:rPr>
        <w:t>nismo Público Descentralizado para la Prestación de los Servicios de</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Agua Potable, Drenaje y Tratamiento de Aguas Residuales del Municipio de</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Jocotitlán, México; e</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III. Instituto Municipal de Cultura Física y Deporte de Jocotitlán.</w:t>
      </w:r>
    </w:p>
    <w:p w:rsidR="001E3DA4" w:rsidRDefault="001E3DA4">
      <w:pPr>
        <w:spacing w:before="240" w:after="240" w:line="360" w:lineRule="auto"/>
        <w:jc w:val="both"/>
        <w:rPr>
          <w:rFonts w:ascii="Palatino Linotype" w:eastAsia="Palatino Linotype" w:hAnsi="Palatino Linotype" w:cs="Palatino Linotype"/>
          <w:i/>
          <w:strike/>
          <w:color w:val="FF0000"/>
        </w:rPr>
      </w:pP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tal tesitura, de con</w:t>
      </w:r>
      <w:r>
        <w:rPr>
          <w:rFonts w:ascii="Palatino Linotype" w:eastAsia="Palatino Linotype" w:hAnsi="Palatino Linotype" w:cs="Palatino Linotype"/>
          <w:sz w:val="24"/>
          <w:szCs w:val="24"/>
        </w:rPr>
        <w:t>formidad con el Padrón de Sujetos Obligados en materia de Transparencia y Acceso a la Información Pública del Estado de México y Municipios, aprobado por el Pleno de este Instituto, y sus modificaciones, los organismos descentralizados que establece el cit</w:t>
      </w:r>
      <w:r>
        <w:rPr>
          <w:rFonts w:ascii="Palatino Linotype" w:eastAsia="Palatino Linotype" w:hAnsi="Palatino Linotype" w:cs="Palatino Linotype"/>
          <w:sz w:val="24"/>
          <w:szCs w:val="24"/>
        </w:rPr>
        <w:t>ado precepto legal, no son considerados como sujetos obligados independientes, siendo el Ayuntamiento a quien corresponde transparentar las actuaciones de los mismos.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tenor,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deberá hacer entrega del soporte documental que ha qued</w:t>
      </w:r>
      <w:r>
        <w:rPr>
          <w:rFonts w:ascii="Palatino Linotype" w:eastAsia="Palatino Linotype" w:hAnsi="Palatino Linotype" w:cs="Palatino Linotype"/>
          <w:sz w:val="24"/>
          <w:szCs w:val="24"/>
        </w:rPr>
        <w:t xml:space="preserve">ado precisado a lo largo del estudio, que corresponda con los </w:t>
      </w:r>
      <w:r>
        <w:rPr>
          <w:rFonts w:ascii="Palatino Linotype" w:eastAsia="Palatino Linotype" w:hAnsi="Palatino Linotype" w:cs="Palatino Linotype"/>
          <w:sz w:val="24"/>
          <w:szCs w:val="24"/>
        </w:rPr>
        <w:lastRenderedPageBreak/>
        <w:t>organismos que integran la administración pública municipal descentralizada, para satisfacer de la solicitud de información.</w:t>
      </w:r>
    </w:p>
    <w:p w:rsidR="001E3DA4" w:rsidRDefault="004508DA">
      <w:pPr>
        <w:spacing w:before="240" w:after="24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la elaborac</w:t>
      </w:r>
      <w:r>
        <w:rPr>
          <w:rFonts w:ascii="Palatino Linotype" w:eastAsia="Palatino Linotype" w:hAnsi="Palatino Linotype" w:cs="Palatino Linotype"/>
          <w:sz w:val="24"/>
          <w:szCs w:val="24"/>
        </w:rPr>
        <w:t>ión de la versión pública se deberá observar lo dispuesto por los artículos 3 fracciones IX, XX, XXI y XLV, 91, 132 fracciones II y III, y 143 fracción I de la Ley de Transparencia y Acceso a la Información Pública del Estado de México y Municipios que est</w:t>
      </w:r>
      <w:r>
        <w:rPr>
          <w:rFonts w:ascii="Palatino Linotype" w:eastAsia="Palatino Linotype" w:hAnsi="Palatino Linotype" w:cs="Palatino Linotype"/>
          <w:sz w:val="24"/>
          <w:szCs w:val="24"/>
        </w:rPr>
        <w:t>ablecen:</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La información concerniente a una persona, identificada o identificable según lo dispuesto por la Ley de Protección de Datos Personales del Estado de Méxi</w:t>
      </w:r>
      <w:r>
        <w:rPr>
          <w:rFonts w:ascii="Palatino Linotype" w:eastAsia="Palatino Linotype" w:hAnsi="Palatino Linotype" w:cs="Palatino Linotype"/>
          <w:i/>
        </w:rPr>
        <w:t xml:space="preserve">co; </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 Información confidencial: </w:t>
      </w:r>
      <w:r>
        <w:rPr>
          <w:rFonts w:ascii="Palatino Linotype" w:eastAsia="Palatino Linotype" w:hAnsi="Palatino Linotype" w:cs="Palatino Linotype"/>
          <w:i/>
        </w:rPr>
        <w:t xml:space="preserve">Se considera como información confidencial los secretos bancario, fiduciario, industrial, comercial, fiscal, bursátil y </w:t>
      </w:r>
      <w:r>
        <w:rPr>
          <w:rFonts w:ascii="Palatino Linotype" w:eastAsia="Palatino Linotype" w:hAnsi="Palatino Linotype" w:cs="Palatino Linotype"/>
          <w:i/>
        </w:rPr>
        <w:t xml:space="preserve">postal, cuya titularidad corresponda a particulares, sujetos de </w:t>
      </w:r>
      <w:r>
        <w:rPr>
          <w:rFonts w:ascii="Palatino Linotype" w:eastAsia="Palatino Linotype" w:hAnsi="Palatino Linotype" w:cs="Palatino Linotype"/>
          <w:i/>
        </w:rPr>
        <w:lastRenderedPageBreak/>
        <w:t>derecho internacional o a sujetos obligados cuando no involucren el ejercicio de recursos públicos;</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w:t>
      </w:r>
      <w:r>
        <w:rPr>
          <w:rFonts w:ascii="Palatino Linotype" w:eastAsia="Palatino Linotype" w:hAnsi="Palatino Linotype" w:cs="Palatino Linotype"/>
          <w:i/>
        </w:rPr>
        <w:t>cada como reservada o confidencial para permitir su acceso.</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w:t>
      </w:r>
      <w:r>
        <w:rPr>
          <w:rFonts w:ascii="Palatino Linotype" w:eastAsia="Palatino Linotype" w:hAnsi="Palatino Linotype" w:cs="Palatino Linotype"/>
          <w:i/>
        </w:rPr>
        <w:t>e llevará a cabo en el momento en que:</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w:t>
      </w:r>
      <w:r>
        <w:rPr>
          <w:rFonts w:ascii="Palatino Linotype" w:eastAsia="Palatino Linotype" w:hAnsi="Palatino Linotype" w:cs="Palatino Linotype"/>
          <w:i/>
        </w:rPr>
        <w:t>stas en esta Ley.</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w:t>
      </w:r>
      <w:r>
        <w:rPr>
          <w:rFonts w:ascii="Palatino Linotype" w:eastAsia="Palatino Linotype" w:hAnsi="Palatino Linotype" w:cs="Palatino Linotype"/>
          <w:i/>
        </w:rPr>
        <w:t>una persona física o jurídico colectiva identificada o identificable;</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w:t>
      </w:r>
      <w:r>
        <w:rPr>
          <w:rFonts w:ascii="Palatino Linotype" w:eastAsia="Palatino Linotype" w:hAnsi="Palatino Linotype" w:cs="Palatino Linotype"/>
          <w:i/>
        </w:rPr>
        <w:t>os cuando no involucren el ejercicio de recursos públicos; y</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w:t>
      </w:r>
      <w:r>
        <w:rPr>
          <w:rFonts w:ascii="Palatino Linotype" w:eastAsia="Palatino Linotype" w:hAnsi="Palatino Linotype" w:cs="Palatino Linotype"/>
          <w:i/>
        </w:rPr>
        <w:t>alidad alguna y sólo podrán tener acceso a ella los titulares de la misma, sus representantes y los servidores públicos facultados para ello.</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w:t>
      </w:r>
      <w:r>
        <w:rPr>
          <w:rFonts w:ascii="Palatino Linotype" w:eastAsia="Palatino Linotype" w:hAnsi="Palatino Linotype" w:cs="Palatino Linotype"/>
          <w:i/>
        </w:rPr>
        <w:t>blico, ni tampoco la que sea considerada por la presente ley como información pública.”</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Igualmente, los Lineamientos Generales en Materia de Clasificación y Desclasificación de la Información, así como para la elaboración de Versiones Públicas, emitidos po</w:t>
      </w:r>
      <w:r>
        <w:rPr>
          <w:rFonts w:ascii="Palatino Linotype" w:eastAsia="Palatino Linotype" w:hAnsi="Palatino Linotype" w:cs="Palatino Linotype"/>
          <w:sz w:val="24"/>
          <w:szCs w:val="24"/>
        </w:rPr>
        <w:t>r el Consejo Nacional del Sistema Nacional de Transparencia, Acceso a la Información Pública y Protección de Datos Personales, publicados en el Diario Oficial de la Federación el día quince de abril de dos mil dieciséis, tienen por objeto establecer los cr</w:t>
      </w:r>
      <w:r>
        <w:rPr>
          <w:rFonts w:ascii="Palatino Linotype" w:eastAsia="Palatino Linotype" w:hAnsi="Palatino Linotype" w:cs="Palatino Linotype"/>
          <w:sz w:val="24"/>
          <w:szCs w:val="24"/>
        </w:rPr>
        <w:t>iterios con base en los cuales los sujetos obligados clasificarán como reservada o confidencial la información que posean, desclasificarán y generarán, en su caso, versiones públicas de expedientes o documentos que contengan partes o secciones clasificadas</w:t>
      </w:r>
      <w:r>
        <w:rPr>
          <w:rFonts w:ascii="Palatino Linotype" w:eastAsia="Palatino Linotype" w:hAnsi="Palatino Linotype" w:cs="Palatino Linotype"/>
          <w:sz w:val="24"/>
          <w:szCs w:val="24"/>
        </w:rPr>
        <w:t>.</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sexto</w:t>
      </w:r>
      <w:r>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w:t>
      </w:r>
      <w:r>
        <w:rPr>
          <w:rFonts w:ascii="Palatino Linotype" w:eastAsia="Palatino Linotype" w:hAnsi="Palatino Linotype" w:cs="Palatino Linotype"/>
          <w:i/>
        </w:rPr>
        <w:t>ransparencia</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 </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 los servidores públicos en los documentos, y sus firmas autógrafas, cuando sean utilizados en el ej</w:t>
      </w:r>
      <w:r>
        <w:rPr>
          <w:rFonts w:ascii="Palatino Linotype" w:eastAsia="Palatino Linotype" w:hAnsi="Palatino Linotype" w:cs="Palatino Linotype"/>
          <w:i/>
        </w:rPr>
        <w:t xml:space="preserve">ercicio de las facultades conferidas para el desempeño del servicio público, y </w:t>
      </w:r>
    </w:p>
    <w:p w:rsidR="001E3DA4" w:rsidRDefault="004508DA">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w:t>
      </w:r>
      <w:r>
        <w:rPr>
          <w:rFonts w:ascii="Palatino Linotype" w:eastAsia="Palatino Linotype" w:hAnsi="Palatino Linotype" w:cs="Palatino Linotype"/>
          <w:i/>
        </w:rPr>
        <w:t>es públicos, de manera que se pueda valorar el desempeño de los mismos.</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Lo anterior, siempre y cuando no se acredite alguna causal de clasificación, prevista en las leyes o en los tratados internaciones suscritos por el Estado mexicano. </w:t>
      </w:r>
    </w:p>
    <w:p w:rsidR="001E3DA4" w:rsidRDefault="004508DA">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w:t>
      </w:r>
      <w:r>
        <w:rPr>
          <w:rFonts w:ascii="Palatino Linotype" w:eastAsia="Palatino Linotype" w:hAnsi="Palatino Linotype" w:cs="Palatino Linotype"/>
          <w:b/>
          <w:i/>
        </w:rPr>
        <w:t>vo</w:t>
      </w:r>
      <w:r>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la entrega de documentos en su versión pública debe ac</w:t>
      </w:r>
      <w:r>
        <w:rPr>
          <w:rFonts w:ascii="Palatino Linotype" w:eastAsia="Palatino Linotype" w:hAnsi="Palatino Linotype" w:cs="Palatino Linotype"/>
          <w:sz w:val="24"/>
          <w:szCs w:val="24"/>
        </w:rPr>
        <w:t xml:space="preserve">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w:t>
      </w:r>
      <w:r>
        <w:rPr>
          <w:rFonts w:ascii="Palatino Linotype" w:eastAsia="Palatino Linotype" w:hAnsi="Palatino Linotype" w:cs="Palatino Linotype"/>
          <w:sz w:val="24"/>
          <w:szCs w:val="24"/>
        </w:rPr>
        <w:t xml:space="preserve"> dicho soporte documental, ya que no hacerlo, se reitera que lo entregado no tendría un sustento jurídico ni resultaría ser una versión pública, sino más bien una documentación ilegible, incompleta o tachada; ya que el no justificar las causas o motivos po</w:t>
      </w:r>
      <w:r>
        <w:rPr>
          <w:rFonts w:ascii="Palatino Linotype" w:eastAsia="Palatino Linotype" w:hAnsi="Palatino Linotype" w:cs="Palatino Linotype"/>
          <w:sz w:val="24"/>
          <w:szCs w:val="24"/>
        </w:rPr>
        <w:t>r las que no se aprecian determinados datos -ya sea porque se testan o suprimen- deja al solicitante en estado de incertidumbre, al no conocer o comprender porque no aparecen en la documentación respectiva.</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directa con ello, los Lineamientos en</w:t>
      </w:r>
      <w:r>
        <w:rPr>
          <w:rFonts w:ascii="Palatino Linotype" w:eastAsia="Palatino Linotype" w:hAnsi="Palatino Linotype" w:cs="Palatino Linotype"/>
          <w:sz w:val="24"/>
          <w:szCs w:val="24"/>
        </w:rPr>
        <w:t xml:space="preserve">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1E3DA4">
        <w:tc>
          <w:tcPr>
            <w:tcW w:w="4414" w:type="dxa"/>
            <w:gridSpan w:val="2"/>
          </w:tcPr>
          <w:p w:rsidR="001E3DA4" w:rsidRDefault="004508DA">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rsidR="001E3DA4" w:rsidRDefault="004508DA">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1E3DA4">
        <w:tc>
          <w:tcPr>
            <w:tcW w:w="993" w:type="dxa"/>
          </w:tcPr>
          <w:p w:rsidR="001E3DA4" w:rsidRDefault="004508DA">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rsidR="001E3DA4" w:rsidRDefault="004508D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1E3DA4" w:rsidRDefault="004508D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1E3DA4" w:rsidRDefault="004508D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1E3DA4">
        <w:tc>
          <w:tcPr>
            <w:tcW w:w="8828" w:type="dxa"/>
            <w:gridSpan w:val="4"/>
          </w:tcPr>
          <w:p w:rsidR="001E3DA4" w:rsidRDefault="004508DA">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anotarán todas las páginas que </w:t>
            </w:r>
            <w:r>
              <w:rPr>
                <w:rFonts w:ascii="Palatino Linotype" w:eastAsia="Palatino Linotype" w:hAnsi="Palatino Linotype" w:cs="Palatino Linotype"/>
                <w:sz w:val="12"/>
                <w:szCs w:val="12"/>
              </w:rPr>
              <w:lastRenderedPageBreak/>
              <w:t>lo conforman. Si el documento no contiene información reservada, se tachará e</w:t>
            </w:r>
            <w:r>
              <w:rPr>
                <w:rFonts w:ascii="Palatino Linotype" w:eastAsia="Palatino Linotype" w:hAnsi="Palatino Linotype" w:cs="Palatino Linotype"/>
                <w:sz w:val="12"/>
                <w:szCs w:val="12"/>
              </w:rPr>
              <w:t>ste apartado.</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Reservado</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anotará el número de años </w:t>
            </w:r>
            <w:r>
              <w:rPr>
                <w:rFonts w:ascii="Palatino Linotype" w:eastAsia="Palatino Linotype" w:hAnsi="Palatino Linotype" w:cs="Palatino Linotype"/>
                <w:sz w:val="12"/>
                <w:szCs w:val="12"/>
              </w:rPr>
              <w:t>o meses por los que se mantendrá el documento o las partes del mismo como reservado. Si el expediente no es reservado, sino confidencial, deberá tacharse este apartado.</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w:t>
            </w:r>
            <w:r>
              <w:rPr>
                <w:rFonts w:ascii="Palatino Linotype" w:eastAsia="Palatino Linotype" w:hAnsi="Palatino Linotype" w:cs="Palatino Linotype"/>
                <w:sz w:val="12"/>
                <w:szCs w:val="12"/>
              </w:rPr>
              <w:t>o de reserva originalmente establecido, se deberá anotar el número de años o meses por los que se amplía la reserva.</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w:t>
            </w:r>
            <w:r>
              <w:rPr>
                <w:rFonts w:ascii="Palatino Linotype" w:eastAsia="Palatino Linotype" w:hAnsi="Palatino Linotype" w:cs="Palatino Linotype"/>
                <w:sz w:val="12"/>
                <w:szCs w:val="12"/>
              </w:rPr>
              <w:t>uales se sustenta la reserva.</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w:t>
            </w:r>
            <w:r>
              <w:rPr>
                <w:rFonts w:ascii="Palatino Linotype" w:eastAsia="Palatino Linotype" w:hAnsi="Palatino Linotype" w:cs="Palatino Linotype"/>
                <w:sz w:val="12"/>
                <w:szCs w:val="12"/>
              </w:rPr>
              <w:t xml:space="preserve"> no contiene información confidencial, se tachará este apartado.</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w:t>
            </w:r>
            <w:r>
              <w:rPr>
                <w:rFonts w:ascii="Palatino Linotype" w:eastAsia="Palatino Linotype" w:hAnsi="Palatino Linotype" w:cs="Palatino Linotype"/>
                <w:sz w:val="12"/>
                <w:szCs w:val="12"/>
              </w:rPr>
              <w:t>es), párrafo(s) con base en los cuales se sustente la confidencialidad.</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señalará el nombre del o de los ordenamientos </w:t>
            </w:r>
            <w:r>
              <w:rPr>
                <w:rFonts w:ascii="Palatino Linotype" w:eastAsia="Palatino Linotype" w:hAnsi="Palatino Linotype" w:cs="Palatino Linotype"/>
                <w:sz w:val="12"/>
                <w:szCs w:val="12"/>
              </w:rPr>
              <w:t>jurídicos, el o los artículos, fracción(es), párrafo(s) con base en los cuales se sustente la confidencialidad.</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1E3DA4">
        <w:tc>
          <w:tcPr>
            <w:tcW w:w="993"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1E3DA4">
        <w:tc>
          <w:tcPr>
            <w:tcW w:w="993" w:type="dxa"/>
          </w:tcPr>
          <w:p w:rsidR="001E3DA4" w:rsidRDefault="001E3DA4">
            <w:pPr>
              <w:jc w:val="both"/>
              <w:rPr>
                <w:rFonts w:ascii="Palatino Linotype" w:eastAsia="Palatino Linotype" w:hAnsi="Palatino Linotype" w:cs="Palatino Linotype"/>
                <w:sz w:val="12"/>
                <w:szCs w:val="12"/>
              </w:rPr>
            </w:pPr>
          </w:p>
        </w:tc>
        <w:tc>
          <w:tcPr>
            <w:tcW w:w="3421" w:type="dxa"/>
          </w:tcPr>
          <w:p w:rsidR="001E3DA4" w:rsidRDefault="001E3DA4">
            <w:pPr>
              <w:jc w:val="both"/>
              <w:rPr>
                <w:rFonts w:ascii="Palatino Linotype" w:eastAsia="Palatino Linotype" w:hAnsi="Palatino Linotype" w:cs="Palatino Linotype"/>
                <w:sz w:val="12"/>
                <w:szCs w:val="12"/>
              </w:rPr>
            </w:pP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1E3DA4">
        <w:tc>
          <w:tcPr>
            <w:tcW w:w="993" w:type="dxa"/>
          </w:tcPr>
          <w:p w:rsidR="001E3DA4" w:rsidRDefault="001E3DA4">
            <w:pPr>
              <w:jc w:val="both"/>
              <w:rPr>
                <w:rFonts w:ascii="Palatino Linotype" w:eastAsia="Palatino Linotype" w:hAnsi="Palatino Linotype" w:cs="Palatino Linotype"/>
                <w:sz w:val="12"/>
                <w:szCs w:val="12"/>
              </w:rPr>
            </w:pPr>
          </w:p>
        </w:tc>
        <w:tc>
          <w:tcPr>
            <w:tcW w:w="3421" w:type="dxa"/>
          </w:tcPr>
          <w:p w:rsidR="001E3DA4" w:rsidRDefault="001E3DA4">
            <w:pPr>
              <w:jc w:val="both"/>
              <w:rPr>
                <w:rFonts w:ascii="Palatino Linotype" w:eastAsia="Palatino Linotype" w:hAnsi="Palatino Linotype" w:cs="Palatino Linotype"/>
                <w:sz w:val="12"/>
                <w:szCs w:val="12"/>
              </w:rPr>
            </w:pPr>
          </w:p>
        </w:tc>
        <w:tc>
          <w:tcPr>
            <w:tcW w:w="968" w:type="dxa"/>
          </w:tcPr>
          <w:p w:rsidR="001E3DA4" w:rsidRDefault="004508D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1E3DA4" w:rsidRDefault="004508D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1E3DA4" w:rsidRDefault="001E3DA4"/>
    <w:p w:rsidR="001E3DA4" w:rsidRDefault="004508DA">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w:t>
      </w:r>
      <w:r>
        <w:rPr>
          <w:rFonts w:ascii="Palatino Linotype" w:eastAsia="Palatino Linotype" w:hAnsi="Palatino Linotype" w:cs="Palatino Linotype"/>
          <w:sz w:val="24"/>
          <w:szCs w:val="24"/>
        </w:rPr>
        <w:t>II de la Ley de Transparencia y Acceso a la Información Pública del Estado de México y Municipios, este Pleno:</w:t>
      </w:r>
    </w:p>
    <w:p w:rsidR="001E3DA4" w:rsidRDefault="004508D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R E S U E L V E:</w:t>
      </w:r>
    </w:p>
    <w:p w:rsidR="001E3DA4" w:rsidRDefault="004508DA">
      <w:pPr>
        <w:spacing w:before="240" w:after="240" w:line="360" w:lineRule="auto"/>
        <w:jc w:val="both"/>
        <w:rPr>
          <w:rFonts w:ascii="Palatino Linotype" w:eastAsia="Palatino Linotype" w:hAnsi="Palatino Linotype" w:cs="Palatino Linotype"/>
          <w:b/>
          <w:sz w:val="24"/>
          <w:szCs w:val="24"/>
        </w:rPr>
      </w:pPr>
      <w:bookmarkStart w:id="4" w:name="_heading=h.3dy6vkm" w:colFirst="0" w:colLast="0"/>
      <w:bookmarkEnd w:id="4"/>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Resultan</w:t>
      </w:r>
      <w:r>
        <w:rPr>
          <w:rFonts w:ascii="Palatino Linotype" w:eastAsia="Palatino Linotype" w:hAnsi="Palatino Linotype" w:cs="Palatino Linotype"/>
          <w:b/>
          <w:sz w:val="24"/>
          <w:szCs w:val="24"/>
        </w:rPr>
        <w:t xml:space="preserve"> fundados</w:t>
      </w:r>
      <w:r>
        <w:rPr>
          <w:rFonts w:ascii="Palatino Linotype" w:eastAsia="Palatino Linotype" w:hAnsi="Palatino Linotype" w:cs="Palatino Linotype"/>
          <w:sz w:val="24"/>
          <w:szCs w:val="24"/>
        </w:rPr>
        <w:t xml:space="preserve"> los motivos de inconformidad hechos valer por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en el recurso de revisión </w:t>
      </w:r>
      <w:r>
        <w:rPr>
          <w:rFonts w:ascii="Palatino Linotype" w:eastAsia="Palatino Linotype" w:hAnsi="Palatino Linotype" w:cs="Palatino Linotype"/>
          <w:b/>
          <w:sz w:val="24"/>
          <w:szCs w:val="24"/>
        </w:rPr>
        <w:t>01004/INF</w:t>
      </w:r>
      <w:r>
        <w:rPr>
          <w:rFonts w:ascii="Palatino Linotype" w:eastAsia="Palatino Linotype" w:hAnsi="Palatino Linotype" w:cs="Palatino Linotype"/>
          <w:b/>
          <w:sz w:val="24"/>
          <w:szCs w:val="24"/>
        </w:rPr>
        <w:t xml:space="preserve">OEM/IP/RR/2022,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Cuarto y Quinto</w:t>
      </w:r>
      <w:r>
        <w:rPr>
          <w:rFonts w:ascii="Palatino Linotype" w:eastAsia="Palatino Linotype" w:hAnsi="Palatino Linotype" w:cs="Palatino Linotype"/>
          <w:sz w:val="24"/>
          <w:szCs w:val="24"/>
        </w:rPr>
        <w:t xml:space="preserve"> de la presente resolución, se</w:t>
      </w:r>
      <w:r>
        <w:rPr>
          <w:rFonts w:ascii="Palatino Linotype" w:eastAsia="Palatino Linotype" w:hAnsi="Palatino Linotype" w:cs="Palatino Linotype"/>
          <w:b/>
          <w:sz w:val="24"/>
          <w:szCs w:val="24"/>
        </w:rPr>
        <w:t xml:space="preserve"> REVOCA </w:t>
      </w:r>
      <w:r>
        <w:rPr>
          <w:rFonts w:ascii="Palatino Linotype" w:eastAsia="Palatino Linotype" w:hAnsi="Palatino Linotype" w:cs="Palatino Linotype"/>
          <w:sz w:val="24"/>
          <w:szCs w:val="24"/>
        </w:rPr>
        <w:t>la respuesta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del </w:t>
      </w:r>
      <w:r>
        <w:rPr>
          <w:rFonts w:ascii="Palatino Linotype" w:eastAsia="Palatino Linotype" w:hAnsi="Palatino Linotype" w:cs="Palatino Linotype"/>
          <w:b/>
          <w:sz w:val="24"/>
          <w:szCs w:val="24"/>
        </w:rPr>
        <w:t>SUJETO OBLIGADO.</w:t>
      </w:r>
    </w:p>
    <w:p w:rsidR="001E3DA4" w:rsidRDefault="004508D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 los Considerandos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de esta resolución, haga entrega, vía SAIMEX, correo electrónico, medios magnéticos (con costo) y CD-ROM (con costo), en versión pública de ser procedente, del soporte documental en el que obre al mayor grado de desagregación posible lo siguiente</w:t>
      </w:r>
      <w:r>
        <w:rPr>
          <w:rFonts w:ascii="Palatino Linotype" w:eastAsia="Palatino Linotype" w:hAnsi="Palatino Linotype" w:cs="Palatino Linotype"/>
        </w:rPr>
        <w:t>:</w:t>
      </w:r>
    </w:p>
    <w:p w:rsidR="001E3DA4" w:rsidRDefault="004508DA">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ad</w:t>
      </w:r>
      <w:r>
        <w:rPr>
          <w:rFonts w:ascii="Palatino Linotype" w:eastAsia="Palatino Linotype" w:hAnsi="Palatino Linotype" w:cs="Palatino Linotype"/>
          <w:sz w:val="24"/>
          <w:szCs w:val="24"/>
        </w:rPr>
        <w:t>ministración pública municipal centralizada, así como de los organismos descentralizados:</w:t>
      </w:r>
    </w:p>
    <w:p w:rsidR="001E3DA4" w:rsidRDefault="004508DA">
      <w:pPr>
        <w:numPr>
          <w:ilvl w:val="0"/>
          <w:numId w:val="4"/>
        </w:numPr>
        <w:pBdr>
          <w:top w:val="nil"/>
          <w:left w:val="nil"/>
          <w:bottom w:val="nil"/>
          <w:right w:val="nil"/>
          <w:between w:val="nil"/>
        </w:pBdr>
        <w:spacing w:before="240" w:after="0"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Reportes del aplicativo “Visor de nómina del SAT” por los años 2018, 2019, 2020, y 2021 en sus tres presentaciones: </w:t>
      </w:r>
    </w:p>
    <w:p w:rsidR="001E3DA4" w:rsidRDefault="004508DA">
      <w:pPr>
        <w:numPr>
          <w:ilvl w:val="0"/>
          <w:numId w:val="2"/>
        </w:numPr>
        <w:pBdr>
          <w:top w:val="nil"/>
          <w:left w:val="nil"/>
          <w:bottom w:val="nil"/>
          <w:right w:val="nil"/>
          <w:between w:val="nil"/>
        </w:pBdr>
        <w:spacing w:after="120" w:line="240" w:lineRule="auto"/>
        <w:ind w:left="1134" w:hanging="35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Vista anual acumulada. </w:t>
      </w:r>
    </w:p>
    <w:p w:rsidR="001E3DA4" w:rsidRDefault="004508DA">
      <w:pPr>
        <w:numPr>
          <w:ilvl w:val="0"/>
          <w:numId w:val="1"/>
        </w:numPr>
        <w:pBdr>
          <w:top w:val="nil"/>
          <w:left w:val="nil"/>
          <w:bottom w:val="nil"/>
          <w:right w:val="nil"/>
          <w:between w:val="nil"/>
        </w:pBdr>
        <w:spacing w:before="120" w:after="120" w:line="240" w:lineRule="auto"/>
        <w:ind w:left="1134" w:hanging="35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Detalle mensual. </w:t>
      </w:r>
    </w:p>
    <w:p w:rsidR="001E3DA4" w:rsidRDefault="004508DA">
      <w:pPr>
        <w:numPr>
          <w:ilvl w:val="0"/>
          <w:numId w:val="1"/>
        </w:numPr>
        <w:pBdr>
          <w:top w:val="nil"/>
          <w:left w:val="nil"/>
          <w:bottom w:val="nil"/>
          <w:right w:val="nil"/>
          <w:between w:val="nil"/>
        </w:pBdr>
        <w:spacing w:before="120" w:after="120" w:line="240" w:lineRule="auto"/>
        <w:ind w:left="1134" w:hanging="35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Detalle diferencias sueldos y salarios. </w:t>
      </w:r>
    </w:p>
    <w:p w:rsidR="001E3DA4" w:rsidRDefault="004508DA">
      <w:pPr>
        <w:numPr>
          <w:ilvl w:val="0"/>
          <w:numId w:val="4"/>
        </w:numPr>
        <w:pBdr>
          <w:top w:val="nil"/>
          <w:left w:val="nil"/>
          <w:bottom w:val="nil"/>
          <w:right w:val="nil"/>
          <w:between w:val="nil"/>
        </w:pBdr>
        <w:spacing w:before="120" w:after="0"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Opinión del cumplimiento de obligaciones fiscales emitida por el Servicio de Administración Tributaria, SAT.</w:t>
      </w:r>
    </w:p>
    <w:p w:rsidR="001E3DA4" w:rsidRDefault="004508DA">
      <w:pPr>
        <w:numPr>
          <w:ilvl w:val="0"/>
          <w:numId w:val="4"/>
        </w:numPr>
        <w:pBdr>
          <w:top w:val="nil"/>
          <w:left w:val="nil"/>
          <w:bottom w:val="nil"/>
          <w:right w:val="nil"/>
          <w:between w:val="nil"/>
        </w:pBdr>
        <w:spacing w:after="240"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Retenciones del Impuesto Sobre la Renta por Salarios, Honorarios y Arrendamiento del periodo del 01 de enero de 2019 al 31 de octubre de 2021.</w:t>
      </w:r>
    </w:p>
    <w:p w:rsidR="001E3DA4" w:rsidRDefault="004508DA">
      <w:pPr>
        <w:pBdr>
          <w:top w:val="nil"/>
          <w:left w:val="nil"/>
          <w:bottom w:val="nil"/>
          <w:right w:val="nil"/>
          <w:between w:val="nil"/>
        </w:pBdr>
        <w:spacing w:before="240" w:after="0"/>
        <w:ind w:left="72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Para la expedición de la información en medios magnéticos (con costo) y CD-ROM (con costo), el </w:t>
      </w:r>
      <w:r>
        <w:rPr>
          <w:rFonts w:ascii="Palatino Linotype" w:eastAsia="Palatino Linotype" w:hAnsi="Palatino Linotype" w:cs="Palatino Linotype"/>
          <w:b/>
          <w:i/>
          <w:color w:val="000000"/>
          <w:sz w:val="20"/>
          <w:szCs w:val="20"/>
        </w:rPr>
        <w:t>Sujeto Obligado</w:t>
      </w:r>
      <w:r>
        <w:rPr>
          <w:rFonts w:ascii="Palatino Linotype" w:eastAsia="Palatino Linotype" w:hAnsi="Palatino Linotype" w:cs="Palatino Linotype"/>
          <w:i/>
          <w:color w:val="000000"/>
          <w:sz w:val="20"/>
          <w:szCs w:val="20"/>
        </w:rPr>
        <w:t xml:space="preserve"> de</w:t>
      </w:r>
      <w:r>
        <w:rPr>
          <w:rFonts w:ascii="Palatino Linotype" w:eastAsia="Palatino Linotype" w:hAnsi="Palatino Linotype" w:cs="Palatino Linotype"/>
          <w:i/>
          <w:color w:val="000000"/>
          <w:sz w:val="20"/>
          <w:szCs w:val="20"/>
        </w:rPr>
        <w:t xml:space="preserve">berá informar a la parte </w:t>
      </w:r>
      <w:r>
        <w:rPr>
          <w:rFonts w:ascii="Palatino Linotype" w:eastAsia="Palatino Linotype" w:hAnsi="Palatino Linotype" w:cs="Palatino Linotype"/>
          <w:b/>
          <w:i/>
          <w:color w:val="000000"/>
          <w:sz w:val="20"/>
          <w:szCs w:val="20"/>
        </w:rPr>
        <w:t>Recurrente</w:t>
      </w:r>
      <w:r>
        <w:rPr>
          <w:rFonts w:ascii="Palatino Linotype" w:eastAsia="Palatino Linotype" w:hAnsi="Palatino Linotype" w:cs="Palatino Linotype"/>
          <w:i/>
          <w:color w:val="000000"/>
          <w:sz w:val="20"/>
          <w:szCs w:val="20"/>
        </w:rPr>
        <w:t xml:space="preserve"> mediante SAIMEX el procedimiento exacto </w:t>
      </w:r>
      <w:r>
        <w:rPr>
          <w:rFonts w:ascii="Palatino Linotype" w:eastAsia="Palatino Linotype" w:hAnsi="Palatino Linotype" w:cs="Palatino Linotype"/>
          <w:i/>
          <w:color w:val="000000"/>
          <w:sz w:val="20"/>
          <w:szCs w:val="20"/>
        </w:rPr>
        <w:lastRenderedPageBreak/>
        <w:t xml:space="preserve">y detallado para su obtención (lugar, días, horas hábiles, etc.), debiendo acreditar El </w:t>
      </w:r>
      <w:r>
        <w:rPr>
          <w:rFonts w:ascii="Palatino Linotype" w:eastAsia="Palatino Linotype" w:hAnsi="Palatino Linotype" w:cs="Palatino Linotype"/>
          <w:b/>
          <w:i/>
          <w:color w:val="000000"/>
          <w:sz w:val="20"/>
          <w:szCs w:val="20"/>
        </w:rPr>
        <w:t>Sujeto Obligado</w:t>
      </w:r>
      <w:r>
        <w:rPr>
          <w:rFonts w:ascii="Palatino Linotype" w:eastAsia="Palatino Linotype" w:hAnsi="Palatino Linotype" w:cs="Palatino Linotype"/>
          <w:i/>
          <w:color w:val="000000"/>
          <w:sz w:val="20"/>
          <w:szCs w:val="20"/>
        </w:rPr>
        <w:t xml:space="preserve"> la entrega de la información a la parte </w:t>
      </w:r>
      <w:r>
        <w:rPr>
          <w:rFonts w:ascii="Palatino Linotype" w:eastAsia="Palatino Linotype" w:hAnsi="Palatino Linotype" w:cs="Palatino Linotype"/>
          <w:b/>
          <w:i/>
          <w:color w:val="000000"/>
          <w:sz w:val="20"/>
          <w:szCs w:val="20"/>
        </w:rPr>
        <w:t>Recurrente</w:t>
      </w:r>
      <w:r>
        <w:rPr>
          <w:rFonts w:ascii="Palatino Linotype" w:eastAsia="Palatino Linotype" w:hAnsi="Palatino Linotype" w:cs="Palatino Linotype"/>
          <w:i/>
          <w:color w:val="000000"/>
          <w:sz w:val="20"/>
          <w:szCs w:val="20"/>
        </w:rPr>
        <w:t>. Para el caso de que el p</w:t>
      </w:r>
      <w:r>
        <w:rPr>
          <w:rFonts w:ascii="Palatino Linotype" w:eastAsia="Palatino Linotype" w:hAnsi="Palatino Linotype" w:cs="Palatino Linotype"/>
          <w:i/>
          <w:color w:val="000000"/>
          <w:sz w:val="20"/>
          <w:szCs w:val="20"/>
        </w:rPr>
        <w:t>articular proporcione a la autoridad municipal el medio magnético o CD-ROM en el que requiera le sea entregada la información pública no habrá costo que cubrir.</w:t>
      </w:r>
    </w:p>
    <w:p w:rsidR="001E3DA4" w:rsidRDefault="001E3DA4">
      <w:pPr>
        <w:pBdr>
          <w:top w:val="nil"/>
          <w:left w:val="nil"/>
          <w:bottom w:val="nil"/>
          <w:right w:val="nil"/>
          <w:between w:val="nil"/>
        </w:pBdr>
        <w:spacing w:after="0"/>
        <w:ind w:left="720" w:right="49"/>
        <w:jc w:val="both"/>
        <w:rPr>
          <w:rFonts w:ascii="Palatino Linotype" w:eastAsia="Palatino Linotype" w:hAnsi="Palatino Linotype" w:cs="Palatino Linotype"/>
          <w:i/>
          <w:color w:val="000000"/>
          <w:sz w:val="20"/>
          <w:szCs w:val="20"/>
        </w:rPr>
      </w:pPr>
    </w:p>
    <w:p w:rsidR="001E3DA4" w:rsidRDefault="004508DA">
      <w:pPr>
        <w:pBdr>
          <w:top w:val="nil"/>
          <w:left w:val="nil"/>
          <w:bottom w:val="nil"/>
          <w:right w:val="nil"/>
          <w:between w:val="nil"/>
        </w:pBdr>
        <w:spacing w:after="0"/>
        <w:ind w:left="720"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De ser necesaria la versión pública, se deberá emitir el Acuerdo del Comité de Transparencia de acuerdo con la Ley de Transparencia y Acceso a la Información Pública del Estado de México y Municipios, en el que funde y motive las razones sobre los datos qu</w:t>
      </w:r>
      <w:r>
        <w:rPr>
          <w:rFonts w:ascii="Palatino Linotype" w:eastAsia="Palatino Linotype" w:hAnsi="Palatino Linotype" w:cs="Palatino Linotype"/>
          <w:i/>
          <w:color w:val="000000"/>
          <w:sz w:val="20"/>
          <w:szCs w:val="20"/>
        </w:rPr>
        <w:t xml:space="preserve">e se supriman o eliminen de los soportes documentales objeto de las versiones públicas que se formulen y se pongan a disposición de la parte </w:t>
      </w:r>
      <w:r>
        <w:rPr>
          <w:rFonts w:ascii="Palatino Linotype" w:eastAsia="Palatino Linotype" w:hAnsi="Palatino Linotype" w:cs="Palatino Linotype"/>
          <w:b/>
          <w:i/>
          <w:color w:val="000000"/>
          <w:sz w:val="20"/>
          <w:szCs w:val="20"/>
        </w:rPr>
        <w:t>Recurrente</w:t>
      </w:r>
      <w:r>
        <w:rPr>
          <w:rFonts w:ascii="Palatino Linotype" w:eastAsia="Palatino Linotype" w:hAnsi="Palatino Linotype" w:cs="Palatino Linotype"/>
          <w:i/>
          <w:color w:val="000000"/>
          <w:sz w:val="20"/>
          <w:szCs w:val="20"/>
        </w:rPr>
        <w:t>, mismo que igualmente hará de su conocimiento.</w:t>
      </w:r>
    </w:p>
    <w:p w:rsidR="001E3DA4" w:rsidRDefault="001E3DA4">
      <w:pPr>
        <w:pBdr>
          <w:top w:val="nil"/>
          <w:left w:val="nil"/>
          <w:bottom w:val="nil"/>
          <w:right w:val="nil"/>
          <w:between w:val="nil"/>
        </w:pBdr>
        <w:spacing w:after="0"/>
        <w:ind w:left="720" w:right="49"/>
        <w:jc w:val="both"/>
        <w:rPr>
          <w:rFonts w:ascii="Palatino Linotype" w:eastAsia="Palatino Linotype" w:hAnsi="Palatino Linotype" w:cs="Palatino Linotype"/>
          <w:i/>
          <w:sz w:val="20"/>
          <w:szCs w:val="20"/>
        </w:rPr>
      </w:pPr>
    </w:p>
    <w:p w:rsidR="001E3DA4" w:rsidRDefault="004508DA">
      <w:pPr>
        <w:pBdr>
          <w:top w:val="nil"/>
          <w:left w:val="nil"/>
          <w:bottom w:val="nil"/>
          <w:right w:val="nil"/>
          <w:between w:val="nil"/>
        </w:pBdr>
        <w:spacing w:after="240"/>
        <w:ind w:left="72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Respecto del numeral </w:t>
      </w:r>
      <w:r>
        <w:rPr>
          <w:rFonts w:ascii="Palatino Linotype" w:eastAsia="Palatino Linotype" w:hAnsi="Palatino Linotype" w:cs="Palatino Linotype"/>
          <w:b/>
          <w:i/>
          <w:color w:val="000000"/>
          <w:sz w:val="20"/>
          <w:szCs w:val="20"/>
        </w:rPr>
        <w:t>1</w:t>
      </w:r>
      <w:r>
        <w:rPr>
          <w:rFonts w:ascii="Palatino Linotype" w:eastAsia="Palatino Linotype" w:hAnsi="Palatino Linotype" w:cs="Palatino Linotype"/>
          <w:i/>
          <w:color w:val="000000"/>
          <w:sz w:val="20"/>
          <w:szCs w:val="20"/>
        </w:rPr>
        <w:t xml:space="preserve">, en el supuesto que una vez agotada la búsqueda de la información, se acredite no contar con la misma, deberá hacerlo del conocimiento de parte </w:t>
      </w:r>
      <w:r>
        <w:rPr>
          <w:rFonts w:ascii="Palatino Linotype" w:eastAsia="Palatino Linotype" w:hAnsi="Palatino Linotype" w:cs="Palatino Linotype"/>
          <w:b/>
          <w:i/>
          <w:color w:val="000000"/>
          <w:sz w:val="20"/>
          <w:szCs w:val="20"/>
        </w:rPr>
        <w:t>Recurrente</w:t>
      </w:r>
      <w:r>
        <w:rPr>
          <w:rFonts w:ascii="Palatino Linotype" w:eastAsia="Palatino Linotype" w:hAnsi="Palatino Linotype" w:cs="Palatino Linotype"/>
          <w:i/>
          <w:color w:val="000000"/>
          <w:sz w:val="20"/>
          <w:szCs w:val="20"/>
        </w:rPr>
        <w:t>, en términos del artículo 19 de la Ley de Transparencia local.</w:t>
      </w:r>
    </w:p>
    <w:p w:rsidR="001E3DA4" w:rsidRDefault="004508DA">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TERCERO. Notifíquese, </w:t>
      </w:r>
      <w:r>
        <w:rPr>
          <w:rFonts w:ascii="Palatino Linotype" w:eastAsia="Palatino Linotype" w:hAnsi="Palatino Linotype" w:cs="Palatino Linotype"/>
          <w:sz w:val="24"/>
          <w:szCs w:val="24"/>
        </w:rPr>
        <w:t>vía</w:t>
      </w:r>
      <w:r>
        <w:rPr>
          <w:rFonts w:ascii="Palatino Linotype" w:eastAsia="Palatino Linotype" w:hAnsi="Palatino Linotype" w:cs="Palatino Linotype"/>
          <w:b/>
          <w:sz w:val="24"/>
          <w:szCs w:val="24"/>
        </w:rPr>
        <w:t xml:space="preserve"> SAIMEX,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sz w:val="24"/>
          <w:szCs w:val="24"/>
        </w:rPr>
        <w:t xml:space="preserve">Responsable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presente resolución, para que conforme a los artículo 186, último párrafo y 189, párrafo segundo de la Ley de Transparencia y Acceso a la Información Pública del Estado de México y Municipios</w:t>
      </w:r>
      <w:r>
        <w:rPr>
          <w:rFonts w:ascii="Palatino Linotype" w:eastAsia="Palatino Linotype" w:hAnsi="Palatino Linotype" w:cs="Palatino Linotype"/>
          <w:sz w:val="24"/>
          <w:szCs w:val="24"/>
        </w:rPr>
        <w:t xml:space="preserve">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sz w:val="24"/>
          <w:szCs w:val="24"/>
        </w:rPr>
        <w:t>.</w:t>
      </w:r>
    </w:p>
    <w:p w:rsidR="001E3DA4" w:rsidRDefault="004508DA">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conformidad con el artículo 198 de la Ley de Transparencia y Acce</w:t>
      </w:r>
      <w:r>
        <w:rPr>
          <w:rFonts w:ascii="Palatino Linotype" w:eastAsia="Palatino Linotype" w:hAnsi="Palatino Linotype" w:cs="Palatino Linotype"/>
          <w:sz w:val="24"/>
          <w:szCs w:val="24"/>
        </w:rPr>
        <w:t xml:space="preserv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1E3DA4" w:rsidRDefault="004508DA">
      <w:pPr>
        <w:spacing w:before="240" w:after="240" w:line="360" w:lineRule="auto"/>
        <w:jc w:val="both"/>
        <w:rPr>
          <w:rFonts w:ascii="Palatino Linotype" w:eastAsia="Palatino Linotype" w:hAnsi="Palatino Linotype" w:cs="Palatino Linotype"/>
          <w:sz w:val="24"/>
          <w:szCs w:val="24"/>
        </w:rPr>
      </w:pPr>
      <w:bookmarkStart w:id="5" w:name="_heading=h.4d34og8" w:colFirst="0" w:colLast="0"/>
      <w:bookmarkEnd w:id="5"/>
      <w:r>
        <w:rPr>
          <w:rFonts w:ascii="Palatino Linotype" w:eastAsia="Palatino Linotype" w:hAnsi="Palatino Linotype" w:cs="Palatino Linotype"/>
          <w:b/>
          <w:sz w:val="24"/>
          <w:szCs w:val="24"/>
        </w:rPr>
        <w:t xml:space="preserve">CUARTO.  Notifíquese,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sz w:val="24"/>
          <w:szCs w:val="24"/>
        </w:rPr>
        <w:t>SA</w:t>
      </w:r>
      <w:r>
        <w:rPr>
          <w:rFonts w:ascii="Palatino Linotype" w:eastAsia="Palatino Linotype" w:hAnsi="Palatino Linotype" w:cs="Palatino Linotype"/>
          <w:b/>
          <w:sz w:val="24"/>
          <w:szCs w:val="24"/>
        </w:rPr>
        <w:t>IMEX</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b/>
          <w:sz w:val="24"/>
          <w:szCs w:val="24"/>
        </w:rPr>
        <w:t>correo electrónico</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w:t>
      </w:r>
      <w:r>
        <w:rPr>
          <w:rFonts w:ascii="Palatino Linotype" w:eastAsia="Palatino Linotype" w:hAnsi="Palatino Linotype" w:cs="Palatino Linotype"/>
          <w:sz w:val="24"/>
          <w:szCs w:val="24"/>
        </w:rPr>
        <w:lastRenderedPageBreak/>
        <w:t>establecido en el artículo 196 de la Ley de Transparencia y Acceso a la Información Pública del Estado de México y Municipios, en caso de que consi</w:t>
      </w:r>
      <w:r>
        <w:rPr>
          <w:rFonts w:ascii="Palatino Linotype" w:eastAsia="Palatino Linotype" w:hAnsi="Palatino Linotype" w:cs="Palatino Linotype"/>
          <w:sz w:val="24"/>
          <w:szCs w:val="24"/>
        </w:rPr>
        <w:t>dere que le causa algún perjuicio podrá impugnarla vía Juicio de Amparo en los términos de las leyes aplicables.</w:t>
      </w:r>
    </w:p>
    <w:p w:rsidR="001E3DA4" w:rsidRDefault="004508DA">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w:t>
      </w:r>
      <w:r>
        <w:rPr>
          <w:rFonts w:ascii="Palatino Linotype" w:eastAsia="Palatino Linotype" w:hAnsi="Palatino Linotype" w:cs="Palatino Linotype"/>
          <w:sz w:val="24"/>
          <w:szCs w:val="24"/>
        </w:rPr>
        <w:t>ALES DEL ESTADO DE MÉXICO Y MUNICIPIOS, CONFORMADO POR LOS COMISIONADOS JOSÉ MARTÍNEZ VILCHIS, MARÍA DEL ROSARIO MEJÍA AYALA, SHARON CRISTINA MORALES MARTÍNEZ, LUIS GUSTAVO PARRA NORIEGA Y GUADALUPE RAMÍREZ PEÑA; EN LA DÉCIMO QUINTA SESIÓN ORDINARIA CELEBR</w:t>
      </w:r>
      <w:r>
        <w:rPr>
          <w:rFonts w:ascii="Palatino Linotype" w:eastAsia="Palatino Linotype" w:hAnsi="Palatino Linotype" w:cs="Palatino Linotype"/>
          <w:sz w:val="24"/>
          <w:szCs w:val="24"/>
        </w:rPr>
        <w:t>ADA EL VEINTISIETE DE ABRIL DE DOS MIL VEINTIDÓS, ANTE EL SECRETARIO TÉCNICO DEL PLENO ALEXIS TAPIA RAMÍREZ.</w:t>
      </w:r>
    </w:p>
    <w:p w:rsidR="001E3DA4" w:rsidRDefault="001E3DA4">
      <w:pPr>
        <w:rPr>
          <w:rFonts w:ascii="Palatino Linotype" w:eastAsia="Palatino Linotype" w:hAnsi="Palatino Linotype" w:cs="Palatino Linotype"/>
          <w:sz w:val="24"/>
          <w:szCs w:val="24"/>
        </w:rPr>
      </w:pPr>
    </w:p>
    <w:p w:rsidR="001E3DA4" w:rsidRDefault="001E3DA4">
      <w:pPr>
        <w:spacing w:line="360" w:lineRule="auto"/>
        <w:jc w:val="both"/>
        <w:rPr>
          <w:rFonts w:ascii="Palatino Linotype" w:eastAsia="Palatino Linotype" w:hAnsi="Palatino Linotype" w:cs="Palatino Linotype"/>
        </w:rPr>
      </w:pPr>
    </w:p>
    <w:p w:rsidR="001E3DA4" w:rsidRDefault="001E3DA4">
      <w:pPr>
        <w:spacing w:line="360" w:lineRule="auto"/>
        <w:jc w:val="both"/>
        <w:rPr>
          <w:rFonts w:ascii="Palatino Linotype" w:eastAsia="Palatino Linotype" w:hAnsi="Palatino Linotype" w:cs="Palatino Linotype"/>
        </w:rPr>
      </w:pPr>
    </w:p>
    <w:p w:rsidR="001E3DA4" w:rsidRDefault="001E3DA4">
      <w:pPr>
        <w:spacing w:line="360" w:lineRule="auto"/>
        <w:jc w:val="both"/>
        <w:rPr>
          <w:rFonts w:ascii="Palatino Linotype" w:eastAsia="Palatino Linotype" w:hAnsi="Palatino Linotype" w:cs="Palatino Linotype"/>
        </w:rPr>
      </w:pPr>
    </w:p>
    <w:p w:rsidR="001E3DA4" w:rsidRDefault="001E3DA4">
      <w:pPr>
        <w:spacing w:line="360" w:lineRule="auto"/>
        <w:jc w:val="both"/>
        <w:rPr>
          <w:rFonts w:ascii="Palatino Linotype" w:eastAsia="Palatino Linotype" w:hAnsi="Palatino Linotype" w:cs="Palatino Linotype"/>
        </w:rPr>
      </w:pPr>
    </w:p>
    <w:p w:rsidR="001E3DA4" w:rsidRDefault="001E3DA4">
      <w:pPr>
        <w:spacing w:before="240" w:after="240" w:line="360" w:lineRule="auto"/>
        <w:jc w:val="both"/>
        <w:rPr>
          <w:rFonts w:ascii="Palatino Linotype" w:eastAsia="Palatino Linotype" w:hAnsi="Palatino Linotype" w:cs="Palatino Linotype"/>
          <w:sz w:val="28"/>
          <w:szCs w:val="28"/>
        </w:rPr>
      </w:pPr>
    </w:p>
    <w:p w:rsidR="001E3DA4" w:rsidRDefault="001E3DA4">
      <w:pPr>
        <w:spacing w:line="360" w:lineRule="auto"/>
        <w:jc w:val="both"/>
        <w:rPr>
          <w:rFonts w:ascii="Palatino Linotype" w:eastAsia="Palatino Linotype" w:hAnsi="Palatino Linotype" w:cs="Palatino Linotype"/>
          <w:sz w:val="36"/>
          <w:szCs w:val="36"/>
        </w:rPr>
      </w:pPr>
    </w:p>
    <w:sectPr w:rsidR="001E3DA4">
      <w:headerReference w:type="default" r:id="rId40"/>
      <w:footerReference w:type="default" r:id="rId41"/>
      <w:headerReference w:type="first" r:id="rId42"/>
      <w:footerReference w:type="first" r:id="rId43"/>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8DA" w:rsidRDefault="004508DA">
      <w:pPr>
        <w:spacing w:after="0" w:line="240" w:lineRule="auto"/>
      </w:pPr>
      <w:r>
        <w:separator/>
      </w:r>
    </w:p>
  </w:endnote>
  <w:endnote w:type="continuationSeparator" w:id="0">
    <w:p w:rsidR="004508DA" w:rsidRDefault="00450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DA4" w:rsidRDefault="004508D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0C0544">
      <w:rPr>
        <w:rFonts w:ascii="Arial" w:eastAsia="Arial" w:hAnsi="Arial" w:cs="Arial"/>
        <w:b/>
        <w:color w:val="000000"/>
        <w:sz w:val="20"/>
        <w:szCs w:val="20"/>
      </w:rPr>
      <w:fldChar w:fldCharType="separate"/>
    </w:r>
    <w:r w:rsidR="000C0544">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0C0544">
      <w:rPr>
        <w:rFonts w:ascii="Arial" w:eastAsia="Arial" w:hAnsi="Arial" w:cs="Arial"/>
        <w:b/>
        <w:color w:val="000000"/>
        <w:sz w:val="20"/>
        <w:szCs w:val="20"/>
      </w:rPr>
      <w:fldChar w:fldCharType="separate"/>
    </w:r>
    <w:r w:rsidR="000C0544">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1E3DA4" w:rsidRDefault="001E3DA4">
    <w:pPr>
      <w:pBdr>
        <w:top w:val="nil"/>
        <w:left w:val="nil"/>
        <w:bottom w:val="nil"/>
        <w:right w:val="nil"/>
        <w:between w:val="nil"/>
      </w:pBdr>
      <w:tabs>
        <w:tab w:val="center" w:pos="4419"/>
        <w:tab w:val="right" w:pos="8838"/>
      </w:tabs>
      <w:spacing w:after="0" w:line="240" w:lineRule="auto"/>
      <w:rPr>
        <w:color w:val="000000"/>
      </w:rPr>
    </w:pPr>
  </w:p>
  <w:p w:rsidR="001E3DA4" w:rsidRDefault="001E3DA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DA4" w:rsidRDefault="004508D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0C0544">
      <w:rPr>
        <w:rFonts w:ascii="Arial" w:eastAsia="Arial" w:hAnsi="Arial" w:cs="Arial"/>
        <w:b/>
        <w:color w:val="000000"/>
        <w:sz w:val="20"/>
        <w:szCs w:val="20"/>
      </w:rPr>
      <w:fldChar w:fldCharType="separate"/>
    </w:r>
    <w:r w:rsidR="000C054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0C0544">
      <w:rPr>
        <w:rFonts w:ascii="Arial" w:eastAsia="Arial" w:hAnsi="Arial" w:cs="Arial"/>
        <w:b/>
        <w:color w:val="000000"/>
        <w:sz w:val="20"/>
        <w:szCs w:val="20"/>
      </w:rPr>
      <w:fldChar w:fldCharType="separate"/>
    </w:r>
    <w:r w:rsidR="000C0544">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1E3DA4" w:rsidRDefault="001E3DA4">
    <w:pPr>
      <w:pBdr>
        <w:top w:val="nil"/>
        <w:left w:val="nil"/>
        <w:bottom w:val="nil"/>
        <w:right w:val="nil"/>
        <w:between w:val="nil"/>
      </w:pBdr>
      <w:tabs>
        <w:tab w:val="center" w:pos="4419"/>
        <w:tab w:val="right" w:pos="8838"/>
      </w:tabs>
      <w:spacing w:after="0" w:line="240" w:lineRule="auto"/>
      <w:rPr>
        <w:color w:val="000000"/>
      </w:rPr>
    </w:pPr>
  </w:p>
  <w:p w:rsidR="001E3DA4" w:rsidRDefault="001E3DA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8DA" w:rsidRDefault="004508DA">
      <w:pPr>
        <w:spacing w:after="0" w:line="240" w:lineRule="auto"/>
      </w:pPr>
      <w:r>
        <w:separator/>
      </w:r>
    </w:p>
  </w:footnote>
  <w:footnote w:type="continuationSeparator" w:id="0">
    <w:p w:rsidR="004508DA" w:rsidRDefault="004508DA">
      <w:pPr>
        <w:spacing w:after="0" w:line="240" w:lineRule="auto"/>
      </w:pPr>
      <w:r>
        <w:continuationSeparator/>
      </w:r>
    </w:p>
  </w:footnote>
  <w:footnote w:id="1">
    <w:p w:rsidR="001E3DA4" w:rsidRDefault="004508DA">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1E3DA4" w:rsidRDefault="004508D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1E3DA4" w:rsidRDefault="004508D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https://www.sat.gob.mx/co</w:t>
      </w:r>
      <w:r>
        <w:rPr>
          <w:rFonts w:ascii="Palatino Linotype" w:eastAsia="Palatino Linotype" w:hAnsi="Palatino Linotype" w:cs="Palatino Linotype"/>
          <w:color w:val="000000"/>
          <w:sz w:val="16"/>
          <w:szCs w:val="16"/>
        </w:rPr>
        <w:t>nsultas/20777/consulta-tu-opinion-de-cumplimiento-de-obligaciones-fiscales#</w:t>
      </w:r>
    </w:p>
  </w:footnote>
  <w:footnote w:id="3">
    <w:p w:rsidR="001E3DA4" w:rsidRDefault="004508D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http://www.imss.gob.mx/sites/all/statics/pdf/leyes/LSS.pdf</w:t>
        </w:r>
      </w:hyperlink>
      <w:r>
        <w:rPr>
          <w:rFonts w:ascii="Palatino Linotype" w:eastAsia="Palatino Linotype" w:hAnsi="Palatino Linotype" w:cs="Palatino Linotype"/>
          <w:color w:val="000000"/>
          <w:sz w:val="16"/>
          <w:szCs w:val="16"/>
        </w:rPr>
        <w:t xml:space="preserve"> consultada el día 09 de marzo de 2022 a l</w:t>
      </w:r>
      <w:r>
        <w:rPr>
          <w:rFonts w:ascii="Palatino Linotype" w:eastAsia="Palatino Linotype" w:hAnsi="Palatino Linotype" w:cs="Palatino Linotype"/>
          <w:color w:val="000000"/>
          <w:sz w:val="16"/>
          <w:szCs w:val="16"/>
        </w:rPr>
        <w:t>as 12:33 horas</w:t>
      </w:r>
    </w:p>
  </w:footnote>
  <w:footnote w:id="4">
    <w:p w:rsidR="001E3DA4" w:rsidRDefault="004508D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167. Cuando las unidades de transparencia determinen la notoria incompetencia por parte de los sujetos obligados, dentro del ámbito de aplicación, para atender la solicitud de acceso a la información, deberán comunicarlo al solici</w:t>
      </w:r>
      <w:r>
        <w:rPr>
          <w:rFonts w:ascii="Palatino Linotype" w:eastAsia="Palatino Linotype" w:hAnsi="Palatino Linotype" w:cs="Palatino Linotype"/>
          <w:color w:val="000000"/>
          <w:sz w:val="16"/>
          <w:szCs w:val="16"/>
        </w:rPr>
        <w:t>tante, dentro de los tres días hábiles posteriores a la recepción de la solicitud y, en su caso orientar al solicitante, el o los sujetos obligados competentes.</w:t>
      </w:r>
    </w:p>
  </w:footnote>
  <w:footnote w:id="5">
    <w:p w:rsidR="001E3DA4" w:rsidRDefault="004508DA">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163. La Unidad de Transparencia deberá notificar la respuesta a la solicitud al inte</w:t>
      </w:r>
      <w:r>
        <w:rPr>
          <w:rFonts w:ascii="Palatino Linotype" w:eastAsia="Palatino Linotype" w:hAnsi="Palatino Linotype" w:cs="Palatino Linotype"/>
          <w:color w:val="000000"/>
          <w:sz w:val="16"/>
          <w:szCs w:val="16"/>
        </w:rPr>
        <w:t>resado en el menor tiempo posible, que no podrá exceder de quince días hábiles, contados a partir del día siguiente a la presentación de aquélla.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DA4" w:rsidRDefault="001E3DA4">
    <w:pPr>
      <w:widowControl w:val="0"/>
      <w:pBdr>
        <w:top w:val="nil"/>
        <w:left w:val="nil"/>
        <w:bottom w:val="nil"/>
        <w:right w:val="nil"/>
        <w:between w:val="nil"/>
      </w:pBdr>
      <w:spacing w:after="0" w:line="276" w:lineRule="auto"/>
      <w:rPr>
        <w:color w:val="000000"/>
      </w:rPr>
    </w:pPr>
  </w:p>
  <w:tbl>
    <w:tblPr>
      <w:tblStyle w:val="a1"/>
      <w:tblW w:w="10637" w:type="dxa"/>
      <w:tblInd w:w="-1281" w:type="dxa"/>
      <w:tblLayout w:type="fixed"/>
      <w:tblLook w:val="0400" w:firstRow="0" w:lastRow="0" w:firstColumn="0" w:lastColumn="0" w:noHBand="0" w:noVBand="1"/>
    </w:tblPr>
    <w:tblGrid>
      <w:gridCol w:w="5660"/>
      <w:gridCol w:w="4977"/>
    </w:tblGrid>
    <w:tr w:rsidR="001E3DA4">
      <w:trPr>
        <w:trHeight w:val="260"/>
      </w:trPr>
      <w:tc>
        <w:tcPr>
          <w:tcW w:w="5660" w:type="dxa"/>
        </w:tcPr>
        <w:p w:rsidR="001E3DA4" w:rsidRDefault="004508D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77" w:type="dxa"/>
        </w:tcPr>
        <w:p w:rsidR="001E3DA4" w:rsidRDefault="004508D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01004/INFOEM/IP/RR/2022</w:t>
          </w:r>
        </w:p>
      </w:tc>
    </w:tr>
    <w:tr w:rsidR="001E3DA4">
      <w:trPr>
        <w:trHeight w:val="224"/>
      </w:trPr>
      <w:tc>
        <w:tcPr>
          <w:tcW w:w="5660" w:type="dxa"/>
        </w:tcPr>
        <w:p w:rsidR="001E3DA4" w:rsidRDefault="004508D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77" w:type="dxa"/>
        </w:tcPr>
        <w:p w:rsidR="001E3DA4" w:rsidRDefault="001E3DA4">
          <w:pPr>
            <w:spacing w:after="120"/>
            <w:ind w:left="-486" w:right="214" w:firstLine="567"/>
            <w:jc w:val="right"/>
            <w:rPr>
              <w:rFonts w:ascii="Palatino Linotype" w:eastAsia="Palatino Linotype" w:hAnsi="Palatino Linotype" w:cs="Palatino Linotype"/>
              <w:sz w:val="24"/>
              <w:szCs w:val="24"/>
            </w:rPr>
          </w:pPr>
        </w:p>
      </w:tc>
    </w:tr>
    <w:tr w:rsidR="001E3DA4">
      <w:trPr>
        <w:trHeight w:val="278"/>
      </w:trPr>
      <w:tc>
        <w:tcPr>
          <w:tcW w:w="5660" w:type="dxa"/>
        </w:tcPr>
        <w:p w:rsidR="001E3DA4" w:rsidRDefault="004508D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77" w:type="dxa"/>
        </w:tcPr>
        <w:p w:rsidR="001E3DA4" w:rsidRDefault="004508DA">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Jocotitlán.</w:t>
          </w:r>
        </w:p>
      </w:tc>
    </w:tr>
    <w:tr w:rsidR="001E3DA4">
      <w:trPr>
        <w:trHeight w:val="393"/>
      </w:trPr>
      <w:tc>
        <w:tcPr>
          <w:tcW w:w="5660" w:type="dxa"/>
        </w:tcPr>
        <w:p w:rsidR="001E3DA4" w:rsidRDefault="004508D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77" w:type="dxa"/>
        </w:tcPr>
        <w:p w:rsidR="001E3DA4" w:rsidRDefault="004508D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1E3DA4" w:rsidRDefault="004508D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-1058489</wp:posOffset>
          </wp:positionH>
          <wp:positionV relativeFrom="paragraph">
            <wp:posOffset>-1618780</wp:posOffset>
          </wp:positionV>
          <wp:extent cx="7867650" cy="10133330"/>
          <wp:effectExtent l="0" t="0" r="0" b="0"/>
          <wp:wrapNone/>
          <wp:docPr id="7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DA4" w:rsidRDefault="001E3DA4">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479" w:type="dxa"/>
      <w:tblInd w:w="-1281" w:type="dxa"/>
      <w:tblLayout w:type="fixed"/>
      <w:tblLook w:val="0400" w:firstRow="0" w:lastRow="0" w:firstColumn="0" w:lastColumn="0" w:noHBand="0" w:noVBand="1"/>
    </w:tblPr>
    <w:tblGrid>
      <w:gridCol w:w="5576"/>
      <w:gridCol w:w="4903"/>
    </w:tblGrid>
    <w:tr w:rsidR="001E3DA4">
      <w:trPr>
        <w:trHeight w:val="245"/>
      </w:trPr>
      <w:tc>
        <w:tcPr>
          <w:tcW w:w="5576" w:type="dxa"/>
        </w:tcPr>
        <w:p w:rsidR="001E3DA4" w:rsidRDefault="004508D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rsidR="001E3DA4" w:rsidRDefault="004508D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01004/INFOEM/IP/RR/2022</w:t>
          </w:r>
        </w:p>
      </w:tc>
    </w:tr>
    <w:tr w:rsidR="001E3DA4">
      <w:trPr>
        <w:trHeight w:val="211"/>
      </w:trPr>
      <w:tc>
        <w:tcPr>
          <w:tcW w:w="5576" w:type="dxa"/>
        </w:tcPr>
        <w:p w:rsidR="001E3DA4" w:rsidRDefault="004508D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rsidR="001E3DA4" w:rsidRDefault="000C0544" w:rsidP="000C054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w:t>
          </w:r>
          <w:r w:rsidR="004508DA">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w:t>
          </w:r>
          <w:r w:rsidR="004508DA">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w:t>
          </w:r>
        </w:p>
      </w:tc>
    </w:tr>
    <w:tr w:rsidR="001E3DA4">
      <w:trPr>
        <w:trHeight w:val="262"/>
      </w:trPr>
      <w:tc>
        <w:tcPr>
          <w:tcW w:w="5576" w:type="dxa"/>
        </w:tcPr>
        <w:p w:rsidR="001E3DA4" w:rsidRDefault="004508D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rsidR="001E3DA4" w:rsidRDefault="004508DA">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Jocotitlán.</w:t>
          </w:r>
        </w:p>
      </w:tc>
    </w:tr>
    <w:tr w:rsidR="001E3DA4">
      <w:trPr>
        <w:trHeight w:val="371"/>
      </w:trPr>
      <w:tc>
        <w:tcPr>
          <w:tcW w:w="5576" w:type="dxa"/>
        </w:tcPr>
        <w:p w:rsidR="001E3DA4" w:rsidRDefault="004508D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rsidR="001E3DA4" w:rsidRDefault="004508D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1E3DA4" w:rsidRDefault="004508D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-1118124</wp:posOffset>
          </wp:positionH>
          <wp:positionV relativeFrom="paragraph">
            <wp:posOffset>-1579023</wp:posOffset>
          </wp:positionV>
          <wp:extent cx="7867650" cy="10133330"/>
          <wp:effectExtent l="0" t="0" r="0" b="0"/>
          <wp:wrapNone/>
          <wp:docPr id="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62B32"/>
    <w:multiLevelType w:val="multilevel"/>
    <w:tmpl w:val="AF2CA7A4"/>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4665D3"/>
    <w:multiLevelType w:val="multilevel"/>
    <w:tmpl w:val="559488C2"/>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15:restartNumberingAfterBreak="0">
    <w:nsid w:val="7177351F"/>
    <w:multiLevelType w:val="multilevel"/>
    <w:tmpl w:val="53FED17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D6377C"/>
    <w:multiLevelType w:val="multilevel"/>
    <w:tmpl w:val="834A19BA"/>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A4"/>
    <w:rsid w:val="000C0544"/>
    <w:rsid w:val="001E3DA4"/>
    <w:rsid w:val="004508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7BED5E-B2B1-4FE1-B696-F1C32C58D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A2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F805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05C4"/>
  </w:style>
  <w:style w:type="paragraph" w:styleId="Piedepgina">
    <w:name w:val="footer"/>
    <w:basedOn w:val="Normal"/>
    <w:link w:val="PiedepginaCar"/>
    <w:uiPriority w:val="99"/>
    <w:unhideWhenUsed/>
    <w:rsid w:val="00F805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05C4"/>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805C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805C4"/>
  </w:style>
  <w:style w:type="character" w:styleId="Hipervnculo">
    <w:name w:val="Hyperlink"/>
    <w:basedOn w:val="Fuentedeprrafopredeter"/>
    <w:uiPriority w:val="99"/>
    <w:unhideWhenUsed/>
    <w:rsid w:val="0019219C"/>
    <w:rPr>
      <w:color w:val="0563C1" w:themeColor="hyperlink"/>
      <w:u w:val="single"/>
    </w:rPr>
  </w:style>
  <w:style w:type="character" w:styleId="Hipervnculovisitado">
    <w:name w:val="FollowedHyperlink"/>
    <w:basedOn w:val="Fuentedeprrafopredeter"/>
    <w:uiPriority w:val="99"/>
    <w:semiHidden/>
    <w:unhideWhenUsed/>
    <w:rsid w:val="007823EE"/>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74F7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74F73"/>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474F73"/>
    <w:rPr>
      <w:vertAlign w:val="superscript"/>
    </w:rPr>
  </w:style>
  <w:style w:type="paragraph" w:styleId="Listaconvietas3">
    <w:name w:val="List Bullet 3"/>
    <w:basedOn w:val="Normal"/>
    <w:uiPriority w:val="99"/>
    <w:unhideWhenUsed/>
    <w:rsid w:val="00E570AF"/>
    <w:pPr>
      <w:numPr>
        <w:numId w:val="4"/>
      </w:numPr>
      <w:spacing w:after="0" w:line="240" w:lineRule="auto"/>
      <w:contextualSpacing/>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saimex.org.mx/saimex/solicitud/downloadAttach/1340512.page" TargetMode="External"/><Relationship Id="rId26" Type="http://schemas.openxmlformats.org/officeDocument/2006/relationships/image" Target="media/image12.png"/><Relationship Id="rId39"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ipomex.org.mx/ipo3/lgt/indice/JOCOTITLAN/art_92_viii_b.web"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ipomex.org.mx/ipo3/lgt/indice/JOCOTITLAN/art_92_viii_b.web"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340511.page"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22.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JOCOTITLAN/art_92_viii_b.web" TargetMode="External"/><Relationship Id="rId14" Type="http://schemas.openxmlformats.org/officeDocument/2006/relationships/hyperlink" Target="https://www.ipomex.org.mx/ipo3/lgt/indice/JOCOTITLAN/art_92_viii_b.web" TargetMode="External"/><Relationship Id="rId22" Type="http://schemas.openxmlformats.org/officeDocument/2006/relationships/hyperlink" Target="https://www.saimex.org.mx/saimex/solicitud/downloadAttach/1340513.page" TargetMode="External"/><Relationship Id="rId27" Type="http://schemas.openxmlformats.org/officeDocument/2006/relationships/image" Target="media/image40.png"/><Relationship Id="rId30" Type="http://schemas.openxmlformats.org/officeDocument/2006/relationships/image" Target="media/image50.png"/><Relationship Id="rId35" Type="http://schemas.openxmlformats.org/officeDocument/2006/relationships/image" Target="media/image18.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imss.gob.mx/sites/all/statics/pdf/leyes/LS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NC7/A6aoZkMUwB02x0JZ0JpbsQ==">AMUW2mU/0X1hkfWCsQz1h4Y0Z3dfiI0vriT6ACSioZtB2He+a1+LVY4XOk8GxSAwUyAOix7WF1DkDcq6LBAa7crVJ+10+hCYVEYDgguqLs4+Ox3SVP1nRG4g8WhsLbqIZrXfUIo2Gwlwvch/Y/zpabxbTR/btZHJicpS8OLN99nK6NCfWFbvddKjeiJL+e2TdQu+ibbfGvTO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12392</Words>
  <Characters>68159</Characters>
  <Application>Microsoft Office Word</Application>
  <DocSecurity>0</DocSecurity>
  <Lines>567</Lines>
  <Paragraphs>160</Paragraphs>
  <ScaleCrop>false</ScaleCrop>
  <Company/>
  <LinksUpToDate>false</LinksUpToDate>
  <CharactersWithSpaces>80391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2022-04-21T14:48:00Z</dcterms:created>
  <dcterms:modified xsi:type="dcterms:W3CDTF">2022-05-12T17:10:00Z</dcterms:modified>
</cp:coreProperties>
</file>