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641" w:rsidRDefault="00E93B06">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diecinueve de octubre de dos mil veintidós.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08834/INFOEM/IP/RR/2022</w:t>
      </w:r>
      <w:r>
        <w:rPr>
          <w:rFonts w:ascii="Palatino Linotype" w:eastAsia="Palatino Linotype" w:hAnsi="Palatino Linotype" w:cs="Palatino Linotype"/>
        </w:rPr>
        <w:t xml:space="preserve">, interpuesto </w:t>
      </w:r>
      <w:r w:rsidR="00BF0B37">
        <w:rPr>
          <w:rFonts w:ascii="Palatino Linotype" w:eastAsia="Palatino Linotype" w:hAnsi="Palatino Linotype" w:cs="Palatino Linotype"/>
          <w:b/>
        </w:rPr>
        <w:t>XXXX XXXXXXXXX XX XXXXXXXX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Organismo Público Descentralizado pa</w:t>
      </w:r>
      <w:r w:rsidR="00A27B9E">
        <w:rPr>
          <w:rFonts w:ascii="Palatino Linotype" w:eastAsia="Palatino Linotype" w:hAnsi="Palatino Linotype" w:cs="Palatino Linotype"/>
          <w:b/>
        </w:rPr>
        <w:t>ra la Prestación de l</w:t>
      </w:r>
      <w:r>
        <w:rPr>
          <w:rFonts w:ascii="Palatino Linotype" w:eastAsia="Palatino Linotype" w:hAnsi="Palatino Linotype" w:cs="Palatino Linotype"/>
          <w:b/>
        </w:rPr>
        <w:t xml:space="preserve">os Servicios de Agua Potable Alcantarillado y Saneamiento del Municipio de Tlalnepantla de Baz,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5C3641" w:rsidRDefault="00E93B06">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Pr>
          <w:rFonts w:ascii="Palatino Linotype" w:eastAsia="Palatino Linotype" w:hAnsi="Palatino Linotype" w:cs="Palatino Linotype"/>
          <w:b/>
        </w:rPr>
        <w:t>I. A N T E C E D E N T E 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00190/OASTLALNE/IP/2022, </w:t>
      </w:r>
      <w:r>
        <w:rPr>
          <w:rFonts w:ascii="Palatino Linotype" w:eastAsia="Palatino Linotype" w:hAnsi="Palatino Linotype" w:cs="Palatino Linotype"/>
        </w:rPr>
        <w:t xml:space="preserve">mediante la cual requirió la información siguiente: </w:t>
      </w:r>
    </w:p>
    <w:p w:rsidR="005C3641" w:rsidRDefault="00E93B06">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Pr>
          <w:rFonts w:ascii="Palatino Linotype" w:eastAsia="Palatino Linotype" w:hAnsi="Palatino Linotype" w:cs="Palatino Linotype"/>
          <w:i/>
          <w:sz w:val="22"/>
          <w:szCs w:val="22"/>
        </w:rPr>
        <w:t xml:space="preserve">“Para el director general o el </w:t>
      </w:r>
      <w:proofErr w:type="spellStart"/>
      <w:r>
        <w:rPr>
          <w:rFonts w:ascii="Palatino Linotype" w:eastAsia="Palatino Linotype" w:hAnsi="Palatino Linotype" w:cs="Palatino Linotype"/>
          <w:i/>
          <w:sz w:val="22"/>
          <w:szCs w:val="22"/>
        </w:rPr>
        <w:t>area</w:t>
      </w:r>
      <w:proofErr w:type="spellEnd"/>
      <w:r>
        <w:rPr>
          <w:rFonts w:ascii="Palatino Linotype" w:eastAsia="Palatino Linotype" w:hAnsi="Palatino Linotype" w:cs="Palatino Linotype"/>
          <w:i/>
          <w:sz w:val="22"/>
          <w:szCs w:val="22"/>
        </w:rPr>
        <w:t xml:space="preserve"> de recursos humanos administrativa 1 Quiero conocer todo el personal que forma parte del área jurídica 2Fecha de ingreso y/o fecha </w:t>
      </w:r>
      <w:r>
        <w:rPr>
          <w:rFonts w:ascii="Palatino Linotype" w:eastAsia="Palatino Linotype" w:hAnsi="Palatino Linotype" w:cs="Palatino Linotype"/>
          <w:i/>
          <w:sz w:val="22"/>
          <w:szCs w:val="22"/>
        </w:rPr>
        <w:lastRenderedPageBreak/>
        <w:t>de baja 3puesto que ostenta 4De ellos quienes pueden ser apoderados y qué documento los acredita 5Nombre del jefe jerárquico 6Sueldo bruto y neto 7De ser el caso fecha que acrediten con nombramiento 8Adscripción 9Lugar físico de actividades.” (Sic)</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5C3641" w:rsidRDefault="00E93B06">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veintitrés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rsidR="005C3641" w:rsidRDefault="00E93B06">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“Le envío archivo electrónico con respuesta a su solicitud de información con número de folio SAIMEX0190/OASTLALNE/IP/2022.</w:t>
      </w:r>
      <w:r>
        <w:rPr>
          <w:rFonts w:ascii="Palatino Linotype" w:eastAsia="Palatino Linotype" w:hAnsi="Palatino Linotype" w:cs="Palatino Linotype"/>
          <w:b/>
          <w:i/>
          <w:sz w:val="22"/>
          <w:szCs w:val="22"/>
        </w:rPr>
        <w:t>” (</w:t>
      </w:r>
      <w:r>
        <w:rPr>
          <w:rFonts w:ascii="Palatino Linotype" w:eastAsia="Palatino Linotype" w:hAnsi="Palatino Linotype" w:cs="Palatino Linotype"/>
          <w:i/>
          <w:sz w:val="22"/>
          <w:szCs w:val="22"/>
        </w:rPr>
        <w:t>Sic)</w:t>
      </w:r>
    </w:p>
    <w:p w:rsidR="005C3641" w:rsidRDefault="00E93B06">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al que adjuntó los siguientes archivos electrónicos: </w:t>
      </w:r>
    </w:p>
    <w:p w:rsidR="005C3641" w:rsidRDefault="00E93B06">
      <w:pPr>
        <w:numPr>
          <w:ilvl w:val="0"/>
          <w:numId w:val="2"/>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5TA SESIÓN ORDINARIA DE COMITE TRANSPARENCIA.pdf: </w:t>
      </w:r>
      <w:r>
        <w:rPr>
          <w:rFonts w:ascii="Palatino Linotype" w:eastAsia="Palatino Linotype" w:hAnsi="Palatino Linotype" w:cs="Palatino Linotype"/>
          <w:color w:val="000000"/>
        </w:rPr>
        <w:t xml:space="preserve">Acta de la Quinta Sesión Ordinaria del Comité de Transparencia de fecha dieciocho de mayo de dos mil veintidós que contiene el Acuerdo CT/06/05-SO/2022 en el que se confirmó por unanimidad de votos la versión pública del Instrumento Notarial del tres de enero de dos mil veintidós. </w:t>
      </w:r>
    </w:p>
    <w:p w:rsidR="005C3641" w:rsidRDefault="00E93B0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CONTESTACION JURI SAIMEX 190.pdf: </w:t>
      </w:r>
      <w:r>
        <w:rPr>
          <w:rFonts w:ascii="Palatino Linotype" w:eastAsia="Palatino Linotype" w:hAnsi="Palatino Linotype" w:cs="Palatino Linotype"/>
          <w:color w:val="000000"/>
        </w:rPr>
        <w:t xml:space="preserve">Oficio número OPDM/DJ/0486/2022 del dieciocho de mayo de dos mil veintidós, suscrito y signado por el Director Jurídico, por medio del cual proporcionó el nombre de los apoderados legales del Organismo; así como, la versión pública del Instrumento Notarial que los acredita. </w:t>
      </w:r>
    </w:p>
    <w:p w:rsidR="005C3641" w:rsidRDefault="00E93B06">
      <w:pPr>
        <w:numPr>
          <w:ilvl w:val="0"/>
          <w:numId w:val="2"/>
        </w:numPr>
        <w:pBdr>
          <w:top w:val="nil"/>
          <w:left w:val="nil"/>
          <w:bottom w:val="nil"/>
          <w:right w:val="nil"/>
          <w:between w:val="nil"/>
        </w:pBdr>
        <w:spacing w:after="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CONTESTACION DAFYC SAIMEX 190.pdf: </w:t>
      </w:r>
      <w:r>
        <w:rPr>
          <w:rFonts w:ascii="Palatino Linotype" w:eastAsia="Palatino Linotype" w:hAnsi="Palatino Linotype" w:cs="Palatino Linotype"/>
          <w:color w:val="000000"/>
        </w:rPr>
        <w:t xml:space="preserve">Oficio número OPDM/SA/05-013/2022 del nueve de mayo de dos mil veintidós, que emitió el Subdirector de Administración, por medio del cual entregó la relación del personal adscrito a la Dirección Jurídica de ese Organismo, en la que se advierte el nombre, fecha de alta, puesto y departamento: del mismo modo, informó el nombre del Jefe Jerárquico; así como su sueldo bruto y neto mensual; del mismo modo refirió: </w:t>
      </w:r>
      <w:r>
        <w:rPr>
          <w:rFonts w:ascii="Palatino Linotype" w:eastAsia="Palatino Linotype" w:hAnsi="Palatino Linotype" w:cs="Palatino Linotype"/>
          <w:i/>
          <w:color w:val="000000"/>
        </w:rPr>
        <w:t xml:space="preserve">“Adjunto al presente </w:t>
      </w:r>
      <w:r>
        <w:rPr>
          <w:rFonts w:ascii="Palatino Linotype" w:eastAsia="Palatino Linotype" w:hAnsi="Palatino Linotype" w:cs="Palatino Linotype"/>
          <w:b/>
          <w:i/>
          <w:color w:val="000000"/>
        </w:rPr>
        <w:t>nombramientos de los Titulares de los Departamentos de Asuntos Laborales, Asuntos Administrativos y Dirección Jurídica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documentos que de acuerdo con las constancias que integran el expediente,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omitió agregar al momento de responder a la solicitud de información. </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mayo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interpuso el recurso de revisión en el que expresó lo siguiente:</w:t>
      </w:r>
    </w:p>
    <w:p w:rsidR="005C3641" w:rsidRDefault="00E93B06">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p>
    <w:p w:rsidR="005C3641" w:rsidRDefault="00E93B06">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w:t>
      </w:r>
      <w:proofErr w:type="spellStart"/>
      <w:r>
        <w:rPr>
          <w:rFonts w:ascii="Palatino Linotype" w:eastAsia="Palatino Linotype" w:hAnsi="Palatino Linotype" w:cs="Palatino Linotype"/>
          <w:i/>
          <w:sz w:val="22"/>
          <w:szCs w:val="22"/>
        </w:rPr>
        <w:t>zujeto</w:t>
      </w:r>
      <w:proofErr w:type="spellEnd"/>
      <w:r>
        <w:rPr>
          <w:rFonts w:ascii="Palatino Linotype" w:eastAsia="Palatino Linotype" w:hAnsi="Palatino Linotype" w:cs="Palatino Linotype"/>
          <w:i/>
          <w:sz w:val="22"/>
          <w:szCs w:val="22"/>
        </w:rPr>
        <w:t xml:space="preserve"> obligado es evidente que no entrega toda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y </w:t>
      </w:r>
      <w:proofErr w:type="spellStart"/>
      <w:r>
        <w:rPr>
          <w:rFonts w:ascii="Palatino Linotype" w:eastAsia="Palatino Linotype" w:hAnsi="Palatino Linotype" w:cs="Palatino Linotype"/>
          <w:i/>
          <w:sz w:val="22"/>
          <w:szCs w:val="22"/>
        </w:rPr>
        <w:t>documentacion</w:t>
      </w:r>
      <w:proofErr w:type="spellEnd"/>
      <w:r>
        <w:rPr>
          <w:rFonts w:ascii="Palatino Linotype" w:eastAsia="Palatino Linotype" w:hAnsi="Palatino Linotype" w:cs="Palatino Linotype"/>
          <w:i/>
          <w:sz w:val="22"/>
          <w:szCs w:val="22"/>
        </w:rPr>
        <w:t xml:space="preserve"> que se </w:t>
      </w:r>
      <w:proofErr w:type="spellStart"/>
      <w:r>
        <w:rPr>
          <w:rFonts w:ascii="Palatino Linotype" w:eastAsia="Palatino Linotype" w:hAnsi="Palatino Linotype" w:cs="Palatino Linotype"/>
          <w:i/>
          <w:sz w:val="22"/>
          <w:szCs w:val="22"/>
        </w:rPr>
        <w:t>solicito</w:t>
      </w:r>
      <w:proofErr w:type="spellEnd"/>
      <w:r>
        <w:rPr>
          <w:rFonts w:ascii="Palatino Linotype" w:eastAsia="Palatino Linotype" w:hAnsi="Palatino Linotype" w:cs="Palatino Linotype"/>
          <w:i/>
          <w:sz w:val="22"/>
          <w:szCs w:val="22"/>
        </w:rPr>
        <w:t xml:space="preserve">, ya que </w:t>
      </w:r>
      <w:r>
        <w:rPr>
          <w:rFonts w:ascii="Palatino Linotype" w:eastAsia="Palatino Linotype" w:hAnsi="Palatino Linotype" w:cs="Palatino Linotype"/>
          <w:b/>
          <w:i/>
          <w:sz w:val="22"/>
          <w:szCs w:val="22"/>
        </w:rPr>
        <w:t xml:space="preserve">no menciona el </w:t>
      </w:r>
      <w:proofErr w:type="spellStart"/>
      <w:r>
        <w:rPr>
          <w:rFonts w:ascii="Palatino Linotype" w:eastAsia="Palatino Linotype" w:hAnsi="Palatino Linotype" w:cs="Palatino Linotype"/>
          <w:b/>
          <w:i/>
          <w:sz w:val="22"/>
          <w:szCs w:val="22"/>
        </w:rPr>
        <w:t>suelldo</w:t>
      </w:r>
      <w:proofErr w:type="spellEnd"/>
      <w:r>
        <w:rPr>
          <w:rFonts w:ascii="Palatino Linotype" w:eastAsia="Palatino Linotype" w:hAnsi="Palatino Linotype" w:cs="Palatino Linotype"/>
          <w:b/>
          <w:i/>
          <w:sz w:val="22"/>
          <w:szCs w:val="22"/>
        </w:rPr>
        <w:t xml:space="preserve"> solicitado de todo el personal involucrado,</w:t>
      </w:r>
      <w:r>
        <w:rPr>
          <w:rFonts w:ascii="Palatino Linotype" w:eastAsia="Palatino Linotype" w:hAnsi="Palatino Linotype" w:cs="Palatino Linotype"/>
          <w:i/>
          <w:sz w:val="22"/>
          <w:szCs w:val="22"/>
        </w:rPr>
        <w:t xml:space="preserve"> de igual manera refiere que adjunta </w:t>
      </w:r>
      <w:proofErr w:type="spellStart"/>
      <w:r>
        <w:rPr>
          <w:rFonts w:ascii="Palatino Linotype" w:eastAsia="Palatino Linotype" w:hAnsi="Palatino Linotype" w:cs="Palatino Linotype"/>
          <w:i/>
          <w:sz w:val="22"/>
          <w:szCs w:val="22"/>
        </w:rPr>
        <w:t>documentacion</w:t>
      </w:r>
      <w:proofErr w:type="spellEnd"/>
      <w:r>
        <w:rPr>
          <w:rFonts w:ascii="Palatino Linotype" w:eastAsia="Palatino Linotype" w:hAnsi="Palatino Linotype" w:cs="Palatino Linotype"/>
          <w:i/>
          <w:sz w:val="22"/>
          <w:szCs w:val="22"/>
        </w:rPr>
        <w:t xml:space="preserve"> sin agregarla. </w:t>
      </w:r>
      <w:proofErr w:type="spellStart"/>
      <w:proofErr w:type="gramStart"/>
      <w:r>
        <w:rPr>
          <w:rFonts w:ascii="Palatino Linotype" w:eastAsia="Palatino Linotype" w:hAnsi="Palatino Linotype" w:cs="Palatino Linotype"/>
          <w:i/>
          <w:sz w:val="22"/>
          <w:szCs w:val="22"/>
        </w:rPr>
        <w:t>estan</w:t>
      </w:r>
      <w:proofErr w:type="spellEnd"/>
      <w:proofErr w:type="gramEnd"/>
      <w:r>
        <w:rPr>
          <w:rFonts w:ascii="Palatino Linotype" w:eastAsia="Palatino Linotype" w:hAnsi="Palatino Linotype" w:cs="Palatino Linotype"/>
          <w:i/>
          <w:sz w:val="22"/>
          <w:szCs w:val="22"/>
        </w:rPr>
        <w:t xml:space="preserve"> ocultando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porque motivo." (Sic)</w:t>
      </w:r>
    </w:p>
    <w:p w:rsidR="005C3641" w:rsidRDefault="005C3641">
      <w:pPr>
        <w:spacing w:before="240" w:after="240" w:line="276" w:lineRule="auto"/>
        <w:ind w:left="851" w:right="616"/>
        <w:jc w:val="both"/>
        <w:rPr>
          <w:rFonts w:ascii="Palatino Linotype" w:eastAsia="Palatino Linotype" w:hAnsi="Palatino Linotype" w:cs="Palatino Linotype"/>
          <w:i/>
          <w:sz w:val="22"/>
          <w:szCs w:val="22"/>
        </w:rPr>
      </w:pPr>
    </w:p>
    <w:p w:rsidR="005C3641" w:rsidRDefault="00E93B06">
      <w:pPr>
        <w:spacing w:before="240" w:after="240"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lastRenderedPageBreak/>
        <w:t>Razones o motivos de inconformidad</w:t>
      </w:r>
      <w:r>
        <w:rPr>
          <w:rFonts w:ascii="Palatino Linotype" w:eastAsia="Palatino Linotype" w:hAnsi="Palatino Linotype" w:cs="Palatino Linotype"/>
          <w:b/>
          <w:sz w:val="22"/>
          <w:szCs w:val="22"/>
        </w:rPr>
        <w:t xml:space="preserve">: </w:t>
      </w:r>
    </w:p>
    <w:p w:rsidR="005C3641" w:rsidRDefault="00E93B06">
      <w:pP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w:t>
      </w:r>
      <w:proofErr w:type="spellStart"/>
      <w:r>
        <w:rPr>
          <w:rFonts w:ascii="Palatino Linotype" w:eastAsia="Palatino Linotype" w:hAnsi="Palatino Linotype" w:cs="Palatino Linotype"/>
          <w:b/>
          <w:i/>
          <w:sz w:val="22"/>
          <w:szCs w:val="22"/>
        </w:rPr>
        <w:t>pidio</w:t>
      </w:r>
      <w:proofErr w:type="spellEnd"/>
      <w:r>
        <w:rPr>
          <w:rFonts w:ascii="Palatino Linotype" w:eastAsia="Palatino Linotype" w:hAnsi="Palatino Linotype" w:cs="Palatino Linotype"/>
          <w:b/>
          <w:i/>
          <w:sz w:val="22"/>
          <w:szCs w:val="22"/>
        </w:rPr>
        <w:t xml:space="preserve"> el sueldo de todos los que la integran, sin mencionarlo</w:t>
      </w:r>
      <w:r>
        <w:rPr>
          <w:rFonts w:ascii="Palatino Linotype" w:eastAsia="Palatino Linotype" w:hAnsi="Palatino Linotype" w:cs="Palatino Linotype"/>
          <w:i/>
          <w:sz w:val="22"/>
          <w:szCs w:val="22"/>
        </w:rPr>
        <w:t xml:space="preserve">, de igual manera no adjuntan el documento que se les </w:t>
      </w:r>
      <w:proofErr w:type="spellStart"/>
      <w:r>
        <w:rPr>
          <w:rFonts w:ascii="Palatino Linotype" w:eastAsia="Palatino Linotype" w:hAnsi="Palatino Linotype" w:cs="Palatino Linotype"/>
          <w:i/>
          <w:sz w:val="22"/>
          <w:szCs w:val="22"/>
        </w:rPr>
        <w:t>pidion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estan</w:t>
      </w:r>
      <w:proofErr w:type="spellEnd"/>
      <w:r>
        <w:rPr>
          <w:rFonts w:ascii="Palatino Linotype" w:eastAsia="Palatino Linotype" w:hAnsi="Palatino Linotype" w:cs="Palatino Linotype"/>
          <w:i/>
          <w:sz w:val="22"/>
          <w:szCs w:val="22"/>
        </w:rPr>
        <w:t xml:space="preserve"> siendo </w:t>
      </w:r>
      <w:proofErr w:type="spellStart"/>
      <w:r>
        <w:rPr>
          <w:rFonts w:ascii="Palatino Linotype" w:eastAsia="Palatino Linotype" w:hAnsi="Palatino Linotype" w:cs="Palatino Linotype"/>
          <w:i/>
          <w:sz w:val="22"/>
          <w:szCs w:val="22"/>
        </w:rPr>
        <w:t>omizos</w:t>
      </w:r>
      <w:proofErr w:type="spellEnd"/>
      <w:r>
        <w:rPr>
          <w:rFonts w:ascii="Palatino Linotype" w:eastAsia="Palatino Linotype" w:hAnsi="Palatino Linotype" w:cs="Palatino Linotype"/>
          <w:i/>
          <w:sz w:val="22"/>
          <w:szCs w:val="22"/>
        </w:rPr>
        <w:t xml:space="preserve"> en entregar la </w:t>
      </w:r>
      <w:proofErr w:type="spellStart"/>
      <w:r>
        <w:rPr>
          <w:rFonts w:ascii="Palatino Linotype" w:eastAsia="Palatino Linotype" w:hAnsi="Palatino Linotype" w:cs="Palatino Linotype"/>
          <w:i/>
          <w:sz w:val="22"/>
          <w:szCs w:val="22"/>
        </w:rPr>
        <w:t>informacion</w:t>
      </w:r>
      <w:proofErr w:type="spellEnd"/>
      <w:r>
        <w:rPr>
          <w:rFonts w:ascii="Palatino Linotype" w:eastAsia="Palatino Linotype" w:hAnsi="Palatino Linotype" w:cs="Palatino Linotype"/>
          <w:i/>
          <w:sz w:val="22"/>
          <w:szCs w:val="22"/>
        </w:rPr>
        <w:t xml:space="preserve"> que fue solicitada." (Sic)</w:t>
      </w:r>
    </w:p>
    <w:p w:rsidR="005C3641" w:rsidRDefault="005C3641">
      <w:pPr>
        <w:spacing w:before="240" w:after="240" w:line="360" w:lineRule="auto"/>
        <w:jc w:val="both"/>
        <w:rPr>
          <w:rFonts w:ascii="Palatino Linotype" w:eastAsia="Palatino Linotype" w:hAnsi="Palatino Linotype" w:cs="Palatino Linotype"/>
          <w:sz w:val="2"/>
          <w:szCs w:val="2"/>
        </w:rPr>
      </w:pP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5C3641" w:rsidRDefault="00E93B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veintiséis de mayo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5C3641" w:rsidRDefault="00E93B0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treinta y uno de mayo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en informe justificado los archivos electrónicos descritos en el siguiente orden: </w:t>
      </w:r>
    </w:p>
    <w:p w:rsidR="005C3641" w:rsidRDefault="00E93B06">
      <w:pPr>
        <w:widowControl w:val="0"/>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asuntos laborales.pdf: </w:t>
      </w:r>
      <w:r>
        <w:rPr>
          <w:rFonts w:ascii="Palatino Linotype" w:eastAsia="Palatino Linotype" w:hAnsi="Palatino Linotype" w:cs="Palatino Linotype"/>
          <w:color w:val="000000"/>
        </w:rPr>
        <w:t xml:space="preserve">Nombramiento emitido el dieciséis de enero de dos mil veintidós por el Director General del OPDM a favor del Jefe del Departamento de Asuntos Laborales. </w:t>
      </w:r>
    </w:p>
    <w:p w:rsidR="005C3641" w:rsidRDefault="00E93B06">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asuntos admtvo.pdf: </w:t>
      </w:r>
      <w:r>
        <w:rPr>
          <w:rFonts w:ascii="Palatino Linotype" w:eastAsia="Palatino Linotype" w:hAnsi="Palatino Linotype" w:cs="Palatino Linotype"/>
          <w:color w:val="000000"/>
        </w:rPr>
        <w:t xml:space="preserve">Nombramiento emitido el primero de enero de dos mil veintidós por el Director General del OPDM a favor del Jefe del Departamento de Asuntos Administrativos. </w:t>
      </w:r>
    </w:p>
    <w:p w:rsidR="005C3641" w:rsidRDefault="00E93B06">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DAFYC RR 8834 SAIMEX 190.pdf: </w:t>
      </w:r>
      <w:r>
        <w:rPr>
          <w:rFonts w:ascii="Palatino Linotype" w:eastAsia="Palatino Linotype" w:hAnsi="Palatino Linotype" w:cs="Palatino Linotype"/>
          <w:color w:val="000000"/>
        </w:rPr>
        <w:t xml:space="preserve">Oficio número OPDM/SA/05-53/2022 de fecha treinta de mayo de dos mil veintidós, suscrito y signado por el Subdirector de Administración, por medio del cual remitió nuevamente la relación del personal adscrito al área jurídica, a la que agregó el sueldo bruto y neto mensual de cada uno de los servidores públicos. </w:t>
      </w:r>
    </w:p>
    <w:p w:rsidR="005C3641" w:rsidRDefault="00E93B06">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17 ENERO 202204919220220314125730.pdf: </w:t>
      </w:r>
      <w:r>
        <w:rPr>
          <w:rFonts w:ascii="Palatino Linotype" w:eastAsia="Palatino Linotype" w:hAnsi="Palatino Linotype" w:cs="Palatino Linotype"/>
          <w:color w:val="000000"/>
        </w:rPr>
        <w:t xml:space="preserve">Poder General para pleitos y cobranzas y actos de administración, que otorga el Organismo Público Descentralizado para la Prestación de los Servicios de Agua Potable, Alcantarillado y Saneamiento del Municipio de Tlalnepantla. </w:t>
      </w:r>
    </w:p>
    <w:p w:rsidR="005C3641" w:rsidRDefault="00E93B06">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JURIDICO RR 8834 SAIMEX 190.pdf: </w:t>
      </w:r>
      <w:r>
        <w:rPr>
          <w:rFonts w:ascii="Palatino Linotype" w:eastAsia="Palatino Linotype" w:hAnsi="Palatino Linotype" w:cs="Palatino Linotype"/>
          <w:color w:val="000000"/>
        </w:rPr>
        <w:t xml:space="preserve">Oficio OPDM/DJ/0516/2022 de fecha treinta de mayo de dos mil veintidós, suscrito y signado por el Director Jurídico, por medio del cual remite el nombre de los apoderados legales del Organismo, ratificando la respuesta inicial. </w:t>
      </w:r>
    </w:p>
    <w:p w:rsidR="005C3641" w:rsidRDefault="00E93B06">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nombramiento ugalde.pdf: </w:t>
      </w:r>
      <w:r>
        <w:rPr>
          <w:rFonts w:ascii="Palatino Linotype" w:eastAsia="Palatino Linotype" w:hAnsi="Palatino Linotype" w:cs="Palatino Linotype"/>
          <w:color w:val="000000"/>
        </w:rPr>
        <w:t xml:space="preserve">Contiene el nombramiento expedido por el Director General del OPDM el uno de enero de dos mil veintidós, a favor del </w:t>
      </w:r>
      <w:r>
        <w:rPr>
          <w:rFonts w:ascii="Palatino Linotype" w:eastAsia="Palatino Linotype" w:hAnsi="Palatino Linotype" w:cs="Palatino Linotype"/>
          <w:color w:val="000000"/>
        </w:rPr>
        <w:lastRenderedPageBreak/>
        <w:t xml:space="preserve">Director Jurídico del Organismo. </w:t>
      </w:r>
    </w:p>
    <w:p w:rsidR="005C3641" w:rsidRDefault="00E93B06">
      <w:pPr>
        <w:widowControl w:val="0"/>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3 ENERO 202204919020220314125617.pdf. </w:t>
      </w:r>
      <w:r>
        <w:rPr>
          <w:rFonts w:ascii="Palatino Linotype" w:eastAsia="Palatino Linotype" w:hAnsi="Palatino Linotype" w:cs="Palatino Linotype"/>
          <w:color w:val="000000"/>
        </w:rPr>
        <w:t>Poder General para pleitos y cobranzas y actos de administración, que otorga el Organismo Público Descentralizado para la Prestación de los Servicios de Agua Potable, Alcantarillado y Saneamiento del Municipio de Tlalnepantla.</w:t>
      </w:r>
    </w:p>
    <w:p w:rsidR="005C3641" w:rsidRDefault="00E93B06">
      <w:pPr>
        <w:widowControl w:val="0"/>
        <w:spacing w:before="240" w:after="240"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once de octubre de dos mil veintidós. </w:t>
      </w:r>
    </w:p>
    <w:p w:rsidR="005C3641" w:rsidRDefault="00E93B06">
      <w:pPr>
        <w:widowControl w:val="0"/>
        <w:spacing w:before="240" w:after="240"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ofreció algún medio de prueba y no formuló alegatos para manifestar lo que a su derecho asistiera y conviniera. </w:t>
      </w:r>
    </w:p>
    <w:p w:rsidR="005C3641" w:rsidRDefault="00E93B0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once de octubre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C3641" w:rsidRDefault="00E93B06">
      <w:pPr>
        <w:spacing w:before="240" w:after="240"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5C3641" w:rsidRDefault="00E93B0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5C3641" w:rsidRDefault="00E93B0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5C3641" w:rsidRDefault="00E93B0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5C3641" w:rsidRDefault="00E93B06">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3641" w:rsidRDefault="00E93B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diecisiete de octubre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5C3641" w:rsidRDefault="00E93B06">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rsidR="005C3641" w:rsidRDefault="00E93B0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C3641" w:rsidRDefault="00E93B06">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veintitrés de mayo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veintitrés de mayo de dos mil veintidós</w:t>
      </w:r>
      <w:r>
        <w:rPr>
          <w:rFonts w:ascii="Palatino Linotype" w:eastAsia="Palatino Linotype" w:hAnsi="Palatino Linotype" w:cs="Palatino Linotype"/>
        </w:rPr>
        <w:t xml:space="preserve">, esto es, el mismo día hábil en el que tuvo conocimiento de la respuesta. </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5C3641" w:rsidRDefault="00E93B06">
      <w:pPr>
        <w:pBdr>
          <w:top w:val="nil"/>
          <w:left w:val="nil"/>
          <w:bottom w:val="nil"/>
          <w:right w:val="nil"/>
          <w:between w:val="nil"/>
        </w:pBdr>
        <w:spacing w:before="120" w:after="120"/>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rsidR="005C3641" w:rsidRDefault="00E93B06">
      <w:pPr>
        <w:pBdr>
          <w:top w:val="nil"/>
          <w:left w:val="nil"/>
          <w:bottom w:val="nil"/>
          <w:right w:val="nil"/>
          <w:between w:val="nil"/>
        </w:pBdr>
        <w:spacing w:before="120" w:after="120"/>
        <w:ind w:left="851" w:right="902"/>
        <w:jc w:val="both"/>
        <w:rPr>
          <w:color w:val="000000"/>
        </w:rPr>
      </w:pPr>
      <w:r>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C3641" w:rsidRDefault="00E93B06">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Por otro lado, es de suma importancia mencionar que, si bien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proporcionó nombre  </w:t>
      </w:r>
      <w:r>
        <w:rPr>
          <w:rFonts w:ascii="Palatino Linotype" w:eastAsia="Palatino Linotype" w:hAnsi="Palatino Linotype" w:cs="Palatino Linotype"/>
          <w:color w:val="222222"/>
        </w:rPr>
        <w:t xml:space="preserve">como se advierte en el detalle de seguimiento del SAIMEX, sin embargo, el no proporcionar un nombre no es motivo para archivar la solicitud de </w:t>
      </w:r>
      <w:r>
        <w:rPr>
          <w:rFonts w:ascii="Palatino Linotype" w:eastAsia="Palatino Linotype" w:hAnsi="Palatino Linotype" w:cs="Palatino Linotype"/>
          <w:color w:val="222222"/>
        </w:rPr>
        <w:lastRenderedPageBreak/>
        <w:t>acceso a la información pública como concluida, conforme a lo previsto en el artículo 155, penúltimo párrafo de la Ley de Transparencia y Acceso a la Información Pública del Estado de México y Municipios que establece lo siguiente:</w:t>
      </w:r>
    </w:p>
    <w:p w:rsidR="005C3641" w:rsidRDefault="00E93B06">
      <w:pPr>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rsidR="005C3641" w:rsidRDefault="005C3641"/>
    <w:p w:rsidR="005C3641" w:rsidRDefault="00E93B06">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Pr>
          <w:rFonts w:ascii="Palatino Linotype" w:eastAsia="Palatino Linotype" w:hAnsi="Palatino Linotype" w:cs="Palatino Linotype"/>
          <w:b/>
        </w:rPr>
        <w:t xml:space="preserve"> SAIMEX.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5C3641" w:rsidRDefault="00E93B06">
      <w:pPr>
        <w:tabs>
          <w:tab w:val="left" w:pos="7088"/>
        </w:tabs>
        <w:spacing w:before="240" w:after="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C3641" w:rsidRDefault="00E93B06">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5C3641" w:rsidRDefault="00E93B06">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xml:space="preserve">;  </w:t>
      </w:r>
    </w:p>
    <w:p w:rsidR="005C3641" w:rsidRDefault="00E93B06">
      <w:pPr>
        <w:tabs>
          <w:tab w:val="left" w:pos="7088"/>
        </w:tabs>
        <w:spacing w:before="240" w:after="24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5C3641" w:rsidRDefault="00E93B06">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 xml:space="preserve">TERCERO. </w:t>
      </w:r>
      <w:r>
        <w:rPr>
          <w:rFonts w:ascii="Palatino Linotype" w:eastAsia="Palatino Linotype" w:hAnsi="Palatino Linotype" w:cs="Palatino Linotype"/>
          <w:b/>
          <w:color w:val="222222"/>
          <w:highlight w:val="white"/>
        </w:rPr>
        <w:t>Análisis de la causal de sobreseimiento.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 xml:space="preserve">Derivado de los documentos enviados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etapa correspondiente a las manifestaciones, conviene analizar las causas de sobreseimiento que establece la Ley de Transparencia y Acceso a la Información Pública del Estado de México y Municipios bajo los argumentos siguientes.</w:t>
      </w:r>
    </w:p>
    <w:p w:rsidR="005C3641" w:rsidRDefault="00E93B0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primer término, resulta conveniente reiterar que el entonces solicitante requirió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del área jurídica la siguiente información: </w:t>
      </w:r>
    </w:p>
    <w:p w:rsidR="005C3641" w:rsidRDefault="005C364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1. Nombre del personal adscrito;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2. Fecha de ingreso y/o fecha de baja;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3. Puesto;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4. Apoderados y documento que los acredita;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5. Nombre del jefe jerárquico;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6. Sueldo bruto y neto;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7. Fecha que acrediten con nombramiento;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8. Adscripción; y, </w:t>
      </w:r>
    </w:p>
    <w:p w:rsidR="005C3641" w:rsidRDefault="00E9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9. Lugar físico de actividades. </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oficio suscrito por el Subdirector de Administración por entregó la relación del personal adscrito a la Dirección Jurídica de ese Organismo, en la que se advierte el nombre, fecha de alta, </w:t>
      </w:r>
      <w:r>
        <w:rPr>
          <w:rFonts w:ascii="Palatino Linotype" w:eastAsia="Palatino Linotype" w:hAnsi="Palatino Linotype" w:cs="Palatino Linotype"/>
        </w:rPr>
        <w:lastRenderedPageBreak/>
        <w:t>puesto y departamento: del mismo modo, informó el nombre del Jefe Jerárquico; así como su sueldo bruto y neto mensual; documento que para mayor referencia se inserta en el presente.</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970" cy="4410328"/>
            <wp:effectExtent l="12700" t="12700" r="12700" b="127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81970" cy="4410328"/>
                    </a:xfrm>
                    <a:prstGeom prst="rect">
                      <a:avLst/>
                    </a:prstGeom>
                    <a:ln w="12700">
                      <a:solidFill>
                        <a:srgbClr val="000000"/>
                      </a:solidFill>
                      <a:prstDash val="solid"/>
                    </a:ln>
                  </pic:spPr>
                </pic:pic>
              </a:graphicData>
            </a:graphic>
          </wp:inline>
        </w:drawing>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el oficio que emitió el Director Jurídico en el que refirió el nombre de los Servidores Públicos a los que se otorgó poder general para pleitos y cobranzas, tal como se aprecia a continuación. </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58121" cy="5505749"/>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458121" cy="5505749"/>
                    </a:xfrm>
                    <a:prstGeom prst="rect">
                      <a:avLst/>
                    </a:prstGeom>
                    <a:ln/>
                  </pic:spPr>
                </pic:pic>
              </a:graphicData>
            </a:graphic>
          </wp:inline>
        </w:drawing>
      </w:r>
    </w:p>
    <w:p w:rsidR="005C3641" w:rsidRDefault="00E93B06">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458589" cy="6649381"/>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58589" cy="6649381"/>
                    </a:xfrm>
                    <a:prstGeom prst="rect">
                      <a:avLst/>
                    </a:prstGeom>
                    <a:ln/>
                  </pic:spPr>
                </pic:pic>
              </a:graphicData>
            </a:graphic>
          </wp:inline>
        </w:drawing>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Pronunciamiento al que agregó la versión pública del Poder General para pleitos y cobranzas y actos de administración, que otorga el Organismo Público Descentralizado para la Prestación de los Servicios de Agua Potable, Alcantarillado y Saneamiento del Municipio de Tlalnepantla a favor de Luis Diego Pérez Arciniega, Ricardo Antonio Rico Quiroz y </w:t>
      </w:r>
      <w:proofErr w:type="spellStart"/>
      <w:r>
        <w:rPr>
          <w:rFonts w:ascii="Palatino Linotype" w:eastAsia="Palatino Linotype" w:hAnsi="Palatino Linotype" w:cs="Palatino Linotype"/>
        </w:rPr>
        <w:t>Miroslava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Margoth</w:t>
      </w:r>
      <w:proofErr w:type="spellEnd"/>
      <w:r>
        <w:rPr>
          <w:rFonts w:ascii="Palatino Linotype" w:eastAsia="Palatino Linotype" w:hAnsi="Palatino Linotype" w:cs="Palatino Linotype"/>
        </w:rPr>
        <w:t xml:space="preserve"> Arenas Valencia. </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el Acta de la Quinta Sesión Ordinaria del Comité de Transparencia de fecha dieciocho de mayo de dos mil veintidós que contiene el Acuerdo CT/06/05-SO/2022 en el que se confirmó por unanimidad de votos la versión pública del Instrumento Notarial del tres de enero de dos mil veintidós.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conoció 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interpuso el presente medio de impugnación en el que manifestó como razones o motivos de inconformidad sustancialmente por la entrega de información incompleta, ya que no entregó el sueldo del personal adscrito al área jurídica, refiere que adjunta documentación sin agregarla y no adjunta el documento solicitado. </w:t>
      </w:r>
    </w:p>
    <w:p w:rsidR="005C3641" w:rsidRDefault="00E93B06">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de los motivos de inconformidad se desprende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se inconformó sobre el nombre, fecha de ingreso, puesto, área de adscripción y lugar físico de las actividades del personal adscrito a la Dirección Jurídica; así como, no manifestó inconformidad sobre el nombre del jefe jerárquico ni el sueldo bruto y neto de este. </w:t>
      </w:r>
    </w:p>
    <w:p w:rsidR="005C3641" w:rsidRDefault="00E93B06">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entendido cuando se impugna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5C3641" w:rsidRDefault="00E93B06">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rsidR="005C3641" w:rsidRDefault="00E93B0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C3641" w:rsidRDefault="005C3641">
      <w:pPr>
        <w:spacing w:line="360" w:lineRule="auto"/>
        <w:jc w:val="both"/>
        <w:rPr>
          <w:rFonts w:ascii="Palatino Linotype" w:eastAsia="Palatino Linotype" w:hAnsi="Palatino Linotype" w:cs="Palatino Linotype"/>
        </w:rPr>
      </w:pPr>
    </w:p>
    <w:p w:rsidR="005C3641" w:rsidRDefault="00E93B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el estudio en el presente asunto, versará sobre el análisis de los puntos sobre los cuales se inconformó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momento de interponer el Medio de Impugnación. </w: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este contexto, es importante enfatizar que si bien,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omitió entregar la versión pública de uno de los instrumentos notariales, el sueldo bruto y neto del personal adscrito a la Dirección Jurídica y los nombramientos que refirió en respuesta,  también lo es, que en ejercicio de su derecho, mediante informe justificado, entregó documentales que es procedente analizar con el objeto de determinar si se colman los requerimientos sobre los cuales se inconformó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al momento de interponer el recurso de revisión de mérito.  </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En primer lugar, </w:t>
      </w:r>
      <w:r>
        <w:rPr>
          <w:rFonts w:ascii="Palatino Linotype" w:eastAsia="Palatino Linotype" w:hAnsi="Palatino Linotype" w:cs="Palatino Linotype"/>
        </w:rPr>
        <w:t>resulta de suma importancia invocar el contenido de los artículos 162, 163, 164 y 165 de la Ley de Transparencia y Acceso a la Información Pública del Estado de México y Municipios, que rezan así:</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163.</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Unidad de Transparencia deberá notificar la respuesta a la solicitud al interesado en el menor tiempo posible</w:t>
      </w:r>
      <w:r>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cualquier caso, se deberá fundar y motivar la necesidad de ofrecer otras modalidades.  </w:t>
      </w:r>
    </w:p>
    <w:p w:rsidR="005C3641" w:rsidRDefault="00E93B0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w:t>
      </w:r>
      <w:r>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cuerpo normativo transcrito, se advierte que las unidades de transparencia deberán garantizar que las solicitudes se turnen a todas las áreas que cuenten con </w:t>
      </w:r>
      <w:r>
        <w:rPr>
          <w:rFonts w:ascii="Palatino Linotype" w:eastAsia="Palatino Linotype" w:hAnsi="Palatino Linotype" w:cs="Palatino Linotype"/>
        </w:rPr>
        <w:lastRenderedPageBreak/>
        <w:t>la información o que deban tenerla de acuerdo a sus facultades, competencias o funciones.</w:t>
      </w:r>
    </w:p>
    <w:p w:rsidR="005C3641" w:rsidRDefault="00E93B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Siendo la Unidad de Transparencia la responsable de hacer las notificaciones correspondientes, además de llevar a cabo todo las gestiones necesarias para facilitar el acceso a la información.</w:t>
      </w: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contexto, por cuanto hace al sueldo del personal adscrito a la Dirección Jurídica, es de insistir que, en respuesta a la solicitud de información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entregó la relación del personal adscrito a la Dirección Jurídica en la que detalló el nombre completo, fecha de alta, puesto y departamento; no obstante, omitió entregar el sueldo de los servidores públicos. </w: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una vez interpuesto el recurso de revisión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en informe justificado el oficio suscrito por el Subdirector de Administración quien informó sobre  el sueldo bruto y neto mensual de cada uno de los servidores públicos adscritos a la Dirección Jurídica, tal como se advierte en imagen que a continuación se inserta. </w:t>
      </w: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612130" cy="2905125"/>
            <wp:effectExtent l="12700" t="12700" r="12700" b="1270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12130" cy="2905125"/>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4356100</wp:posOffset>
                </wp:positionH>
                <wp:positionV relativeFrom="paragraph">
                  <wp:posOffset>12700</wp:posOffset>
                </wp:positionV>
                <wp:extent cx="1047750" cy="2609850"/>
                <wp:effectExtent l="0" t="0" r="0" b="0"/>
                <wp:wrapNone/>
                <wp:docPr id="31" name="Rectángulo 31"/>
                <wp:cNvGraphicFramePr/>
                <a:graphic xmlns:a="http://schemas.openxmlformats.org/drawingml/2006/main">
                  <a:graphicData uri="http://schemas.microsoft.com/office/word/2010/wordprocessingShape">
                    <wps:wsp>
                      <wps:cNvSpPr/>
                      <wps:spPr>
                        <a:xfrm>
                          <a:off x="4836413" y="2489363"/>
                          <a:ext cx="1019175" cy="2581275"/>
                        </a:xfrm>
                        <a:prstGeom prst="rect">
                          <a:avLst/>
                        </a:prstGeom>
                        <a:noFill/>
                        <a:ln w="28575" cap="flat" cmpd="sng">
                          <a:solidFill>
                            <a:srgbClr val="FF0000"/>
                          </a:solidFill>
                          <a:prstDash val="solid"/>
                          <a:round/>
                          <a:headEnd type="none" w="sm" len="sm"/>
                          <a:tailEnd type="none" w="sm" len="sm"/>
                        </a:ln>
                      </wps:spPr>
                      <wps:txbx>
                        <w:txbxContent>
                          <w:p w:rsidR="005C3641" w:rsidRDefault="005C3641">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12700</wp:posOffset>
                </wp:positionV>
                <wp:extent cx="1047750" cy="2609850"/>
                <wp:effectExtent b="0" l="0" r="0" t="0"/>
                <wp:wrapNone/>
                <wp:docPr id="31"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047750" cy="2609850"/>
                        </a:xfrm>
                        <a:prstGeom prst="rect"/>
                        <a:ln/>
                      </pic:spPr>
                    </pic:pic>
                  </a:graphicData>
                </a:graphic>
              </wp:anchor>
            </w:drawing>
          </mc:Fallback>
        </mc:AlternateContent>
      </w:r>
    </w:p>
    <w:p w:rsidR="005C3641" w:rsidRDefault="00E93B06">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referir que de conformidad con dispuesto en el Manual de Organización del </w:t>
      </w:r>
      <w:r>
        <w:rPr>
          <w:rFonts w:ascii="Palatino Linotype" w:eastAsia="Palatino Linotype" w:hAnsi="Palatino Linotype" w:cs="Palatino Linotype"/>
        </w:rPr>
        <w:t>Organismo Público Descentralizado para la Prestación de Los Servicios de Agua Potable Alcantarillado y Saneamiento del Municipio de Tlalnepantla de Baz</w:t>
      </w:r>
      <w:r>
        <w:rPr>
          <w:rFonts w:ascii="Palatino Linotype" w:eastAsia="Palatino Linotype" w:hAnsi="Palatino Linotype" w:cs="Palatino Linotype"/>
          <w:color w:val="000000"/>
        </w:rPr>
        <w:t xml:space="preserve">, corresponden a la Subdirección de Administración las siguientes funciones: </w:t>
      </w: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612130" cy="4702175"/>
            <wp:effectExtent l="12700" t="12700" r="12700" b="1270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4702175"/>
                    </a:xfrm>
                    <a:prstGeom prst="rect">
                      <a:avLst/>
                    </a:prstGeom>
                    <a:ln w="12700">
                      <a:solidFill>
                        <a:srgbClr val="000000"/>
                      </a:solidFill>
                      <a:prstDash val="solid"/>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342900</wp:posOffset>
                </wp:positionH>
                <wp:positionV relativeFrom="paragraph">
                  <wp:posOffset>3035300</wp:posOffset>
                </wp:positionV>
                <wp:extent cx="9525" cy="25400"/>
                <wp:effectExtent l="0" t="0" r="0" b="0"/>
                <wp:wrapNone/>
                <wp:docPr id="33" name="Conector recto de flecha 33"/>
                <wp:cNvGraphicFramePr/>
                <a:graphic xmlns:a="http://schemas.openxmlformats.org/drawingml/2006/main">
                  <a:graphicData uri="http://schemas.microsoft.com/office/word/2010/wordprocessingShape">
                    <wps:wsp>
                      <wps:cNvCnPr/>
                      <wps:spPr>
                        <a:xfrm>
                          <a:off x="3993450" y="3775238"/>
                          <a:ext cx="2705100"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3035300</wp:posOffset>
                </wp:positionV>
                <wp:extent cx="9525" cy="25400"/>
                <wp:effectExtent b="0" l="0" r="0" t="0"/>
                <wp:wrapNone/>
                <wp:docPr id="33"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9525" cy="25400"/>
                        </a:xfrm>
                        <a:prstGeom prst="rect"/>
                        <a:ln/>
                      </pic:spPr>
                    </pic:pic>
                  </a:graphicData>
                </a:graphic>
              </wp:anchor>
            </w:drawing>
          </mc:Fallback>
        </mc:AlternateContent>
      </w:r>
      <w:r>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444500</wp:posOffset>
                </wp:positionH>
                <wp:positionV relativeFrom="paragraph">
                  <wp:posOffset>3721100</wp:posOffset>
                </wp:positionV>
                <wp:extent cx="0" cy="25400"/>
                <wp:effectExtent l="0" t="0" r="0" b="0"/>
                <wp:wrapNone/>
                <wp:docPr id="32" name="Conector recto de flecha 32"/>
                <wp:cNvGraphicFramePr/>
                <a:graphic xmlns:a="http://schemas.openxmlformats.org/drawingml/2006/main">
                  <a:graphicData uri="http://schemas.microsoft.com/office/word/2010/wordprocessingShape">
                    <wps:wsp>
                      <wps:cNvCnPr/>
                      <wps:spPr>
                        <a:xfrm>
                          <a:off x="2831400" y="3780000"/>
                          <a:ext cx="5029200" cy="0"/>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3721100</wp:posOffset>
                </wp:positionV>
                <wp:extent cx="0" cy="25400"/>
                <wp:effectExtent b="0" l="0" r="0" t="0"/>
                <wp:wrapNone/>
                <wp:docPr id="3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entendido, del precepto normativo previamente citado se concluye que el Subdirector de Administración es el Servidor Público que de acuerdo a sus </w:t>
      </w:r>
      <w:r>
        <w:rPr>
          <w:rFonts w:ascii="Palatino Linotype" w:eastAsia="Palatino Linotype" w:hAnsi="Palatino Linotype" w:cs="Palatino Linotype"/>
        </w:rPr>
        <w:t>facultades</w:t>
      </w:r>
      <w:r>
        <w:rPr>
          <w:rFonts w:ascii="Palatino Linotype" w:eastAsia="Palatino Linotype" w:hAnsi="Palatino Linotype" w:cs="Palatino Linotype"/>
          <w:color w:val="000000"/>
        </w:rPr>
        <w:t xml:space="preserve"> competencias y funciones puede o debe generar la documentación en la que conste el sueldo bruto y neto mensual de los </w:t>
      </w:r>
      <w:r>
        <w:rPr>
          <w:rFonts w:ascii="Palatino Linotype" w:eastAsia="Palatino Linotype" w:hAnsi="Palatino Linotype" w:cs="Palatino Linotype"/>
        </w:rPr>
        <w:t>servidores</w:t>
      </w:r>
      <w:r>
        <w:rPr>
          <w:rFonts w:ascii="Palatino Linotype" w:eastAsia="Palatino Linotype" w:hAnsi="Palatino Linotype" w:cs="Palatino Linotype"/>
          <w:color w:val="000000"/>
        </w:rPr>
        <w:t xml:space="preserve"> públicos. </w:t>
      </w:r>
    </w:p>
    <w:p w:rsidR="005C3641" w:rsidRDefault="00E93B0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este Organismo Garante tiene por satisfecho el requerimiento de información relativo al sueldo del personal adscrito a la Dirección Jurídica, toda vez que el Servidor Público que atendió el requerimiento es competente para generar, administrar y poseer la información pública solicitada. </w:t>
      </w: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en relación al documento que acredita a los apoderados legales de la Dirección Jurídica, es oportuno precisar que tanto en respuesta como en informe justificado el Director Jurídico dio a  conocer los nombres de las personas a las que se les </w:t>
      </w:r>
      <w:r>
        <w:rPr>
          <w:rFonts w:ascii="Palatino Linotype" w:eastAsia="Palatino Linotype" w:hAnsi="Palatino Linotype" w:cs="Palatino Linotype"/>
        </w:rPr>
        <w:t>otorgó</w:t>
      </w:r>
      <w:r>
        <w:rPr>
          <w:rFonts w:ascii="Palatino Linotype" w:eastAsia="Palatino Linotype" w:hAnsi="Palatino Linotype" w:cs="Palatino Linotype"/>
          <w:color w:val="000000"/>
        </w:rPr>
        <w:t xml:space="preserve"> un Poder General par Pleitos y Cobranzas y Actos de Administración tal como se aprecia en la siguiente imagen. </w: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2130" cy="3238500"/>
            <wp:effectExtent l="19050" t="19050" r="19050" b="19050"/>
            <wp:docPr id="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612130" cy="3238500"/>
                    </a:xfrm>
                    <a:prstGeom prst="rect">
                      <a:avLst/>
                    </a:prstGeom>
                    <a:ln w="19050">
                      <a:solidFill>
                        <a:srgbClr val="000000"/>
                      </a:solidFill>
                      <a:prstDash val="solid"/>
                    </a:ln>
                  </pic:spPr>
                </pic:pic>
              </a:graphicData>
            </a:graphic>
          </wp:inline>
        </w:drawing>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Bajo este contexto, del propio pronunciamiento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advierte el nombre de ocho apoderados legales del </w:t>
      </w:r>
      <w:r>
        <w:rPr>
          <w:rFonts w:ascii="Palatino Linotype" w:eastAsia="Palatino Linotype" w:hAnsi="Palatino Linotype" w:cs="Palatino Linotype"/>
        </w:rPr>
        <w:t xml:space="preserve">Organismo Público Descentralizado para la Prestación de Los Servicios de Agua Potable Alcantarillado y Saneamiento del Municipio de Tlalnepantla de Baz; personalidad que tienen acreditada  en los Instrumentos notariales referidos tanto en respuesta como en informe justificado; no obstante, es de insistir que en respuesta a la solicitud de información únicamente se remitió el Instrumento Notarial Tres Mil Setecientos Ochenta y Uno en el que se Otorga Poder General  a favor de Luis diego </w:t>
      </w:r>
      <w:proofErr w:type="spellStart"/>
      <w:r>
        <w:rPr>
          <w:rFonts w:ascii="Palatino Linotype" w:eastAsia="Palatino Linotype" w:hAnsi="Palatino Linotype" w:cs="Palatino Linotype"/>
        </w:rPr>
        <w:t>Perez</w:t>
      </w:r>
      <w:proofErr w:type="spellEnd"/>
      <w:r>
        <w:rPr>
          <w:rFonts w:ascii="Palatino Linotype" w:eastAsia="Palatino Linotype" w:hAnsi="Palatino Linotype" w:cs="Palatino Linotype"/>
        </w:rPr>
        <w:t xml:space="preserve"> Arciniega, Ricardo Antonio Rico Quiroz y </w:t>
      </w:r>
      <w:proofErr w:type="spellStart"/>
      <w:r>
        <w:rPr>
          <w:rFonts w:ascii="Palatino Linotype" w:eastAsia="Palatino Linotype" w:hAnsi="Palatino Linotype" w:cs="Palatino Linotype"/>
        </w:rPr>
        <w:t>Miroslava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Margoth</w:t>
      </w:r>
      <w:proofErr w:type="spellEnd"/>
      <w:r>
        <w:rPr>
          <w:rFonts w:ascii="Palatino Linotype" w:eastAsia="Palatino Linotype" w:hAnsi="Palatino Linotype" w:cs="Palatino Linotype"/>
        </w:rPr>
        <w:t xml:space="preserve"> Arenas Valencia. </w:t>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haciendo uso de su derecho, mediante informe justificado entregó tanto el documento remitido en respuesta como la versión pública del Instrumento Notarial Tres Mil Setecientos Sesenta y Cinco, por medio del cual se lo otorgó a Armando Ugalde López, Israel López Romero, Gloria Vanessa Cortés </w:t>
      </w:r>
      <w:proofErr w:type="spellStart"/>
      <w:r>
        <w:rPr>
          <w:rFonts w:ascii="Palatino Linotype" w:eastAsia="Palatino Linotype" w:hAnsi="Palatino Linotype" w:cs="Palatino Linotype"/>
        </w:rPr>
        <w:t>Cortés</w:t>
      </w:r>
      <w:proofErr w:type="spellEnd"/>
      <w:r>
        <w:rPr>
          <w:rFonts w:ascii="Palatino Linotype" w:eastAsia="Palatino Linotype" w:hAnsi="Palatino Linotype" w:cs="Palatino Linotype"/>
        </w:rPr>
        <w:t xml:space="preserve">, Marco Emmanuel Medina Amador y César Orlando Méndez </w:t>
      </w:r>
      <w:proofErr w:type="spellStart"/>
      <w:r>
        <w:rPr>
          <w:rFonts w:ascii="Palatino Linotype" w:eastAsia="Palatino Linotype" w:hAnsi="Palatino Linotype" w:cs="Palatino Linotype"/>
        </w:rPr>
        <w:t>Benhumea</w:t>
      </w:r>
      <w:proofErr w:type="spellEnd"/>
      <w:r>
        <w:rPr>
          <w:rFonts w:ascii="Palatino Linotype" w:eastAsia="Palatino Linotype" w:hAnsi="Palatino Linotype" w:cs="Palatino Linotype"/>
        </w:rPr>
        <w:t xml:space="preserve">, Poder General para Pleitos y Cobranzas y Actos de Administración; documento del cual se inserta la primera página para mayor referencia. </w: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296227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2130" cy="2962275"/>
                    </a:xfrm>
                    <a:prstGeom prst="rect">
                      <a:avLst/>
                    </a:prstGeom>
                    <a:ln/>
                  </pic:spPr>
                </pic:pic>
              </a:graphicData>
            </a:graphic>
          </wp:inline>
        </w:drawing>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 en el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clasificó como información confidencial el Registro Federal de Contribuyentes (RFC), domicilio particular, nacionalidad, fecha de nacimiento, estado civil, Clave Única de Registro de Población (CURP)  y lugar de nacimiento de los apoderados legales; versión pública que se sustentó en el Acuerdo CT/06/05-SO/2022 en el Acta de la Quinta Sesión Ordinaria del Comité de Transparencia, de fecha dieciocho de mayo de dos mil veintidós y entregada en respuesta a la solicitud de información, tal como se aprecia en la siguiente imagen: </w:t>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612130" cy="372364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12130" cy="3723640"/>
                    </a:xfrm>
                    <a:prstGeom prst="rect">
                      <a:avLst/>
                    </a:prstGeom>
                    <a:ln/>
                  </pic:spPr>
                </pic:pic>
              </a:graphicData>
            </a:graphic>
          </wp:inline>
        </w:drawing>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es importante citar, que de conformidad con lo dispuesto en el Manual de Organización del Sujeto Obligado, corresponde a la Dirección Jurídica, lo siguiente: </w:t>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612130" cy="4791075"/>
            <wp:effectExtent l="19050" t="19050" r="19050" b="1905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2130" cy="4791075"/>
                    </a:xfrm>
                    <a:prstGeom prst="rect">
                      <a:avLst/>
                    </a:prstGeom>
                    <a:ln w="1905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431800</wp:posOffset>
                </wp:positionH>
                <wp:positionV relativeFrom="paragraph">
                  <wp:posOffset>800100</wp:posOffset>
                </wp:positionV>
                <wp:extent cx="4962525" cy="819150"/>
                <wp:effectExtent l="0" t="0" r="0" b="0"/>
                <wp:wrapNone/>
                <wp:docPr id="34" name="Rectángulo 34"/>
                <wp:cNvGraphicFramePr/>
                <a:graphic xmlns:a="http://schemas.openxmlformats.org/drawingml/2006/main">
                  <a:graphicData uri="http://schemas.microsoft.com/office/word/2010/wordprocessingShape">
                    <wps:wsp>
                      <wps:cNvSpPr/>
                      <wps:spPr>
                        <a:xfrm>
                          <a:off x="2869500" y="3375188"/>
                          <a:ext cx="4953000" cy="809625"/>
                        </a:xfrm>
                        <a:prstGeom prst="rect">
                          <a:avLst/>
                        </a:prstGeom>
                        <a:noFill/>
                        <a:ln w="9525" cap="flat" cmpd="sng">
                          <a:solidFill>
                            <a:srgbClr val="FF0000"/>
                          </a:solidFill>
                          <a:prstDash val="solid"/>
                          <a:round/>
                          <a:headEnd type="none" w="sm" len="sm"/>
                          <a:tailEnd type="none" w="sm" len="sm"/>
                        </a:ln>
                      </wps:spPr>
                      <wps:txbx>
                        <w:txbxContent>
                          <w:p w:rsidR="005C3641" w:rsidRDefault="005C3641">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800100</wp:posOffset>
                </wp:positionV>
                <wp:extent cx="4962525" cy="819150"/>
                <wp:effectExtent b="0" l="0" r="0" t="0"/>
                <wp:wrapNone/>
                <wp:docPr id="34"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4962525" cy="819150"/>
                        </a:xfrm>
                        <a:prstGeom prst="rect"/>
                        <a:ln/>
                      </pic:spPr>
                    </pic:pic>
                  </a:graphicData>
                </a:graphic>
              </wp:anchor>
            </w:drawing>
          </mc:Fallback>
        </mc:AlternateConten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Ordenamiento jurídico del que se desprende que el Director Jurídico es el Servidor Público Habilitado competente para generar, administrar y poseer la documentación que acredite el poder otorgado a las personas referidas en respuesta a la solicitud de información, teniéndose por colmado el punto relativo al </w:t>
      </w:r>
      <w:r>
        <w:rPr>
          <w:rFonts w:ascii="Palatino Linotype" w:eastAsia="Palatino Linotype" w:hAnsi="Palatino Linotype" w:cs="Palatino Linotype"/>
          <w:color w:val="000000"/>
        </w:rPr>
        <w:lastRenderedPageBreak/>
        <w:t xml:space="preserve">documento que acredite la personalidad de los apoderados legales designados por el </w:t>
      </w:r>
      <w:r>
        <w:rPr>
          <w:rFonts w:ascii="Palatino Linotype" w:eastAsia="Palatino Linotype" w:hAnsi="Palatino Linotype" w:cs="Palatino Linotype"/>
          <w:b/>
          <w:color w:val="000000"/>
        </w:rPr>
        <w:t xml:space="preserve">SUJETO OBLIGADO. </w:t>
      </w:r>
    </w:p>
    <w:p w:rsidR="005C3641" w:rsidRDefault="005C364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en relación a los  nombramientos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refirió en respuesta y sobre los cuales se inconformó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al señalar como acto </w:t>
      </w:r>
      <w:proofErr w:type="spellStart"/>
      <w:r>
        <w:rPr>
          <w:rFonts w:ascii="Palatino Linotype" w:eastAsia="Palatino Linotype" w:hAnsi="Palatino Linotype" w:cs="Palatino Linotype"/>
          <w:color w:val="000000"/>
        </w:rPr>
        <w:t>impugano</w:t>
      </w:r>
      <w:proofErr w:type="spellEnd"/>
      <w:r>
        <w:rPr>
          <w:rFonts w:ascii="Palatino Linotype" w:eastAsia="Palatino Linotype" w:hAnsi="Palatino Linotype" w:cs="Palatino Linotype"/>
          <w:color w:val="000000"/>
        </w:rPr>
        <w:t xml:space="preserve"> que “</w:t>
      </w:r>
      <w:r>
        <w:rPr>
          <w:rFonts w:ascii="Palatino Linotype" w:eastAsia="Palatino Linotype" w:hAnsi="Palatino Linotype" w:cs="Palatino Linotype"/>
          <w:i/>
          <w:color w:val="000000"/>
        </w:rPr>
        <w:t xml:space="preserve">refiere que adjunta </w:t>
      </w:r>
      <w:proofErr w:type="spellStart"/>
      <w:r>
        <w:rPr>
          <w:rFonts w:ascii="Palatino Linotype" w:eastAsia="Palatino Linotype" w:hAnsi="Palatino Linotype" w:cs="Palatino Linotype"/>
          <w:i/>
          <w:color w:val="000000"/>
        </w:rPr>
        <w:t>documentacion</w:t>
      </w:r>
      <w:proofErr w:type="spellEnd"/>
      <w:r>
        <w:rPr>
          <w:rFonts w:ascii="Palatino Linotype" w:eastAsia="Palatino Linotype" w:hAnsi="Palatino Linotype" w:cs="Palatino Linotype"/>
          <w:i/>
          <w:color w:val="000000"/>
        </w:rPr>
        <w:t xml:space="preserve"> sin agregarla”, </w:t>
      </w:r>
      <w:r>
        <w:rPr>
          <w:rFonts w:ascii="Palatino Linotype" w:eastAsia="Palatino Linotype" w:hAnsi="Palatino Linotype" w:cs="Palatino Linotype"/>
          <w:color w:val="000000"/>
        </w:rPr>
        <w:t xml:space="preserve">es de señalar, que si bien es cierto por un error involuntario al momento de dar respuesta a la solicitud de información el Titular de la Unidad de Transparencia omitió adjuntar los nombramientos; también lo es que, en informe justificado remitió tales documentales, las cuales se insertan a continuación. </w: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lang w:val="es-MX"/>
        </w:rPr>
        <w:lastRenderedPageBreak/>
        <w:drawing>
          <wp:inline distT="0" distB="0" distL="0" distR="0">
            <wp:extent cx="5612130" cy="6668770"/>
            <wp:effectExtent l="12700" t="12700" r="12700" b="1270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12130" cy="6668770"/>
                    </a:xfrm>
                    <a:prstGeom prst="rect">
                      <a:avLst/>
                    </a:prstGeom>
                    <a:ln w="12700">
                      <a:solidFill>
                        <a:srgbClr val="000000"/>
                      </a:solidFill>
                      <a:prstDash val="solid"/>
                    </a:ln>
                  </pic:spPr>
                </pic:pic>
              </a:graphicData>
            </a:graphic>
          </wp:inline>
        </w:drawing>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noProof/>
          <w:color w:val="000000"/>
          <w:lang w:val="es-MX"/>
        </w:rPr>
        <w:lastRenderedPageBreak/>
        <w:drawing>
          <wp:inline distT="0" distB="0" distL="0" distR="0">
            <wp:extent cx="5612130" cy="6555740"/>
            <wp:effectExtent l="28575" t="28575" r="28575" b="28575"/>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2130" cy="6555740"/>
                    </a:xfrm>
                    <a:prstGeom prst="rect">
                      <a:avLst/>
                    </a:prstGeom>
                    <a:ln w="28575">
                      <a:solidFill>
                        <a:srgbClr val="000000"/>
                      </a:solidFill>
                      <a:prstDash val="solid"/>
                    </a:ln>
                  </pic:spPr>
                </pic:pic>
              </a:graphicData>
            </a:graphic>
          </wp:inline>
        </w:drawing>
      </w:r>
      <w:r>
        <w:rPr>
          <w:rFonts w:ascii="Palatino Linotype" w:eastAsia="Palatino Linotype" w:hAnsi="Palatino Linotype" w:cs="Palatino Linotype"/>
          <w:i/>
          <w:color w:val="000000"/>
        </w:rPr>
        <w:t xml:space="preserve"> </w: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rPr>
        <w:lastRenderedPageBreak/>
        <w:drawing>
          <wp:inline distT="0" distB="0" distL="0" distR="0">
            <wp:extent cx="5430008" cy="6820852"/>
            <wp:effectExtent l="19050" t="19050" r="19050" b="1905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430008" cy="6820852"/>
                    </a:xfrm>
                    <a:prstGeom prst="rect">
                      <a:avLst/>
                    </a:prstGeom>
                    <a:ln w="19050">
                      <a:solidFill>
                        <a:srgbClr val="000000"/>
                      </a:solidFill>
                      <a:prstDash val="solid"/>
                    </a:ln>
                  </pic:spPr>
                </pic:pic>
              </a:graphicData>
            </a:graphic>
          </wp:inline>
        </w:drawing>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Documentales remitidas por el Subdirección de Administración, que como ya se ha referido, es el Servidor Público Habilitado con facultades, competencias y funciones para el requerimiento formulado por el </w:t>
      </w:r>
      <w:r>
        <w:rPr>
          <w:rFonts w:ascii="Palatino Linotype" w:eastAsia="Palatino Linotype" w:hAnsi="Palatino Linotype" w:cs="Palatino Linotype"/>
          <w:b/>
          <w:color w:val="000000"/>
        </w:rPr>
        <w:t xml:space="preserve">RECURRENTE,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importante referir que los Sujetos Obligados tienen el deber de atender las solicitudes de acceso a la información pública que se les haga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5C3641" w:rsidRDefault="00E93B0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C3641" w:rsidRDefault="00E93B0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C3641" w:rsidRDefault="005C3641">
      <w:pPr>
        <w:spacing w:line="360" w:lineRule="auto"/>
        <w:ind w:right="-93"/>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Pr>
          <w:rFonts w:ascii="Palatino Linotype" w:eastAsia="Palatino Linotype" w:hAnsi="Palatino Linotype" w:cs="Palatino Linotype"/>
          <w:color w:val="000000"/>
        </w:rPr>
        <w:lastRenderedPageBreak/>
        <w:t xml:space="preserve">que es deber de los Sujetos Obligados, garantizar el Derecho de Acceso a la Información Pública, lo que  sucedió en el presente caso una vez atendidos en respuesta e informe justificado los requerimientos formulados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 </w: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entendido y toda vez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tiene a su disposición la información requerida, la obligación de acceso a la información se tiene por cumplida de conformidad con lo dispuesto en el artículo 166 de la Ley de Transparencia de la Entidad que es del tenor literal siguiente: </w:t>
      </w:r>
    </w:p>
    <w:p w:rsidR="005C3641" w:rsidRDefault="005C3641">
      <w:pPr>
        <w:spacing w:line="360" w:lineRule="auto"/>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spacing w:before="240" w:after="240" w:line="276"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obligación de acceso a la información pública se tendrá por cumplida cuando el solicitante tenga a su disposición la información requerida</w:t>
      </w:r>
      <w:r>
        <w:rPr>
          <w:rFonts w:ascii="Palatino Linotype" w:eastAsia="Palatino Linotype" w:hAnsi="Palatino Linotype" w:cs="Palatino Linotype"/>
          <w:i/>
          <w:sz w:val="22"/>
          <w:szCs w:val="22"/>
        </w:rPr>
        <w:t>, o cuando realice la consulta de la misma en el lugar en el que ésta se localice.</w:t>
      </w:r>
    </w:p>
    <w:p w:rsidR="005C3641" w:rsidRDefault="00E93B06">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Aunado a lo anterior</w:t>
      </w:r>
      <w:r>
        <w:rPr>
          <w:rFonts w:ascii="Palatino Linotype" w:eastAsia="Palatino Linotype" w:hAnsi="Palatino Linotype" w:cs="Palatino Linotype"/>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5C3641" w:rsidRDefault="00E93B06">
      <w:pPr>
        <w:pBdr>
          <w:top w:val="nil"/>
          <w:left w:val="nil"/>
          <w:bottom w:val="nil"/>
          <w:right w:val="nil"/>
          <w:between w:val="nil"/>
        </w:pBdr>
        <w:spacing w:before="240"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Sirviendo de apoyo a lo anterior por analogía, el criterio 31-10 emitido por el ahora Instituto Nacional de Transparencia, Acceso a la Información y Protección de Datos Personales, que a la letra dice:</w:t>
      </w:r>
    </w:p>
    <w:p w:rsidR="005C3641" w:rsidRDefault="00E93B06">
      <w:pPr>
        <w:spacing w:before="240" w:after="36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3641" w:rsidRDefault="00E93B0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tal sentido, </w:t>
      </w:r>
      <w:r>
        <w:rPr>
          <w:rFonts w:ascii="Palatino Linotype" w:eastAsia="Palatino Linotype" w:hAnsi="Palatino Linotype" w:cs="Palatino Linotype"/>
        </w:rPr>
        <w:t xml:space="preserve">este Organismo Garante tiene por satisfechos los requerimientos sobre los cuales se inconformó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momento de interponer el Recurso de Revisión;  ya que a través del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la información que omitió proporcionar en respuesta a la solicitud de información. </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consecuencia, ante la información adicional y precisa remitida vía informe justificado, conviene hacer alusión a lo que señala el artículo 192, fracción III de la </w:t>
      </w:r>
      <w:r>
        <w:rPr>
          <w:rFonts w:ascii="Palatino Linotype" w:eastAsia="Palatino Linotype" w:hAnsi="Palatino Linotype" w:cs="Palatino Linotype"/>
          <w:color w:val="000000"/>
        </w:rPr>
        <w:lastRenderedPageBreak/>
        <w:t>Ley de Transparencia y Acceso a la Información Pública del Estado de México y Municipios vigente, a saber:</w:t>
      </w:r>
    </w:p>
    <w:p w:rsidR="005C3641" w:rsidRDefault="00E93B06">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será sobreseído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en todo o en parte,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una vez admitido, se actualicen alguno de los siguientes supuestos</w:t>
      </w:r>
      <w:r>
        <w:rPr>
          <w:rFonts w:ascii="Palatino Linotype" w:eastAsia="Palatino Linotype" w:hAnsi="Palatino Linotype" w:cs="Palatino Linotype"/>
          <w:i/>
          <w:color w:val="000000"/>
          <w:sz w:val="22"/>
          <w:szCs w:val="22"/>
        </w:rPr>
        <w:t>: </w:t>
      </w:r>
    </w:p>
    <w:p w:rsidR="005C3641" w:rsidRDefault="00E93B06">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i/>
          <w:color w:val="000000"/>
          <w:sz w:val="22"/>
          <w:szCs w:val="22"/>
        </w:rPr>
        <w:t>(…)</w:t>
      </w:r>
    </w:p>
    <w:p w:rsidR="005C3641" w:rsidRDefault="00E93B06">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r>
        <w:rPr>
          <w:rFonts w:ascii="Palatino Linotype" w:eastAsia="Palatino Linotype" w:hAnsi="Palatino Linotype" w:cs="Palatino Linotype"/>
          <w:i/>
          <w:color w:val="000000"/>
          <w:sz w:val="22"/>
          <w:szCs w:val="22"/>
        </w:rPr>
        <w:t>”</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rsidR="005C3641" w:rsidRDefault="00E93B06">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a) Cuando el Sujeto Obligado modifique el acto impugnado. </w:t>
      </w:r>
    </w:p>
    <w:p w:rsidR="005C3641" w:rsidRDefault="00E93B06">
      <w:pPr>
        <w:pBdr>
          <w:top w:val="nil"/>
          <w:left w:val="nil"/>
          <w:bottom w:val="nil"/>
          <w:right w:val="nil"/>
          <w:between w:val="nil"/>
        </w:pBdr>
        <w:spacing w:before="240" w:after="240"/>
        <w:ind w:left="284"/>
        <w:jc w:val="both"/>
        <w:rPr>
          <w:color w:val="000000"/>
        </w:rPr>
      </w:pPr>
      <w:r>
        <w:rPr>
          <w:rFonts w:ascii="Palatino Linotype" w:eastAsia="Palatino Linotype" w:hAnsi="Palatino Linotype" w:cs="Palatino Linotype"/>
          <w:color w:val="000000"/>
        </w:rPr>
        <w:t>b) Cuando el Sujeto Obligado revoque el acto impugnado; </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Quedando en ambos casos el acto combatido sin materia o sin efectos.</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Como se observa de lo anterior, un acto impugnado es modificado en aquellos casos en los que el Sujeto Obligado después de haber otorgado una respuesta, o haber omitido hacerlo (acto de no hacer), emite una o una diversa de manera posterior y en </w:t>
      </w:r>
      <w:r>
        <w:rPr>
          <w:rFonts w:ascii="Palatino Linotype" w:eastAsia="Palatino Linotype" w:hAnsi="Palatino Linotype" w:cs="Palatino Linotype"/>
        </w:rPr>
        <w:t>e</w:t>
      </w:r>
      <w:r>
        <w:rPr>
          <w:rFonts w:ascii="Palatino Linotype" w:eastAsia="Palatino Linotype" w:hAnsi="Palatino Linotype" w:cs="Palatino Linotype"/>
          <w:color w:val="000000"/>
        </w:rPr>
        <w:t>sta subsan</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las deficiencias que hubiera tenido, quedando satisfecho el derecho subjetivo accionado por la parte recurrente.</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que hace a la revocación, esta se actualiza cuando el Sujeto Obligado deja sin efectos la primera respuesta o su primer acto y en su lugar emite otro con las </w:t>
      </w:r>
      <w:r>
        <w:rPr>
          <w:rFonts w:ascii="Palatino Linotype" w:eastAsia="Palatino Linotype" w:hAnsi="Palatino Linotype" w:cs="Palatino Linotype"/>
          <w:color w:val="000000"/>
        </w:rPr>
        <w:lastRenderedPageBreak/>
        <w:t>características y cualidades suficientes para dejar satisfecho el ejercicio del derecho al acceso a la información pública.</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este orden de ideas, un acto impugnado queda sin efectos, cuando aun existiendo jurídicamente (esto es, que no se ha modificado, ni revocado) ya no genera ninguna consecuencia legal.</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tanto que, un acto impugnado queda sin materia, cuando ha sido satisfecha la pretensión del recurrente de manera que el Sujeto Obligado entrega una respuesta completa aunque sea posterior a los términos previstos en la ley y mediante ésta concede la información solicitada.</w:t>
      </w:r>
    </w:p>
    <w:p w:rsidR="005C3641" w:rsidRDefault="00E93B0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en el caso concreto, es evidente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modificó su respuesta, ya que, a través de su pronunciamiento emitido en la etapa de manifestaciones, proporcionó la información faltante.</w:t>
      </w:r>
    </w:p>
    <w:p w:rsidR="005C3641" w:rsidRDefault="00E93B0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cuando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antes de que se dicte resolución definitiva, entrega la información solicitada o </w:t>
      </w:r>
      <w:r>
        <w:rPr>
          <w:rFonts w:ascii="Palatino Linotype" w:eastAsia="Palatino Linotype" w:hAnsi="Palatino Linotype" w:cs="Palatino Linotype"/>
          <w:color w:val="000000"/>
          <w:u w:val="single"/>
        </w:rPr>
        <w:t>completa la respuesta que en un primer momento fue incompleta</w:t>
      </w:r>
      <w:r>
        <w:rPr>
          <w:rFonts w:ascii="Palatino Linotype" w:eastAsia="Palatino Linotype" w:hAnsi="Palatino Linotype" w:cs="Palatino Linotype"/>
          <w:color w:val="000000"/>
        </w:rPr>
        <w:t xml:space="preserve"> o no correspondió con lo solicitado; el recurso de revisión que al efecto se haya interpuesto queda sin materia lo que imposibilita el estudio de fondo de la </w:t>
      </w:r>
      <w:proofErr w:type="spellStart"/>
      <w:r>
        <w:rPr>
          <w:rFonts w:ascii="Palatino Linotype" w:eastAsia="Palatino Linotype" w:hAnsi="Palatino Linotype" w:cs="Palatino Linotype"/>
          <w:i/>
          <w:color w:val="000000"/>
        </w:rPr>
        <w:t>litis</w:t>
      </w:r>
      <w:proofErr w:type="spellEnd"/>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rsidR="005C3641" w:rsidRDefault="005C3641">
      <w:pPr>
        <w:pBdr>
          <w:top w:val="nil"/>
          <w:left w:val="nil"/>
          <w:bottom w:val="nil"/>
          <w:right w:val="nil"/>
          <w:between w:val="nil"/>
        </w:pBdr>
        <w:ind w:left="720"/>
        <w:rPr>
          <w:rFonts w:ascii="Palatino Linotype" w:eastAsia="Palatino Linotype" w:hAnsi="Palatino Linotype" w:cs="Palatino Linotype"/>
          <w:color w:val="000000"/>
        </w:rPr>
      </w:pPr>
    </w:p>
    <w:p w:rsidR="005C3641" w:rsidRDefault="00E93B0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para que se actualice el sobreseimiento de un recurso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puede entregar o completar la información al momento de rendir su </w:t>
      </w:r>
      <w:r>
        <w:rPr>
          <w:rFonts w:ascii="Palatino Linotype" w:eastAsia="Palatino Linotype" w:hAnsi="Palatino Linotype" w:cs="Palatino Linotype"/>
          <w:b/>
          <w:color w:val="000000"/>
          <w:u w:val="single"/>
        </w:rPr>
        <w:t>informe de justificación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dentro de los siete días</w:t>
      </w:r>
      <w:r>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pero antes del cierre de instrucción. </w:t>
      </w:r>
    </w:p>
    <w:p w:rsidR="005C3641" w:rsidRDefault="005C3641">
      <w:pPr>
        <w:pBdr>
          <w:top w:val="nil"/>
          <w:left w:val="nil"/>
          <w:bottom w:val="nil"/>
          <w:right w:val="nil"/>
          <w:between w:val="nil"/>
        </w:pBdr>
        <w:ind w:left="720"/>
        <w:rPr>
          <w:rFonts w:ascii="Palatino Linotype" w:eastAsia="Palatino Linotype" w:hAnsi="Palatino Linotype" w:cs="Palatino Linotype"/>
          <w:color w:val="000000"/>
        </w:rPr>
      </w:pPr>
    </w:p>
    <w:p w:rsidR="005C3641" w:rsidRDefault="00E93B0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Pleno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la información enviada,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u w:val="single"/>
        </w:rPr>
        <w:t>el acto que le dio origen al recurso de revisión, por lo que trae como consecuencia que el mismo quede sin materia</w:t>
      </w:r>
      <w:r>
        <w:rPr>
          <w:rFonts w:ascii="Palatino Linotype" w:eastAsia="Palatino Linotype" w:hAnsi="Palatino Linotype" w:cs="Palatino Linotype"/>
          <w:color w:val="000000"/>
        </w:rPr>
        <w:t xml:space="preserve">, actualizándose de este modo, la hipótesis jurídica contenida en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del citado artículo </w:t>
      </w:r>
      <w:r>
        <w:rPr>
          <w:rFonts w:ascii="Palatino Linotype" w:eastAsia="Palatino Linotype" w:hAnsi="Palatino Linotype" w:cs="Palatino Linotype"/>
          <w:b/>
          <w:color w:val="000000"/>
        </w:rPr>
        <w:t>192</w:t>
      </w:r>
      <w:r>
        <w:rPr>
          <w:rFonts w:ascii="Palatino Linotype" w:eastAsia="Palatino Linotype" w:hAnsi="Palatino Linotype" w:cs="Palatino Linotype"/>
          <w:color w:val="000000"/>
        </w:rPr>
        <w:t>.</w:t>
      </w:r>
    </w:p>
    <w:p w:rsidR="005C3641" w:rsidRDefault="005C364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C3641" w:rsidRDefault="00E93B0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siendo el </w:t>
      </w:r>
      <w:r>
        <w:rPr>
          <w:rFonts w:ascii="Palatino Linotype" w:eastAsia="Palatino Linotype" w:hAnsi="Palatino Linotype" w:cs="Palatino Linotype"/>
          <w:i/>
          <w:color w:val="000000"/>
        </w:rPr>
        <w:t>sobreseimiento</w:t>
      </w:r>
      <w:r>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rPr>
        <w:t>SOBRESEIMIENTO, NO PERMITE ENTRAR AL ESTUDIO DE LAS CUESTIONES DE FONDO</w:t>
      </w:r>
    </w:p>
    <w:p w:rsidR="005C3641" w:rsidRDefault="005C3641">
      <w:pPr>
        <w:tabs>
          <w:tab w:val="left" w:pos="7938"/>
        </w:tabs>
        <w:spacing w:line="360" w:lineRule="auto"/>
        <w:jc w:val="both"/>
        <w:rPr>
          <w:rFonts w:ascii="Palatino Linotype" w:eastAsia="Palatino Linotype" w:hAnsi="Palatino Linotype" w:cs="Palatino Linotype"/>
        </w:rPr>
      </w:pPr>
    </w:p>
    <w:p w:rsidR="005C3641" w:rsidRDefault="00E93B0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tanto, en términos del artículo 186 fracción I 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C3641" w:rsidRDefault="00E93B06">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08834/INFOEM/IP/RR/2022,</w:t>
      </w:r>
      <w:r>
        <w:rPr>
          <w:rFonts w:ascii="Palatino Linotype" w:eastAsia="Palatino Linotype" w:hAnsi="Palatino Linotype" w:cs="Palatino Linotype"/>
        </w:rPr>
        <w:t xml:space="preserve"> de conformidad con lo dispuesto en la fracción III del artículo 192 de la Ley de Transparencia de la Entidad, porque al modificar la respuesta a la solicitud de acceso a la información </w:t>
      </w:r>
      <w:r>
        <w:rPr>
          <w:rFonts w:ascii="Palatino Linotype" w:eastAsia="Palatino Linotype" w:hAnsi="Palatino Linotype" w:cs="Palatino Linotype"/>
          <w:b/>
        </w:rPr>
        <w:t>00190/OASTLALNE/IP/2022</w:t>
      </w:r>
      <w:r>
        <w:rPr>
          <w:rFonts w:ascii="Palatino Linotype" w:eastAsia="Palatino Linotype" w:hAnsi="Palatino Linotype" w:cs="Palatino Linotype"/>
        </w:rPr>
        <w:t xml:space="preserve"> el recurso de revisión quedó sin materia en términos del Considerando Tercero de la presente resolución.</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Notifíquese vía SAIMEX,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 </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rPr>
        <w:t xml:space="preserve">  Notifíquese al RECURRENTE,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5C3641" w:rsidRDefault="00E93B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w:t>
      </w:r>
      <w:bookmarkStart w:id="4" w:name="_GoBack"/>
      <w:bookmarkEnd w:id="4"/>
      <w:r>
        <w:rPr>
          <w:rFonts w:ascii="Palatino Linotype" w:eastAsia="Palatino Linotype" w:hAnsi="Palatino Linotype" w:cs="Palatino Linotype"/>
        </w:rPr>
        <w:t>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 DE OCTUBRE DE DOS MIL VEINTIDÓS, ANTE EL SECRETARIO TÉCNICO DEL PLENO, ALEXIS TAPIA RAMÍREZ.</w:t>
      </w:r>
    </w:p>
    <w:p w:rsidR="005C3641" w:rsidRDefault="005C3641">
      <w:pPr>
        <w:spacing w:before="240" w:after="240" w:line="360" w:lineRule="auto"/>
        <w:jc w:val="both"/>
        <w:rPr>
          <w:rFonts w:ascii="Palatino Linotype" w:eastAsia="Palatino Linotype" w:hAnsi="Palatino Linotype" w:cs="Palatino Linotype"/>
        </w:rPr>
      </w:pPr>
    </w:p>
    <w:p w:rsidR="005C3641" w:rsidRDefault="005C3641">
      <w:pPr>
        <w:spacing w:before="240" w:after="240"/>
        <w:jc w:val="both"/>
        <w:rPr>
          <w:rFonts w:ascii="Palatino Linotype" w:eastAsia="Palatino Linotype" w:hAnsi="Palatino Linotype" w:cs="Palatino Linotype"/>
          <w:sz w:val="20"/>
          <w:szCs w:val="20"/>
        </w:rPr>
      </w:pPr>
      <w:bookmarkStart w:id="5" w:name="_heading=h.30j0zll" w:colFirst="0" w:colLast="0"/>
      <w:bookmarkEnd w:id="5"/>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p w:rsidR="005C3641" w:rsidRDefault="005C3641">
      <w:pPr>
        <w:spacing w:before="240" w:after="240"/>
        <w:jc w:val="both"/>
        <w:rPr>
          <w:rFonts w:ascii="Palatino Linotype" w:eastAsia="Palatino Linotype" w:hAnsi="Palatino Linotype" w:cs="Palatino Linotype"/>
          <w:sz w:val="20"/>
          <w:szCs w:val="20"/>
        </w:rPr>
      </w:pPr>
    </w:p>
    <w:sectPr w:rsidR="005C3641">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3E8" w:rsidRDefault="006E63E8">
      <w:r>
        <w:separator/>
      </w:r>
    </w:p>
  </w:endnote>
  <w:endnote w:type="continuationSeparator" w:id="0">
    <w:p w:rsidR="006E63E8" w:rsidRDefault="006E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641" w:rsidRDefault="00E93B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0B37">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0B3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5C3641" w:rsidRDefault="005C364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641" w:rsidRDefault="00E93B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0B3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0B3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5C3641" w:rsidRDefault="005C364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3E8" w:rsidRDefault="006E63E8">
      <w:r>
        <w:separator/>
      </w:r>
    </w:p>
  </w:footnote>
  <w:footnote w:type="continuationSeparator" w:id="0">
    <w:p w:rsidR="006E63E8" w:rsidRDefault="006E6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641" w:rsidRDefault="00E93B06">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-1003299</wp:posOffset>
          </wp:positionH>
          <wp:positionV relativeFrom="paragraph">
            <wp:posOffset>-424814</wp:posOffset>
          </wp:positionV>
          <wp:extent cx="7809865" cy="10165715"/>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5C3641">
      <w:tc>
        <w:tcPr>
          <w:tcW w:w="2489" w:type="dxa"/>
          <w:shd w:val="clear" w:color="auto" w:fill="auto"/>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5C3641" w:rsidRDefault="00E93B06">
          <w:pPr>
            <w:ind w:right="175"/>
            <w:jc w:val="both"/>
            <w:rPr>
              <w:rFonts w:ascii="Palatino Linotype" w:eastAsia="Palatino Linotype" w:hAnsi="Palatino Linotype" w:cs="Palatino Linotype"/>
              <w:b/>
            </w:rPr>
          </w:pPr>
          <w:r>
            <w:rPr>
              <w:rFonts w:ascii="Palatino Linotype" w:eastAsia="Palatino Linotype" w:hAnsi="Palatino Linotype" w:cs="Palatino Linotype"/>
              <w:b/>
            </w:rPr>
            <w:t>08834/INFOEM/IP/RR/2022</w:t>
          </w:r>
        </w:p>
      </w:tc>
    </w:tr>
    <w:tr w:rsidR="005C3641">
      <w:trPr>
        <w:trHeight w:val="228"/>
      </w:trPr>
      <w:tc>
        <w:tcPr>
          <w:tcW w:w="2489" w:type="dxa"/>
          <w:shd w:val="clear" w:color="auto" w:fill="auto"/>
          <w:vAlign w:val="center"/>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5C3641" w:rsidRDefault="00E93B06">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w:t>
          </w:r>
          <w:r w:rsidR="000E66C3">
            <w:rPr>
              <w:rFonts w:ascii="Palatino Linotype" w:eastAsia="Palatino Linotype" w:hAnsi="Palatino Linotype" w:cs="Palatino Linotype"/>
              <w:b/>
            </w:rPr>
            <w:t xml:space="preserve"> l</w:t>
          </w:r>
          <w:r>
            <w:rPr>
              <w:rFonts w:ascii="Palatino Linotype" w:eastAsia="Palatino Linotype" w:hAnsi="Palatino Linotype" w:cs="Palatino Linotype"/>
              <w:b/>
            </w:rPr>
            <w:t>os Servicios de Agua Potable Alcantarillado y Saneamiento del Municipio de Tlalnepantla de Baz</w:t>
          </w:r>
        </w:p>
      </w:tc>
    </w:tr>
    <w:tr w:rsidR="005C3641">
      <w:trPr>
        <w:trHeight w:val="311"/>
      </w:trPr>
      <w:tc>
        <w:tcPr>
          <w:tcW w:w="2489" w:type="dxa"/>
          <w:shd w:val="clear" w:color="auto" w:fill="auto"/>
          <w:vAlign w:val="center"/>
        </w:tcPr>
        <w:p w:rsidR="005C3641" w:rsidRDefault="00E93B06">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5C3641" w:rsidRDefault="00E93B06">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5C3641" w:rsidRDefault="00E93B0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641" w:rsidRDefault="00E93B0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-761999</wp:posOffset>
          </wp:positionH>
          <wp:positionV relativeFrom="paragraph">
            <wp:posOffset>-210183</wp:posOffset>
          </wp:positionV>
          <wp:extent cx="7809865" cy="10165715"/>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095" w:type="dxa"/>
      <w:tblInd w:w="3261" w:type="dxa"/>
      <w:tblLayout w:type="fixed"/>
      <w:tblLook w:val="0400" w:firstRow="0" w:lastRow="0" w:firstColumn="0" w:lastColumn="0" w:noHBand="0" w:noVBand="1"/>
    </w:tblPr>
    <w:tblGrid>
      <w:gridCol w:w="2551"/>
      <w:gridCol w:w="3544"/>
    </w:tblGrid>
    <w:tr w:rsidR="005C3641">
      <w:tc>
        <w:tcPr>
          <w:tcW w:w="2551" w:type="dxa"/>
          <w:shd w:val="clear" w:color="auto" w:fill="auto"/>
          <w:vAlign w:val="center"/>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rsidR="005C3641" w:rsidRDefault="00E93B06">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08834/INFOEM/IP/RR/2022</w:t>
          </w:r>
        </w:p>
      </w:tc>
    </w:tr>
    <w:tr w:rsidR="005C3641">
      <w:trPr>
        <w:trHeight w:val="123"/>
      </w:trPr>
      <w:tc>
        <w:tcPr>
          <w:tcW w:w="2551" w:type="dxa"/>
          <w:shd w:val="clear" w:color="auto" w:fill="auto"/>
          <w:vAlign w:val="center"/>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rsidR="005C3641" w:rsidRDefault="00BF0B37" w:rsidP="00BF0B37">
          <w:pPr>
            <w:jc w:val="both"/>
            <w:rPr>
              <w:rFonts w:ascii="Palatino Linotype" w:eastAsia="Palatino Linotype" w:hAnsi="Palatino Linotype" w:cs="Palatino Linotype"/>
              <w:b/>
            </w:rPr>
          </w:pPr>
          <w:r>
            <w:rPr>
              <w:rFonts w:ascii="Palatino Linotype" w:eastAsia="Palatino Linotype" w:hAnsi="Palatino Linotype" w:cs="Palatino Linotype"/>
              <w:b/>
            </w:rPr>
            <w:t>XXXX XXXXXXXXX XX XXXXXXXX</w:t>
          </w:r>
        </w:p>
      </w:tc>
    </w:tr>
    <w:tr w:rsidR="005C3641">
      <w:trPr>
        <w:trHeight w:val="228"/>
      </w:trPr>
      <w:tc>
        <w:tcPr>
          <w:tcW w:w="2551" w:type="dxa"/>
          <w:shd w:val="clear" w:color="auto" w:fill="auto"/>
          <w:vAlign w:val="center"/>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rsidR="005C3641" w:rsidRDefault="00E93B06">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w:t>
          </w:r>
          <w:r w:rsidR="000E66C3">
            <w:rPr>
              <w:rFonts w:ascii="Palatino Linotype" w:eastAsia="Palatino Linotype" w:hAnsi="Palatino Linotype" w:cs="Palatino Linotype"/>
              <w:b/>
            </w:rPr>
            <w:t>ralizado para la Prestación de l</w:t>
          </w:r>
          <w:r>
            <w:rPr>
              <w:rFonts w:ascii="Palatino Linotype" w:eastAsia="Palatino Linotype" w:hAnsi="Palatino Linotype" w:cs="Palatino Linotype"/>
              <w:b/>
            </w:rPr>
            <w:t>os Servicios de Agua Potable Alcantarillado y Saneamiento del Municipio de Tlalnepantla de Baz</w:t>
          </w:r>
        </w:p>
      </w:tc>
    </w:tr>
    <w:tr w:rsidR="005C3641">
      <w:tc>
        <w:tcPr>
          <w:tcW w:w="2551" w:type="dxa"/>
          <w:shd w:val="clear" w:color="auto" w:fill="auto"/>
          <w:vAlign w:val="center"/>
        </w:tcPr>
        <w:p w:rsidR="005C3641" w:rsidRDefault="00E93B0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rsidR="005C3641" w:rsidRDefault="00E93B06">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5C3641" w:rsidRDefault="005C364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A11A44"/>
    <w:multiLevelType w:val="multilevel"/>
    <w:tmpl w:val="9C34E7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1E94CE0"/>
    <w:multiLevelType w:val="multilevel"/>
    <w:tmpl w:val="F630582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C553C48"/>
    <w:multiLevelType w:val="multilevel"/>
    <w:tmpl w:val="CC78BC9A"/>
    <w:lvl w:ilvl="0">
      <w:start w:val="1"/>
      <w:numFmt w:val="bullet"/>
      <w:pStyle w:val="Listaconvietas3"/>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70AB2730"/>
    <w:multiLevelType w:val="multilevel"/>
    <w:tmpl w:val="15047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641"/>
    <w:rsid w:val="000E66C3"/>
    <w:rsid w:val="0044299E"/>
    <w:rsid w:val="005C3641"/>
    <w:rsid w:val="006E63E8"/>
    <w:rsid w:val="00A27B9E"/>
    <w:rsid w:val="00B20494"/>
    <w:rsid w:val="00BF0B37"/>
    <w:rsid w:val="00E93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78036-0DFE-4DA7-AD60-27689F59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70" w:type="dxa"/>
        <w:bottom w:w="0" w:type="dxa"/>
        <w:right w:w="70" w:type="dxa"/>
      </w:tblCellMar>
    </w:tbl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5.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qyNB/T+E/R8AdVpzpLUqe4pVIA==">AMUW2mWMPx3tTDz5QjGQQKZ9FAyT4CRPASI/nWC3RidFgmQjzUsY4oZXl7KNMLkTL6Y3/222YXpB05mXO0rqrZe5aVKYb0QIzNNUMqzvNvN41osMJp8gxKRt1szOdJD4PXCJA4V0AtdCi2f0iM+UoSQtK+9SUSdDWHbpKFUI2Jr3awWj1TuyhQ4=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6342</Words>
  <Characters>34882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2022-10-20T15:33:00Z</cp:lastPrinted>
  <dcterms:created xsi:type="dcterms:W3CDTF">2022-11-04T20:12:00Z</dcterms:created>
  <dcterms:modified xsi:type="dcterms:W3CDTF">2022-11-04T20:12:00Z</dcterms:modified>
</cp:coreProperties>
</file>