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96E" w:rsidRDefault="00CD37E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veinticinco de mayo de dos mil veintidós. </w:t>
      </w:r>
    </w:p>
    <w:p w:rsidR="006E596E" w:rsidRDefault="00CD37E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03214/INFOEM/IP/RR/2022</w:t>
      </w:r>
      <w:r>
        <w:rPr>
          <w:rFonts w:ascii="Palatino Linotype" w:eastAsia="Palatino Linotype" w:hAnsi="Palatino Linotype" w:cs="Palatino Linotype"/>
        </w:rPr>
        <w:t xml:space="preserve">, interpuesto por </w:t>
      </w:r>
      <w:r w:rsidR="007220BE">
        <w:rPr>
          <w:rFonts w:ascii="Palatino Linotype" w:eastAsia="Palatino Linotype" w:hAnsi="Palatino Linotype" w:cs="Palatino Linotype"/>
          <w:b/>
        </w:rPr>
        <w:t>XXXXX XXXXX XXX</w:t>
      </w:r>
      <w:r>
        <w:rPr>
          <w:rFonts w:ascii="Palatino Linotype" w:eastAsia="Palatino Linotype" w:hAnsi="Palatino Linotype" w:cs="Palatino Linotype"/>
        </w:rPr>
        <w:t>, en lo sucesivo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a su solicitud por parte del </w:t>
      </w:r>
      <w:r>
        <w:rPr>
          <w:rFonts w:ascii="Palatino Linotype" w:eastAsia="Palatino Linotype" w:hAnsi="Palatino Linotype" w:cs="Palatino Linotype"/>
          <w:b/>
        </w:rPr>
        <w:t xml:space="preserve">Ayuntamiento de Coacalco de Berriozábal,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rsidR="006E596E" w:rsidRDefault="00CD37ED">
      <w:pP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 A N T E C E D E N T E S</w:t>
      </w:r>
    </w:p>
    <w:p w:rsidR="006E596E" w:rsidRDefault="00CD37E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Con fecha </w:t>
      </w:r>
      <w:r>
        <w:rPr>
          <w:rFonts w:ascii="Palatino Linotype" w:eastAsia="Palatino Linotype" w:hAnsi="Palatino Linotype" w:cs="Palatino Linotype"/>
          <w:b/>
        </w:rPr>
        <w:t>veinte de enero de dos mil veintidós,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presentó, través de la Plataforma Nacional de Transparencia vinculada al Sistema de Acceso a la Información Mexiquense, en lo subsecuente 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ante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solicitud de acceso a la información pública, a la que se le asignó el número de folio </w:t>
      </w:r>
      <w:r>
        <w:rPr>
          <w:rFonts w:ascii="Palatino Linotype" w:eastAsia="Palatino Linotype" w:hAnsi="Palatino Linotype" w:cs="Palatino Linotype"/>
          <w:b/>
        </w:rPr>
        <w:t>00019/COACALCO/IP/2022</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mediante la cual requirió la información siguiente: </w:t>
      </w:r>
    </w:p>
    <w:p w:rsidR="006E596E" w:rsidRDefault="00CD37ED">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“copia de los recibos de la ultima nomina de todos los mandos medios y superiores </w:t>
      </w:r>
      <w:r>
        <w:rPr>
          <w:rFonts w:ascii="Palatino Linotype" w:eastAsia="Palatino Linotype" w:hAnsi="Palatino Linotype" w:cs="Palatino Linotype"/>
          <w:b/>
          <w:i/>
          <w:sz w:val="22"/>
          <w:szCs w:val="22"/>
        </w:rPr>
        <w:t>del ayuntamiento d</w:t>
      </w:r>
      <w:r>
        <w:rPr>
          <w:rFonts w:ascii="Palatino Linotype" w:eastAsia="Palatino Linotype" w:hAnsi="Palatino Linotype" w:cs="Palatino Linotype"/>
          <w:b/>
          <w:i/>
          <w:sz w:val="22"/>
          <w:szCs w:val="22"/>
          <w:u w:val="single"/>
        </w:rPr>
        <w:t>e toluca 2021.</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Sic)</w:t>
      </w:r>
    </w:p>
    <w:p w:rsidR="006E596E" w:rsidRDefault="006E596E">
      <w:pPr>
        <w:ind w:right="900"/>
        <w:jc w:val="both"/>
        <w:rPr>
          <w:rFonts w:ascii="Palatino Linotype" w:eastAsia="Palatino Linotype" w:hAnsi="Palatino Linotype" w:cs="Palatino Linotype"/>
        </w:rPr>
      </w:pPr>
    </w:p>
    <w:p w:rsidR="00121C3F" w:rsidRDefault="00CD37ED">
      <w:pPr>
        <w:spacing w:before="240" w:after="240" w:line="360" w:lineRule="auto"/>
        <w:jc w:val="both"/>
        <w:rPr>
          <w:rFonts w:ascii="Palatino Linotype" w:eastAsia="Palatino Linotype" w:hAnsi="Palatino Linotype" w:cs="Palatino Linotype"/>
        </w:rPr>
        <w:sectPr w:rsidR="00121C3F">
          <w:headerReference w:type="default" r:id="rId9"/>
          <w:footerReference w:type="default" r:id="rId10"/>
          <w:pgSz w:w="12240" w:h="15840"/>
          <w:pgMar w:top="1417" w:right="1750" w:bottom="1417" w:left="1701" w:header="708" w:footer="708" w:gutter="0"/>
          <w:pgNumType w:start="1"/>
          <w:cols w:space="720"/>
        </w:sectPr>
      </w:pPr>
      <w:r>
        <w:rPr>
          <w:rFonts w:ascii="Palatino Linotype" w:eastAsia="Palatino Linotype" w:hAnsi="Palatino Linotype" w:cs="Palatino Linotype"/>
          <w:b/>
        </w:rPr>
        <w:t xml:space="preserve">Modalidad de Entrega: </w:t>
      </w:r>
      <w:r>
        <w:rPr>
          <w:rFonts w:ascii="Palatino Linotype" w:eastAsia="Palatino Linotype" w:hAnsi="Palatino Linotype" w:cs="Palatino Linotype"/>
        </w:rPr>
        <w:t>Toda vez que la solicitud se presentó 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través de la Plataforma Nacional de Transparencia, se entiende que la información se requiere a través de </w:t>
      </w:r>
      <w:r>
        <w:rPr>
          <w:rFonts w:ascii="Palatino Linotype" w:eastAsia="Palatino Linotype" w:hAnsi="Palatino Linotype" w:cs="Palatino Linotype"/>
          <w:b/>
        </w:rPr>
        <w:t>SAIMEX</w:t>
      </w:r>
      <w:r>
        <w:rPr>
          <w:rFonts w:ascii="Palatino Linotype" w:eastAsia="Palatino Linotype" w:hAnsi="Palatino Linotype" w:cs="Palatino Linotype"/>
        </w:rPr>
        <w:t>, como se aprecia a continuación:</w:t>
      </w:r>
    </w:p>
    <w:p w:rsidR="006E596E" w:rsidRDefault="00CD37ED">
      <w:pPr>
        <w:spacing w:before="240" w:after="240" w:line="360" w:lineRule="auto"/>
        <w:jc w:val="both"/>
        <w:rPr>
          <w:rFonts w:ascii="Palatino Linotype" w:eastAsia="Palatino Linotype" w:hAnsi="Palatino Linotype" w:cs="Palatino Linotype"/>
        </w:rPr>
      </w:pPr>
      <w:r>
        <w:rPr>
          <w:noProof/>
          <w:lang w:val="en-US" w:eastAsia="en-US"/>
        </w:rPr>
        <w:lastRenderedPageBreak/>
        <w:drawing>
          <wp:inline distT="0" distB="0" distL="0" distR="0">
            <wp:extent cx="5643765" cy="955364"/>
            <wp:effectExtent l="0" t="0" r="0" b="0"/>
            <wp:docPr id="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l="32340" t="59351" r="10937" b="30671"/>
                    <a:stretch>
                      <a:fillRect/>
                    </a:stretch>
                  </pic:blipFill>
                  <pic:spPr>
                    <a:xfrm>
                      <a:off x="0" y="0"/>
                      <a:ext cx="5643765" cy="955364"/>
                    </a:xfrm>
                    <a:prstGeom prst="rect">
                      <a:avLst/>
                    </a:prstGeom>
                    <a:ln/>
                  </pic:spPr>
                </pic:pic>
              </a:graphicData>
            </a:graphic>
          </wp:inline>
        </w:drawing>
      </w:r>
    </w:p>
    <w:p w:rsidR="006E596E" w:rsidRDefault="00CD37ED">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veintiuno de enero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envió su respuesta a la solicitud de acceso a la información a través de SAIMEX, sustancialmente en los términos siguientes:   </w:t>
      </w:r>
    </w:p>
    <w:p w:rsidR="006E596E" w:rsidRDefault="00CD37ED">
      <w:pPr>
        <w:spacing w:before="240" w:after="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“CON FUNDAMENTO EN EL ARITCULO 167 DE LA LEY DE TRANSPARENCIA Y ACCESO A LA INFORMACION PUBLICA DEL ESTADO DE MEXICO Y MUNICIPIOS ESTA UNIDAD DETERMINA LA NOTORIA INCOMPETENCIA PARA DAR RESPUESTA A LA SOLICITUD, EN VIRTUD DE QUE L</w:t>
      </w:r>
      <w:r>
        <w:rPr>
          <w:rFonts w:ascii="Palatino Linotype" w:eastAsia="Palatino Linotype" w:hAnsi="Palatino Linotype" w:cs="Palatino Linotype"/>
          <w:b/>
          <w:i/>
          <w:sz w:val="22"/>
          <w:szCs w:val="22"/>
          <w:u w:val="single"/>
        </w:rPr>
        <w:t>A INFORMACION SOLICITADA CORRESPONDE A OTRO AYUNTAMIENT</w:t>
      </w:r>
      <w:r>
        <w:rPr>
          <w:rFonts w:ascii="Palatino Linotype" w:eastAsia="Palatino Linotype" w:hAnsi="Palatino Linotype" w:cs="Palatino Linotype"/>
          <w:i/>
          <w:sz w:val="22"/>
          <w:szCs w:val="22"/>
        </w:rPr>
        <w:t>O, POR LO QUE EL SOLICITANTE DEBERA DIRIGIRSE A ESA DEPENDENCIA” (Sic)</w:t>
      </w:r>
    </w:p>
    <w:p w:rsidR="006E596E" w:rsidRDefault="00CD37ED">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adjuntó el siguiente archivo:</w:t>
      </w:r>
    </w:p>
    <w:p w:rsidR="006E596E" w:rsidRDefault="00CD37ED">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w:t>
      </w:r>
      <w:hyperlink r:id="rId12">
        <w:r>
          <w:rPr>
            <w:rFonts w:ascii="Palatino Linotype" w:eastAsia="Palatino Linotype" w:hAnsi="Palatino Linotype" w:cs="Palatino Linotype"/>
          </w:rPr>
          <w:t>INCOMPETENCIA00019.pdf</w:t>
        </w:r>
      </w:hyperlink>
      <w:r>
        <w:rPr>
          <w:rFonts w:ascii="Palatino Linotype" w:eastAsia="Palatino Linotype" w:hAnsi="Palatino Linotype" w:cs="Palatino Linotype"/>
        </w:rPr>
        <w:t xml:space="preserve">”, el cual contiene el oficio número PM/UT/SJSS/64/2022, por medio del cual el Titular de la Unidad de Transparencia determinó la notoria incompetencia para responder la solicitud de acceso a la información pública. </w:t>
      </w:r>
    </w:p>
    <w:p w:rsidR="006E596E" w:rsidRDefault="00CD37ED">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Posteriormente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notificó el </w:t>
      </w:r>
      <w:r>
        <w:rPr>
          <w:rFonts w:ascii="Palatino Linotype" w:eastAsia="Palatino Linotype" w:hAnsi="Palatino Linotype" w:cs="Palatino Linotype"/>
          <w:b/>
        </w:rPr>
        <w:t>quince de febrero del año en curso</w:t>
      </w:r>
      <w:r>
        <w:rPr>
          <w:rFonts w:ascii="Palatino Linotype" w:eastAsia="Palatino Linotype" w:hAnsi="Palatino Linotype" w:cs="Palatino Linotype"/>
        </w:rPr>
        <w:t xml:space="preserve">, al solicitante que su solicitud estaba concluida.  </w:t>
      </w:r>
    </w:p>
    <w:p w:rsidR="006E596E" w:rsidRDefault="00CD37ED">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con los términos de la respuesta emitida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el </w:t>
      </w:r>
      <w:r>
        <w:rPr>
          <w:rFonts w:ascii="Palatino Linotype" w:eastAsia="Palatino Linotype" w:hAnsi="Palatino Linotype" w:cs="Palatino Linotype"/>
          <w:b/>
        </w:rPr>
        <w:t>tres de marzo de dos mil veintidós,</w:t>
      </w:r>
      <w:r>
        <w:rPr>
          <w:rFonts w:ascii="Palatino Linotype" w:eastAsia="Palatino Linotype" w:hAnsi="Palatino Linotype" w:cs="Palatino Linotype"/>
        </w:rPr>
        <w:t xml:space="preserve"> la parte recurrente interpuso el recurso de revisión a través de </w:t>
      </w:r>
      <w:r>
        <w:rPr>
          <w:rFonts w:ascii="Palatino Linotype" w:eastAsia="Palatino Linotype" w:hAnsi="Palatino Linotype" w:cs="Palatino Linotype"/>
          <w:b/>
        </w:rPr>
        <w:t xml:space="preserve">SAIMEX, </w:t>
      </w:r>
      <w:r>
        <w:rPr>
          <w:rFonts w:ascii="Palatino Linotype" w:eastAsia="Palatino Linotype" w:hAnsi="Palatino Linotype" w:cs="Palatino Linotype"/>
        </w:rPr>
        <w:t>en donde se manifestó de la siguiente manera:</w:t>
      </w:r>
    </w:p>
    <w:p w:rsidR="006E596E" w:rsidRDefault="00CD37ED">
      <w:pPr>
        <w:tabs>
          <w:tab w:val="left" w:pos="2745"/>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Acto impugnado: </w:t>
      </w:r>
      <w:r>
        <w:rPr>
          <w:rFonts w:ascii="Palatino Linotype" w:eastAsia="Palatino Linotype" w:hAnsi="Palatino Linotype" w:cs="Palatino Linotype"/>
          <w:b/>
        </w:rPr>
        <w:tab/>
      </w:r>
    </w:p>
    <w:p w:rsidR="006E596E" w:rsidRDefault="00CD37ED">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“falta de información (Sic)</w:t>
      </w:r>
    </w:p>
    <w:p w:rsidR="006E596E" w:rsidRDefault="00CD37E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Y Razones o motivos de inconformidad</w:t>
      </w:r>
      <w:r>
        <w:rPr>
          <w:rFonts w:ascii="Palatino Linotype" w:eastAsia="Palatino Linotype" w:hAnsi="Palatino Linotype" w:cs="Palatino Linotype"/>
        </w:rPr>
        <w:t>:</w:t>
      </w:r>
    </w:p>
    <w:p w:rsidR="006E596E" w:rsidRDefault="006E596E">
      <w:pPr>
        <w:spacing w:line="360" w:lineRule="auto"/>
        <w:jc w:val="both"/>
        <w:rPr>
          <w:rFonts w:ascii="Palatino Linotype" w:eastAsia="Palatino Linotype" w:hAnsi="Palatino Linotype" w:cs="Palatino Linotype"/>
        </w:rPr>
      </w:pPr>
    </w:p>
    <w:p w:rsidR="006E596E" w:rsidRDefault="00CD37E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señaló razones o motivos de inconformidad.</w:t>
      </w:r>
    </w:p>
    <w:p w:rsidR="006E596E" w:rsidRDefault="006E596E">
      <w:pPr>
        <w:spacing w:line="360" w:lineRule="auto"/>
        <w:rPr>
          <w:rFonts w:ascii="Palatino Linotype" w:eastAsia="Palatino Linotype" w:hAnsi="Palatino Linotype" w:cs="Palatino Linotype"/>
        </w:rPr>
      </w:pPr>
    </w:p>
    <w:p w:rsidR="006E596E" w:rsidRDefault="00CD37E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adjuntó al acuse de su recurso de revisión el archivo electrónico denominado “</w:t>
      </w:r>
      <w:hyperlink r:id="rId13">
        <w:r>
          <w:rPr>
            <w:rFonts w:ascii="Palatino Linotype" w:eastAsia="Palatino Linotype" w:hAnsi="Palatino Linotype" w:cs="Palatino Linotype"/>
          </w:rPr>
          <w:t>Archivo1646342923244</w:t>
        </w:r>
      </w:hyperlink>
      <w:r>
        <w:rPr>
          <w:rFonts w:ascii="Palatino Linotype" w:eastAsia="Palatino Linotype" w:hAnsi="Palatino Linotype" w:cs="Palatino Linotype"/>
        </w:rPr>
        <w:t xml:space="preserve">”,  cuyo contenido no pudo ser visualizado. </w:t>
      </w:r>
    </w:p>
    <w:p w:rsidR="006E596E" w:rsidRDefault="00CD37E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rsidR="006E596E" w:rsidRDefault="00CD37ED">
      <w:pPr>
        <w:spacing w:line="360" w:lineRule="auto"/>
        <w:ind w:right="51"/>
        <w:jc w:val="both"/>
        <w:rPr>
          <w:rFonts w:ascii="Palatino Linotype" w:eastAsia="Palatino Linotype" w:hAnsi="Palatino Linotype" w:cs="Palatino Linotype"/>
        </w:rPr>
      </w:pPr>
      <w:bookmarkStart w:id="0" w:name="_heading=h.30j0zll" w:colFirst="0" w:colLast="0"/>
      <w:bookmarkEnd w:id="0"/>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a efecto de que analizara sobre su admisión o su desechamiento.</w:t>
      </w:r>
    </w:p>
    <w:p w:rsidR="006E596E" w:rsidRDefault="006E596E">
      <w:pPr>
        <w:spacing w:line="360" w:lineRule="auto"/>
        <w:ind w:right="51"/>
        <w:jc w:val="both"/>
        <w:rPr>
          <w:rFonts w:ascii="Palatino Linotype" w:eastAsia="Palatino Linotype" w:hAnsi="Palatino Linotype" w:cs="Palatino Linotype"/>
        </w:rPr>
      </w:pPr>
    </w:p>
    <w:p w:rsidR="006E596E" w:rsidRDefault="00CD37ED">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5. Admisión del Recurso de revisión.</w:t>
      </w:r>
      <w:r>
        <w:rPr>
          <w:rFonts w:ascii="Palatino Linotype" w:eastAsia="Palatino Linotype" w:hAnsi="Palatino Linotype" w:cs="Palatino Linotype"/>
        </w:rPr>
        <w:t xml:space="preserve"> Con fecha</w:t>
      </w:r>
      <w:r>
        <w:rPr>
          <w:rFonts w:ascii="Palatino Linotype" w:eastAsia="Palatino Linotype" w:hAnsi="Palatino Linotype" w:cs="Palatino Linotype"/>
          <w:b/>
        </w:rPr>
        <w:t xml:space="preserve"> ocho de marzo de dos mil veintidós, </w:t>
      </w:r>
      <w:r>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presentara su informe justificado.</w:t>
      </w:r>
    </w:p>
    <w:p w:rsidR="006E596E" w:rsidRDefault="00CD37E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6. Manifestaciones</w:t>
      </w:r>
      <w:r>
        <w:rPr>
          <w:rFonts w:ascii="Palatino Linotype" w:eastAsia="Palatino Linotype" w:hAnsi="Palatino Linotype" w:cs="Palatino Linotype"/>
        </w:rPr>
        <w:t xml:space="preserve">. De las constancias que integran el expediente en que se actúa se advierte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fue omisa en presentar alegatos o manifestación alguna.</w:t>
      </w:r>
    </w:p>
    <w:p w:rsidR="006E596E" w:rsidRDefault="006E596E">
      <w:pPr>
        <w:spacing w:line="360" w:lineRule="auto"/>
        <w:jc w:val="both"/>
        <w:rPr>
          <w:rFonts w:ascii="Palatino Linotype" w:eastAsia="Palatino Linotype" w:hAnsi="Palatino Linotype" w:cs="Palatino Linotype"/>
        </w:rPr>
      </w:pPr>
    </w:p>
    <w:p w:rsidR="006E596E" w:rsidRDefault="00CD37E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fecha diecisiete de marzo del año dos mil veintidós, remitió el archivo electrónico siguiente:</w:t>
      </w:r>
    </w:p>
    <w:p w:rsidR="006E596E" w:rsidRDefault="006E596E">
      <w:pPr>
        <w:spacing w:line="360" w:lineRule="auto"/>
        <w:jc w:val="both"/>
        <w:rPr>
          <w:rFonts w:ascii="Palatino Linotype" w:eastAsia="Palatino Linotype" w:hAnsi="Palatino Linotype" w:cs="Palatino Linotype"/>
        </w:rPr>
      </w:pPr>
    </w:p>
    <w:p w:rsidR="006E596E" w:rsidRDefault="00CD37ED">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hyperlink r:id="rId14">
        <w:r>
          <w:rPr>
            <w:rFonts w:ascii="Palatino Linotype" w:eastAsia="Palatino Linotype" w:hAnsi="Palatino Linotype" w:cs="Palatino Linotype"/>
          </w:rPr>
          <w:t>RR_03214 SOL. 00019_2022_0001.pdf</w:t>
        </w:r>
      </w:hyperlink>
      <w:r>
        <w:rPr>
          <w:rFonts w:ascii="Palatino Linotype" w:eastAsia="Palatino Linotype" w:hAnsi="Palatino Linotype" w:cs="Palatino Linotype"/>
        </w:rPr>
        <w:t xml:space="preserve">”, por medio del cual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lo medular confirmó su incompetencia para atender la solicitud de acceso a la información pública del particular. </w:t>
      </w:r>
    </w:p>
    <w:p w:rsidR="006E596E" w:rsidRDefault="00CD37ED">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Documento que, una vez analizado, se hizo del conocimiento de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 efecto de que manifestara lo que a su derecho estimara conveniente, sin embargo, fue omiso en ejercer dicha prerrogativa en el plazo establecido para tal efecto.</w:t>
      </w:r>
    </w:p>
    <w:p w:rsidR="006E596E" w:rsidRDefault="00CD37ED">
      <w:pPr>
        <w:widowControl w:val="0"/>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7.- Ampliación del plazo.</w:t>
      </w:r>
      <w:r>
        <w:rPr>
          <w:rFonts w:ascii="Palatino Linotype" w:eastAsia="Palatino Linotype" w:hAnsi="Palatino Linotype" w:cs="Palatino Linotype"/>
        </w:rPr>
        <w:t xml:space="preserve"> En fecha dieciséis de mayo del año dos mil veintidós, con fundamento en el artículo 181, párrafo tercero de la Ley de Transparencia y Acceso a la Información Pública del Estado de México y Municipios, se acordó la ampliación del plazo para su resolución.</w:t>
      </w:r>
      <w:r>
        <w:rPr>
          <w:rFonts w:ascii="Palatino Linotype" w:eastAsia="Palatino Linotype" w:hAnsi="Palatino Linotype" w:cs="Palatino Linotype"/>
          <w:b/>
        </w:rPr>
        <w:t xml:space="preserve"> </w:t>
      </w:r>
    </w:p>
    <w:p w:rsidR="006E596E" w:rsidRDefault="00CD37E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8. Cierre de instrucción. </w:t>
      </w:r>
      <w:r>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Pr>
          <w:rFonts w:ascii="Palatino Linotype" w:eastAsia="Palatino Linotype" w:hAnsi="Palatino Linotype" w:cs="Palatino Linotype"/>
          <w:b/>
        </w:rPr>
        <w:t>veinte de mayo de dos mil veintidós</w:t>
      </w:r>
      <w:r>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6E596E" w:rsidRDefault="00CD37E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rsidR="006E596E" w:rsidRDefault="00CD37ED">
      <w:pPr>
        <w:widowControl w:val="0"/>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 S</w:t>
      </w:r>
    </w:p>
    <w:p w:rsidR="006E596E" w:rsidRDefault="006E596E">
      <w:pPr>
        <w:widowControl w:val="0"/>
        <w:pBdr>
          <w:top w:val="nil"/>
          <w:left w:val="nil"/>
          <w:bottom w:val="nil"/>
          <w:right w:val="nil"/>
          <w:between w:val="nil"/>
        </w:pBdr>
        <w:spacing w:line="360" w:lineRule="auto"/>
        <w:ind w:left="1080"/>
        <w:rPr>
          <w:rFonts w:ascii="Palatino Linotype" w:eastAsia="Palatino Linotype" w:hAnsi="Palatino Linotype" w:cs="Palatino Linotype"/>
          <w:b/>
          <w:color w:val="000000"/>
        </w:rPr>
      </w:pPr>
    </w:p>
    <w:p w:rsidR="006E596E" w:rsidRDefault="00CD37E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5E5A42" w:rsidRDefault="005E5A42" w:rsidP="005E5A4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 Análisis de las Causales de Improcedencia y Sobreseimiento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Este Instituto, realiza el estudio preferente y oficioso de las cuales de improcedencia, en el entendido de que las mismas deben se</w:t>
      </w:r>
      <w:bookmarkStart w:id="1" w:name="_GoBack"/>
      <w:bookmarkEnd w:id="1"/>
      <w:r>
        <w:rPr>
          <w:rFonts w:ascii="Palatino Linotype" w:eastAsia="Palatino Linotype" w:hAnsi="Palatino Linotype" w:cs="Palatino Linotype"/>
        </w:rPr>
        <w:t>r analizadas sea que las hayan hecho valer o no las partes, por tratarse de una cuestión de orden público y de estudio preferente, atento a lo establecido por la Jurisprudencia número 940, publicada en la página 1538 de la Segunda Parte del Apéndice del Semanario Judicial de la Federación 1917-1918 que a la letra señala:</w:t>
      </w:r>
    </w:p>
    <w:p w:rsidR="005E5A42" w:rsidRDefault="005E5A42" w:rsidP="005E5A42">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“Improcedencia: </w:t>
      </w:r>
      <w:r>
        <w:rPr>
          <w:rFonts w:ascii="Palatino Linotype" w:eastAsia="Palatino Linotype" w:hAnsi="Palatino Linotype" w:cs="Palatino Linotype"/>
          <w:i/>
          <w:sz w:val="22"/>
          <w:szCs w:val="22"/>
        </w:rPr>
        <w:t>Sea que las partes la aleguen o no, debe examinarse previamente la procedencia del juicio de amparo, por ser cuestión de orden público en el juicio de garantías.”</w:t>
      </w:r>
    </w:p>
    <w:p w:rsidR="005E5A42" w:rsidRDefault="005E5A42" w:rsidP="005E5A4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la Ley de Transparencia y Acceso a la Información Pública del Estado de México y Municipios, establece lo siguiente:</w:t>
      </w:r>
    </w:p>
    <w:p w:rsidR="005E5A42" w:rsidRDefault="005E5A42" w:rsidP="005E5A42">
      <w:pPr>
        <w:ind w:left="851" w:right="900"/>
        <w:jc w:val="both"/>
        <w:rPr>
          <w:rFonts w:ascii="Palatino Linotype" w:eastAsia="Palatino Linotype" w:hAnsi="Palatino Linotype" w:cs="Palatino Linotype"/>
          <w:i/>
          <w:sz w:val="28"/>
          <w:szCs w:val="28"/>
        </w:rPr>
      </w:pP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5E5A42" w:rsidRDefault="005E5A42" w:rsidP="005E5A42">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w:t>
      </w:r>
    </w:p>
    <w:p w:rsidR="005E5A42" w:rsidRDefault="005E5A42" w:rsidP="005E5A42">
      <w:pPr>
        <w:spacing w:before="240" w:after="240" w:line="360" w:lineRule="auto"/>
        <w:ind w:right="-1134"/>
        <w:jc w:val="both"/>
        <w:rPr>
          <w:rFonts w:ascii="Palatino Linotype" w:eastAsia="Palatino Linotype" w:hAnsi="Palatino Linotype" w:cs="Palatino Linotype"/>
        </w:rPr>
      </w:pPr>
      <w:r>
        <w:rPr>
          <w:rFonts w:ascii="Palatino Linotype" w:eastAsia="Palatino Linotype" w:hAnsi="Palatino Linotype" w:cs="Palatino Linotype"/>
        </w:rPr>
        <w:t>Por su parte los artículos 186, 191 y 192 de la Ley en cita, disponen lo siguiente:</w:t>
      </w:r>
    </w:p>
    <w:p w:rsidR="005E5A42" w:rsidRDefault="005E5A42" w:rsidP="005E5A42">
      <w:pPr>
        <w:spacing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 “Artículo 186.</w:t>
      </w:r>
      <w:r>
        <w:rPr>
          <w:rFonts w:ascii="Palatino Linotype" w:eastAsia="Palatino Linotype" w:hAnsi="Palatino Linotype" w:cs="Palatino Linotype"/>
          <w:i/>
          <w:sz w:val="22"/>
          <w:szCs w:val="22"/>
        </w:rPr>
        <w:t xml:space="preserve"> Las resoluciones del Instituto podrán: </w:t>
      </w:r>
    </w:p>
    <w:p w:rsidR="005E5A42" w:rsidRDefault="005E5A42" w:rsidP="005E5A42">
      <w:pPr>
        <w:spacing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Desechar o sobreseer el recurso; </w:t>
      </w:r>
    </w:p>
    <w:p w:rsidR="005E5A42" w:rsidRDefault="005E5A42" w:rsidP="005E5A42">
      <w:pPr>
        <w:spacing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5E5A42" w:rsidRDefault="005E5A42" w:rsidP="005E5A42">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191. </w:t>
      </w:r>
      <w:r>
        <w:rPr>
          <w:rFonts w:ascii="Palatino Linotype" w:eastAsia="Palatino Linotype" w:hAnsi="Palatino Linotype" w:cs="Palatino Linotype"/>
          <w:i/>
          <w:sz w:val="22"/>
          <w:szCs w:val="22"/>
        </w:rPr>
        <w:t>El recurso será desechado por improcedente cuando:</w:t>
      </w:r>
    </w:p>
    <w:p w:rsidR="005E5A42" w:rsidRDefault="005E5A42" w:rsidP="005E5A42">
      <w:pPr>
        <w:tabs>
          <w:tab w:val="left" w:pos="1276"/>
        </w:tabs>
        <w:spacing w:before="120" w:after="120"/>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 Sea extemporáneo por haber transcurrido el plazo establecido en la presente Ley, a partir de la respuesta;</w:t>
      </w:r>
    </w:p>
    <w:p w:rsidR="005E5A42" w:rsidRDefault="005E5A42" w:rsidP="005E5A42">
      <w:pPr>
        <w:tabs>
          <w:tab w:val="left" w:pos="1276"/>
        </w:tabs>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Se esté tramitando ante el Poder Judicial de la Federación algún recurso o medio de defensa interpuesto por el recurrente;</w:t>
      </w:r>
    </w:p>
    <w:p w:rsidR="005E5A42" w:rsidRDefault="005E5A42" w:rsidP="005E5A42">
      <w:pPr>
        <w:tabs>
          <w:tab w:val="left" w:pos="1276"/>
        </w:tabs>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No actualice alguno de los supuestos previstos en la presente Ley;</w:t>
      </w:r>
    </w:p>
    <w:p w:rsidR="005E5A42" w:rsidRDefault="005E5A42" w:rsidP="005E5A42">
      <w:pPr>
        <w:tabs>
          <w:tab w:val="left" w:pos="1276"/>
        </w:tabs>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No se haya desahogado la prevención en los términos establecidos en la presente Ley;</w:t>
      </w:r>
    </w:p>
    <w:p w:rsidR="005E5A42" w:rsidRDefault="005E5A42" w:rsidP="005E5A42">
      <w:pPr>
        <w:tabs>
          <w:tab w:val="left" w:pos="1276"/>
        </w:tabs>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Se impugne la veracidad de la información proporcionada;</w:t>
      </w:r>
    </w:p>
    <w:p w:rsidR="005E5A42" w:rsidRDefault="005E5A42" w:rsidP="005E5A42">
      <w:pPr>
        <w:tabs>
          <w:tab w:val="left" w:pos="1276"/>
        </w:tabs>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VI. </w:t>
      </w:r>
      <w:r>
        <w:rPr>
          <w:rFonts w:ascii="Palatino Linotype" w:eastAsia="Palatino Linotype" w:hAnsi="Palatino Linotype" w:cs="Palatino Linotype"/>
          <w:i/>
          <w:sz w:val="22"/>
          <w:szCs w:val="22"/>
        </w:rPr>
        <w:t>Se trate de una consulta, o trámite en específico; y</w:t>
      </w:r>
    </w:p>
    <w:p w:rsidR="005E5A42" w:rsidRDefault="005E5A42" w:rsidP="005E5A42">
      <w:pPr>
        <w:tabs>
          <w:tab w:val="left" w:pos="1276"/>
        </w:tabs>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El recurrente amplíe su solicitud en el recurso de revisión, únicamente respecto de los nuevos contenidos.”</w:t>
      </w:r>
    </w:p>
    <w:p w:rsidR="005E5A42" w:rsidRDefault="005E5A42" w:rsidP="005E5A42">
      <w:pPr>
        <w:spacing w:before="120" w:after="120"/>
        <w:ind w:left="851" w:right="902"/>
        <w:jc w:val="both"/>
        <w:rPr>
          <w:rFonts w:ascii="Palatino Linotype" w:eastAsia="Palatino Linotype" w:hAnsi="Palatino Linotype" w:cs="Palatino Linotype"/>
          <w:i/>
          <w:sz w:val="22"/>
          <w:szCs w:val="22"/>
        </w:rPr>
      </w:pPr>
    </w:p>
    <w:p w:rsidR="005E5A42" w:rsidRDefault="005E5A42" w:rsidP="005E5A42">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192. </w:t>
      </w:r>
      <w:r>
        <w:rPr>
          <w:rFonts w:ascii="Palatino Linotype" w:eastAsia="Palatino Linotype" w:hAnsi="Palatino Linotype" w:cs="Palatino Linotype"/>
          <w:i/>
          <w:sz w:val="22"/>
          <w:szCs w:val="22"/>
        </w:rPr>
        <w:t>El recurso será sobreseído, en todo o en parte, cuando una vez admitido, se actualicen alguno de los siguientes supuestos:</w:t>
      </w:r>
    </w:p>
    <w:p w:rsidR="005E5A42" w:rsidRDefault="005E5A42" w:rsidP="005E5A42">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El recurrente se desista expresamente del recurso;</w:t>
      </w:r>
    </w:p>
    <w:p w:rsidR="005E5A42" w:rsidRDefault="005E5A42" w:rsidP="005E5A42">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El recurrente fallezca o, tratándose de personas jurídicas colectivas, se disuelva;</w:t>
      </w:r>
    </w:p>
    <w:p w:rsidR="005E5A42" w:rsidRDefault="005E5A42" w:rsidP="005E5A42">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El sujeto obligado responsable del acto lo modifique o revoque de tal manera que el recurso de revisión quede sin materia;</w:t>
      </w:r>
    </w:p>
    <w:p w:rsidR="005E5A42" w:rsidRDefault="005E5A42" w:rsidP="005E5A42">
      <w:pPr>
        <w:spacing w:before="120" w:after="120"/>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 Admitido el recurso de revisión, aparezca alguna causal de improcedencia en los términos de la presente Ley; y</w:t>
      </w:r>
    </w:p>
    <w:p w:rsidR="005E5A42" w:rsidRDefault="005E5A42" w:rsidP="005E5A42">
      <w:pPr>
        <w:spacing w:before="120" w:after="120"/>
        <w:ind w:left="1134"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Cuando por cualquier motivo quede sin materia el recurso</w:t>
      </w:r>
      <w:r>
        <w:rPr>
          <w:rFonts w:ascii="Palatino Linotype" w:eastAsia="Palatino Linotype" w:hAnsi="Palatino Linotype" w:cs="Palatino Linotype"/>
          <w:sz w:val="22"/>
          <w:szCs w:val="22"/>
        </w:rPr>
        <w:t>.”</w:t>
      </w:r>
    </w:p>
    <w:p w:rsidR="005E5A42" w:rsidRDefault="005E5A42" w:rsidP="005E5A42">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primer lugar, cabe destacar que, la Ley da la posibilidad de desechar el recurso de revisión en el momento procesal en que también se puede admitir, por alguna de las causales transcritas, artículo que tiene un momento de aplicabilidad previo a la admisión del recurso de revisión por no reunir los requisitos de procedibilidad previstos en el artículo 179 de la Ley en la Materia.</w:t>
      </w:r>
    </w:p>
    <w:p w:rsidR="005E5A42" w:rsidRDefault="005E5A42" w:rsidP="005E5A42">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esta tesitura, es evidente que no se puede invocar el precepto legal 191 de la Ley en cita ulteriormente a que ha sido admitido, determinando la actualización de un desechamiento</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porque está ya sería posterior a la etapa procedimental en la que debió desecharse.</w:t>
      </w:r>
    </w:p>
    <w:p w:rsidR="005E5A42" w:rsidRDefault="005E5A42" w:rsidP="005E5A42">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Cobrando aplicación lo previsto en la fracción IV del artículo 192, en razón a que al haber sido el recurso y al actualizarse una causal de improcedencia, debe ser sobreseído. </w:t>
      </w:r>
    </w:p>
    <w:p w:rsidR="005E5A42" w:rsidRDefault="005E5A42" w:rsidP="005E5A42">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Así, de las constancias que obran en el expediente de mérito, se advierte que se actualiza la causal de sobreseimiento enunciada en la fracción IV del artículo 192 de la Ley de Transparencia y Acceso a la Información Pública del Estado de México y Municipios, en relación directa con la fracción I del artículo 191 de la misma Ley, por no existir elementos de procedencia.</w:t>
      </w:r>
    </w:p>
    <w:p w:rsidR="005E5A42" w:rsidRDefault="005E5A42" w:rsidP="005E5A42">
      <w:pPr>
        <w:spacing w:before="280" w:after="28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Lo anterior se afirma así, en virtud de que no escapa de la óptica de este Organismo Garante que, el </w:t>
      </w:r>
      <w:r w:rsidR="00121C3F">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dio respuesta a la solicitud de información el día </w:t>
      </w:r>
      <w:r w:rsidR="00121C3F">
        <w:rPr>
          <w:rFonts w:ascii="Palatino Linotype" w:eastAsia="Palatino Linotype" w:hAnsi="Palatino Linotype" w:cs="Palatino Linotype"/>
          <w:b/>
        </w:rPr>
        <w:t>veintiuno de enero</w:t>
      </w:r>
      <w:r>
        <w:rPr>
          <w:rFonts w:ascii="Palatino Linotype" w:eastAsia="Palatino Linotype" w:hAnsi="Palatino Linotype" w:cs="Palatino Linotype"/>
          <w:b/>
        </w:rPr>
        <w:t xml:space="preserve"> de dos mil veintidós, </w:t>
      </w:r>
      <w:r>
        <w:rPr>
          <w:rFonts w:ascii="Palatino Linotype" w:eastAsia="Palatino Linotype" w:hAnsi="Palatino Linotype" w:cs="Palatino Linotype"/>
        </w:rPr>
        <w:t xml:space="preserve">mientras que el particular interpuso el recurso de revisión que nos ocupa hasta el día </w:t>
      </w:r>
      <w:r>
        <w:rPr>
          <w:rFonts w:ascii="Palatino Linotype" w:eastAsia="Palatino Linotype" w:hAnsi="Palatino Linotype" w:cs="Palatino Linotype"/>
          <w:b/>
        </w:rPr>
        <w:t xml:space="preserve">tres de marzo de dos mil veintidós, </w:t>
      </w:r>
      <w:r w:rsidR="00121C3F">
        <w:rPr>
          <w:rFonts w:ascii="Palatino Linotype" w:eastAsia="Palatino Linotype" w:hAnsi="Palatino Linotype" w:cs="Palatino Linotype"/>
        </w:rPr>
        <w:t xml:space="preserve">de tal suerte que trascurrieron </w:t>
      </w:r>
      <w:r w:rsidR="00121C3F" w:rsidRPr="00121C3F">
        <w:rPr>
          <w:rFonts w:ascii="Palatino Linotype" w:eastAsia="Palatino Linotype" w:hAnsi="Palatino Linotype" w:cs="Palatino Linotype"/>
        </w:rPr>
        <w:t>veintisiete</w:t>
      </w:r>
      <w:r w:rsidRPr="00121C3F">
        <w:rPr>
          <w:rFonts w:ascii="Palatino Linotype" w:eastAsia="Palatino Linotype" w:hAnsi="Palatino Linotype" w:cs="Palatino Linotype"/>
          <w:b/>
        </w:rPr>
        <w:t xml:space="preserve"> días hábiles</w:t>
      </w:r>
      <w:r>
        <w:rPr>
          <w:rFonts w:ascii="Palatino Linotype" w:eastAsia="Palatino Linotype" w:hAnsi="Palatino Linotype" w:cs="Palatino Linotype"/>
          <w:b/>
        </w:rPr>
        <w:t xml:space="preserve"> desde la notificación de la respuesta, hasta el día de la interposición del medio de impugnación.</w:t>
      </w:r>
    </w:p>
    <w:p w:rsidR="005E5A42" w:rsidRDefault="005E5A42" w:rsidP="005E5A4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se afirma así, en virtud de que el plazo de quince días previsto en el artículo 178 de la Ley de Transparencia y Acceso a la Información Pública del Estado de México y Municipios citado con antelación, comenzó a computarse a partir del </w:t>
      </w:r>
      <w:r w:rsidRPr="00B322A5">
        <w:rPr>
          <w:rFonts w:ascii="Palatino Linotype" w:eastAsia="Palatino Linotype" w:hAnsi="Palatino Linotype" w:cs="Palatino Linotype"/>
        </w:rPr>
        <w:t xml:space="preserve">día </w:t>
      </w:r>
      <w:r w:rsidRPr="00B322A5">
        <w:rPr>
          <w:rFonts w:ascii="Palatino Linotype" w:eastAsia="Palatino Linotype" w:hAnsi="Palatino Linotype" w:cs="Palatino Linotype"/>
          <w:b/>
        </w:rPr>
        <w:t>veinticuatro de enero de dos mil veintidós</w:t>
      </w:r>
      <w:r w:rsidRPr="00B322A5">
        <w:rPr>
          <w:rFonts w:ascii="Palatino Linotype" w:eastAsia="Palatino Linotype" w:hAnsi="Palatino Linotype" w:cs="Palatino Linotype"/>
        </w:rPr>
        <w:t xml:space="preserve"> y </w:t>
      </w:r>
      <w:r w:rsidRPr="00B322A5">
        <w:rPr>
          <w:rFonts w:ascii="Palatino Linotype" w:eastAsia="Palatino Linotype" w:hAnsi="Palatino Linotype" w:cs="Palatino Linotype"/>
          <w:u w:val="single"/>
        </w:rPr>
        <w:t xml:space="preserve">feneció el día </w:t>
      </w:r>
      <w:r w:rsidRPr="00B322A5">
        <w:rPr>
          <w:rFonts w:ascii="Palatino Linotype" w:eastAsia="Palatino Linotype" w:hAnsi="Palatino Linotype" w:cs="Palatino Linotype"/>
          <w:b/>
          <w:u w:val="single"/>
        </w:rPr>
        <w:t>catorce de febrero de dos mil veintidós</w:t>
      </w:r>
      <w:r w:rsidRPr="00B322A5">
        <w:rPr>
          <w:rFonts w:ascii="Palatino Linotype" w:eastAsia="Palatino Linotype" w:hAnsi="Palatino Linotype" w:cs="Palatino Linotype"/>
        </w:rPr>
        <w:t>,  sin to</w:t>
      </w:r>
      <w:r w:rsidR="00121C3F" w:rsidRPr="00B322A5">
        <w:rPr>
          <w:rFonts w:ascii="Palatino Linotype" w:eastAsia="Palatino Linotype" w:hAnsi="Palatino Linotype" w:cs="Palatino Linotype"/>
        </w:rPr>
        <w:t>mar en cuenta los días</w:t>
      </w:r>
      <w:r w:rsidRPr="00B322A5">
        <w:rPr>
          <w:rFonts w:ascii="Palatino Linotype" w:eastAsia="Palatino Linotype" w:hAnsi="Palatino Linotype" w:cs="Palatino Linotype"/>
        </w:rPr>
        <w:t xml:space="preserve"> veintinueve y treinta de enero, así como los días cinco, seis, siete, doce y trece de febrero, en términos del artículo </w:t>
      </w:r>
      <w:r w:rsidRPr="00B322A5">
        <w:rPr>
          <w:rFonts w:ascii="Palatino Linotype" w:eastAsia="Palatino Linotype" w:hAnsi="Palatino Linotype" w:cs="Palatino Linotype"/>
        </w:rPr>
        <w:lastRenderedPageBreak/>
        <w:t>3, fracción X</w:t>
      </w:r>
      <w:r w:rsidRPr="00B322A5">
        <w:rPr>
          <w:rFonts w:ascii="Palatino Linotype" w:eastAsia="Palatino Linotype" w:hAnsi="Palatino Linotype" w:cs="Palatino Linotype"/>
          <w:vertAlign w:val="superscript"/>
        </w:rPr>
        <w:footnoteReference w:id="2"/>
      </w:r>
      <w:r w:rsidRPr="00B322A5">
        <w:rPr>
          <w:rFonts w:ascii="Palatino Linotype" w:eastAsia="Palatino Linotype" w:hAnsi="Palatino Linotype" w:cs="Palatino Linotype"/>
        </w:rPr>
        <w:t xml:space="preserve"> de la Ley de la Materia y el ACUERDO SEGUNDO del Acuerdo por el cual se expide el Calendario Oficial en Materia de Transparencia, Acceso a la Información Pública y Protección de Datos Personales del Estado de</w:t>
      </w:r>
      <w:r>
        <w:rPr>
          <w:rFonts w:ascii="Palatino Linotype" w:eastAsia="Palatino Linotype" w:hAnsi="Palatino Linotype" w:cs="Palatino Linotype"/>
        </w:rPr>
        <w:t xml:space="preserve"> México y Municipios, así como de labores de este Organismo Garante para el año dos mil veintidós y enero del dos mil veintitrés</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xml:space="preserve">. De lo hasta aquí expuesto, es evidente que el presente asunto actualiza la causal de improcedencia enunciada en el artículo 191 fracción I de la Ley de Transparencia y Acceso a la Información Pública del Estado de México y Municipios, en virtud de que el recurso de revisión fue presentado fuera del plazo señalado en el artículo 178 de la Ley de la Materia; situación que trae aparejada el sobreseimiento, atendiendo a lo dispuesto en el artículo 192 fracción IV del citado ordenamiento legal. </w:t>
      </w:r>
    </w:p>
    <w:p w:rsidR="005E5A42" w:rsidRDefault="005E5A42" w:rsidP="005E5A42">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Sirve como criterio orientador, lo establecido en la Jurisprudencia 1ª.J3/99 de la Novena Época, emitida por la Primera Sala de la Suprema Corte de Justicia de la Nación, publicada en el Semanario Judicial de la Federación y su Gaceta, que en lo conducente dispone: </w:t>
      </w:r>
    </w:p>
    <w:p w:rsidR="005E5A42" w:rsidRDefault="005E5A42" w:rsidP="005E5A42">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IMPROCEDENCIA. ESTUDIO PREFERENCIAL DE LAS CAUSALES PREVISTAS EN EL ARTÍCULO 73 DE LA LEY DE AMPARO.</w:t>
      </w:r>
      <w:r>
        <w:rPr>
          <w:rFonts w:ascii="Palatino Linotype" w:eastAsia="Palatino Linotype" w:hAnsi="Palatino Linotype" w:cs="Palatino Linotype"/>
          <w:i/>
          <w:sz w:val="22"/>
          <w:szCs w:val="22"/>
        </w:rPr>
        <w:t xml:space="preserve"> De conformidad con lo dispuesto en el último párrafo del artículo 73 de la Ley de Amparo 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el recurrente…”</w:t>
      </w:r>
      <w:r w:rsidR="00B322A5">
        <w:rPr>
          <w:rFonts w:ascii="Palatino Linotype" w:eastAsia="Palatino Linotype" w:hAnsi="Palatino Linotype" w:cs="Palatino Linotype"/>
          <w:i/>
          <w:sz w:val="22"/>
          <w:szCs w:val="22"/>
        </w:rPr>
        <w:t>(Sic)</w:t>
      </w:r>
    </w:p>
    <w:p w:rsidR="005E5A42" w:rsidRDefault="005E5A42" w:rsidP="005E5A42">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lastRenderedPageBreak/>
        <w:t xml:space="preserve">Atento a los razonamientos lógico jurídicos que han quedado precisados y toda vez que el  </w:t>
      </w:r>
      <w:r>
        <w:rPr>
          <w:rFonts w:ascii="Palatino Linotype" w:eastAsia="Palatino Linotype" w:hAnsi="Palatino Linotype" w:cs="Palatino Linotype"/>
          <w:b/>
          <w:i/>
        </w:rPr>
        <w:t>sobreseimiento</w:t>
      </w:r>
      <w:r>
        <w:rPr>
          <w:rFonts w:ascii="Palatino Linotype" w:eastAsia="Palatino Linotype" w:hAnsi="Palatino Linotype" w:cs="Palatino Linotype"/>
          <w:i/>
        </w:rPr>
        <w:t xml:space="preserve"> </w:t>
      </w:r>
      <w:r>
        <w:rPr>
          <w:rFonts w:ascii="Palatino Linotype" w:eastAsia="Palatino Linotype" w:hAnsi="Palatino Linotype" w:cs="Palatino Linotype"/>
        </w:rPr>
        <w:t xml:space="preserve">es un acto que da por terminado el procedimiento administrativo de impugnación por alguna causa que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Pr>
          <w:rFonts w:ascii="Palatino Linotype" w:eastAsia="Palatino Linotype" w:hAnsi="Palatino Linotype" w:cs="Palatino Linotype"/>
          <w:b/>
        </w:rPr>
        <w:t>SOBRESEIMIENTO, NO PERMITE ENTRAR AL ESTUDIO DE LAS CUESTIONES DE FONDO</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b/>
        </w:rPr>
        <w:t>.</w:t>
      </w:r>
    </w:p>
    <w:p w:rsidR="005E5A42" w:rsidRDefault="005E5A42" w:rsidP="005E5A4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resulta procedente </w:t>
      </w:r>
      <w:r>
        <w:rPr>
          <w:rFonts w:ascii="Palatino Linotype" w:eastAsia="Palatino Linotype" w:hAnsi="Palatino Linotype" w:cs="Palatino Linotype"/>
          <w:b/>
          <w:i/>
        </w:rPr>
        <w:t>sobreseer</w:t>
      </w:r>
      <w:r>
        <w:rPr>
          <w:rFonts w:ascii="Palatino Linotype" w:eastAsia="Palatino Linotype" w:hAnsi="Palatino Linotype" w:cs="Palatino Linotype"/>
        </w:rPr>
        <w:t xml:space="preserve"> el recurso de revisión materia de la presente resolución en términos del artículo 186 fracción I de la de la Ley de Transparencia y Acceso a la Información Pública del Estado de México y Municipios en relación directa con los artículos 191 fracción I y 192 fracción IV de mismo ordenamiento legal, citados con anterioridad, pues se actualizó una causal de improcedencia; ya que fue interpuesto fuera del plazo legal establecido para tal efecto.</w:t>
      </w:r>
    </w:p>
    <w:p w:rsidR="005E5A42" w:rsidRDefault="005E5A42" w:rsidP="005E5A4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con fundamento en lo prescrito en los artículos 5 párrafos trigésimo, trigésimo primero y trigésimo segundo fracciones IV y V de la Constitución Política del Estado Libre y Soberano de México; 2, fracción II; 29, 36 fracciones I y II; 176, 178, 181, 185, </w:t>
      </w:r>
      <w:r>
        <w:rPr>
          <w:rFonts w:ascii="Palatino Linotype" w:eastAsia="Palatino Linotype" w:hAnsi="Palatino Linotype" w:cs="Palatino Linotype"/>
        </w:rPr>
        <w:lastRenderedPageBreak/>
        <w:t>fracción I, 186 y 188 de la Ley de Transparencia y Acceso a la Información Pública del Estado de México y Municipios, este Pleno:</w:t>
      </w:r>
    </w:p>
    <w:p w:rsidR="005E5A42" w:rsidRDefault="005E5A42" w:rsidP="005E5A42">
      <w:pPr>
        <w:numPr>
          <w:ilvl w:val="0"/>
          <w:numId w:val="2"/>
        </w:numPr>
        <w:spacing w:before="240" w:after="240" w:line="360" w:lineRule="auto"/>
        <w:ind w:left="0" w:firstLine="0"/>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rsidR="005E5A42" w:rsidRDefault="005E5A42" w:rsidP="005E5A42">
      <w:pPr>
        <w:spacing w:before="240" w:after="240" w:line="360" w:lineRule="auto"/>
        <w:jc w:val="both"/>
        <w:rPr>
          <w:color w:val="000000"/>
        </w:rPr>
      </w:pPr>
      <w:bookmarkStart w:id="2" w:name="_heading=h.1fob9te"/>
      <w:bookmarkEnd w:id="2"/>
      <w:r>
        <w:rPr>
          <w:rFonts w:ascii="Palatino Linotype" w:eastAsia="Palatino Linotype" w:hAnsi="Palatino Linotype" w:cs="Palatino Linotype"/>
          <w:b/>
          <w:color w:val="000000"/>
        </w:rPr>
        <w:t xml:space="preserve">Primero. </w:t>
      </w:r>
      <w:r>
        <w:rPr>
          <w:rFonts w:ascii="Palatino Linotype" w:eastAsia="Palatino Linotype" w:hAnsi="Palatino Linotype" w:cs="Palatino Linotype"/>
        </w:rPr>
        <w:t xml:space="preserve">Se </w:t>
      </w:r>
      <w:r>
        <w:rPr>
          <w:rFonts w:ascii="Palatino Linotype" w:eastAsia="Palatino Linotype" w:hAnsi="Palatino Linotype" w:cs="Palatino Linotype"/>
          <w:b/>
        </w:rPr>
        <w:t>Sobresee</w:t>
      </w:r>
      <w:r>
        <w:rPr>
          <w:rFonts w:ascii="Palatino Linotype" w:eastAsia="Palatino Linotype" w:hAnsi="Palatino Linotype" w:cs="Palatino Linotype"/>
        </w:rPr>
        <w:t xml:space="preserve"> el recurso de revisión número </w:t>
      </w:r>
      <w:r w:rsidR="00B322A5">
        <w:rPr>
          <w:rFonts w:ascii="Palatino Linotype" w:eastAsia="Palatino Linotype" w:hAnsi="Palatino Linotype" w:cs="Palatino Linotype"/>
          <w:b/>
        </w:rPr>
        <w:t>03214</w:t>
      </w:r>
      <w:r>
        <w:rPr>
          <w:rFonts w:ascii="Palatino Linotype" w:eastAsia="Palatino Linotype" w:hAnsi="Palatino Linotype" w:cs="Palatino Linotype"/>
          <w:b/>
        </w:rPr>
        <w:t>/INFOEM/IP/RR/2022,</w:t>
      </w:r>
      <w:r>
        <w:rPr>
          <w:rFonts w:ascii="Palatino Linotype" w:eastAsia="Palatino Linotype" w:hAnsi="Palatino Linotype" w:cs="Palatino Linotype"/>
        </w:rPr>
        <w:t xml:space="preserve"> porque una vez admitido se actualizó la causal de improcedencia prevista en el artículo 192 fracción IV, en relación con la fracción I del artículo 191, de la Ley de Transparencia vigente en la entidad, que lo dejó sin materia en términos del Considerando Segundo de la presente resolución.</w:t>
      </w:r>
    </w:p>
    <w:p w:rsidR="005E5A42" w:rsidRDefault="005E5A42" w:rsidP="005E5A4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Notifíquese, </w:t>
      </w:r>
      <w:r>
        <w:rPr>
          <w:rFonts w:ascii="Palatino Linotype" w:eastAsia="Palatino Linotype" w:hAnsi="Palatino Linotype" w:cs="Palatino Linotype"/>
        </w:rPr>
        <w:t>vía</w:t>
      </w:r>
      <w:r>
        <w:rPr>
          <w:rFonts w:ascii="Palatino Linotype" w:eastAsia="Palatino Linotype" w:hAnsi="Palatino Linotype" w:cs="Palatino Linotype"/>
          <w:b/>
        </w:rPr>
        <w:t xml:space="preserve"> SAIMEX, a</w:t>
      </w:r>
      <w:r>
        <w:rPr>
          <w:rFonts w:ascii="Palatino Linotype" w:eastAsia="Palatino Linotype" w:hAnsi="Palatino Linotype" w:cs="Palatino Linotype"/>
        </w:rPr>
        <w:t xml:space="preserve">l Responsable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presente resolución, para su conocimiento.</w:t>
      </w:r>
    </w:p>
    <w:p w:rsidR="005E5A42" w:rsidRDefault="005E5A42" w:rsidP="005E5A4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rsidR="005E5A42" w:rsidRDefault="005E5A42" w:rsidP="005E5A4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SHARON CRISTINA MORALES MARTÍNEZ, MARÍA DEL ROSARIO MEJÍA AYALA; LUIS GUSTAVO PARRA NORIEGA Y GUADALUPE RAMÍREZ PEÑA; EN LA DÉCIMO NOVENA SESIÓN ORDINARIA CELEBRADA EL </w:t>
      </w:r>
      <w:r>
        <w:rPr>
          <w:rFonts w:ascii="Palatino Linotype" w:eastAsia="Palatino Linotype" w:hAnsi="Palatino Linotype" w:cs="Palatino Linotype"/>
        </w:rPr>
        <w:lastRenderedPageBreak/>
        <w:t xml:space="preserve">VEINTICINCO DE MAYO DEL DOS MIL VEINTIDÓS, ANTE EL SECRETARIO </w:t>
      </w:r>
      <w:r w:rsidR="009A5965">
        <w:rPr>
          <w:rFonts w:ascii="Palatino Linotype" w:eastAsia="Palatino Linotype" w:hAnsi="Palatino Linotype" w:cs="Palatino Linotype"/>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80754</wp:posOffset>
                </wp:positionH>
                <wp:positionV relativeFrom="paragraph">
                  <wp:posOffset>613382</wp:posOffset>
                </wp:positionV>
                <wp:extent cx="5430741" cy="7164126"/>
                <wp:effectExtent l="38100" t="19050" r="74930" b="93980"/>
                <wp:wrapNone/>
                <wp:docPr id="2" name="Conector recto 2"/>
                <wp:cNvGraphicFramePr/>
                <a:graphic xmlns:a="http://schemas.openxmlformats.org/drawingml/2006/main">
                  <a:graphicData uri="http://schemas.microsoft.com/office/word/2010/wordprocessingShape">
                    <wps:wsp>
                      <wps:cNvCnPr/>
                      <wps:spPr>
                        <a:xfrm>
                          <a:off x="0" y="0"/>
                          <a:ext cx="5430741" cy="7164126"/>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8A2A745"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5pt,48.3pt" to="433.95pt,6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" strokecolor="black [3200]" strokeweight="2pt">
                <v:shadow on="t" color="black" opacity="24903f" origin=",.5" offset="0,.55556mm"/>
              </v:line>
            </w:pict>
          </mc:Fallback>
        </mc:AlternateContent>
      </w:r>
      <w:r>
        <w:rPr>
          <w:rFonts w:ascii="Palatino Linotype" w:eastAsia="Palatino Linotype" w:hAnsi="Palatino Linotype" w:cs="Palatino Linotype"/>
        </w:rPr>
        <w:t>TÉCNICO DEL PLENO, ALEXIS TAPIA RAMÍREZ.</w:t>
      </w:r>
    </w:p>
    <w:p w:rsidR="009A5965" w:rsidRDefault="009A5965" w:rsidP="005E5A42">
      <w:pPr>
        <w:spacing w:line="360" w:lineRule="auto"/>
        <w:rPr>
          <w:rFonts w:ascii="Palatino Linotype" w:eastAsia="Palatino Linotype" w:hAnsi="Palatino Linotype" w:cs="Palatino Linotype"/>
        </w:rPr>
        <w:sectPr w:rsidR="009A5965">
          <w:headerReference w:type="default" r:id="rId15"/>
          <w:pgSz w:w="12240" w:h="15840"/>
          <w:pgMar w:top="1417" w:right="1750" w:bottom="1417" w:left="1701" w:header="708" w:footer="708" w:gutter="0"/>
          <w:pgNumType w:start="1"/>
          <w:cols w:space="720"/>
        </w:sectPr>
      </w:pPr>
    </w:p>
    <w:p w:rsidR="006E596E" w:rsidRDefault="006E596E">
      <w:pPr>
        <w:spacing w:before="240" w:after="240" w:line="360" w:lineRule="auto"/>
        <w:jc w:val="both"/>
        <w:rPr>
          <w:rFonts w:ascii="Palatino Linotype" w:eastAsia="Palatino Linotype" w:hAnsi="Palatino Linotype" w:cs="Palatino Linotype"/>
        </w:rPr>
      </w:pPr>
    </w:p>
    <w:sectPr w:rsidR="006E596E">
      <w:headerReference w:type="default" r:id="rId16"/>
      <w:footerReference w:type="default" r:id="rId17"/>
      <w:headerReference w:type="first" r:id="rId18"/>
      <w:footerReference w:type="first" r:id="rId19"/>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3E8" w:rsidRDefault="004C43E8">
      <w:r>
        <w:separator/>
      </w:r>
    </w:p>
  </w:endnote>
  <w:endnote w:type="continuationSeparator" w:id="0">
    <w:p w:rsidR="004C43E8" w:rsidRDefault="004C4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Myriad Pro">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60818"/>
      <w:docPartObj>
        <w:docPartGallery w:val="Page Numbers (Bottom of Page)"/>
        <w:docPartUnique/>
      </w:docPartObj>
    </w:sdtPr>
    <w:sdtEndPr/>
    <w:sdtContent>
      <w:sdt>
        <w:sdtPr>
          <w:id w:val="-1769616900"/>
          <w:docPartObj>
            <w:docPartGallery w:val="Page Numbers (Top of Page)"/>
            <w:docPartUnique/>
          </w:docPartObj>
        </w:sdtPr>
        <w:sdtEndPr/>
        <w:sdtContent>
          <w:p w:rsidR="00121C3F" w:rsidRDefault="00121C3F">
            <w:pPr>
              <w:pStyle w:val="Piedepgina"/>
              <w:jc w:val="right"/>
            </w:pPr>
            <w:r>
              <w:rPr>
                <w:lang w:val="es-ES"/>
              </w:rPr>
              <w:t xml:space="preserve">Página </w:t>
            </w:r>
            <w:r w:rsidR="009A5965">
              <w:rPr>
                <w:b/>
                <w:bCs/>
              </w:rPr>
              <w:t>11</w:t>
            </w:r>
            <w:r>
              <w:rPr>
                <w:lang w:val="es-ES"/>
              </w:rPr>
              <w:t xml:space="preserve"> de </w:t>
            </w:r>
            <w:r w:rsidR="009A5965">
              <w:rPr>
                <w:b/>
                <w:bCs/>
              </w:rPr>
              <w:t>12</w:t>
            </w:r>
          </w:p>
        </w:sdtContent>
      </w:sdt>
    </w:sdtContent>
  </w:sdt>
  <w:p w:rsidR="00121C3F" w:rsidRDefault="00121C3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96E" w:rsidRDefault="00CD37E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E5A42">
      <w:rPr>
        <w:rFonts w:ascii="Palatino Linotype" w:eastAsia="Palatino Linotype" w:hAnsi="Palatino Linotype" w:cs="Palatino Linotype"/>
        <w:b/>
        <w:noProof/>
        <w:color w:val="000000"/>
        <w:sz w:val="20"/>
        <w:szCs w:val="20"/>
      </w:rPr>
      <w:t>5</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E5A42">
      <w:rPr>
        <w:rFonts w:ascii="Palatino Linotype" w:eastAsia="Palatino Linotype" w:hAnsi="Palatino Linotype" w:cs="Palatino Linotype"/>
        <w:b/>
        <w:noProof/>
        <w:color w:val="000000"/>
        <w:sz w:val="20"/>
        <w:szCs w:val="20"/>
      </w:rPr>
      <w:t>5</w:t>
    </w:r>
    <w:r>
      <w:rPr>
        <w:rFonts w:ascii="Palatino Linotype" w:eastAsia="Palatino Linotype" w:hAnsi="Palatino Linotype" w:cs="Palatino Linotype"/>
        <w:b/>
        <w:color w:val="000000"/>
        <w:sz w:val="20"/>
        <w:szCs w:val="20"/>
      </w:rPr>
      <w:fldChar w:fldCharType="end"/>
    </w:r>
  </w:p>
  <w:p w:rsidR="006E596E" w:rsidRDefault="006E596E">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96E" w:rsidRDefault="00CD37E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sidR="009A5965">
      <w:rPr>
        <w:rFonts w:ascii="Palatino Linotype" w:eastAsia="Palatino Linotype" w:hAnsi="Palatino Linotype" w:cs="Palatino Linotype"/>
        <w:b/>
        <w:color w:val="000000"/>
        <w:sz w:val="20"/>
        <w:szCs w:val="20"/>
      </w:rPr>
      <w:t>12</w:t>
    </w:r>
    <w:r>
      <w:rPr>
        <w:rFonts w:ascii="Palatino Linotype" w:eastAsia="Palatino Linotype" w:hAnsi="Palatino Linotype" w:cs="Palatino Linotype"/>
        <w:color w:val="000000"/>
        <w:sz w:val="20"/>
        <w:szCs w:val="20"/>
      </w:rPr>
      <w:t xml:space="preserve"> de </w:t>
    </w:r>
    <w:r w:rsidR="009A5965">
      <w:rPr>
        <w:rFonts w:ascii="Palatino Linotype" w:eastAsia="Palatino Linotype" w:hAnsi="Palatino Linotype" w:cs="Palatino Linotype"/>
        <w:b/>
        <w:color w:val="000000"/>
        <w:sz w:val="20"/>
        <w:szCs w:val="20"/>
      </w:rPr>
      <w:t>12</w:t>
    </w:r>
  </w:p>
  <w:p w:rsidR="006E596E" w:rsidRDefault="006E596E">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3E8" w:rsidRDefault="004C43E8">
      <w:r>
        <w:separator/>
      </w:r>
    </w:p>
  </w:footnote>
  <w:footnote w:type="continuationSeparator" w:id="0">
    <w:p w:rsidR="004C43E8" w:rsidRDefault="004C43E8">
      <w:r>
        <w:continuationSeparator/>
      </w:r>
    </w:p>
  </w:footnote>
  <w:footnote w:id="1">
    <w:p w:rsidR="005E5A42" w:rsidRDefault="005E5A42" w:rsidP="005E5A42">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i/>
          <w:color w:val="000000"/>
          <w:sz w:val="16"/>
          <w:szCs w:val="16"/>
        </w:rPr>
        <w:t>DESISTIMIENTO DE LA DEMANDA DE AMPARO. CORRESPONDE PROVEER RESPECTO DE ÉL AL JUEZ DE DISTRITO CUANDO SE PLANTEA ESTANDO PENDIENTE LA RESOLUCIÓN DEL RECURSO DE REVISIÓN Y ÉSTE SE DESECHA. El desechamiento del recurso de revisión implica, por una parte, la inexistencia de la apertura de la segunda instancia, ya que, en todo caso, la sola interposición del citado medio de defensa sólo originó el trámite de un expediente y, por otra, que quede firme la sentencia recurrida, en términos del artículo 356, fracción II, del Código Federal de Procedimientos Civiles, de aplicación supletoria conforme al artículo 2o., de la Ley de Amparo. En consecuencia, cuando se presenta ante el Juez de primera instancia el desistimiento de la demanda de amparo durante el trámite del recurso de revisión, y éste sea desechado por la falta de legitimación de la parte que lo interpuso, corresponderá a ese juzgador, quien dictó la sentencia impugnada, conocer de dicha manifestación en el ámbito de su competencia, en virtud de que el tribunal revisor carecerá de jurisdicción sobre el asunto al no haberse colmado uno de los presupuestos procesales de dicho recurso.”</w:t>
      </w:r>
    </w:p>
    <w:p w:rsidR="005E5A42" w:rsidRDefault="005E5A42" w:rsidP="005E5A42">
      <w:pPr>
        <w:rPr>
          <w:rFonts w:ascii="Palatino Linotype" w:eastAsia="Palatino Linotype" w:hAnsi="Palatino Linotype" w:cs="Palatino Linotype"/>
          <w:color w:val="000000"/>
          <w:sz w:val="16"/>
          <w:szCs w:val="16"/>
        </w:rPr>
      </w:pPr>
    </w:p>
  </w:footnote>
  <w:footnote w:id="2">
    <w:p w:rsidR="005E5A42" w:rsidRDefault="005E5A42" w:rsidP="005E5A42">
      <w:pPr>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3. Para los efectos de la presente Ley se entenderá por:</w:t>
      </w:r>
    </w:p>
    <w:p w:rsidR="005E5A42" w:rsidRDefault="005E5A42" w:rsidP="005E5A42">
      <w:pPr>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Días: Todos los días del año a excepción de los sábados, los domingos e inhábiles en términos de lo previsto en el calendario oficial que para tal efecto apruebe el Pleno del Instituto;</w:t>
      </w:r>
    </w:p>
  </w:footnote>
  <w:footnote w:id="3">
    <w:p w:rsidR="005E5A42" w:rsidRDefault="005E5A42" w:rsidP="005E5A42">
      <w:pPr>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https://www.infoem.org.mx/doc/acuerdos/20211215_ORD_45_CALENDARIO_OFICIAL_2022_ENERO_2023.pdf</w:t>
      </w:r>
    </w:p>
  </w:footnote>
  <w:footnote w:id="4">
    <w:p w:rsidR="005E5A42" w:rsidRDefault="005E5A42" w:rsidP="005E5A42">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Cuerpo de tesis:</w:t>
      </w:r>
      <w:r>
        <w:rPr>
          <w:rFonts w:ascii="Palatino Linotype" w:eastAsia="Palatino Linotype" w:hAnsi="Palatino Linotype" w:cs="Palatino Linotype"/>
          <w:color w:val="000000"/>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rsidR="005E5A42" w:rsidRDefault="005E5A42" w:rsidP="005E5A42">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b/>
          <w:color w:val="000000"/>
          <w:sz w:val="16"/>
          <w:szCs w:val="16"/>
        </w:rPr>
        <w:t>Localización</w:t>
      </w:r>
      <w:r>
        <w:rPr>
          <w:rFonts w:ascii="Palatino Linotype" w:eastAsia="Palatino Linotype" w:hAnsi="Palatino Linotype" w:cs="Palatino Linotype"/>
          <w:color w:val="000000"/>
          <w:sz w:val="16"/>
          <w:szCs w:val="16"/>
        </w:rPr>
        <w:t>: 2</w:t>
      </w:r>
      <w:r>
        <w:rPr>
          <w:rFonts w:ascii="Palatino Linotype" w:eastAsia="Palatino Linotype" w:hAnsi="Palatino Linotype" w:cs="Palatino Linotype"/>
          <w:color w:val="000000"/>
          <w:sz w:val="16"/>
          <w:szCs w:val="16"/>
          <w:highlight w:val="white"/>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
      <w:tblW w:w="5670" w:type="dxa"/>
      <w:tblInd w:w="3261" w:type="dxa"/>
      <w:tblLayout w:type="fixed"/>
      <w:tblLook w:val="0400" w:firstRow="0" w:lastRow="0" w:firstColumn="0" w:lastColumn="0" w:noHBand="0" w:noVBand="1"/>
    </w:tblPr>
    <w:tblGrid>
      <w:gridCol w:w="2551"/>
      <w:gridCol w:w="3119"/>
    </w:tblGrid>
    <w:tr w:rsidR="00121C3F" w:rsidTr="005245F7">
      <w:trPr>
        <w:cnfStyle w:val="000000100000" w:firstRow="0" w:lastRow="0" w:firstColumn="0" w:lastColumn="0" w:oddVBand="0" w:evenVBand="0" w:oddHBand="1" w:evenHBand="0" w:firstRowFirstColumn="0" w:firstRowLastColumn="0" w:lastRowFirstColumn="0" w:lastRowLastColumn="0"/>
      </w:trPr>
      <w:tc>
        <w:tcPr>
          <w:tcW w:w="2551" w:type="dxa"/>
          <w:shd w:val="clear" w:color="auto" w:fill="auto"/>
          <w:vAlign w:val="center"/>
        </w:tcPr>
        <w:p w:rsidR="00121C3F" w:rsidRDefault="00121C3F" w:rsidP="00121C3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121C3F" w:rsidRDefault="00121C3F" w:rsidP="00121C3F">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03214/INFOEM/IP/RR/2022</w:t>
          </w:r>
        </w:p>
      </w:tc>
    </w:tr>
    <w:tr w:rsidR="00121C3F" w:rsidTr="005245F7">
      <w:trPr>
        <w:trHeight w:val="130"/>
      </w:trPr>
      <w:tc>
        <w:tcPr>
          <w:tcW w:w="2551" w:type="dxa"/>
          <w:shd w:val="clear" w:color="auto" w:fill="auto"/>
          <w:vAlign w:val="center"/>
        </w:tcPr>
        <w:p w:rsidR="00121C3F" w:rsidRDefault="00121C3F" w:rsidP="00121C3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121C3F" w:rsidRDefault="007220BE" w:rsidP="00121C3F">
          <w:pPr>
            <w:ind w:left="-45"/>
            <w:jc w:val="both"/>
            <w:rPr>
              <w:rFonts w:ascii="Palatino Linotype" w:eastAsia="Palatino Linotype" w:hAnsi="Palatino Linotype" w:cs="Palatino Linotype"/>
              <w:b/>
              <w:sz w:val="22"/>
              <w:szCs w:val="22"/>
            </w:rPr>
          </w:pPr>
          <w:r>
            <w:rPr>
              <w:rFonts w:ascii="Palatino Linotype" w:hAnsi="Palatino Linotype"/>
              <w:b/>
              <w:sz w:val="22"/>
              <w:szCs w:val="22"/>
              <w:lang w:val="es-ES_tradnl"/>
            </w:rPr>
            <w:t xml:space="preserve">XXXXX XXXX XXXXX </w:t>
          </w:r>
        </w:p>
      </w:tc>
    </w:tr>
    <w:tr w:rsidR="00121C3F" w:rsidTr="005245F7">
      <w:trPr>
        <w:cnfStyle w:val="000000100000" w:firstRow="0" w:lastRow="0" w:firstColumn="0" w:lastColumn="0" w:oddVBand="0" w:evenVBand="0" w:oddHBand="1" w:evenHBand="0" w:firstRowFirstColumn="0" w:firstRowLastColumn="0" w:lastRowFirstColumn="0" w:lastRowLastColumn="0"/>
        <w:trHeight w:val="228"/>
      </w:trPr>
      <w:tc>
        <w:tcPr>
          <w:tcW w:w="2551" w:type="dxa"/>
          <w:shd w:val="clear" w:color="auto" w:fill="auto"/>
          <w:vAlign w:val="center"/>
        </w:tcPr>
        <w:p w:rsidR="00121C3F" w:rsidRDefault="00121C3F" w:rsidP="00121C3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121C3F" w:rsidRDefault="00121C3F" w:rsidP="00121C3F">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Coacalco de Berriozábal.</w:t>
          </w:r>
        </w:p>
      </w:tc>
    </w:tr>
    <w:tr w:rsidR="00121C3F" w:rsidTr="005245F7">
      <w:tc>
        <w:tcPr>
          <w:tcW w:w="2551" w:type="dxa"/>
          <w:shd w:val="clear" w:color="auto" w:fill="auto"/>
          <w:vAlign w:val="center"/>
        </w:tcPr>
        <w:p w:rsidR="00121C3F" w:rsidRDefault="00121C3F" w:rsidP="00121C3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121C3F" w:rsidRDefault="00121C3F" w:rsidP="00121C3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121C3F" w:rsidRDefault="00121C3F">
    <w:pPr>
      <w:pStyle w:val="Encabezado"/>
    </w:pPr>
    <w:r>
      <w:rPr>
        <w:noProof/>
        <w:lang w:val="en-US" w:eastAsia="en-US"/>
      </w:rPr>
      <w:drawing>
        <wp:anchor distT="0" distB="0" distL="0" distR="0" simplePos="0" relativeHeight="251661312" behindDoc="1" locked="0" layoutInCell="1" hidden="0" allowOverlap="1" wp14:anchorId="5B541F57" wp14:editId="45433488">
          <wp:simplePos x="0" y="0"/>
          <wp:positionH relativeFrom="column">
            <wp:posOffset>-738835</wp:posOffset>
          </wp:positionH>
          <wp:positionV relativeFrom="paragraph">
            <wp:posOffset>-1243584</wp:posOffset>
          </wp:positionV>
          <wp:extent cx="7809865" cy="10165715"/>
          <wp:effectExtent l="0" t="0" r="0" b="0"/>
          <wp:wrapNone/>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
      <w:tblW w:w="5670" w:type="dxa"/>
      <w:tblInd w:w="3261" w:type="dxa"/>
      <w:tblLayout w:type="fixed"/>
      <w:tblLook w:val="0400" w:firstRow="0" w:lastRow="0" w:firstColumn="0" w:lastColumn="0" w:noHBand="0" w:noVBand="1"/>
    </w:tblPr>
    <w:tblGrid>
      <w:gridCol w:w="2551"/>
      <w:gridCol w:w="3119"/>
    </w:tblGrid>
    <w:tr w:rsidR="00121C3F" w:rsidTr="005245F7">
      <w:trPr>
        <w:cnfStyle w:val="000000100000" w:firstRow="0" w:lastRow="0" w:firstColumn="0" w:lastColumn="0" w:oddVBand="0" w:evenVBand="0" w:oddHBand="1" w:evenHBand="0" w:firstRowFirstColumn="0" w:firstRowLastColumn="0" w:lastRowFirstColumn="0" w:lastRowLastColumn="0"/>
      </w:trPr>
      <w:tc>
        <w:tcPr>
          <w:tcW w:w="2551" w:type="dxa"/>
          <w:shd w:val="clear" w:color="auto" w:fill="auto"/>
          <w:vAlign w:val="center"/>
        </w:tcPr>
        <w:p w:rsidR="00121C3F" w:rsidRDefault="00121C3F" w:rsidP="00121C3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121C3F" w:rsidRDefault="00121C3F" w:rsidP="00121C3F">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03214/INFOEM/IP/RR/2022</w:t>
          </w:r>
        </w:p>
      </w:tc>
    </w:tr>
    <w:tr w:rsidR="00121C3F" w:rsidTr="005245F7">
      <w:trPr>
        <w:trHeight w:val="228"/>
      </w:trPr>
      <w:tc>
        <w:tcPr>
          <w:tcW w:w="2551" w:type="dxa"/>
          <w:shd w:val="clear" w:color="auto" w:fill="auto"/>
          <w:vAlign w:val="center"/>
        </w:tcPr>
        <w:p w:rsidR="00121C3F" w:rsidRDefault="00121C3F" w:rsidP="00121C3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121C3F" w:rsidRDefault="00121C3F" w:rsidP="00121C3F">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Coacalco de Berriozábal.</w:t>
          </w:r>
        </w:p>
      </w:tc>
    </w:tr>
    <w:tr w:rsidR="00121C3F" w:rsidTr="005245F7">
      <w:trPr>
        <w:cnfStyle w:val="000000100000" w:firstRow="0" w:lastRow="0" w:firstColumn="0" w:lastColumn="0" w:oddVBand="0" w:evenVBand="0" w:oddHBand="1" w:evenHBand="0" w:firstRowFirstColumn="0" w:firstRowLastColumn="0" w:lastRowFirstColumn="0" w:lastRowLastColumn="0"/>
      </w:trPr>
      <w:tc>
        <w:tcPr>
          <w:tcW w:w="2551" w:type="dxa"/>
          <w:shd w:val="clear" w:color="auto" w:fill="auto"/>
          <w:vAlign w:val="center"/>
        </w:tcPr>
        <w:p w:rsidR="00121C3F" w:rsidRDefault="00121C3F" w:rsidP="00121C3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121C3F" w:rsidRDefault="00121C3F" w:rsidP="00121C3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121C3F" w:rsidRDefault="00121C3F">
    <w:pPr>
      <w:pStyle w:val="Encabezado"/>
    </w:pPr>
    <w:r>
      <w:rPr>
        <w:noProof/>
        <w:lang w:val="en-US" w:eastAsia="en-US"/>
      </w:rPr>
      <w:drawing>
        <wp:anchor distT="0" distB="0" distL="0" distR="0" simplePos="0" relativeHeight="251663360" behindDoc="1" locked="0" layoutInCell="1" hidden="0" allowOverlap="1" wp14:anchorId="43A8B827" wp14:editId="3AAD9566">
          <wp:simplePos x="0" y="0"/>
          <wp:positionH relativeFrom="column">
            <wp:posOffset>-738835</wp:posOffset>
          </wp:positionH>
          <wp:positionV relativeFrom="paragraph">
            <wp:posOffset>-1243584</wp:posOffset>
          </wp:positionV>
          <wp:extent cx="7809865" cy="10165715"/>
          <wp:effectExtent l="0" t="0" r="0" b="0"/>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96E" w:rsidRDefault="00CD37ED">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n-US" w:eastAsia="en-US"/>
      </w:rPr>
      <w:drawing>
        <wp:anchor distT="0" distB="0" distL="0" distR="0" simplePos="0" relativeHeight="251658240" behindDoc="1" locked="0" layoutInCell="1" hidden="0" allowOverlap="1">
          <wp:simplePos x="0" y="0"/>
          <wp:positionH relativeFrom="column">
            <wp:posOffset>-1080133</wp:posOffset>
          </wp:positionH>
          <wp:positionV relativeFrom="paragraph">
            <wp:posOffset>-488313</wp:posOffset>
          </wp:positionV>
          <wp:extent cx="7809865" cy="10165715"/>
          <wp:effectExtent l="0" t="0" r="0" b="0"/>
          <wp:wrapNone/>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4"/>
      <w:tblW w:w="5953" w:type="dxa"/>
      <w:tblInd w:w="3261" w:type="dxa"/>
      <w:tblLayout w:type="fixed"/>
      <w:tblLook w:val="0400" w:firstRow="0" w:lastRow="0" w:firstColumn="0" w:lastColumn="0" w:noHBand="0" w:noVBand="1"/>
    </w:tblPr>
    <w:tblGrid>
      <w:gridCol w:w="2489"/>
      <w:gridCol w:w="3464"/>
    </w:tblGrid>
    <w:tr w:rsidR="006E596E">
      <w:tc>
        <w:tcPr>
          <w:tcW w:w="2489" w:type="dxa"/>
          <w:shd w:val="clear" w:color="auto" w:fill="auto"/>
        </w:tcPr>
        <w:p w:rsidR="006E596E" w:rsidRDefault="00CD37E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6E596E" w:rsidRDefault="00CD37E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03214/INFOEM/IP/RR/2022</w:t>
          </w:r>
        </w:p>
      </w:tc>
    </w:tr>
    <w:tr w:rsidR="006E596E">
      <w:trPr>
        <w:trHeight w:val="228"/>
      </w:trPr>
      <w:tc>
        <w:tcPr>
          <w:tcW w:w="2489" w:type="dxa"/>
          <w:shd w:val="clear" w:color="auto" w:fill="auto"/>
          <w:vAlign w:val="center"/>
        </w:tcPr>
        <w:p w:rsidR="006E596E" w:rsidRDefault="00CD37E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6E596E" w:rsidRDefault="00CD37ED">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Coacalco de Berriozábal.</w:t>
          </w:r>
        </w:p>
      </w:tc>
    </w:tr>
    <w:tr w:rsidR="006E596E">
      <w:tc>
        <w:tcPr>
          <w:tcW w:w="2489" w:type="dxa"/>
          <w:shd w:val="clear" w:color="auto" w:fill="auto"/>
          <w:vAlign w:val="center"/>
        </w:tcPr>
        <w:p w:rsidR="006E596E" w:rsidRDefault="00CD37E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6E596E" w:rsidRDefault="00CD37E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6E596E" w:rsidRDefault="00CD37ED">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96E" w:rsidRDefault="006E596E">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p w:rsidR="006E596E" w:rsidRDefault="006E596E">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E405D9"/>
    <w:multiLevelType w:val="multilevel"/>
    <w:tmpl w:val="15FE128A"/>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1B7196C"/>
    <w:multiLevelType w:val="multilevel"/>
    <w:tmpl w:val="E1867CE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96E"/>
    <w:rsid w:val="00121C3F"/>
    <w:rsid w:val="004C43E8"/>
    <w:rsid w:val="005E5A42"/>
    <w:rsid w:val="006E596E"/>
    <w:rsid w:val="007220BE"/>
    <w:rsid w:val="009A5965"/>
    <w:rsid w:val="00B322A5"/>
    <w:rsid w:val="00CD37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1E4D2"/>
  <w15:docId w15:val="{DE703055-9EC5-40EC-AE14-DA6ADB8A0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842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aimex.org.mx/saimex/solicitud/downloadAttach/1352977.page" TargetMode="Externa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saimex.org.mx/saimex/solicitud/downloadAttach/1309431.pag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saimex.org.mx/saimex/solicitud/downloadAttach/1369042.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4VG9JQy7RUz1yAQWsVpzKpteQw==">AMUW2mVvJhdN8NVJUj3gpoPTCR+LvEil5SPloaYB0Whxnj19inMHlrKHmQDu8ckxcmYxdzeHuPXO9bWeJ31pOlSbI3q/PWhgBg22X6Ss/dAqHpGfZOtMvY4vWJuKhBWSiZvVCap4yEzL</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CE0999E-EADA-433F-86EC-D2CFAAE1D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2474</Words>
  <Characters>14107</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16548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NAJERA </cp:lastModifiedBy>
  <cp:revision>5</cp:revision>
  <dcterms:created xsi:type="dcterms:W3CDTF">2022-05-19T05:48:00Z</dcterms:created>
  <dcterms:modified xsi:type="dcterms:W3CDTF">2022-06-06T22:18:00Z</dcterms:modified>
</cp:coreProperties>
</file>