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CD9C9"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2113B6">
        <w:rPr>
          <w:rFonts w:ascii="Palatino Linotype" w:eastAsia="Palatino Linotype" w:hAnsi="Palatino Linotype" w:cs="Palatino Linotype"/>
          <w:b/>
        </w:rPr>
        <w:t>catorc</w:t>
      </w:r>
      <w:r>
        <w:rPr>
          <w:rFonts w:ascii="Palatino Linotype" w:eastAsia="Palatino Linotype" w:hAnsi="Palatino Linotype" w:cs="Palatino Linotype"/>
          <w:b/>
        </w:rPr>
        <w:t>e de septiembre de dos mil veintidós</w:t>
      </w:r>
      <w:r>
        <w:rPr>
          <w:rFonts w:ascii="Palatino Linotype" w:eastAsia="Palatino Linotype" w:hAnsi="Palatino Linotype" w:cs="Palatino Linotype"/>
        </w:rPr>
        <w:t xml:space="preserve">. </w:t>
      </w:r>
    </w:p>
    <w:p w14:paraId="163B9537"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2113B6">
        <w:rPr>
          <w:rFonts w:ascii="Palatino Linotype" w:eastAsia="Palatino Linotype" w:hAnsi="Palatino Linotype" w:cs="Palatino Linotype"/>
          <w:b/>
        </w:rPr>
        <w:t>073</w:t>
      </w:r>
      <w:r>
        <w:rPr>
          <w:rFonts w:ascii="Palatino Linotype" w:eastAsia="Palatino Linotype" w:hAnsi="Palatino Linotype" w:cs="Palatino Linotype"/>
          <w:b/>
        </w:rPr>
        <w:t>54/INFOEM/IP/RR/2022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un particular de manera anónima,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sidR="00533E2A">
        <w:rPr>
          <w:rFonts w:ascii="Palatino Linotype" w:eastAsia="Palatino Linotype" w:hAnsi="Palatino Linotype" w:cs="Palatino Linotype"/>
          <w:b/>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sidR="002113B6">
        <w:rPr>
          <w:rFonts w:ascii="Palatino Linotype" w:eastAsia="Palatino Linotype" w:hAnsi="Palatino Linotype" w:cs="Palatino Linotype"/>
          <w:b/>
        </w:rPr>
        <w:t>Ayuntamiento de Tenancing</w:t>
      </w:r>
      <w:r>
        <w:rPr>
          <w:rFonts w:ascii="Palatino Linotype" w:eastAsia="Palatino Linotype" w:hAnsi="Palatino Linotype" w:cs="Palatino Linotype"/>
          <w:b/>
        </w:rPr>
        <w:t xml:space="preserve">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06D8245E" w14:textId="77777777" w:rsidR="006E1E11" w:rsidRDefault="00BE0A01">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2CF7E545"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sidR="002113B6">
        <w:rPr>
          <w:rFonts w:ascii="Palatino Linotype" w:eastAsia="Palatino Linotype" w:hAnsi="Palatino Linotype" w:cs="Palatino Linotype"/>
          <w:b/>
        </w:rPr>
        <w:t>veintidós</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w:t>
      </w:r>
      <w:r w:rsidR="00533E2A">
        <w:rPr>
          <w:rFonts w:ascii="Palatino Linotype" w:eastAsia="Palatino Linotype" w:hAnsi="Palatino Linotype" w:cs="Palatino Linotype"/>
          <w:b/>
        </w:rPr>
        <w:t xml:space="preserve">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sidR="002113B6" w:rsidRPr="002113B6">
        <w:rPr>
          <w:rFonts w:ascii="Palatino Linotype" w:eastAsia="Palatino Linotype" w:hAnsi="Palatino Linotype" w:cs="Palatino Linotype"/>
          <w:b/>
          <w:bCs/>
        </w:rPr>
        <w:t>00216/TENANCIN/IP/2022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3D23479B" w14:textId="77777777" w:rsidR="006E1E11" w:rsidRDefault="00BE0A01">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w:t>
      </w:r>
      <w:r w:rsidR="002113B6" w:rsidRPr="002113B6">
        <w:rPr>
          <w:rFonts w:ascii="Palatino Linotype" w:eastAsia="Palatino Linotype" w:hAnsi="Palatino Linotype" w:cs="Palatino Linotype"/>
          <w:i/>
          <w:sz w:val="22"/>
          <w:szCs w:val="22"/>
        </w:rPr>
        <w:t xml:space="preserve">solicito los </w:t>
      </w:r>
      <w:r w:rsidR="002113B6" w:rsidRPr="002113B6">
        <w:rPr>
          <w:rFonts w:ascii="Palatino Linotype" w:eastAsia="Palatino Linotype" w:hAnsi="Palatino Linotype" w:cs="Palatino Linotype"/>
          <w:b/>
          <w:i/>
          <w:sz w:val="22"/>
          <w:szCs w:val="22"/>
        </w:rPr>
        <w:t>comodatos del ayuntamiento 2022</w:t>
      </w:r>
      <w:r>
        <w:rPr>
          <w:rFonts w:ascii="Palatino Linotype" w:eastAsia="Palatino Linotype" w:hAnsi="Palatino Linotype" w:cs="Palatino Linotype"/>
          <w:i/>
          <w:sz w:val="22"/>
          <w:szCs w:val="22"/>
        </w:rPr>
        <w:t>” (Sic) (Énfasis añadido)</w:t>
      </w:r>
    </w:p>
    <w:p w14:paraId="0D7EE05A"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57718468" w14:textId="77777777" w:rsidR="006E1E11" w:rsidRPr="002113B6" w:rsidRDefault="00BE0A0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El </w:t>
      </w:r>
      <w:r w:rsidR="002113B6">
        <w:rPr>
          <w:rFonts w:ascii="Palatino Linotype" w:eastAsia="Palatino Linotype" w:hAnsi="Palatino Linotype" w:cs="Palatino Linotype"/>
          <w:b/>
        </w:rPr>
        <w:t>diecinueve</w:t>
      </w:r>
      <w:r>
        <w:rPr>
          <w:rFonts w:ascii="Palatino Linotype" w:eastAsia="Palatino Linotype" w:hAnsi="Palatino Linotype" w:cs="Palatino Linotype"/>
          <w:b/>
        </w:rPr>
        <w:t xml:space="preserve"> de abril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14:paraId="38F16DF6" w14:textId="77777777" w:rsidR="002113B6" w:rsidRPr="002113B6" w:rsidRDefault="00BE0A01" w:rsidP="002113B6">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2113B6" w:rsidRPr="002113B6">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w:t>
      </w:r>
      <w:r w:rsidR="002113B6" w:rsidRPr="002113B6">
        <w:rPr>
          <w:rFonts w:ascii="Palatino Linotype" w:eastAsia="Palatino Linotype" w:hAnsi="Palatino Linotype" w:cs="Palatino Linotype"/>
          <w:i/>
          <w:sz w:val="22"/>
          <w:szCs w:val="22"/>
        </w:rPr>
        <w:lastRenderedPageBreak/>
        <w:t>y Acceso a la Información Pública del Estado de México y Municipios, le contestamos que:</w:t>
      </w:r>
    </w:p>
    <w:p w14:paraId="21144A97" w14:textId="77777777" w:rsidR="002113B6" w:rsidRPr="002113B6" w:rsidRDefault="002113B6" w:rsidP="002113B6">
      <w:pPr>
        <w:spacing w:before="240" w:after="240" w:line="276" w:lineRule="auto"/>
        <w:ind w:left="567" w:right="900"/>
        <w:jc w:val="both"/>
        <w:rPr>
          <w:rFonts w:ascii="Palatino Linotype" w:eastAsia="Palatino Linotype" w:hAnsi="Palatino Linotype" w:cs="Palatino Linotype"/>
          <w:i/>
          <w:sz w:val="22"/>
          <w:szCs w:val="22"/>
        </w:rPr>
      </w:pPr>
      <w:r w:rsidRPr="002113B6">
        <w:rPr>
          <w:rFonts w:ascii="Palatino Linotype" w:eastAsia="Palatino Linotype" w:hAnsi="Palatino Linotype" w:cs="Palatino Linotype"/>
          <w:i/>
          <w:sz w:val="22"/>
          <w:szCs w:val="22"/>
        </w:rPr>
        <w:t>SE REMITE RESPUESTA A LA SOLICITUD</w:t>
      </w:r>
    </w:p>
    <w:p w14:paraId="227E3CA1" w14:textId="77777777" w:rsidR="002113B6" w:rsidRPr="002113B6" w:rsidRDefault="002113B6" w:rsidP="002113B6">
      <w:pPr>
        <w:spacing w:before="240" w:after="240" w:line="276" w:lineRule="auto"/>
        <w:ind w:left="567" w:right="900"/>
        <w:jc w:val="both"/>
        <w:rPr>
          <w:rFonts w:ascii="Palatino Linotype" w:eastAsia="Palatino Linotype" w:hAnsi="Palatino Linotype" w:cs="Palatino Linotype"/>
          <w:i/>
          <w:sz w:val="22"/>
          <w:szCs w:val="22"/>
        </w:rPr>
      </w:pPr>
      <w:r w:rsidRPr="002113B6">
        <w:rPr>
          <w:rFonts w:ascii="Palatino Linotype" w:eastAsia="Palatino Linotype" w:hAnsi="Palatino Linotype" w:cs="Palatino Linotype"/>
          <w:i/>
          <w:sz w:val="22"/>
          <w:szCs w:val="22"/>
        </w:rPr>
        <w:t>ATENTAMENTE</w:t>
      </w:r>
    </w:p>
    <w:p w14:paraId="5FE8A1B0" w14:textId="77777777" w:rsidR="006E1E11" w:rsidRDefault="002113B6" w:rsidP="002113B6">
      <w:pPr>
        <w:spacing w:before="240" w:after="240" w:line="276" w:lineRule="auto"/>
        <w:ind w:left="567" w:right="900"/>
        <w:jc w:val="both"/>
        <w:rPr>
          <w:rFonts w:ascii="Palatino Linotype" w:eastAsia="Palatino Linotype" w:hAnsi="Palatino Linotype" w:cs="Palatino Linotype"/>
          <w:i/>
          <w:sz w:val="22"/>
          <w:szCs w:val="22"/>
        </w:rPr>
      </w:pPr>
      <w:r w:rsidRPr="002113B6">
        <w:rPr>
          <w:rFonts w:ascii="Palatino Linotype" w:eastAsia="Palatino Linotype" w:hAnsi="Palatino Linotype" w:cs="Palatino Linotype"/>
          <w:i/>
          <w:sz w:val="22"/>
          <w:szCs w:val="22"/>
        </w:rPr>
        <w:t>L. en D. OSCAR MANUEL MARTINEZ RODRIGUEZ</w:t>
      </w:r>
      <w:r w:rsidR="00BE0A01">
        <w:rPr>
          <w:rFonts w:ascii="Palatino Linotype" w:eastAsia="Palatino Linotype" w:hAnsi="Palatino Linotype" w:cs="Palatino Linotype"/>
          <w:i/>
          <w:sz w:val="22"/>
          <w:szCs w:val="22"/>
        </w:rPr>
        <w:t>” (sic)</w:t>
      </w:r>
    </w:p>
    <w:p w14:paraId="7A8FB56D" w14:textId="77777777" w:rsidR="006E1E11" w:rsidRDefault="00BE0A01">
      <w:pPr>
        <w:spacing w:before="240" w:after="240" w:line="276" w:lineRule="auto"/>
        <w:ind w:left="851"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Archivos adjuntos:</w:t>
      </w:r>
    </w:p>
    <w:p w14:paraId="7630044A" w14:textId="77777777" w:rsidR="002113B6" w:rsidRDefault="002113B6">
      <w:pPr>
        <w:spacing w:before="240" w:after="240" w:line="276"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2113B6">
        <w:rPr>
          <w:rFonts w:ascii="Palatino Linotype" w:eastAsia="Palatino Linotype" w:hAnsi="Palatino Linotype" w:cs="Palatino Linotype"/>
          <w:b/>
          <w:i/>
          <w:sz w:val="22"/>
          <w:szCs w:val="22"/>
        </w:rPr>
        <w:t>00126.pdf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Documento de </w:t>
      </w:r>
      <w:r w:rsidRPr="001D064A">
        <w:rPr>
          <w:rFonts w:ascii="Palatino Linotype" w:eastAsia="Palatino Linotype" w:hAnsi="Palatino Linotype" w:cs="Palatino Linotype"/>
          <w:color w:val="000000" w:themeColor="text1"/>
          <w:sz w:val="22"/>
          <w:szCs w:val="22"/>
        </w:rPr>
        <w:t xml:space="preserve">cuatro fojas </w:t>
      </w:r>
      <w:r>
        <w:rPr>
          <w:rFonts w:ascii="Palatino Linotype" w:eastAsia="Palatino Linotype" w:hAnsi="Palatino Linotype" w:cs="Palatino Linotype"/>
          <w:sz w:val="22"/>
          <w:szCs w:val="22"/>
        </w:rPr>
        <w:t xml:space="preserve">en el que el Sujeto Obligado por conducto del Secretario del Ayuntamiento refiere que se encuentran recabando la información correspondiente. </w:t>
      </w:r>
    </w:p>
    <w:p w14:paraId="2B218817" w14:textId="77777777" w:rsidR="002113B6" w:rsidRDefault="002113B6">
      <w:pPr>
        <w:spacing w:before="240" w:after="240" w:line="276"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7D4ABCBC" wp14:editId="37377DAC">
            <wp:extent cx="4501956" cy="5857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065" cy="5863222"/>
                    </a:xfrm>
                    <a:prstGeom prst="rect">
                      <a:avLst/>
                    </a:prstGeom>
                    <a:noFill/>
                    <a:ln>
                      <a:noFill/>
                    </a:ln>
                  </pic:spPr>
                </pic:pic>
              </a:graphicData>
            </a:graphic>
          </wp:inline>
        </w:drawing>
      </w:r>
    </w:p>
    <w:p w14:paraId="406EA1EA" w14:textId="77777777" w:rsidR="002113B6" w:rsidRDefault="002113B6">
      <w:pPr>
        <w:spacing w:before="240" w:after="240" w:line="276"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66DCEF3F" wp14:editId="44D333D4">
            <wp:extent cx="4533002" cy="57531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620" cy="5758961"/>
                    </a:xfrm>
                    <a:prstGeom prst="rect">
                      <a:avLst/>
                    </a:prstGeom>
                    <a:noFill/>
                    <a:ln>
                      <a:noFill/>
                    </a:ln>
                  </pic:spPr>
                </pic:pic>
              </a:graphicData>
            </a:graphic>
          </wp:inline>
        </w:drawing>
      </w:r>
    </w:p>
    <w:p w14:paraId="6F465364" w14:textId="77777777" w:rsidR="001D064A" w:rsidRPr="002113B6" w:rsidRDefault="001D064A">
      <w:pPr>
        <w:spacing w:before="240" w:after="240" w:line="276"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75783417" wp14:editId="1F733BA9">
            <wp:extent cx="4277363" cy="551497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7095" cy="5540416"/>
                    </a:xfrm>
                    <a:prstGeom prst="rect">
                      <a:avLst/>
                    </a:prstGeom>
                    <a:noFill/>
                    <a:ln>
                      <a:noFill/>
                    </a:ln>
                  </pic:spPr>
                </pic:pic>
              </a:graphicData>
            </a:graphic>
          </wp:inline>
        </w:drawing>
      </w:r>
    </w:p>
    <w:p w14:paraId="77FA04CF" w14:textId="77777777"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sidR="002113B6">
        <w:rPr>
          <w:rFonts w:ascii="Palatino Linotype" w:eastAsia="Palatino Linotype" w:hAnsi="Palatino Linotype" w:cs="Palatino Linotype"/>
          <w:b/>
        </w:rPr>
        <w:t>nueve de mayo</w:t>
      </w:r>
      <w:r w:rsidR="00533E2A">
        <w:rPr>
          <w:rFonts w:ascii="Palatino Linotype" w:eastAsia="Palatino Linotype" w:hAnsi="Palatino Linotype" w:cs="Palatino Linotype"/>
          <w:b/>
        </w:rPr>
        <w:t xml:space="preserve"> de dos mil veintidós,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a través del cual expresó lo siguiente:</w:t>
      </w:r>
    </w:p>
    <w:p w14:paraId="4D975F2D" w14:textId="77777777" w:rsidR="006E1E11" w:rsidRDefault="00BE0A01">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432B236E" w14:textId="77777777" w:rsidR="006E1E11" w:rsidRDefault="00BE0A01">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2113B6" w:rsidRPr="002113B6">
        <w:rPr>
          <w:rFonts w:ascii="Palatino Linotype" w:eastAsia="Palatino Linotype" w:hAnsi="Palatino Linotype" w:cs="Palatino Linotype"/>
          <w:i/>
          <w:color w:val="000000"/>
          <w:sz w:val="22"/>
          <w:szCs w:val="22"/>
        </w:rPr>
        <w:t xml:space="preserve">se niega la </w:t>
      </w:r>
      <w:proofErr w:type="spellStart"/>
      <w:r w:rsidR="002113B6" w:rsidRPr="002113B6">
        <w:rPr>
          <w:rFonts w:ascii="Palatino Linotype" w:eastAsia="Palatino Linotype" w:hAnsi="Palatino Linotype" w:cs="Palatino Linotype"/>
          <w:i/>
          <w:color w:val="000000"/>
          <w:sz w:val="22"/>
          <w:szCs w:val="22"/>
        </w:rPr>
        <w:t>informacion</w:t>
      </w:r>
      <w:proofErr w:type="spellEnd"/>
      <w:r>
        <w:rPr>
          <w:rFonts w:ascii="Palatino Linotype" w:eastAsia="Palatino Linotype" w:hAnsi="Palatino Linotype" w:cs="Palatino Linotype"/>
          <w:i/>
          <w:color w:val="000000"/>
          <w:sz w:val="22"/>
          <w:szCs w:val="22"/>
        </w:rPr>
        <w:t>” (Sic)</w:t>
      </w:r>
    </w:p>
    <w:p w14:paraId="68FB03E2" w14:textId="77777777" w:rsidR="006E1E11" w:rsidRDefault="00BE0A01">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14:paraId="00D0D58A" w14:textId="77777777" w:rsidR="006E1E11" w:rsidRDefault="00BE0A01">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2113B6" w:rsidRPr="002113B6">
        <w:rPr>
          <w:rFonts w:ascii="Palatino Linotype" w:eastAsia="Palatino Linotype" w:hAnsi="Palatino Linotype" w:cs="Palatino Linotype"/>
          <w:i/>
          <w:color w:val="000000"/>
          <w:sz w:val="22"/>
          <w:szCs w:val="22"/>
        </w:rPr>
        <w:t xml:space="preserve">no proporcionan la </w:t>
      </w:r>
      <w:proofErr w:type="spellStart"/>
      <w:r w:rsidR="002113B6" w:rsidRPr="002113B6">
        <w:rPr>
          <w:rFonts w:ascii="Palatino Linotype" w:eastAsia="Palatino Linotype" w:hAnsi="Palatino Linotype" w:cs="Palatino Linotype"/>
          <w:i/>
          <w:color w:val="000000"/>
          <w:sz w:val="22"/>
          <w:szCs w:val="22"/>
        </w:rPr>
        <w:t>informacion</w:t>
      </w:r>
      <w:proofErr w:type="spellEnd"/>
      <w:r w:rsidR="002113B6" w:rsidRPr="002113B6">
        <w:rPr>
          <w:rFonts w:ascii="Palatino Linotype" w:eastAsia="Palatino Linotype" w:hAnsi="Palatino Linotype" w:cs="Palatino Linotype"/>
          <w:i/>
          <w:color w:val="000000"/>
          <w:sz w:val="22"/>
          <w:szCs w:val="22"/>
        </w:rPr>
        <w:t xml:space="preserve"> requerida</w:t>
      </w:r>
      <w:r>
        <w:rPr>
          <w:rFonts w:ascii="Palatino Linotype" w:eastAsia="Palatino Linotype" w:hAnsi="Palatino Linotype" w:cs="Palatino Linotype"/>
          <w:i/>
          <w:color w:val="000000"/>
          <w:sz w:val="22"/>
          <w:szCs w:val="22"/>
        </w:rPr>
        <w:t>” (Sic)</w:t>
      </w:r>
    </w:p>
    <w:p w14:paraId="669CB9D7" w14:textId="77777777" w:rsidR="006E1E11" w:rsidRDefault="006E1E11">
      <w:pPr>
        <w:spacing w:before="240" w:after="240" w:line="360" w:lineRule="auto"/>
        <w:jc w:val="both"/>
        <w:rPr>
          <w:rFonts w:ascii="Palatino Linotype" w:eastAsia="Palatino Linotype" w:hAnsi="Palatino Linotype" w:cs="Palatino Linotype"/>
          <w:sz w:val="2"/>
          <w:szCs w:val="2"/>
        </w:rPr>
      </w:pPr>
    </w:p>
    <w:p w14:paraId="25925B7A" w14:textId="77777777" w:rsidR="006E1E11" w:rsidRDefault="002113B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BE0A01">
        <w:rPr>
          <w:rFonts w:ascii="Palatino Linotype" w:eastAsia="Palatino Linotype" w:hAnsi="Palatino Linotype" w:cs="Palatino Linotype"/>
          <w:b/>
        </w:rPr>
        <w:t>. Turno.</w:t>
      </w:r>
      <w:r w:rsidR="00BE0A01">
        <w:rPr>
          <w:rFonts w:ascii="Palatino Linotype" w:eastAsia="Palatino Linotype" w:hAnsi="Palatino Linotype" w:cs="Palatino Linotype"/>
          <w:b/>
          <w:sz w:val="28"/>
          <w:szCs w:val="28"/>
        </w:rPr>
        <w:t xml:space="preserve"> </w:t>
      </w:r>
      <w:r w:rsidR="00BE0A0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BE0A01">
        <w:rPr>
          <w:rFonts w:ascii="Palatino Linotype" w:eastAsia="Palatino Linotype" w:hAnsi="Palatino Linotype" w:cs="Palatino Linotype"/>
          <w:b/>
        </w:rPr>
        <w:t xml:space="preserve">Comisionada Guadalupe Ramírez Peña, </w:t>
      </w:r>
      <w:r w:rsidR="00BE0A01">
        <w:rPr>
          <w:rFonts w:ascii="Palatino Linotype" w:eastAsia="Palatino Linotype" w:hAnsi="Palatino Linotype" w:cs="Palatino Linotype"/>
        </w:rPr>
        <w:t xml:space="preserve">a efecto de que analizara sobre su admisión o su </w:t>
      </w:r>
      <w:proofErr w:type="spellStart"/>
      <w:r w:rsidR="00BE0A01">
        <w:rPr>
          <w:rFonts w:ascii="Palatino Linotype" w:eastAsia="Palatino Linotype" w:hAnsi="Palatino Linotype" w:cs="Palatino Linotype"/>
        </w:rPr>
        <w:t>desechamiento</w:t>
      </w:r>
      <w:proofErr w:type="spellEnd"/>
      <w:r w:rsidR="00BE0A01">
        <w:rPr>
          <w:rFonts w:ascii="Palatino Linotype" w:eastAsia="Palatino Linotype" w:hAnsi="Palatino Linotype" w:cs="Palatino Linotype"/>
        </w:rPr>
        <w:t>.</w:t>
      </w:r>
    </w:p>
    <w:p w14:paraId="7ACC2B9D" w14:textId="77777777" w:rsidR="006E1E11" w:rsidRPr="002113B6" w:rsidRDefault="002113B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BE0A01">
        <w:rPr>
          <w:rFonts w:ascii="Palatino Linotype" w:eastAsia="Palatino Linotype" w:hAnsi="Palatino Linotype" w:cs="Palatino Linotype"/>
          <w:b/>
        </w:rPr>
        <w:t>.</w:t>
      </w:r>
      <w:r w:rsidR="00BE0A01">
        <w:rPr>
          <w:rFonts w:ascii="Palatino Linotype" w:eastAsia="Palatino Linotype" w:hAnsi="Palatino Linotype" w:cs="Palatino Linotype"/>
          <w:b/>
          <w:i/>
        </w:rPr>
        <w:t xml:space="preserve"> </w:t>
      </w:r>
      <w:r w:rsidR="00BE0A01">
        <w:rPr>
          <w:rFonts w:ascii="Palatino Linotype" w:eastAsia="Palatino Linotype" w:hAnsi="Palatino Linotype" w:cs="Palatino Linotype"/>
          <w:b/>
        </w:rPr>
        <w:t>Admisión del Recurso de revisión.</w:t>
      </w:r>
      <w:r w:rsidR="00BE0A01">
        <w:rPr>
          <w:rFonts w:ascii="Palatino Linotype" w:eastAsia="Palatino Linotype" w:hAnsi="Palatino Linotype" w:cs="Palatino Linotype"/>
          <w:sz w:val="28"/>
          <w:szCs w:val="28"/>
        </w:rPr>
        <w:t xml:space="preserve"> El</w:t>
      </w:r>
      <w:r w:rsidR="00BE0A01">
        <w:rPr>
          <w:rFonts w:ascii="Palatino Linotype" w:eastAsia="Palatino Linotype" w:hAnsi="Palatino Linotype" w:cs="Palatino Linotype"/>
          <w:b/>
        </w:rPr>
        <w:t xml:space="preserve"> do</w:t>
      </w:r>
      <w:r>
        <w:rPr>
          <w:rFonts w:ascii="Palatino Linotype" w:eastAsia="Palatino Linotype" w:hAnsi="Palatino Linotype" w:cs="Palatino Linotype"/>
          <w:b/>
        </w:rPr>
        <w:t xml:space="preserve">ce </w:t>
      </w:r>
      <w:r w:rsidR="00BE0A01">
        <w:rPr>
          <w:rFonts w:ascii="Palatino Linotype" w:eastAsia="Palatino Linotype" w:hAnsi="Palatino Linotype" w:cs="Palatino Linotype"/>
          <w:b/>
        </w:rPr>
        <w:t xml:space="preserve">de mayo de dos mil veintidós, </w:t>
      </w:r>
      <w:r w:rsidR="00BE0A01">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05B20D24" w14:textId="77777777" w:rsidR="006E1E11" w:rsidRDefault="002113B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sidR="00BE0A01">
        <w:rPr>
          <w:rFonts w:ascii="Palatino Linotype" w:eastAsia="Palatino Linotype" w:hAnsi="Palatino Linotype" w:cs="Palatino Linotype"/>
          <w:b/>
        </w:rPr>
        <w:t>. Manifestaciones</w:t>
      </w:r>
      <w:r w:rsidR="00BE0A01">
        <w:rPr>
          <w:rFonts w:ascii="Palatino Linotype" w:eastAsia="Palatino Linotype" w:hAnsi="Palatino Linotype" w:cs="Palatino Linotype"/>
        </w:rPr>
        <w:t>.</w:t>
      </w:r>
      <w:r w:rsidR="00BE0A01">
        <w:rPr>
          <w:rFonts w:ascii="Palatino Linotype" w:eastAsia="Palatino Linotype" w:hAnsi="Palatino Linotype" w:cs="Palatino Linotype"/>
          <w:sz w:val="28"/>
          <w:szCs w:val="28"/>
        </w:rPr>
        <w:t xml:space="preserve"> E</w:t>
      </w:r>
      <w:r w:rsidR="00BE0A01">
        <w:rPr>
          <w:rFonts w:ascii="Palatino Linotype" w:eastAsia="Palatino Linotype" w:hAnsi="Palatino Linotype" w:cs="Palatino Linotype"/>
        </w:rPr>
        <w:t xml:space="preserve">l </w:t>
      </w:r>
      <w:r w:rsidR="00BE0A01">
        <w:rPr>
          <w:rFonts w:ascii="Palatino Linotype" w:eastAsia="Palatino Linotype" w:hAnsi="Palatino Linotype" w:cs="Palatino Linotype"/>
          <w:b/>
        </w:rPr>
        <w:t xml:space="preserve">Sujeto Obligado </w:t>
      </w:r>
      <w:r>
        <w:rPr>
          <w:rFonts w:ascii="Palatino Linotype" w:eastAsia="Palatino Linotype" w:hAnsi="Palatino Linotype" w:cs="Palatino Linotype"/>
        </w:rPr>
        <w:t>fue omiso en</w:t>
      </w:r>
      <w:r w:rsidR="00BE0A01">
        <w:rPr>
          <w:rFonts w:ascii="Palatino Linotype" w:eastAsia="Palatino Linotype" w:hAnsi="Palatino Linotype" w:cs="Palatino Linotype"/>
        </w:rPr>
        <w:t xml:space="preserve"> </w:t>
      </w:r>
      <w:r>
        <w:rPr>
          <w:rFonts w:ascii="Palatino Linotype" w:eastAsia="Palatino Linotype" w:hAnsi="Palatino Linotype" w:cs="Palatino Linotype"/>
        </w:rPr>
        <w:t xml:space="preserve">rendir su informe justificado, asimismo </w:t>
      </w:r>
      <w:r w:rsidRPr="002113B6">
        <w:rPr>
          <w:rFonts w:ascii="Palatino Linotype" w:eastAsia="Palatino Linotype" w:hAnsi="Palatino Linotype" w:cs="Palatino Linotype"/>
          <w:b/>
        </w:rPr>
        <w:t>la parte</w:t>
      </w:r>
      <w:r w:rsidR="00BE0A01">
        <w:rPr>
          <w:rFonts w:ascii="Palatino Linotype" w:eastAsia="Palatino Linotype" w:hAnsi="Palatino Linotype" w:cs="Palatino Linotype"/>
        </w:rPr>
        <w:t xml:space="preserve"> </w:t>
      </w:r>
      <w:r w:rsidR="00BE0A01">
        <w:rPr>
          <w:rFonts w:ascii="Palatino Linotype" w:eastAsia="Palatino Linotype" w:hAnsi="Palatino Linotype" w:cs="Palatino Linotype"/>
          <w:b/>
        </w:rPr>
        <w:t xml:space="preserve">Recurrente </w:t>
      </w:r>
      <w:r w:rsidR="00BE0A01">
        <w:rPr>
          <w:rFonts w:ascii="Palatino Linotype" w:eastAsia="Palatino Linotype" w:hAnsi="Palatino Linotype" w:cs="Palatino Linotype"/>
        </w:rPr>
        <w:t xml:space="preserve">no realizó manifestaciones, ni formuló alegatos y no ofreció medios de prueba, por lo tanto, se tiene por precluido su derecho para tal efecto. </w:t>
      </w:r>
    </w:p>
    <w:p w14:paraId="1AAECF29" w14:textId="77777777" w:rsidR="002113B6" w:rsidRDefault="002113B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22C48C0D" wp14:editId="693D9767">
            <wp:extent cx="5610225" cy="13620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362075"/>
                    </a:xfrm>
                    <a:prstGeom prst="rect">
                      <a:avLst/>
                    </a:prstGeom>
                    <a:noFill/>
                    <a:ln>
                      <a:noFill/>
                    </a:ln>
                  </pic:spPr>
                </pic:pic>
              </a:graphicData>
            </a:graphic>
          </wp:inline>
        </w:drawing>
      </w:r>
    </w:p>
    <w:p w14:paraId="3F4E0A66" w14:textId="77777777" w:rsidR="006E1E11" w:rsidRDefault="002113B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sidR="00BE0A01">
        <w:rPr>
          <w:rFonts w:ascii="Palatino Linotype" w:eastAsia="Palatino Linotype" w:hAnsi="Palatino Linotype" w:cs="Palatino Linotype"/>
          <w:b/>
        </w:rPr>
        <w:t xml:space="preserve">. Ampliación de plazo. </w:t>
      </w:r>
      <w:r w:rsidR="00BE0A01">
        <w:rPr>
          <w:rFonts w:ascii="Palatino Linotype" w:eastAsia="Palatino Linotype" w:hAnsi="Palatino Linotype" w:cs="Palatino Linotype"/>
        </w:rPr>
        <w:t>En fecha</w:t>
      </w:r>
      <w:r w:rsidR="00BE0A01">
        <w:rPr>
          <w:rFonts w:ascii="Palatino Linotype" w:eastAsia="Palatino Linotype" w:hAnsi="Palatino Linotype" w:cs="Palatino Linotype"/>
          <w:color w:val="FF0000"/>
        </w:rPr>
        <w:t xml:space="preserve"> </w:t>
      </w:r>
      <w:r>
        <w:rPr>
          <w:rFonts w:ascii="Palatino Linotype" w:eastAsia="Palatino Linotype" w:hAnsi="Palatino Linotype" w:cs="Palatino Linotype"/>
          <w:b/>
          <w:color w:val="000000"/>
        </w:rPr>
        <w:t>uno</w:t>
      </w:r>
      <w:r w:rsidR="00BE0A01">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de septiembre</w:t>
      </w:r>
      <w:r w:rsidR="00BE0A01">
        <w:rPr>
          <w:rFonts w:ascii="Palatino Linotype" w:eastAsia="Palatino Linotype" w:hAnsi="Palatino Linotype" w:cs="Palatino Linotype"/>
          <w:b/>
        </w:rPr>
        <w:t xml:space="preserve"> de dos mil veintidós</w:t>
      </w:r>
      <w:r w:rsidR="00BE0A01">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2FF1AEDE"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5CE3CE2"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40299D2"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2D3E075"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56DA2B"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1FFC9284" w14:textId="77777777" w:rsidR="006E1E11" w:rsidRDefault="00BE0A01">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378DA533" w14:textId="77777777" w:rsidR="006E1E11" w:rsidRDefault="00BE0A01">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500767CC" w14:textId="77777777" w:rsidR="006E1E11" w:rsidRDefault="00BE0A01">
      <w:pPr>
        <w:numPr>
          <w:ilvl w:val="0"/>
          <w:numId w:val="2"/>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4725E7E2" w14:textId="77777777" w:rsidR="006E1E11" w:rsidRDefault="00BE0A01">
      <w:p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143D9CB9"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B233F6"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4180142C"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992B17A"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BAF78D3"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55BB18E2"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05B674F7"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3B1D98F"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9.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Una vez transcurrido el periodo otorgado a las partes para realizar sus manifestaciones y no habiendo documentos que integrar al expediente, el</w:t>
      </w:r>
      <w:r>
        <w:rPr>
          <w:rFonts w:ascii="Palatino Linotype" w:eastAsia="Palatino Linotype" w:hAnsi="Palatino Linotype" w:cs="Palatino Linotype"/>
          <w:color w:val="000000"/>
        </w:rPr>
        <w:t xml:space="preserve"> </w:t>
      </w:r>
      <w:r w:rsidR="0049778E">
        <w:rPr>
          <w:rFonts w:ascii="Palatino Linotype" w:eastAsia="Palatino Linotype" w:hAnsi="Palatino Linotype" w:cs="Palatino Linotype"/>
          <w:b/>
          <w:color w:val="000000"/>
        </w:rPr>
        <w:t>primero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de septiembre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8F414C6"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w:t>
      </w:r>
      <w:r>
        <w:rPr>
          <w:rFonts w:ascii="Palatino Linotype" w:eastAsia="Palatino Linotype" w:hAnsi="Palatino Linotype" w:cs="Palatino Linotype"/>
          <w:color w:val="000000"/>
        </w:rPr>
        <w:t xml:space="preserve">fue debidamente sustanciado el expediente electrónico </w:t>
      </w:r>
      <w:r>
        <w:rPr>
          <w:rFonts w:ascii="Palatino Linotype" w:eastAsia="Palatino Linotype" w:hAnsi="Palatino Linotype" w:cs="Palatino Linotype"/>
        </w:rPr>
        <w:t xml:space="preserve">y no existen diligencias pendientes de desahogo, se emite la Resolución que conforme a Derecho proceda, de acuerdo con los siguientes: </w:t>
      </w:r>
    </w:p>
    <w:p w14:paraId="66CDB0E4" w14:textId="77777777" w:rsidR="006E1E11" w:rsidRDefault="00BE0A01">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7C08072C"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B0815D9" w14:textId="77777777" w:rsidR="006E1E11" w:rsidRDefault="00BE0A01">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03B1134"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sidR="002113B6">
        <w:rPr>
          <w:rFonts w:ascii="Palatino Linotype" w:eastAsia="Palatino Linotype" w:hAnsi="Palatino Linotype" w:cs="Palatino Linotype"/>
          <w:b/>
        </w:rPr>
        <w:t>diecinueve</w:t>
      </w:r>
      <w:r>
        <w:rPr>
          <w:rFonts w:ascii="Palatino Linotype" w:eastAsia="Palatino Linotype" w:hAnsi="Palatino Linotype" w:cs="Palatino Linotype"/>
          <w:b/>
        </w:rPr>
        <w:t xml:space="preserve"> de abril de dos mil veintidós, </w:t>
      </w:r>
      <w:r>
        <w:rPr>
          <w:rFonts w:ascii="Palatino Linotype" w:eastAsia="Palatino Linotype" w:hAnsi="Palatino Linotype" w:cs="Palatino Linotype"/>
        </w:rPr>
        <w:t xml:space="preserve">mientras que el recurso de revisión se interpuso el </w:t>
      </w:r>
      <w:r w:rsidR="002113B6">
        <w:rPr>
          <w:rFonts w:ascii="Palatino Linotype" w:eastAsia="Palatino Linotype" w:hAnsi="Palatino Linotype" w:cs="Palatino Linotype"/>
          <w:b/>
        </w:rPr>
        <w:t>nueve de mayo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esto es, el </w:t>
      </w:r>
      <w:r>
        <w:rPr>
          <w:rFonts w:ascii="Palatino Linotype" w:eastAsia="Palatino Linotype" w:hAnsi="Palatino Linotype" w:cs="Palatino Linotype"/>
          <w:b/>
        </w:rPr>
        <w:t xml:space="preserve">décimo </w:t>
      </w:r>
      <w:r w:rsidR="002113B6">
        <w:rPr>
          <w:rFonts w:ascii="Palatino Linotype" w:eastAsia="Palatino Linotype" w:hAnsi="Palatino Linotype" w:cs="Palatino Linotype"/>
          <w:b/>
        </w:rPr>
        <w:t xml:space="preserve">tercer </w:t>
      </w:r>
      <w:r>
        <w:rPr>
          <w:rFonts w:ascii="Palatino Linotype" w:eastAsia="Palatino Linotype" w:hAnsi="Palatino Linotype" w:cs="Palatino Linotype"/>
          <w:b/>
        </w:rPr>
        <w:t>día hábil</w:t>
      </w:r>
      <w:r>
        <w:rPr>
          <w:rFonts w:ascii="Palatino Linotype" w:eastAsia="Palatino Linotype" w:hAnsi="Palatino Linotype" w:cs="Palatino Linotype"/>
        </w:rPr>
        <w:t xml:space="preserve"> posterior en que tuvo conocimiento de la respuesta impugnada.</w:t>
      </w:r>
    </w:p>
    <w:p w14:paraId="550FDCE5" w14:textId="77777777" w:rsidR="006E1E11" w:rsidRDefault="00BE0A0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C9A1156" w14:textId="77777777" w:rsidR="006E1E11" w:rsidRDefault="00BE0A01">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D97E969"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7E21A76"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I del ordenamiento legal citado, que a la letra dice: </w:t>
      </w:r>
    </w:p>
    <w:p w14:paraId="681E1F58" w14:textId="77777777" w:rsidR="006E1E11" w:rsidRDefault="00BE0A01">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6A5642F" w14:textId="77777777" w:rsidR="006E1E11" w:rsidRDefault="00BE0A01">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14:paraId="72014A85" w14:textId="77777777" w:rsidR="006E1E11" w:rsidRDefault="00BE0A01">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3694BC4A" w14:textId="77777777" w:rsidR="006E1E11" w:rsidRDefault="00BE0A01">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(Énfasis añadido)</w:t>
      </w:r>
    </w:p>
    <w:p w14:paraId="030832FC"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FB3343">
        <w:rPr>
          <w:rFonts w:ascii="Palatino Linotype" w:eastAsia="Palatino Linotype" w:hAnsi="Palatino Linotype" w:cs="Palatino Linotype"/>
        </w:rPr>
        <w:t xml:space="preserve">de </w:t>
      </w:r>
      <w:r w:rsidR="00FB3343" w:rsidRPr="00FB3343">
        <w:rPr>
          <w:rFonts w:ascii="Palatino Linotype" w:eastAsia="Palatino Linotype" w:hAnsi="Palatino Linotype" w:cs="Palatino Linotype"/>
          <w:b/>
        </w:rPr>
        <w:t>la parte</w:t>
      </w:r>
      <w:r w:rsidRPr="00FB3343">
        <w:rPr>
          <w:rFonts w:ascii="Palatino Linotype" w:eastAsia="Palatino Linotype" w:hAnsi="Palatino Linotype" w:cs="Palatino Linotype"/>
          <w:b/>
        </w:rPr>
        <w:t xml:space="preserve"> Recurrente</w:t>
      </w:r>
      <w:r>
        <w:rPr>
          <w:rFonts w:ascii="Palatino Linotype" w:eastAsia="Palatino Linotype" w:hAnsi="Palatino Linotype" w:cs="Palatino Linotype"/>
        </w:rPr>
        <w:t>, o en su defecto, en caso de ser procedente, ordenar la entrega de información oportuna.</w:t>
      </w:r>
    </w:p>
    <w:p w14:paraId="6C98A7B0" w14:textId="77777777"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7660958" w14:textId="77777777"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60814FDB" w14:textId="77777777"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5BE16B0F" w14:textId="77777777"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71D50ADE" w14:textId="77777777"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14:paraId="150EE07C" w14:textId="77777777" w:rsidR="006E1E11" w:rsidRDefault="00BE0A01">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14:paraId="76C6B602" w14:textId="77777777" w:rsidR="006E1E11" w:rsidRDefault="00BE0A01">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14:paraId="40415713" w14:textId="77777777"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25B6408E" w14:textId="77777777"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D75A75" w14:textId="77777777"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6FB6104B" w14:textId="77777777"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14:paraId="369C0CA0" w14:textId="77777777"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B9D27E0" w14:textId="77777777"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 xml:space="preserve">Los sujetos obligados deberán preservar sus documentos en archivos administrativos actualizados y publicarán, a través de los medios electrónicos </w:t>
      </w:r>
      <w:r>
        <w:rPr>
          <w:rFonts w:ascii="Palatino Linotype" w:eastAsia="Palatino Linotype" w:hAnsi="Palatino Linotype" w:cs="Palatino Linotype"/>
          <w:i/>
          <w:color w:val="000000"/>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770F765E" w14:textId="77777777"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273CE49E" w14:textId="77777777"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661B4D99" w14:textId="77777777"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07CDC5F" w14:textId="77777777" w:rsidR="006E1E11" w:rsidRDefault="00BE0A0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11EF0AC" w14:textId="77777777" w:rsidR="006E1E11" w:rsidRDefault="00BE0A0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Pr>
          <w:rFonts w:ascii="Palatino Linotype" w:eastAsia="Palatino Linotype" w:hAnsi="Palatino Linotype" w:cs="Palatino Linotype"/>
          <w:b/>
          <w:i/>
          <w:color w:val="000000"/>
          <w:sz w:val="22"/>
          <w:szCs w:val="22"/>
        </w:rPr>
        <w:lastRenderedPageBreak/>
        <w:t>público, en los términos de las causas legítimas y estrictamente necesarias previstas por esta Ley.</w:t>
      </w:r>
    </w:p>
    <w:p w14:paraId="6B03A6E3" w14:textId="77777777" w:rsidR="006E1E11" w:rsidRDefault="00BE0A0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14:paraId="06263958" w14:textId="77777777"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372A796" w14:textId="77777777" w:rsidR="006E1E11" w:rsidRDefault="00BE0A01">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6093C4F6" w14:textId="77777777" w:rsidR="006E1E11" w:rsidRDefault="00BE0A01">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FF7F64C" w14:textId="77777777"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6B08ECA" w14:textId="77777777"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14:paraId="3E62924E" w14:textId="77777777"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lastRenderedPageBreak/>
        <w:t>“NO EXISTE OBLIGACIÓN DE ELABORAR DOCUMENTOS AD HOC PARA ATENDER LAS SOLICITUDES DE ACCESO A LA INFORMACIÓN.</w:t>
      </w:r>
    </w:p>
    <w:p w14:paraId="669399A5" w14:textId="77777777"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77A2A94" w14:textId="77777777"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4C04F3A" w14:textId="77777777" w:rsidR="006E1E11" w:rsidRDefault="00BE0A01">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0AC2748" w14:textId="77777777"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w:t>
      </w:r>
      <w:r>
        <w:rPr>
          <w:rFonts w:ascii="Palatino Linotype" w:eastAsia="Palatino Linotype" w:hAnsi="Palatino Linotype" w:cs="Palatino Linotype"/>
          <w:color w:val="000000"/>
        </w:rPr>
        <w:lastRenderedPageBreak/>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76BCC5F" w14:textId="77777777"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14:paraId="7D8C42D5" w14:textId="77777777"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14:paraId="08ECDBFE" w14:textId="77777777"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01C0676F" w14:textId="77777777"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D4CBDBA" w14:textId="77777777"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14:paraId="14176F74" w14:textId="77777777"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w:t>
      </w:r>
      <w:r>
        <w:rPr>
          <w:rFonts w:ascii="Palatino Linotype" w:eastAsia="Palatino Linotype" w:hAnsi="Palatino Linotype" w:cs="Palatino Linotype"/>
          <w:i/>
          <w:color w:val="000000"/>
          <w:sz w:val="22"/>
          <w:szCs w:val="22"/>
        </w:rPr>
        <w:lastRenderedPageBreak/>
        <w:t>públicos, administrados, generados o en posesión de los órganos u organismos públicos, en virtud del ejercicio de sus funciones de derecho público, sin importar su fuente, soporte o fecha de elaboración.</w:t>
      </w:r>
    </w:p>
    <w:p w14:paraId="621B6851" w14:textId="77777777"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507DC796" w14:textId="77777777" w:rsidR="006E1E11" w:rsidRDefault="00BE0A01">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045EAF5F" w14:textId="77777777" w:rsidR="006E1E11" w:rsidRDefault="00BE0A01">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3F7A75E0" w14:textId="77777777" w:rsidR="006E1E11" w:rsidRDefault="00BE0A01">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14:paraId="5808EC36" w14:textId="77777777"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695ACBA6" w14:textId="77777777"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14:paraId="5B439F0E" w14:textId="77777777" w:rsidR="002113B6" w:rsidRPr="002113B6" w:rsidRDefault="002113B6" w:rsidP="002113B6">
      <w:pPr>
        <w:pStyle w:val="Prrafodelista"/>
        <w:numPr>
          <w:ilvl w:val="0"/>
          <w:numId w:val="8"/>
        </w:numPr>
        <w:spacing w:before="240" w:after="240" w:line="360" w:lineRule="auto"/>
        <w:ind w:left="567" w:right="49" w:hanging="141"/>
        <w:jc w:val="both"/>
        <w:rPr>
          <w:rFonts w:ascii="Palatino Linotype" w:eastAsia="Palatino Linotype" w:hAnsi="Palatino Linotype" w:cs="Palatino Linotype"/>
          <w:b/>
          <w:color w:val="000000"/>
        </w:rPr>
      </w:pPr>
      <w:r w:rsidRPr="002113B6">
        <w:rPr>
          <w:rFonts w:ascii="Palatino Linotype" w:eastAsia="Palatino Linotype" w:hAnsi="Palatino Linotype" w:cs="Palatino Linotype"/>
          <w:b/>
          <w:color w:val="000000"/>
        </w:rPr>
        <w:t>Los comodatos del ayuntamiento 2022</w:t>
      </w:r>
    </w:p>
    <w:p w14:paraId="4C39D0AD" w14:textId="77777777" w:rsidR="002113B6"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por conducto </w:t>
      </w:r>
      <w:r w:rsidR="002113B6" w:rsidRPr="002113B6">
        <w:rPr>
          <w:rFonts w:ascii="Palatino Linotype" w:eastAsia="Palatino Linotype" w:hAnsi="Palatino Linotype" w:cs="Palatino Linotype"/>
        </w:rPr>
        <w:t xml:space="preserve">del Secretario del Ayuntamiento refiere que se encuentran recabando la información correspondiente. </w:t>
      </w:r>
      <w:r>
        <w:rPr>
          <w:rFonts w:ascii="Palatino Linotype" w:eastAsia="Palatino Linotype" w:hAnsi="Palatino Linotype" w:cs="Palatino Linotype"/>
        </w:rPr>
        <w:t xml:space="preserve"> </w:t>
      </w:r>
    </w:p>
    <w:p w14:paraId="61074899" w14:textId="77777777"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Una vez conocida la respuesta a la solicitud de información, expresó las siguientes manifestaciones mediante la interposición del recurso de revisión: </w:t>
      </w:r>
    </w:p>
    <w:p w14:paraId="6F7907EC" w14:textId="77777777" w:rsidR="002113B6" w:rsidRDefault="002113B6" w:rsidP="002113B6">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1131C99F" w14:textId="77777777" w:rsidR="002113B6" w:rsidRDefault="002113B6" w:rsidP="002113B6">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2113B6">
        <w:rPr>
          <w:rFonts w:ascii="Palatino Linotype" w:eastAsia="Palatino Linotype" w:hAnsi="Palatino Linotype" w:cs="Palatino Linotype"/>
          <w:i/>
          <w:color w:val="000000"/>
          <w:sz w:val="22"/>
          <w:szCs w:val="22"/>
        </w:rPr>
        <w:t xml:space="preserve">se niega la </w:t>
      </w:r>
      <w:proofErr w:type="spellStart"/>
      <w:r w:rsidRPr="002113B6">
        <w:rPr>
          <w:rFonts w:ascii="Palatino Linotype" w:eastAsia="Palatino Linotype" w:hAnsi="Palatino Linotype" w:cs="Palatino Linotype"/>
          <w:i/>
          <w:color w:val="000000"/>
          <w:sz w:val="22"/>
          <w:szCs w:val="22"/>
        </w:rPr>
        <w:t>informacion</w:t>
      </w:r>
      <w:proofErr w:type="spellEnd"/>
      <w:r>
        <w:rPr>
          <w:rFonts w:ascii="Palatino Linotype" w:eastAsia="Palatino Linotype" w:hAnsi="Palatino Linotype" w:cs="Palatino Linotype"/>
          <w:i/>
          <w:color w:val="000000"/>
          <w:sz w:val="22"/>
          <w:szCs w:val="22"/>
        </w:rPr>
        <w:t>” (Sic)</w:t>
      </w:r>
    </w:p>
    <w:p w14:paraId="3E1086FE" w14:textId="77777777" w:rsidR="002113B6" w:rsidRDefault="002113B6" w:rsidP="002113B6">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1B179AE3" w14:textId="77777777" w:rsidR="002113B6" w:rsidRDefault="002113B6" w:rsidP="002113B6">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2113B6">
        <w:rPr>
          <w:rFonts w:ascii="Palatino Linotype" w:eastAsia="Palatino Linotype" w:hAnsi="Palatino Linotype" w:cs="Palatino Linotype"/>
          <w:i/>
          <w:color w:val="000000"/>
          <w:sz w:val="22"/>
          <w:szCs w:val="22"/>
        </w:rPr>
        <w:t xml:space="preserve">no proporcionan la </w:t>
      </w:r>
      <w:proofErr w:type="spellStart"/>
      <w:r w:rsidRPr="002113B6">
        <w:rPr>
          <w:rFonts w:ascii="Palatino Linotype" w:eastAsia="Palatino Linotype" w:hAnsi="Palatino Linotype" w:cs="Palatino Linotype"/>
          <w:i/>
          <w:color w:val="000000"/>
          <w:sz w:val="22"/>
          <w:szCs w:val="22"/>
        </w:rPr>
        <w:t>informacion</w:t>
      </w:r>
      <w:proofErr w:type="spellEnd"/>
      <w:r w:rsidRPr="002113B6">
        <w:rPr>
          <w:rFonts w:ascii="Palatino Linotype" w:eastAsia="Palatino Linotype" w:hAnsi="Palatino Linotype" w:cs="Palatino Linotype"/>
          <w:i/>
          <w:color w:val="000000"/>
          <w:sz w:val="22"/>
          <w:szCs w:val="22"/>
        </w:rPr>
        <w:t xml:space="preserve"> requerida</w:t>
      </w:r>
      <w:r>
        <w:rPr>
          <w:rFonts w:ascii="Palatino Linotype" w:eastAsia="Palatino Linotype" w:hAnsi="Palatino Linotype" w:cs="Palatino Linotype"/>
          <w:i/>
          <w:color w:val="000000"/>
          <w:sz w:val="22"/>
          <w:szCs w:val="22"/>
        </w:rPr>
        <w:t>” (Sic)</w:t>
      </w:r>
    </w:p>
    <w:p w14:paraId="739DBD6B" w14:textId="77777777" w:rsidR="006E1E11" w:rsidRDefault="00BE0A0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Admitido a trámite el presente recurso de revisión, </w:t>
      </w:r>
      <w:r w:rsidR="00076345">
        <w:rPr>
          <w:rFonts w:ascii="Palatino Linotype" w:eastAsia="Palatino Linotype" w:hAnsi="Palatino Linotype" w:cs="Palatino Linotype"/>
        </w:rPr>
        <w:t xml:space="preserve">las partes fueron omisas en remitir sus manifestaciones, alegatos o cualquier manifestación que a su derecho conviniera. </w:t>
      </w:r>
    </w:p>
    <w:p w14:paraId="0578B29A" w14:textId="77777777" w:rsidR="00076345" w:rsidRPr="00060573" w:rsidRDefault="00BE0A01" w:rsidP="00076345">
      <w:pPr>
        <w:spacing w:before="240" w:after="240" w:line="360" w:lineRule="auto"/>
        <w:ind w:right="49"/>
        <w:jc w:val="both"/>
        <w:rPr>
          <w:rFonts w:ascii="Palatino Linotype" w:eastAsia="Palatino Linotype" w:hAnsi="Palatino Linotype" w:cs="Palatino Linotype"/>
          <w:lang w:eastAsia="es-ES"/>
        </w:rPr>
      </w:pPr>
      <w:r>
        <w:rPr>
          <w:rFonts w:ascii="Palatino Linotype" w:eastAsia="Palatino Linotype" w:hAnsi="Palatino Linotype" w:cs="Palatino Linotype"/>
        </w:rPr>
        <w:t xml:space="preserve">Expuesto lo anterior, resulta pertinente </w:t>
      </w:r>
      <w:r w:rsidR="00076345">
        <w:rPr>
          <w:rFonts w:ascii="Palatino Linotype" w:eastAsia="Palatino Linotype" w:hAnsi="Palatino Linotype" w:cs="Palatino Linotype"/>
        </w:rPr>
        <w:t xml:space="preserve">manifestar que </w:t>
      </w:r>
      <w:r>
        <w:rPr>
          <w:rFonts w:ascii="Palatino Linotype" w:eastAsia="Palatino Linotype" w:hAnsi="Palatino Linotype" w:cs="Palatino Linotype"/>
        </w:rPr>
        <w:t xml:space="preserve">la respuesta vertida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076345">
        <w:rPr>
          <w:rFonts w:ascii="Palatino Linotype" w:eastAsia="Palatino Linotype" w:hAnsi="Palatino Linotype" w:cs="Palatino Linotype"/>
        </w:rPr>
        <w:t xml:space="preserve">que </w:t>
      </w:r>
      <w:r w:rsidR="00076345" w:rsidRPr="00060573">
        <w:rPr>
          <w:rFonts w:ascii="Palatino Linotype" w:eastAsia="Palatino Linotype" w:hAnsi="Palatino Linotype" w:cs="Palatino Linotype"/>
          <w:lang w:eastAsia="es-ES"/>
        </w:rPr>
        <w:t xml:space="preserve">la </w:t>
      </w:r>
      <w:r w:rsidR="00076345" w:rsidRPr="00060573">
        <w:rPr>
          <w:rFonts w:ascii="Palatino Linotype" w:eastAsia="Palatino Linotype" w:hAnsi="Palatino Linotype" w:cs="Palatino Linotype"/>
          <w:color w:val="000000"/>
          <w:lang w:eastAsia="es-ES"/>
        </w:rPr>
        <w:t xml:space="preserve">respuesta careció de los principios de congruencia y exhaustividad, ello encuentra sustento en </w:t>
      </w:r>
      <w:r w:rsidR="00076345">
        <w:rPr>
          <w:rFonts w:ascii="Palatino Linotype" w:eastAsia="Palatino Linotype" w:hAnsi="Palatino Linotype" w:cs="Palatino Linotype"/>
          <w:color w:val="000000"/>
          <w:lang w:eastAsia="es-ES"/>
        </w:rPr>
        <w:t>las constancias que obran en el expediente electrónico</w:t>
      </w:r>
      <w:r w:rsidR="00076345" w:rsidRPr="00060573">
        <w:rPr>
          <w:rFonts w:ascii="Palatino Linotype" w:eastAsia="Palatino Linotype" w:hAnsi="Palatino Linotype" w:cs="Palatino Linotype"/>
          <w:color w:val="000000"/>
          <w:lang w:eastAsia="es-ES"/>
        </w:rPr>
        <w:t xml:space="preserve"> de</w:t>
      </w:r>
      <w:r w:rsidR="00076345">
        <w:rPr>
          <w:rFonts w:ascii="Palatino Linotype" w:eastAsia="Palatino Linotype" w:hAnsi="Palatino Linotype" w:cs="Palatino Linotype"/>
          <w:color w:val="000000"/>
          <w:lang w:eastAsia="es-ES"/>
        </w:rPr>
        <w:t>l recurso</w:t>
      </w:r>
      <w:r w:rsidR="00076345" w:rsidRPr="00060573">
        <w:rPr>
          <w:rFonts w:ascii="Palatino Linotype" w:eastAsia="Palatino Linotype" w:hAnsi="Palatino Linotype" w:cs="Palatino Linotype"/>
          <w:color w:val="000000"/>
          <w:lang w:eastAsia="es-ES"/>
        </w:rPr>
        <w:t xml:space="preserve"> de revi</w:t>
      </w:r>
      <w:r w:rsidR="00076345">
        <w:rPr>
          <w:rFonts w:ascii="Palatino Linotype" w:eastAsia="Palatino Linotype" w:hAnsi="Palatino Linotype" w:cs="Palatino Linotype"/>
          <w:color w:val="000000"/>
          <w:lang w:eastAsia="es-ES"/>
        </w:rPr>
        <w:t>sión, toda vez que no se pronuncia puntualmente respecto de</w:t>
      </w:r>
      <w:r w:rsidR="00533E2A">
        <w:rPr>
          <w:rFonts w:ascii="Palatino Linotype" w:eastAsia="Palatino Linotype" w:hAnsi="Palatino Linotype" w:cs="Palatino Linotype"/>
          <w:color w:val="000000"/>
          <w:lang w:eastAsia="es-ES"/>
        </w:rPr>
        <w:t xml:space="preserve"> los comodatos del ayuntamiento celebrados a la fecha de la solicitud</w:t>
      </w:r>
      <w:r w:rsidR="00076345">
        <w:rPr>
          <w:rFonts w:ascii="Palatino Linotype" w:eastAsia="Palatino Linotype" w:hAnsi="Palatino Linotype" w:cs="Palatino Linotype"/>
          <w:color w:val="000000"/>
          <w:lang w:eastAsia="es-ES"/>
        </w:rPr>
        <w:t xml:space="preserve">, </w:t>
      </w:r>
      <w:r w:rsidR="00076345" w:rsidRPr="00060573">
        <w:rPr>
          <w:rFonts w:ascii="Palatino Linotype" w:eastAsia="Palatino Linotype" w:hAnsi="Palatino Linotype" w:cs="Palatino Linotype"/>
          <w:color w:val="000000"/>
          <w:lang w:eastAsia="es-ES"/>
        </w:rPr>
        <w:t>como refuerzo de lo anterior</w:t>
      </w:r>
      <w:r w:rsidR="00076345" w:rsidRPr="00060573">
        <w:rPr>
          <w:rFonts w:ascii="Palatino Linotype" w:eastAsia="Palatino Linotype" w:hAnsi="Palatino Linotype" w:cs="Palatino Linotype"/>
          <w:color w:val="000000"/>
          <w:u w:val="single"/>
          <w:lang w:eastAsia="es-ES"/>
        </w:rPr>
        <w:t xml:space="preserve">, resulta crucial traer a colación el Criterio 02/17, emitido por el Pleno del </w:t>
      </w:r>
      <w:r w:rsidR="00076345" w:rsidRPr="00060573">
        <w:rPr>
          <w:rFonts w:ascii="Palatino Linotype" w:eastAsia="Palatino Linotype" w:hAnsi="Palatino Linotype" w:cs="Palatino Linotype"/>
          <w:color w:val="000000"/>
          <w:lang w:eastAsia="es-ES"/>
        </w:rPr>
        <w:t>Instituto Nacional de Transparencia y Acceso a la Información y Protección de Datos Personales, de título y texto siguientes:</w:t>
      </w:r>
    </w:p>
    <w:p w14:paraId="026873D3" w14:textId="77777777" w:rsidR="00076345" w:rsidRPr="00A71C60" w:rsidRDefault="00076345" w:rsidP="00076345">
      <w:pPr>
        <w:spacing w:before="240" w:after="240"/>
        <w:ind w:left="567" w:right="900"/>
        <w:jc w:val="both"/>
        <w:rPr>
          <w:rFonts w:ascii="Palatino Linotype" w:eastAsia="Palatino Linotype" w:hAnsi="Palatino Linotype" w:cs="Palatino Linotype"/>
          <w:i/>
          <w:color w:val="000000"/>
          <w:sz w:val="22"/>
          <w:szCs w:val="22"/>
          <w:lang w:eastAsia="es-ES"/>
        </w:rPr>
      </w:pPr>
      <w:r w:rsidRPr="00A71C60">
        <w:rPr>
          <w:rFonts w:ascii="Palatino Linotype" w:eastAsia="Palatino Linotype" w:hAnsi="Palatino Linotype" w:cs="Palatino Linotype"/>
          <w:b/>
          <w:i/>
          <w:color w:val="000000"/>
          <w:sz w:val="22"/>
          <w:szCs w:val="22"/>
          <w:lang w:eastAsia="es-ES"/>
        </w:rPr>
        <w:t xml:space="preserve">“Congruencia y exhaustividad. Sus alcances para garantizar el derecho de acceso a la información. </w:t>
      </w:r>
      <w:r w:rsidRPr="00A71C60">
        <w:rPr>
          <w:rFonts w:ascii="Palatino Linotype" w:eastAsia="Palatino Linotype" w:hAnsi="Palatino Linotype" w:cs="Palatino Linotype"/>
          <w:i/>
          <w:color w:val="000000"/>
          <w:sz w:val="22"/>
          <w:szCs w:val="22"/>
          <w:lang w:eastAsia="es-ES"/>
        </w:rPr>
        <w:t xml:space="preserve">De conformidad con el artículo 3 de la Ley Federal de Procedimiento Administrativo, de aplicación supletoria a la Ley Federal de </w:t>
      </w:r>
      <w:r w:rsidRPr="00A71C60">
        <w:rPr>
          <w:rFonts w:ascii="Palatino Linotype" w:eastAsia="Palatino Linotype" w:hAnsi="Palatino Linotype" w:cs="Palatino Linotype"/>
          <w:i/>
          <w:color w:val="000000"/>
          <w:sz w:val="22"/>
          <w:szCs w:val="22"/>
          <w:lang w:eastAsia="es-ES"/>
        </w:rPr>
        <w:lastRenderedPageBreak/>
        <w:t xml:space="preserve">Transparencia y Acceso a la Información Pública, en términos de su artículo 7; todo acto administrativo debe cumplir con los principios de congruencia y exhaustividad. Para el efectivo ejercicio del derecho de acceso a la información, </w:t>
      </w:r>
      <w:r w:rsidRPr="00A71C60">
        <w:rPr>
          <w:rFonts w:ascii="Palatino Linotype" w:eastAsia="Palatino Linotype" w:hAnsi="Palatino Linotype" w:cs="Palatino Linotype"/>
          <w:b/>
          <w:i/>
          <w:color w:val="000000"/>
          <w:sz w:val="22"/>
          <w:szCs w:val="22"/>
          <w:lang w:eastAsia="es-ES"/>
        </w:rPr>
        <w:t>la congruencia implica que exista concordancia entre el requerimiento formulado por el particular y la respuesta proporcionada por el sujeto obligado</w:t>
      </w:r>
      <w:r w:rsidRPr="00A71C60">
        <w:rPr>
          <w:rFonts w:ascii="Palatino Linotype" w:eastAsia="Palatino Linotype" w:hAnsi="Palatino Linotype" w:cs="Palatino Linotype"/>
          <w:i/>
          <w:color w:val="000000"/>
          <w:sz w:val="22"/>
          <w:szCs w:val="22"/>
          <w:lang w:eastAsia="es-ES"/>
        </w:rPr>
        <w:t xml:space="preserve">; mientras que </w:t>
      </w:r>
      <w:r w:rsidRPr="00A71C60">
        <w:rPr>
          <w:rFonts w:ascii="Palatino Linotype" w:eastAsia="Palatino Linotype" w:hAnsi="Palatino Linotype" w:cs="Palatino Linotype"/>
          <w:b/>
          <w:i/>
          <w:color w:val="000000"/>
          <w:sz w:val="22"/>
          <w:szCs w:val="22"/>
          <w:lang w:eastAsia="es-ES"/>
        </w:rPr>
        <w:t>la exhaustividad significa que dicha respuesta se refiera expresamente a cada uno de los puntos solicitados</w:t>
      </w:r>
      <w:r w:rsidRPr="00A71C60">
        <w:rPr>
          <w:rFonts w:ascii="Palatino Linotype" w:eastAsia="Palatino Linotype" w:hAnsi="Palatino Linotype" w:cs="Palatino Linotype"/>
          <w:i/>
          <w:color w:val="000000"/>
          <w:sz w:val="22"/>
          <w:szCs w:val="22"/>
          <w:lang w:eastAsia="es-E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C3009C4" w14:textId="77777777" w:rsidR="00076345" w:rsidRPr="00060573" w:rsidRDefault="00076345" w:rsidP="00076345">
      <w:pPr>
        <w:spacing w:before="240" w:after="240"/>
        <w:ind w:left="567" w:right="900"/>
        <w:jc w:val="both"/>
        <w:rPr>
          <w:rFonts w:ascii="Palatino Linotype" w:eastAsia="Palatino Linotype" w:hAnsi="Palatino Linotype" w:cs="Palatino Linotype"/>
          <w:i/>
          <w:color w:val="000000"/>
          <w:lang w:eastAsia="es-ES"/>
        </w:rPr>
      </w:pPr>
      <w:r w:rsidRPr="00060573">
        <w:rPr>
          <w:rFonts w:ascii="Palatino Linotype" w:eastAsia="Palatino Linotype" w:hAnsi="Palatino Linotype" w:cs="Palatino Linotype"/>
          <w:i/>
          <w:color w:val="000000"/>
          <w:lang w:eastAsia="es-ES"/>
        </w:rPr>
        <w:t>(Énfasis añadido)</w:t>
      </w:r>
    </w:p>
    <w:p w14:paraId="59F3932C" w14:textId="77777777" w:rsidR="00533E2A" w:rsidRDefault="00533E2A" w:rsidP="00533E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primera instancia, conviene precisar que la figura del comodato se encuentra regulado en el Título Séptimo del Código Civil del Estado de México, en los términos siguientes:</w:t>
      </w:r>
    </w:p>
    <w:p w14:paraId="7061F033"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“TITULO SEPTIMO </w:t>
      </w:r>
    </w:p>
    <w:p w14:paraId="7848BFF9"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Del Comodato </w:t>
      </w:r>
    </w:p>
    <w:p w14:paraId="19F99F95"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Elementos personales del comodato </w:t>
      </w:r>
    </w:p>
    <w:p w14:paraId="186BCECE"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7.721.- </w:t>
      </w:r>
      <w:r>
        <w:rPr>
          <w:rFonts w:ascii="Palatino Linotype" w:eastAsia="Palatino Linotype" w:hAnsi="Palatino Linotype" w:cs="Palatino Linotype"/>
          <w:b/>
          <w:i/>
          <w:sz w:val="22"/>
          <w:szCs w:val="22"/>
        </w:rPr>
        <w:t xml:space="preserve">El comodato </w:t>
      </w:r>
      <w:r>
        <w:rPr>
          <w:rFonts w:ascii="Palatino Linotype" w:eastAsia="Palatino Linotype" w:hAnsi="Palatino Linotype" w:cs="Palatino Linotype"/>
          <w:b/>
          <w:i/>
          <w:sz w:val="22"/>
          <w:szCs w:val="22"/>
          <w:u w:val="single"/>
        </w:rPr>
        <w:t>es un contrato por el cual uno de los contratantes concede gratuitamente el uso de un bien, y el otro contrae la obligación de restituirlo individualmente.</w:t>
      </w:r>
      <w:r>
        <w:rPr>
          <w:rFonts w:ascii="Palatino Linotype" w:eastAsia="Palatino Linotype" w:hAnsi="Palatino Linotype" w:cs="Palatino Linotype"/>
          <w:b/>
          <w:i/>
          <w:sz w:val="22"/>
          <w:szCs w:val="22"/>
        </w:rPr>
        <w:t xml:space="preserve"> </w:t>
      </w:r>
    </w:p>
    <w:p w14:paraId="7AE966BC"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Elemento formal del comodato </w:t>
      </w:r>
    </w:p>
    <w:p w14:paraId="67173973"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Artículo 7.722.- </w:t>
      </w:r>
      <w:r>
        <w:rPr>
          <w:rFonts w:ascii="Palatino Linotype" w:eastAsia="Palatino Linotype" w:hAnsi="Palatino Linotype" w:cs="Palatino Linotype"/>
          <w:b/>
          <w:i/>
          <w:sz w:val="22"/>
          <w:szCs w:val="22"/>
          <w:u w:val="single"/>
        </w:rPr>
        <w:t xml:space="preserve">El contrato de comodato debe celebrarse por escrito. </w:t>
      </w:r>
    </w:p>
    <w:p w14:paraId="0103D410"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Comodato sobre bienes consumibles</w:t>
      </w:r>
    </w:p>
    <w:p w14:paraId="0AEB10C7"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7.723.- Cuando el comodato tuviere por objeto bienes consumibles, deberán ser restituidos idénticamente. </w:t>
      </w:r>
    </w:p>
    <w:p w14:paraId="76EF6726"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Autorización para dar bienes en comodato </w:t>
      </w:r>
    </w:p>
    <w:p w14:paraId="595525BC"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7.724.- Los administradores de bienes ajenos, sólo podrán dar en comodato, previa autorización judicial, los bienes confiados a su guarda. </w:t>
      </w:r>
    </w:p>
    <w:p w14:paraId="3295885F"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Autorización del comodante para conceder el uso a un tercero </w:t>
      </w:r>
    </w:p>
    <w:p w14:paraId="2D9D6DA5"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7.725.- Solo con autorización del comodante, el comodatario podrá conceder el uso del bien a un tercero. </w:t>
      </w:r>
    </w:p>
    <w:p w14:paraId="0B841136"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Derecho del comodatario </w:t>
      </w:r>
    </w:p>
    <w:p w14:paraId="6494F5EB"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xml:space="preserve">Artículo 7.726.- </w:t>
      </w:r>
      <w:r>
        <w:rPr>
          <w:rFonts w:ascii="Palatino Linotype" w:eastAsia="Palatino Linotype" w:hAnsi="Palatino Linotype" w:cs="Palatino Linotype"/>
          <w:b/>
          <w:i/>
          <w:sz w:val="22"/>
          <w:szCs w:val="22"/>
        </w:rPr>
        <w:t xml:space="preserve">El comodatario adquiere el uso, pero no los frutos y accesiones del bien dado en comodato. </w:t>
      </w:r>
    </w:p>
    <w:p w14:paraId="41AB2624"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Obligación del comodatario </w:t>
      </w:r>
    </w:p>
    <w:p w14:paraId="5DE310E3"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7.727.- </w:t>
      </w:r>
      <w:r>
        <w:rPr>
          <w:rFonts w:ascii="Palatino Linotype" w:eastAsia="Palatino Linotype" w:hAnsi="Palatino Linotype" w:cs="Palatino Linotype"/>
          <w:b/>
          <w:i/>
          <w:sz w:val="22"/>
          <w:szCs w:val="22"/>
        </w:rPr>
        <w:t>El comodatario está obligado a poner toda la diligencia en la conservación del bien, y es responsable de todo deterioro que sufra por su culpa</w:t>
      </w:r>
      <w:r>
        <w:rPr>
          <w:rFonts w:ascii="Palatino Linotype" w:eastAsia="Palatino Linotype" w:hAnsi="Palatino Linotype" w:cs="Palatino Linotype"/>
          <w:i/>
          <w:sz w:val="22"/>
          <w:szCs w:val="22"/>
        </w:rPr>
        <w:t xml:space="preserve">. </w:t>
      </w:r>
    </w:p>
    <w:p w14:paraId="6B0BBE30"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Deterioro que impide el uso ordinario </w:t>
      </w:r>
    </w:p>
    <w:p w14:paraId="3C8C1C97"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7.728.- Si es tal el deterioro del bien que no sea susceptible de emplearse en su uso ordinario, el comodante podrá exigir el valor del mismo, a ese momento. </w:t>
      </w:r>
    </w:p>
    <w:p w14:paraId="6631AF16"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Uso diverso del bien o por más tiempo </w:t>
      </w:r>
    </w:p>
    <w:p w14:paraId="1B16BDDB"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7.729.- El comodatario responde de la pérdida del bien si lo emplea en uso diverso o por más tiempo del convenido, </w:t>
      </w:r>
      <w:proofErr w:type="spellStart"/>
      <w:r>
        <w:rPr>
          <w:rFonts w:ascii="Palatino Linotype" w:eastAsia="Palatino Linotype" w:hAnsi="Palatino Linotype" w:cs="Palatino Linotype"/>
          <w:i/>
          <w:sz w:val="22"/>
          <w:szCs w:val="22"/>
        </w:rPr>
        <w:t>aún</w:t>
      </w:r>
      <w:proofErr w:type="spellEnd"/>
      <w:r>
        <w:rPr>
          <w:rFonts w:ascii="Palatino Linotype" w:eastAsia="Palatino Linotype" w:hAnsi="Palatino Linotype" w:cs="Palatino Linotype"/>
          <w:i/>
          <w:sz w:val="22"/>
          <w:szCs w:val="22"/>
        </w:rPr>
        <w:t xml:space="preserve"> cuando aquélla sobrevenga por caso fortuito. </w:t>
      </w:r>
    </w:p>
    <w:p w14:paraId="527E2C63"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Gastos ordinarios para la conservación del bien </w:t>
      </w:r>
    </w:p>
    <w:p w14:paraId="4D79A3C9"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7.730.- El comodatario no tiene derecho para repetir el importe de los gastos ordinarios que efectúe para la conservación del bien prestado. </w:t>
      </w:r>
    </w:p>
    <w:p w14:paraId="4E8D3D58"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Obligación del comodatario de entregar el bien </w:t>
      </w:r>
    </w:p>
    <w:p w14:paraId="1B774551"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7.731.- Tampoco tiene derecho el comodatario para retener el bien a pretexto de lo que por expensas o por cualquier otra causa le deba el dueño. </w:t>
      </w:r>
    </w:p>
    <w:p w14:paraId="49AB00ED"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Obligaciones solidarias de los comodatarios </w:t>
      </w:r>
    </w:p>
    <w:p w14:paraId="404F6F65"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7.732.- Siendo dos o más los comodatarios, están sujetos solidariamente a las mismas obligaciones. </w:t>
      </w:r>
    </w:p>
    <w:p w14:paraId="427153BA"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Falta de convenio sobre uso y plazo </w:t>
      </w:r>
    </w:p>
    <w:p w14:paraId="10A5DED7"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7.733.- Si no se ha determinado el uso o el plazo del comodato, el comodante podrá exigir la devolución del bien cuando convenga a sus intereses.</w:t>
      </w:r>
    </w:p>
    <w:p w14:paraId="46629088"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Derecho del comodante de exigir la devolución </w:t>
      </w:r>
    </w:p>
    <w:p w14:paraId="4E4F949C"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7.734.- El comodante podrá exigir la devolución del bien antes de que termine el plazo cuando: </w:t>
      </w:r>
    </w:p>
    <w:p w14:paraId="5E051164"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Tenga necesidad de él; </w:t>
      </w:r>
    </w:p>
    <w:p w14:paraId="037918AD"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Exista peligro de que el bien perezca, de continuar en poder del comodatario; </w:t>
      </w:r>
    </w:p>
    <w:p w14:paraId="57B4552D"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El comodatario haya autorizado a un tercero a servirse del bien sin consentimiento del comodante. </w:t>
      </w:r>
    </w:p>
    <w:p w14:paraId="3C347F42"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Gastos necesarios para la conservación del bien </w:t>
      </w:r>
    </w:p>
    <w:p w14:paraId="4502CDA2" w14:textId="77777777" w:rsidR="00533E2A" w:rsidRDefault="00533E2A" w:rsidP="00533E2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7.735.- El comodatario tiene la obligación de pagar los gastos necesarios para la conservación del bien, salvo pacto en contrario. </w:t>
      </w:r>
    </w:p>
    <w:p w14:paraId="1797A4B5" w14:textId="77777777" w:rsidR="00533E2A" w:rsidRDefault="00533E2A" w:rsidP="00533E2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Vicios del bien objeto del comodato </w:t>
      </w:r>
    </w:p>
    <w:p w14:paraId="2F9679F7" w14:textId="77777777" w:rsidR="00533E2A" w:rsidRDefault="00533E2A" w:rsidP="00533E2A">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7.736.- Cuando el bien dado en comodato tenga defectos tales que cause perjuicios al que se sirva de él, el comodante es responsable de éstos, si conocía los defectos y no dio aviso oportuno al comodatario. </w:t>
      </w:r>
    </w:p>
    <w:p w14:paraId="3AD1B3C6" w14:textId="77777777" w:rsidR="00533E2A" w:rsidRDefault="00533E2A" w:rsidP="00533E2A">
      <w:pPr>
        <w:spacing w:line="276" w:lineRule="auto"/>
        <w:ind w:lef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Muerte del comodatario </w:t>
      </w:r>
    </w:p>
    <w:p w14:paraId="19EA91DE" w14:textId="77777777" w:rsidR="00533E2A" w:rsidRDefault="00533E2A" w:rsidP="00533E2A">
      <w:pPr>
        <w:spacing w:line="276"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7.737.- El comodato termina por la muerte del comodatario.”</w:t>
      </w:r>
    </w:p>
    <w:p w14:paraId="56EAAA71" w14:textId="77777777" w:rsidR="00533E2A" w:rsidRDefault="00533E2A" w:rsidP="00533E2A">
      <w:pPr>
        <w:spacing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(Énfasis añadido)</w:t>
      </w:r>
    </w:p>
    <w:p w14:paraId="0399A51E" w14:textId="77777777" w:rsidR="00533E2A" w:rsidRDefault="00533E2A" w:rsidP="00533E2A">
      <w:pPr>
        <w:spacing w:line="276" w:lineRule="auto"/>
        <w:ind w:left="567"/>
        <w:jc w:val="both"/>
        <w:rPr>
          <w:rFonts w:ascii="Palatino Linotype" w:eastAsia="Palatino Linotype" w:hAnsi="Palatino Linotype" w:cs="Palatino Linotype"/>
        </w:rPr>
      </w:pPr>
    </w:p>
    <w:p w14:paraId="3860313D" w14:textId="77777777" w:rsidR="00533E2A" w:rsidRDefault="00533E2A" w:rsidP="00533E2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manera que con lo anteriormente citado, podemos apreciar que el comodato es el contrato por el que el comodante se concede gratuitamente el uso de un bien al comodatario quien se obliga a restituirlo una vez concluida la vigencia del contrato, y que el contrato que debe constar por escrito.</w:t>
      </w:r>
    </w:p>
    <w:p w14:paraId="5D4DB39F" w14:textId="77777777" w:rsidR="006E1E11" w:rsidRDefault="00533E2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Una vez dilucidado este concepto, debemos recordar que en respuesta a la solicitud que dio origen a la interposición del recurso de revisión que nos ocupa,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Pr="001D064A">
        <w:rPr>
          <w:rFonts w:ascii="Palatino Linotype" w:eastAsia="Palatino Linotype" w:hAnsi="Palatino Linotype" w:cs="Palatino Linotype"/>
          <w:b/>
          <w:u w:val="single"/>
        </w:rPr>
        <w:t>manifestó por conducto del Secretario del Ayuntamiento que se encuentran recabando la información correspondiente,</w:t>
      </w:r>
      <w:r w:rsidRPr="001D064A">
        <w:rPr>
          <w:rFonts w:ascii="Palatino Linotype" w:eastAsia="Palatino Linotype" w:hAnsi="Palatino Linotype" w:cs="Palatino Linotype"/>
          <w:u w:val="single"/>
        </w:rPr>
        <w:t xml:space="preserve"> </w:t>
      </w:r>
      <w:r w:rsidR="001D064A" w:rsidRPr="001D064A">
        <w:rPr>
          <w:rFonts w:ascii="Palatino Linotype" w:eastAsia="Palatino Linotype" w:hAnsi="Palatino Linotype" w:cs="Palatino Linotype"/>
          <w:b/>
          <w:color w:val="000000" w:themeColor="text1"/>
          <w:u w:val="single"/>
        </w:rPr>
        <w:t>posteriormente adjunta un oficio que fue dirigido a todas las áreas que componen la administración municipal para efecto de requerirles todos los convenios vigentes que haya celebrado el Ayuntamiento, así como los subsecuentes para su registro y validación</w:t>
      </w:r>
      <w:r w:rsidR="001D064A">
        <w:rPr>
          <w:rFonts w:ascii="Palatino Linotype" w:eastAsia="Palatino Linotype" w:hAnsi="Palatino Linotype" w:cs="Palatino Linotype"/>
          <w:color w:val="000000" w:themeColor="text1"/>
        </w:rPr>
        <w:t xml:space="preserve">, </w:t>
      </w:r>
      <w:r>
        <w:rPr>
          <w:rFonts w:ascii="Palatino Linotype" w:eastAsia="Palatino Linotype" w:hAnsi="Palatino Linotype" w:cs="Palatino Linotype"/>
        </w:rPr>
        <w:t xml:space="preserve">sin embargo, con este pronunciamiento </w:t>
      </w:r>
      <w:r w:rsidR="00BE0A01">
        <w:rPr>
          <w:rFonts w:ascii="Palatino Linotype" w:eastAsia="Palatino Linotype" w:hAnsi="Palatino Linotype" w:cs="Palatino Linotype"/>
        </w:rPr>
        <w:t xml:space="preserve">no </w:t>
      </w:r>
      <w:r>
        <w:rPr>
          <w:rFonts w:ascii="Palatino Linotype" w:eastAsia="Palatino Linotype" w:hAnsi="Palatino Linotype" w:cs="Palatino Linotype"/>
        </w:rPr>
        <w:t xml:space="preserve">se </w:t>
      </w:r>
      <w:r w:rsidR="00BE0A01">
        <w:rPr>
          <w:rFonts w:ascii="Palatino Linotype" w:eastAsia="Palatino Linotype" w:hAnsi="Palatino Linotype" w:cs="Palatino Linotype"/>
        </w:rPr>
        <w:t xml:space="preserve">satisfizo el derecho de acceso el derecho de acceso a la información de </w:t>
      </w:r>
      <w:r w:rsidR="00BE0A01">
        <w:rPr>
          <w:rFonts w:ascii="Palatino Linotype" w:eastAsia="Palatino Linotype" w:hAnsi="Palatino Linotype" w:cs="Palatino Linotype"/>
          <w:b/>
        </w:rPr>
        <w:t>la parte</w:t>
      </w:r>
      <w:r w:rsidR="00BE0A01">
        <w:rPr>
          <w:rFonts w:ascii="Palatino Linotype" w:eastAsia="Palatino Linotype" w:hAnsi="Palatino Linotype" w:cs="Palatino Linotype"/>
        </w:rPr>
        <w:t xml:space="preserve"> </w:t>
      </w:r>
      <w:r w:rsidR="00BE0A01">
        <w:rPr>
          <w:rFonts w:ascii="Palatino Linotype" w:eastAsia="Palatino Linotype" w:hAnsi="Palatino Linotype" w:cs="Palatino Linotype"/>
          <w:b/>
        </w:rPr>
        <w:t>Recurrente</w:t>
      </w:r>
      <w:r w:rsidR="00BE0A01">
        <w:rPr>
          <w:rFonts w:ascii="Palatino Linotype" w:eastAsia="Palatino Linotype" w:hAnsi="Palatino Linotype" w:cs="Palatino Linotype"/>
        </w:rPr>
        <w:t xml:space="preserve">, al incumplir el principio de </w:t>
      </w:r>
      <w:r w:rsidR="001D064A">
        <w:rPr>
          <w:rFonts w:ascii="Palatino Linotype" w:eastAsia="Palatino Linotype" w:hAnsi="Palatino Linotype" w:cs="Palatino Linotype"/>
        </w:rPr>
        <w:t xml:space="preserve">congruencia y </w:t>
      </w:r>
      <w:r w:rsidR="00BE0A01">
        <w:rPr>
          <w:rFonts w:ascii="Palatino Linotype" w:eastAsia="Palatino Linotype" w:hAnsi="Palatino Linotype" w:cs="Palatino Linotype"/>
        </w:rPr>
        <w:t>exhaustividad, toda vez que no se advierte un</w:t>
      </w:r>
      <w:r w:rsidR="001D064A">
        <w:rPr>
          <w:rFonts w:ascii="Palatino Linotype" w:eastAsia="Palatino Linotype" w:hAnsi="Palatino Linotype" w:cs="Palatino Linotype"/>
        </w:rPr>
        <w:t xml:space="preserve"> pronunciamie</w:t>
      </w:r>
      <w:r w:rsidR="007106E5">
        <w:rPr>
          <w:rFonts w:ascii="Palatino Linotype" w:eastAsia="Palatino Linotype" w:hAnsi="Palatino Linotype" w:cs="Palatino Linotype"/>
        </w:rPr>
        <w:t xml:space="preserve">nto puntual sobre los comodatos, si bien es cierto que se pronunció el Secretario del Ayuntamiento, quien se encuentra encargado del resguardo del archivo del ayuntamiento, no menos cierto es que dentro del marco normativo vigente aplicable al </w:t>
      </w:r>
      <w:r w:rsidR="007106E5" w:rsidRPr="007106E5">
        <w:rPr>
          <w:rFonts w:ascii="Palatino Linotype" w:eastAsia="Palatino Linotype" w:hAnsi="Palatino Linotype" w:cs="Palatino Linotype"/>
          <w:b/>
        </w:rPr>
        <w:t>Sujeto Obligado</w:t>
      </w:r>
      <w:r w:rsidR="007106E5">
        <w:rPr>
          <w:rFonts w:ascii="Palatino Linotype" w:eastAsia="Palatino Linotype" w:hAnsi="Palatino Linotype" w:cs="Palatino Linotype"/>
        </w:rPr>
        <w:t xml:space="preserve">, se advierte que existen otras </w:t>
      </w:r>
      <w:r w:rsidR="00BE0A01">
        <w:rPr>
          <w:rFonts w:ascii="Palatino Linotype" w:eastAsia="Palatino Linotype" w:hAnsi="Palatino Linotype" w:cs="Palatino Linotype"/>
        </w:rPr>
        <w:t xml:space="preserve">áreas </w:t>
      </w:r>
      <w:r w:rsidR="00BE0A01">
        <w:rPr>
          <w:rFonts w:ascii="Palatino Linotype" w:eastAsia="Palatino Linotype" w:hAnsi="Palatino Linotype" w:cs="Palatino Linotype"/>
        </w:rPr>
        <w:lastRenderedPageBreak/>
        <w:t xml:space="preserve">competentes para conocer de la solicitud de información, </w:t>
      </w:r>
      <w:r w:rsidR="007106E5">
        <w:rPr>
          <w:rFonts w:ascii="Palatino Linotype" w:eastAsia="Palatino Linotype" w:hAnsi="Palatino Linotype" w:cs="Palatino Linotype"/>
        </w:rPr>
        <w:t xml:space="preserve">a las cuales pudo turnarse este requerimiento con la finalidad de realizar una búsqueda dentro de su patrimonio documental, </w:t>
      </w:r>
      <w:r w:rsidR="006F2FCB">
        <w:rPr>
          <w:rFonts w:ascii="Palatino Linotype" w:eastAsia="Palatino Linotype" w:hAnsi="Palatino Linotype" w:cs="Palatino Linotype"/>
        </w:rPr>
        <w:t>como en el presente caso se colige</w:t>
      </w:r>
      <w:r w:rsidR="007106E5">
        <w:rPr>
          <w:rFonts w:ascii="Palatino Linotype" w:eastAsia="Palatino Linotype" w:hAnsi="Palatino Linotype" w:cs="Palatino Linotype"/>
        </w:rPr>
        <w:t xml:space="preserve"> que pudieran contar con esta información</w:t>
      </w:r>
      <w:r w:rsidR="00BE0A01">
        <w:rPr>
          <w:rFonts w:ascii="Palatino Linotype" w:eastAsia="Palatino Linotype" w:hAnsi="Palatino Linotype" w:cs="Palatino Linotype"/>
        </w:rPr>
        <w:t xml:space="preserve">, </w:t>
      </w:r>
      <w:r>
        <w:rPr>
          <w:rFonts w:ascii="Palatino Linotype" w:eastAsia="Palatino Linotype" w:hAnsi="Palatino Linotype" w:cs="Palatino Linotype"/>
        </w:rPr>
        <w:t xml:space="preserve">el </w:t>
      </w:r>
      <w:r w:rsidRPr="00533E2A">
        <w:rPr>
          <w:rFonts w:ascii="Palatino Linotype" w:eastAsia="Palatino Linotype" w:hAnsi="Palatino Linotype" w:cs="Palatino Linotype"/>
        </w:rPr>
        <w:t>Presidente Municipal</w:t>
      </w:r>
      <w:r w:rsidR="00BE0A01" w:rsidRPr="00533E2A">
        <w:rPr>
          <w:rFonts w:ascii="Palatino Linotype" w:eastAsia="Palatino Linotype" w:hAnsi="Palatino Linotype" w:cs="Palatino Linotype"/>
        </w:rPr>
        <w:t>,</w:t>
      </w:r>
      <w:r w:rsidRPr="00533E2A">
        <w:rPr>
          <w:rFonts w:ascii="Palatino Linotype" w:eastAsia="Palatino Linotype" w:hAnsi="Palatino Linotype" w:cs="Palatino Linotype"/>
        </w:rPr>
        <w:t xml:space="preserve"> la Secretaría Particular y la Coordinación Jurídica</w:t>
      </w:r>
      <w:r w:rsidR="007106E5">
        <w:rPr>
          <w:rFonts w:ascii="Palatino Linotype" w:eastAsia="Palatino Linotype" w:hAnsi="Palatino Linotype" w:cs="Palatino Linotype"/>
        </w:rPr>
        <w:t>,</w:t>
      </w:r>
      <w:r w:rsidR="00BE0A01" w:rsidRPr="00533E2A">
        <w:rPr>
          <w:rFonts w:ascii="Palatino Linotype" w:eastAsia="Palatino Linotype" w:hAnsi="Palatino Linotype" w:cs="Palatino Linotype"/>
        </w:rPr>
        <w:t xml:space="preserve"> </w:t>
      </w:r>
      <w:r w:rsidR="007106E5">
        <w:rPr>
          <w:rFonts w:ascii="Palatino Linotype" w:eastAsia="Palatino Linotype" w:hAnsi="Palatino Linotype" w:cs="Palatino Linotype"/>
        </w:rPr>
        <w:t xml:space="preserve">toda vez que se encuentran facultados para la celebración de contratos, así como la formulación de proyectos de contratos, premisa que </w:t>
      </w:r>
      <w:r w:rsidR="00BE0A01" w:rsidRPr="00533E2A">
        <w:rPr>
          <w:rFonts w:ascii="Palatino Linotype" w:eastAsia="Palatino Linotype" w:hAnsi="Palatino Linotype" w:cs="Palatino Linotype"/>
        </w:rPr>
        <w:t>se robustece con la siguiente cita del</w:t>
      </w:r>
      <w:r w:rsidRPr="00533E2A">
        <w:rPr>
          <w:rFonts w:ascii="Palatino Linotype" w:eastAsia="Palatino Linotype" w:hAnsi="Palatino Linotype" w:cs="Palatino Linotype"/>
        </w:rPr>
        <w:t xml:space="preserve"> Código Reglamentario para el Municipio de Tenancingo, Estado de México</w:t>
      </w:r>
      <w:r w:rsidR="00BE0A01" w:rsidRPr="00533E2A">
        <w:rPr>
          <w:rFonts w:ascii="Palatino Linotype" w:eastAsia="Palatino Linotype" w:hAnsi="Palatino Linotype" w:cs="Palatino Linotype"/>
        </w:rPr>
        <w:t xml:space="preserve">: </w:t>
      </w:r>
    </w:p>
    <w:p w14:paraId="08F0B906" w14:textId="77777777" w:rsidR="00533E2A" w:rsidRDefault="00533E2A" w:rsidP="00533E2A">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533E2A">
        <w:rPr>
          <w:rFonts w:ascii="Palatino Linotype" w:eastAsia="Palatino Linotype" w:hAnsi="Palatino Linotype" w:cs="Palatino Linotype"/>
          <w:i/>
          <w:sz w:val="22"/>
        </w:rPr>
        <w:t xml:space="preserve">Artículo 2.5. </w:t>
      </w:r>
      <w:r w:rsidRPr="00FB3343">
        <w:rPr>
          <w:rFonts w:ascii="Palatino Linotype" w:eastAsia="Palatino Linotype" w:hAnsi="Palatino Linotype" w:cs="Palatino Linotype"/>
          <w:b/>
          <w:i/>
          <w:sz w:val="22"/>
        </w:rPr>
        <w:t>Son atribuciones del Presidente Municipal</w:t>
      </w:r>
      <w:r w:rsidRPr="00533E2A">
        <w:rPr>
          <w:rFonts w:ascii="Palatino Linotype" w:eastAsia="Palatino Linotype" w:hAnsi="Palatino Linotype" w:cs="Palatino Linotype"/>
          <w:i/>
          <w:sz w:val="22"/>
        </w:rPr>
        <w:t>, además de las señaladas en la Constitución Estatal y la Ley Orgánica Municipal, las siguientes:</w:t>
      </w:r>
    </w:p>
    <w:p w14:paraId="15F6E1FD" w14:textId="77777777" w:rsidR="00533E2A" w:rsidRPr="00533E2A" w:rsidRDefault="00533E2A" w:rsidP="00533E2A">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14:paraId="3B487356" w14:textId="77777777" w:rsidR="00533E2A" w:rsidRPr="00533E2A" w:rsidRDefault="00533E2A" w:rsidP="00533E2A">
      <w:pPr>
        <w:spacing w:before="240" w:after="240" w:line="276" w:lineRule="auto"/>
        <w:ind w:left="567" w:right="900"/>
        <w:jc w:val="both"/>
        <w:rPr>
          <w:rFonts w:ascii="Palatino Linotype" w:eastAsia="Palatino Linotype" w:hAnsi="Palatino Linotype" w:cs="Palatino Linotype"/>
          <w:i/>
          <w:sz w:val="22"/>
        </w:rPr>
      </w:pPr>
      <w:r w:rsidRPr="00533E2A">
        <w:rPr>
          <w:rFonts w:ascii="Palatino Linotype" w:eastAsia="Palatino Linotype" w:hAnsi="Palatino Linotype" w:cs="Palatino Linotype"/>
          <w:i/>
          <w:sz w:val="22"/>
        </w:rPr>
        <w:t xml:space="preserve">X. </w:t>
      </w:r>
      <w:r w:rsidRPr="00FB3343">
        <w:rPr>
          <w:rFonts w:ascii="Palatino Linotype" w:eastAsia="Palatino Linotype" w:hAnsi="Palatino Linotype" w:cs="Palatino Linotype"/>
          <w:b/>
          <w:i/>
          <w:sz w:val="22"/>
          <w:u w:val="single"/>
        </w:rPr>
        <w:t>La facultad específica para suscribir contratos</w:t>
      </w:r>
      <w:r w:rsidRPr="00FB3343">
        <w:rPr>
          <w:rFonts w:ascii="Palatino Linotype" w:eastAsia="Palatino Linotype" w:hAnsi="Palatino Linotype" w:cs="Palatino Linotype"/>
          <w:b/>
          <w:i/>
          <w:sz w:val="22"/>
        </w:rPr>
        <w:t>, convenios y cualquier otro documento a nombre y representación del Ayuntamiento de Tenancing</w:t>
      </w:r>
      <w:r w:rsidR="00FB3343">
        <w:rPr>
          <w:rFonts w:ascii="Palatino Linotype" w:eastAsia="Palatino Linotype" w:hAnsi="Palatino Linotype" w:cs="Palatino Linotype"/>
          <w:i/>
          <w:sz w:val="22"/>
        </w:rPr>
        <w:t>o…</w:t>
      </w:r>
      <w:r w:rsidRPr="00533E2A">
        <w:rPr>
          <w:rFonts w:ascii="Palatino Linotype" w:eastAsia="Palatino Linotype" w:hAnsi="Palatino Linotype" w:cs="Palatino Linotype"/>
          <w:i/>
          <w:sz w:val="22"/>
        </w:rPr>
        <w:t>;</w:t>
      </w:r>
    </w:p>
    <w:p w14:paraId="657D8E92" w14:textId="77777777" w:rsidR="00533E2A" w:rsidRDefault="00533E2A" w:rsidP="00533E2A">
      <w:pPr>
        <w:spacing w:before="240" w:after="240" w:line="276" w:lineRule="auto"/>
        <w:ind w:left="567" w:right="900"/>
        <w:jc w:val="both"/>
        <w:rPr>
          <w:rFonts w:ascii="Palatino Linotype" w:eastAsia="Palatino Linotype" w:hAnsi="Palatino Linotype" w:cs="Palatino Linotype"/>
          <w:b/>
          <w:i/>
          <w:sz w:val="22"/>
        </w:rPr>
      </w:pPr>
      <w:r w:rsidRPr="00FB3343">
        <w:rPr>
          <w:rFonts w:ascii="Palatino Linotype" w:eastAsia="Palatino Linotype" w:hAnsi="Palatino Linotype" w:cs="Palatino Linotype"/>
          <w:b/>
          <w:i/>
          <w:sz w:val="22"/>
        </w:rPr>
        <w:t>Artículo 3.15.- Corresponde al Secretario Particular el despacho de los siguientes asuntos:</w:t>
      </w:r>
    </w:p>
    <w:p w14:paraId="1CD35933" w14:textId="77777777" w:rsidR="00FB3343" w:rsidRPr="00FB3343" w:rsidRDefault="00FB3343" w:rsidP="00533E2A">
      <w:pPr>
        <w:spacing w:before="240" w:after="240"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w:t>
      </w:r>
    </w:p>
    <w:p w14:paraId="7311AB0D" w14:textId="77777777" w:rsidR="00533E2A" w:rsidRPr="00FB3343" w:rsidRDefault="00533E2A" w:rsidP="00533E2A">
      <w:pPr>
        <w:spacing w:before="240" w:after="240" w:line="276" w:lineRule="auto"/>
        <w:ind w:left="567" w:right="900"/>
        <w:jc w:val="both"/>
        <w:rPr>
          <w:rFonts w:ascii="Palatino Linotype" w:eastAsia="Palatino Linotype" w:hAnsi="Palatino Linotype" w:cs="Palatino Linotype"/>
          <w:b/>
          <w:i/>
          <w:sz w:val="22"/>
          <w:u w:val="single"/>
        </w:rPr>
      </w:pPr>
      <w:r w:rsidRPr="00FB3343">
        <w:rPr>
          <w:rFonts w:ascii="Palatino Linotype" w:eastAsia="Palatino Linotype" w:hAnsi="Palatino Linotype" w:cs="Palatino Linotype"/>
          <w:b/>
          <w:i/>
          <w:sz w:val="22"/>
        </w:rPr>
        <w:t xml:space="preserve">XI. </w:t>
      </w:r>
      <w:r w:rsidRPr="00FB3343">
        <w:rPr>
          <w:rFonts w:ascii="Palatino Linotype" w:eastAsia="Palatino Linotype" w:hAnsi="Palatino Linotype" w:cs="Palatino Linotype"/>
          <w:b/>
          <w:i/>
          <w:sz w:val="22"/>
          <w:u w:val="single"/>
        </w:rPr>
        <w:t>Participar en la celebración de contratos</w:t>
      </w:r>
      <w:r w:rsidRPr="00FB3343">
        <w:rPr>
          <w:rFonts w:ascii="Palatino Linotype" w:eastAsia="Palatino Linotype" w:hAnsi="Palatino Linotype" w:cs="Palatino Linotype"/>
          <w:b/>
          <w:i/>
          <w:sz w:val="22"/>
        </w:rPr>
        <w:t xml:space="preserve"> y convenios, </w:t>
      </w:r>
      <w:r w:rsidRPr="00FB3343">
        <w:rPr>
          <w:rFonts w:ascii="Palatino Linotype" w:eastAsia="Palatino Linotype" w:hAnsi="Palatino Linotype" w:cs="Palatino Linotype"/>
          <w:b/>
          <w:i/>
          <w:sz w:val="22"/>
          <w:u w:val="single"/>
        </w:rPr>
        <w:t>así como el seguimiento de los mismos.</w:t>
      </w:r>
    </w:p>
    <w:p w14:paraId="07DC1467" w14:textId="77777777" w:rsidR="00533E2A" w:rsidRDefault="00533E2A" w:rsidP="00533E2A">
      <w:pPr>
        <w:spacing w:before="240" w:after="240" w:line="276" w:lineRule="auto"/>
        <w:ind w:left="567" w:right="900"/>
        <w:jc w:val="both"/>
        <w:rPr>
          <w:rFonts w:ascii="Palatino Linotype" w:eastAsia="Palatino Linotype" w:hAnsi="Palatino Linotype" w:cs="Palatino Linotype"/>
          <w:i/>
          <w:sz w:val="22"/>
        </w:rPr>
      </w:pPr>
      <w:r w:rsidRPr="00533E2A">
        <w:rPr>
          <w:rFonts w:ascii="Palatino Linotype" w:eastAsia="Palatino Linotype" w:hAnsi="Palatino Linotype" w:cs="Palatino Linotype"/>
          <w:i/>
          <w:sz w:val="22"/>
        </w:rPr>
        <w:t xml:space="preserve">Artículo 3.16.- El titular de la Coordinación Jurídica cuenta con las siguientes atribuciones: </w:t>
      </w:r>
    </w:p>
    <w:p w14:paraId="21075E81" w14:textId="77777777" w:rsidR="00FB3343" w:rsidRPr="00533E2A" w:rsidRDefault="00FB3343" w:rsidP="00533E2A">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14:paraId="32C13F59" w14:textId="77777777" w:rsidR="00533E2A" w:rsidRPr="00FB3343" w:rsidRDefault="00533E2A" w:rsidP="00533E2A">
      <w:pPr>
        <w:spacing w:before="240" w:after="240" w:line="276" w:lineRule="auto"/>
        <w:ind w:left="567" w:right="900"/>
        <w:jc w:val="both"/>
        <w:rPr>
          <w:rFonts w:ascii="Palatino Linotype" w:eastAsia="Palatino Linotype" w:hAnsi="Palatino Linotype" w:cs="Palatino Linotype"/>
          <w:b/>
          <w:i/>
          <w:sz w:val="22"/>
        </w:rPr>
      </w:pPr>
      <w:r w:rsidRPr="00FB3343">
        <w:rPr>
          <w:rFonts w:ascii="Palatino Linotype" w:eastAsia="Palatino Linotype" w:hAnsi="Palatino Linotype" w:cs="Palatino Linotype"/>
          <w:b/>
          <w:i/>
          <w:sz w:val="22"/>
        </w:rPr>
        <w:t xml:space="preserve">VI. </w:t>
      </w:r>
      <w:r w:rsidRPr="00FB3343">
        <w:rPr>
          <w:rFonts w:ascii="Palatino Linotype" w:eastAsia="Palatino Linotype" w:hAnsi="Palatino Linotype" w:cs="Palatino Linotype"/>
          <w:b/>
          <w:i/>
          <w:sz w:val="22"/>
          <w:u w:val="single"/>
        </w:rPr>
        <w:t>Formular proyectos de</w:t>
      </w:r>
      <w:r w:rsidRPr="00FB3343">
        <w:rPr>
          <w:rFonts w:ascii="Palatino Linotype" w:eastAsia="Palatino Linotype" w:hAnsi="Palatino Linotype" w:cs="Palatino Linotype"/>
          <w:b/>
          <w:i/>
          <w:sz w:val="22"/>
        </w:rPr>
        <w:t xml:space="preserve"> </w:t>
      </w:r>
      <w:r w:rsidRPr="00533E2A">
        <w:rPr>
          <w:rFonts w:ascii="Palatino Linotype" w:eastAsia="Palatino Linotype" w:hAnsi="Palatino Linotype" w:cs="Palatino Linotype"/>
          <w:i/>
          <w:sz w:val="22"/>
        </w:rPr>
        <w:t xml:space="preserve">ordenamientos reglamentarios, acuerdos, </w:t>
      </w:r>
      <w:r w:rsidRPr="00FB3343">
        <w:rPr>
          <w:rFonts w:ascii="Palatino Linotype" w:eastAsia="Palatino Linotype" w:hAnsi="Palatino Linotype" w:cs="Palatino Linotype"/>
          <w:b/>
          <w:i/>
          <w:sz w:val="22"/>
          <w:u w:val="single"/>
        </w:rPr>
        <w:t>contratos</w:t>
      </w:r>
      <w:r w:rsidRPr="00FB3343">
        <w:rPr>
          <w:rFonts w:ascii="Palatino Linotype" w:eastAsia="Palatino Linotype" w:hAnsi="Palatino Linotype" w:cs="Palatino Linotype"/>
          <w:b/>
          <w:i/>
          <w:sz w:val="22"/>
        </w:rPr>
        <w:t xml:space="preserve"> y convenios en los asuntos de la competencia del Ayuntamiento o sus dependencias;</w:t>
      </w:r>
      <w:r w:rsidR="00FB3343">
        <w:rPr>
          <w:rFonts w:ascii="Palatino Linotype" w:eastAsia="Palatino Linotype" w:hAnsi="Palatino Linotype" w:cs="Palatino Linotype"/>
          <w:b/>
          <w:i/>
          <w:sz w:val="22"/>
        </w:rPr>
        <w:t xml:space="preserve">” </w:t>
      </w:r>
      <w:r w:rsidR="00FB3343" w:rsidRPr="00FB3343">
        <w:rPr>
          <w:rFonts w:ascii="Palatino Linotype" w:eastAsia="Palatino Linotype" w:hAnsi="Palatino Linotype" w:cs="Palatino Linotype"/>
          <w:i/>
          <w:sz w:val="22"/>
        </w:rPr>
        <w:t>(Sic) (Énfasis añadido)</w:t>
      </w:r>
    </w:p>
    <w:p w14:paraId="3AA813EC" w14:textId="77777777" w:rsidR="00FB3343" w:rsidRDefault="00FB3343" w:rsidP="00BE0A01">
      <w:pPr>
        <w:spacing w:line="360" w:lineRule="auto"/>
        <w:jc w:val="both"/>
        <w:rPr>
          <w:rFonts w:ascii="Palatino Linotype" w:eastAsia="Palatino Linotype" w:hAnsi="Palatino Linotype" w:cs="Palatino Linotype"/>
        </w:rPr>
      </w:pPr>
    </w:p>
    <w:p w14:paraId="5D110F5D" w14:textId="77777777" w:rsidR="006E1E11" w:rsidRDefault="00BE0A01" w:rsidP="00BE0A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por todo lo expuesto que para este Organismo Garante, queda plenamente establecido que</w:t>
      </w:r>
      <w:r w:rsidR="00B27483">
        <w:rPr>
          <w:rFonts w:ascii="Palatino Linotype" w:eastAsia="Palatino Linotype" w:hAnsi="Palatino Linotype" w:cs="Palatino Linotype"/>
        </w:rPr>
        <w:t xml:space="preserve"> al Ayuntamiento de Tenancing</w:t>
      </w:r>
      <w:r>
        <w:rPr>
          <w:rFonts w:ascii="Palatino Linotype" w:eastAsia="Palatino Linotype" w:hAnsi="Palatino Linotype" w:cs="Palatino Linotype"/>
        </w:rPr>
        <w:t>o</w:t>
      </w:r>
      <w:r w:rsidR="006F2FCB">
        <w:rPr>
          <w:rFonts w:ascii="Palatino Linotype" w:eastAsia="Palatino Linotype" w:hAnsi="Palatino Linotype" w:cs="Palatino Linotype"/>
        </w:rPr>
        <w:t xml:space="preserve"> por conducto de estas áreas</w:t>
      </w:r>
      <w:r>
        <w:rPr>
          <w:rFonts w:ascii="Palatino Linotype" w:eastAsia="Palatino Linotype" w:hAnsi="Palatino Linotype" w:cs="Palatino Linotype"/>
        </w:rPr>
        <w:t xml:space="preserve">, </w:t>
      </w:r>
      <w:r>
        <w:rPr>
          <w:rFonts w:ascii="Palatino Linotype" w:eastAsia="Palatino Linotype" w:hAnsi="Palatino Linotype" w:cs="Palatino Linotype"/>
          <w:u w:val="single"/>
        </w:rPr>
        <w:t xml:space="preserve">le asiste la facultad de </w:t>
      </w:r>
      <w:r w:rsidR="00B27483">
        <w:rPr>
          <w:rFonts w:ascii="Palatino Linotype" w:eastAsia="Palatino Linotype" w:hAnsi="Palatino Linotype" w:cs="Palatino Linotype"/>
          <w:u w:val="single"/>
        </w:rPr>
        <w:t xml:space="preserve">suscribir contratos, así como de participar en la firma de los mismos y en el caso de la Coordinación Jurídica, le otorga la facultad de formular los proyectos de contratos, </w:t>
      </w:r>
      <w:r>
        <w:rPr>
          <w:rFonts w:ascii="Palatino Linotype" w:eastAsia="Palatino Linotype" w:hAnsi="Palatino Linotype" w:cs="Palatino Linotype"/>
        </w:rPr>
        <w:t xml:space="preserve">de ahí que se concluya que la información solicitada sea de carácter público, en virtud de que la genera, posee y administra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rPr>
        <w:t xml:space="preserve"> en el ejercicio de sus funciones de derecho público</w:t>
      </w:r>
      <w:r w:rsidRPr="00B27483">
        <w:rPr>
          <w:rFonts w:ascii="Palatino Linotype" w:eastAsia="Palatino Linotype" w:hAnsi="Palatino Linotype" w:cs="Palatino Linotype"/>
        </w:rPr>
        <w:t>, por ello es</w:t>
      </w:r>
      <w:r w:rsidR="00B27483" w:rsidRPr="00B27483">
        <w:rPr>
          <w:rFonts w:ascii="Palatino Linotype" w:eastAsia="Palatino Linotype" w:hAnsi="Palatino Linotype" w:cs="Palatino Linotype"/>
        </w:rPr>
        <w:t xml:space="preserve"> dable, ordenar haga entrega de</w:t>
      </w:r>
      <w:r w:rsidR="006F2FCB">
        <w:rPr>
          <w:rFonts w:ascii="Palatino Linotype" w:eastAsia="Palatino Linotype" w:hAnsi="Palatino Linotype" w:cs="Palatino Linotype"/>
        </w:rPr>
        <w:t xml:space="preserve"> </w:t>
      </w:r>
      <w:r w:rsidR="00B27483" w:rsidRPr="00B27483">
        <w:rPr>
          <w:rFonts w:ascii="Palatino Linotype" w:eastAsia="Palatino Linotype" w:hAnsi="Palatino Linotype" w:cs="Palatino Linotype"/>
        </w:rPr>
        <w:t xml:space="preserve">los comodatos del ayuntamiento </w:t>
      </w:r>
      <w:r w:rsidR="0049778E">
        <w:rPr>
          <w:rFonts w:ascii="Palatino Linotype" w:eastAsia="Palatino Linotype" w:hAnsi="Palatino Linotype" w:cs="Palatino Linotype"/>
        </w:rPr>
        <w:t>vigentes</w:t>
      </w:r>
      <w:r w:rsidR="00B27483" w:rsidRPr="00B27483">
        <w:rPr>
          <w:rFonts w:ascii="Palatino Linotype" w:eastAsia="Palatino Linotype" w:hAnsi="Palatino Linotype" w:cs="Palatino Linotype"/>
        </w:rPr>
        <w:t xml:space="preserve"> al 22 de marzo de dos mil veintidós</w:t>
      </w:r>
      <w:r w:rsidRPr="00B27483">
        <w:rPr>
          <w:rFonts w:ascii="Palatino Linotype" w:eastAsia="Palatino Linotype" w:hAnsi="Palatino Linotype" w:cs="Palatino Linotype"/>
        </w:rPr>
        <w:t>, no obstante, para el caso en el que no cuente con este soporte documental</w:t>
      </w:r>
      <w:r w:rsidR="0049778E">
        <w:rPr>
          <w:rFonts w:ascii="Palatino Linotype" w:eastAsia="Palatino Linotype" w:hAnsi="Palatino Linotype" w:cs="Palatino Linotype"/>
        </w:rPr>
        <w:t xml:space="preserve"> por no actualizarse el supuesto</w:t>
      </w:r>
      <w:r w:rsidRPr="00B27483">
        <w:rPr>
          <w:rFonts w:ascii="Palatino Linotype" w:eastAsia="Palatino Linotype" w:hAnsi="Palatino Linotype" w:cs="Palatino Linotype"/>
        </w:rPr>
        <w:t>, deberá hacerlo del conocimiento del particular de manera fundada y motivada, en términos del segundo párrafo del artículo 19 de la Ley de Transparencia y Acceso a la Información Pública del Estado de México y Municipios,</w:t>
      </w:r>
      <w:r>
        <w:rPr>
          <w:rFonts w:ascii="Palatino Linotype" w:eastAsia="Palatino Linotype" w:hAnsi="Palatino Linotype" w:cs="Palatino Linotype"/>
        </w:rPr>
        <w:t xml:space="preserve"> toda vez que así se brinda certeza jurídica a los particulares de que se agotó el procedimiento previsto por la normatividad.</w:t>
      </w:r>
    </w:p>
    <w:p w14:paraId="72873953" w14:textId="77777777" w:rsidR="006E1E11" w:rsidRPr="00BE0A01" w:rsidRDefault="00BE0A01" w:rsidP="00BE0A01">
      <w:pPr>
        <w:spacing w:line="276" w:lineRule="auto"/>
        <w:ind w:left="860" w:right="860"/>
        <w:jc w:val="both"/>
        <w:rPr>
          <w:rFonts w:ascii="Palatino Linotype" w:eastAsia="Palatino Linotype" w:hAnsi="Palatino Linotype" w:cs="Palatino Linotype"/>
          <w:i/>
          <w:sz w:val="22"/>
        </w:rPr>
      </w:pPr>
      <w:r w:rsidRPr="00BE0A01">
        <w:rPr>
          <w:rFonts w:ascii="Palatino Linotype" w:eastAsia="Palatino Linotype" w:hAnsi="Palatino Linotype" w:cs="Palatino Linotype"/>
          <w:b/>
          <w:i/>
          <w:sz w:val="22"/>
        </w:rPr>
        <w:t>“FUNDAMENTACIÓN Y MOTIVACIÓN DE LOS ACTOS ADMINISTRATIVOS</w:t>
      </w:r>
      <w:r w:rsidRPr="00BE0A01">
        <w:rPr>
          <w:rFonts w:ascii="Palatino Linotype" w:eastAsia="Palatino Linotype" w:hAnsi="Palatino Linotype" w:cs="Palatino Linotype"/>
          <w:i/>
          <w:sz w:val="22"/>
        </w:rPr>
        <w:t xml:space="preserve">. De acuerdo con  el artículo 16 constitucional, </w:t>
      </w:r>
      <w:r w:rsidRPr="00BE0A01">
        <w:rPr>
          <w:rFonts w:ascii="Palatino Linotype" w:eastAsia="Palatino Linotype" w:hAnsi="Palatino Linotype" w:cs="Palatino Linotype"/>
          <w:b/>
          <w:i/>
          <w:sz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BE0A01">
        <w:rPr>
          <w:rFonts w:ascii="Palatino Linotype" w:eastAsia="Palatino Linotype" w:hAnsi="Palatino Linotype" w:cs="Palatino Linotype"/>
          <w:i/>
          <w:sz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w:t>
      </w:r>
      <w:r w:rsidRPr="00BE0A01">
        <w:rPr>
          <w:rFonts w:ascii="Palatino Linotype" w:eastAsia="Palatino Linotype" w:hAnsi="Palatino Linotype" w:cs="Palatino Linotype"/>
          <w:i/>
          <w:sz w:val="22"/>
        </w:rPr>
        <w:lastRenderedPageBreak/>
        <w:t xml:space="preserve">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BE0A01">
        <w:rPr>
          <w:rFonts w:ascii="Palatino Linotype" w:eastAsia="Palatino Linotype" w:hAnsi="Palatino Linotype" w:cs="Palatino Linotype"/>
          <w:i/>
          <w:sz w:val="22"/>
        </w:rPr>
        <w:t>subincisos</w:t>
      </w:r>
      <w:proofErr w:type="spellEnd"/>
      <w:r w:rsidRPr="00BE0A01">
        <w:rPr>
          <w:rFonts w:ascii="Palatino Linotype" w:eastAsia="Palatino Linotype" w:hAnsi="Palatino Linotype" w:cs="Palatino Linotype"/>
          <w:i/>
          <w:sz w:val="22"/>
        </w:rPr>
        <w:t>, fracciones y preceptos aplicable, y b).- Los cuerpos legales y preceptos que otorgan competencia o facultades a las autoridades para emitir el acto en agravio del gobernado.”</w:t>
      </w:r>
    </w:p>
    <w:p w14:paraId="48AF1D7D"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En mérito de lo expuesto, esta autoridad estima que las razones o motivos de inconformidad hechos valer por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estiman  parcialmente fundados; por lo que, lo procedente es </w:t>
      </w:r>
      <w:r>
        <w:rPr>
          <w:rFonts w:ascii="Palatino Linotype" w:eastAsia="Palatino Linotype" w:hAnsi="Palatino Linotype" w:cs="Palatino Linotype"/>
          <w:b/>
        </w:rPr>
        <w:t>REVOCAR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 ordenar la entrega de la información conforme al considerando siguiente.</w:t>
      </w:r>
    </w:p>
    <w:p w14:paraId="010B1377" w14:textId="77777777"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0F6618C" w14:textId="77777777" w:rsidR="006E1E11" w:rsidRDefault="00BE0A0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2708FCDF" w14:textId="77777777"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1ED9C128"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2D3D7F7"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410D1F2"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0452FD62"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ECF46DE"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0DEA5EC"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8904D4A" w14:textId="77777777"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2F1E1C8" w14:textId="77777777"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546F7D96"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5431CBB7"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15611EB9"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49E4609F" w14:textId="77777777"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95B7D31" w14:textId="77777777"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5DE9AF1"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7EAD6BB"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73CB334"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EB3A19E" w14:textId="77777777"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C4BE811" w14:textId="77777777"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7129A75"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FBC62E1"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92A2C8D" w14:textId="77777777"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1FBFCC2" w14:textId="77777777"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B1C68A9"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BE7C820"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5F55E52" w14:textId="77777777"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13062CF" w14:textId="77777777"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084B4BB6" w14:textId="77777777"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4BA4348C"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580B7DF"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6E1E11" w14:paraId="2D411CBD" w14:textId="77777777">
        <w:tc>
          <w:tcPr>
            <w:tcW w:w="4253" w:type="dxa"/>
            <w:gridSpan w:val="2"/>
            <w:tcBorders>
              <w:top w:val="nil"/>
              <w:left w:val="nil"/>
              <w:right w:val="nil"/>
            </w:tcBorders>
          </w:tcPr>
          <w:p w14:paraId="661ADE1F" w14:textId="77777777"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2FC82BB2" w14:textId="77777777"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6E1E11" w14:paraId="4227D561" w14:textId="77777777">
        <w:tc>
          <w:tcPr>
            <w:tcW w:w="1134" w:type="dxa"/>
          </w:tcPr>
          <w:p w14:paraId="35F846AB" w14:textId="77777777"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10BBD6F4" w14:textId="77777777"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11321766" w14:textId="77777777"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49B865D7" w14:textId="77777777"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6E1E11" w14:paraId="463107FC" w14:textId="77777777">
        <w:tc>
          <w:tcPr>
            <w:tcW w:w="8828" w:type="dxa"/>
            <w:gridSpan w:val="4"/>
          </w:tcPr>
          <w:p w14:paraId="0D31AFC6" w14:textId="77777777"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Sello oficial o logotipo del sujeto obligado</w:t>
            </w:r>
          </w:p>
        </w:tc>
      </w:tr>
      <w:tr w:rsidR="006E1E11" w14:paraId="686C0457" w14:textId="77777777">
        <w:tc>
          <w:tcPr>
            <w:tcW w:w="1134" w:type="dxa"/>
          </w:tcPr>
          <w:p w14:paraId="620C2C35"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0808C90B"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54157207"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55C457E0"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E1E11" w14:paraId="7C539142" w14:textId="77777777">
        <w:tc>
          <w:tcPr>
            <w:tcW w:w="1134" w:type="dxa"/>
          </w:tcPr>
          <w:p w14:paraId="12EF60E3"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0464B1CB"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26057D9B"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3BB07A60"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6E1E11" w14:paraId="687C5B3D" w14:textId="77777777">
        <w:tc>
          <w:tcPr>
            <w:tcW w:w="1134" w:type="dxa"/>
          </w:tcPr>
          <w:p w14:paraId="2CF88FC2"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56AFC5D7"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3045A412"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7AB40DA5"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6E1E11" w14:paraId="6DDD3AF9" w14:textId="77777777">
        <w:tc>
          <w:tcPr>
            <w:tcW w:w="1134" w:type="dxa"/>
          </w:tcPr>
          <w:p w14:paraId="05C52D5F"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786A52CD"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21F772A4"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2CF5D446"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E1E11" w14:paraId="4F57CB69" w14:textId="77777777">
        <w:tc>
          <w:tcPr>
            <w:tcW w:w="1134" w:type="dxa"/>
          </w:tcPr>
          <w:p w14:paraId="5B2C4F7A"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4DF1E040"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5334C46D"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2A6066E3"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E1E11" w14:paraId="037F1913" w14:textId="77777777">
        <w:tc>
          <w:tcPr>
            <w:tcW w:w="1134" w:type="dxa"/>
          </w:tcPr>
          <w:p w14:paraId="762356C7"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44C5161D"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57EE4042"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6A240921"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E1E11" w14:paraId="4A68B8B8" w14:textId="77777777">
        <w:tc>
          <w:tcPr>
            <w:tcW w:w="1134" w:type="dxa"/>
          </w:tcPr>
          <w:p w14:paraId="3DF19876"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7872C74C"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6654A60B"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5872E284"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6E1E11" w14:paraId="40D70CA5" w14:textId="77777777">
        <w:tc>
          <w:tcPr>
            <w:tcW w:w="1134" w:type="dxa"/>
          </w:tcPr>
          <w:p w14:paraId="2E8351B9"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7EE2E8BD"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6207A640"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5A81CE60"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E1E11" w14:paraId="1D3D8101" w14:textId="77777777">
        <w:tc>
          <w:tcPr>
            <w:tcW w:w="1134" w:type="dxa"/>
          </w:tcPr>
          <w:p w14:paraId="150CF2A1"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2CC4D86A"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16AF30C1"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59EE1236"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6E1E11" w14:paraId="220C4324" w14:textId="77777777">
        <w:tc>
          <w:tcPr>
            <w:tcW w:w="1134" w:type="dxa"/>
          </w:tcPr>
          <w:p w14:paraId="5B8ABF9B"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74E578A5"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22523BE4"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47D06DAC"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6E1E11" w14:paraId="72843796" w14:textId="77777777">
        <w:tc>
          <w:tcPr>
            <w:tcW w:w="1134" w:type="dxa"/>
          </w:tcPr>
          <w:p w14:paraId="4B7885E2" w14:textId="77777777" w:rsidR="006E1E11" w:rsidRDefault="006E1E11">
            <w:pPr>
              <w:jc w:val="both"/>
              <w:rPr>
                <w:rFonts w:ascii="Palatino Linotype" w:eastAsia="Palatino Linotype" w:hAnsi="Palatino Linotype" w:cs="Palatino Linotype"/>
                <w:b/>
                <w:sz w:val="12"/>
                <w:szCs w:val="12"/>
              </w:rPr>
            </w:pPr>
          </w:p>
        </w:tc>
        <w:tc>
          <w:tcPr>
            <w:tcW w:w="3119" w:type="dxa"/>
          </w:tcPr>
          <w:p w14:paraId="69B505B7" w14:textId="77777777" w:rsidR="006E1E11" w:rsidRDefault="006E1E11">
            <w:pPr>
              <w:jc w:val="both"/>
              <w:rPr>
                <w:rFonts w:ascii="Palatino Linotype" w:eastAsia="Palatino Linotype" w:hAnsi="Palatino Linotype" w:cs="Palatino Linotype"/>
                <w:sz w:val="12"/>
                <w:szCs w:val="12"/>
              </w:rPr>
            </w:pPr>
          </w:p>
        </w:tc>
        <w:tc>
          <w:tcPr>
            <w:tcW w:w="1129" w:type="dxa"/>
          </w:tcPr>
          <w:p w14:paraId="60A93CC8"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578DB5CC"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6E1E11" w14:paraId="5B9F22AF" w14:textId="77777777">
        <w:tc>
          <w:tcPr>
            <w:tcW w:w="1134" w:type="dxa"/>
          </w:tcPr>
          <w:p w14:paraId="55556595" w14:textId="77777777" w:rsidR="006E1E11" w:rsidRDefault="006E1E11">
            <w:pPr>
              <w:jc w:val="both"/>
              <w:rPr>
                <w:rFonts w:ascii="Palatino Linotype" w:eastAsia="Palatino Linotype" w:hAnsi="Palatino Linotype" w:cs="Palatino Linotype"/>
                <w:b/>
                <w:sz w:val="12"/>
                <w:szCs w:val="12"/>
              </w:rPr>
            </w:pPr>
          </w:p>
        </w:tc>
        <w:tc>
          <w:tcPr>
            <w:tcW w:w="3119" w:type="dxa"/>
          </w:tcPr>
          <w:p w14:paraId="4826FB24" w14:textId="77777777" w:rsidR="006E1E11" w:rsidRDefault="006E1E11">
            <w:pPr>
              <w:jc w:val="both"/>
              <w:rPr>
                <w:rFonts w:ascii="Palatino Linotype" w:eastAsia="Palatino Linotype" w:hAnsi="Palatino Linotype" w:cs="Palatino Linotype"/>
                <w:sz w:val="12"/>
                <w:szCs w:val="12"/>
              </w:rPr>
            </w:pPr>
          </w:p>
        </w:tc>
        <w:tc>
          <w:tcPr>
            <w:tcW w:w="1129" w:type="dxa"/>
          </w:tcPr>
          <w:p w14:paraId="1A7D7124" w14:textId="77777777"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596A3C7B" w14:textId="77777777"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030271EA"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anteriormente expuesto y con fundamento en lo prescrito en los artículos 5 párrafos vigésimo segundo, vigésimo tercero y vigésimo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0FD8C56C" w14:textId="77777777" w:rsidR="006E1E11" w:rsidRDefault="00BE0A01">
      <w:pPr>
        <w:numPr>
          <w:ilvl w:val="0"/>
          <w:numId w:val="6"/>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0A1A888C" w14:textId="77777777" w:rsidR="006E1E11" w:rsidRDefault="00BE0A01">
      <w:pPr>
        <w:spacing w:before="240" w:after="240" w:line="360" w:lineRule="auto"/>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el recurso de revisión </w:t>
      </w:r>
      <w:r w:rsidR="00FB3343">
        <w:rPr>
          <w:rFonts w:ascii="Palatino Linotype" w:eastAsia="Palatino Linotype" w:hAnsi="Palatino Linotype" w:cs="Palatino Linotype"/>
          <w:b/>
        </w:rPr>
        <w:t>073</w:t>
      </w:r>
      <w:r>
        <w:rPr>
          <w:rFonts w:ascii="Palatino Linotype" w:eastAsia="Palatino Linotype" w:hAnsi="Palatino Linotype" w:cs="Palatino Linotype"/>
          <w:b/>
        </w:rPr>
        <w:t>54/INFOEM/IP/RR/2022</w:t>
      </w:r>
      <w:r>
        <w:rPr>
          <w:rFonts w:ascii="Palatino Linotype" w:eastAsia="Palatino Linotype" w:hAnsi="Palatino Linotype" w:cs="Palatino Linotype"/>
        </w:rPr>
        <w:t xml:space="preserve">; por lo </w:t>
      </w:r>
      <w:r>
        <w:rPr>
          <w:rFonts w:ascii="Palatino Linotype" w:eastAsia="Palatino Linotype" w:hAnsi="Palatino Linotype" w:cs="Palatino Linotype"/>
        </w:rPr>
        <w:lastRenderedPageBreak/>
        <w:t xml:space="preserve">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p>
    <w:p w14:paraId="36F511D7" w14:textId="77777777" w:rsidR="006E1E11" w:rsidRDefault="00BE0A01">
      <w:pPr>
        <w:spacing w:before="240" w:after="240" w:line="360" w:lineRule="auto"/>
        <w:ind w:right="49"/>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previa búsqueda exhaustiva y razonable</w:t>
      </w:r>
      <w:r>
        <w:rPr>
          <w:rFonts w:ascii="Palatino Linotype" w:eastAsia="Palatino Linotype" w:hAnsi="Palatino Linotype" w:cs="Palatino Linotype"/>
        </w:rPr>
        <w:t>, vía SAIMEX</w:t>
      </w:r>
      <w:r>
        <w:rPr>
          <w:rFonts w:ascii="Palatino Linotype" w:eastAsia="Palatino Linotype" w:hAnsi="Palatino Linotype" w:cs="Palatino Linotype"/>
          <w:b/>
        </w:rPr>
        <w:t>, de ser el caso en versión pública</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w:t>
      </w:r>
    </w:p>
    <w:p w14:paraId="72BA3AAC" w14:textId="77777777" w:rsidR="00B27483" w:rsidRDefault="00D61A98">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L</w:t>
      </w:r>
      <w:r w:rsidR="00F52A7D">
        <w:rPr>
          <w:rFonts w:ascii="Palatino Linotype" w:eastAsia="Palatino Linotype" w:hAnsi="Palatino Linotype" w:cs="Palatino Linotype"/>
          <w:b/>
          <w:i/>
          <w:color w:val="000000"/>
          <w:sz w:val="22"/>
          <w:szCs w:val="22"/>
        </w:rPr>
        <w:t xml:space="preserve">os comodatos del ayuntamiento, </w:t>
      </w:r>
      <w:r>
        <w:rPr>
          <w:rFonts w:ascii="Palatino Linotype" w:eastAsia="Palatino Linotype" w:hAnsi="Palatino Linotype" w:cs="Palatino Linotype"/>
          <w:b/>
          <w:i/>
          <w:color w:val="000000"/>
          <w:sz w:val="22"/>
          <w:szCs w:val="22"/>
        </w:rPr>
        <w:t xml:space="preserve">vigentes </w:t>
      </w:r>
      <w:r w:rsidR="00B27483" w:rsidRPr="00B27483">
        <w:rPr>
          <w:rFonts w:ascii="Palatino Linotype" w:eastAsia="Palatino Linotype" w:hAnsi="Palatino Linotype" w:cs="Palatino Linotype"/>
          <w:b/>
          <w:i/>
          <w:color w:val="000000"/>
          <w:sz w:val="22"/>
          <w:szCs w:val="22"/>
        </w:rPr>
        <w:t>al 22 de marzo de dos mil veintidós</w:t>
      </w:r>
      <w:r w:rsidR="00B27483">
        <w:rPr>
          <w:rFonts w:ascii="Palatino Linotype" w:eastAsia="Palatino Linotype" w:hAnsi="Palatino Linotype" w:cs="Palatino Linotype"/>
          <w:b/>
          <w:i/>
          <w:color w:val="000000"/>
          <w:sz w:val="22"/>
          <w:szCs w:val="22"/>
        </w:rPr>
        <w:t xml:space="preserve">. </w:t>
      </w:r>
    </w:p>
    <w:p w14:paraId="6D69C2F4" w14:textId="77777777" w:rsidR="006E1E11" w:rsidRDefault="00B27483">
      <w:pPr>
        <w:spacing w:before="240" w:after="240" w:line="276" w:lineRule="auto"/>
        <w:ind w:left="567" w:right="900"/>
        <w:jc w:val="both"/>
        <w:rPr>
          <w:rFonts w:ascii="Palatino Linotype" w:eastAsia="Palatino Linotype" w:hAnsi="Palatino Linotype" w:cs="Palatino Linotype"/>
          <w:i/>
          <w:sz w:val="22"/>
          <w:szCs w:val="22"/>
        </w:rPr>
      </w:pPr>
      <w:r w:rsidRPr="00B27483">
        <w:rPr>
          <w:rFonts w:ascii="Palatino Linotype" w:eastAsia="Palatino Linotype" w:hAnsi="Palatino Linotype" w:cs="Palatino Linotype"/>
          <w:b/>
          <w:i/>
          <w:color w:val="000000"/>
          <w:sz w:val="22"/>
          <w:szCs w:val="22"/>
        </w:rPr>
        <w:t xml:space="preserve"> </w:t>
      </w:r>
      <w:r w:rsidR="00BE0A01">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00BE0A01">
        <w:rPr>
          <w:rFonts w:ascii="Palatino Linotype" w:eastAsia="Palatino Linotype" w:hAnsi="Palatino Linotype" w:cs="Palatino Linotype"/>
          <w:b/>
          <w:i/>
          <w:sz w:val="22"/>
          <w:szCs w:val="22"/>
        </w:rPr>
        <w:t>la parte</w:t>
      </w:r>
      <w:r w:rsidR="00BE0A01">
        <w:rPr>
          <w:rFonts w:ascii="Palatino Linotype" w:eastAsia="Palatino Linotype" w:hAnsi="Palatino Linotype" w:cs="Palatino Linotype"/>
          <w:i/>
          <w:sz w:val="22"/>
          <w:szCs w:val="22"/>
        </w:rPr>
        <w:t xml:space="preserve"> </w:t>
      </w:r>
      <w:r w:rsidR="00BE0A01">
        <w:rPr>
          <w:rFonts w:ascii="Palatino Linotype" w:eastAsia="Palatino Linotype" w:hAnsi="Palatino Linotype" w:cs="Palatino Linotype"/>
          <w:b/>
          <w:i/>
          <w:sz w:val="22"/>
          <w:szCs w:val="22"/>
        </w:rPr>
        <w:t>Recurrente</w:t>
      </w:r>
      <w:r w:rsidR="00BE0A01">
        <w:rPr>
          <w:rFonts w:ascii="Palatino Linotype" w:eastAsia="Palatino Linotype" w:hAnsi="Palatino Linotype" w:cs="Palatino Linotype"/>
          <w:i/>
          <w:sz w:val="22"/>
          <w:szCs w:val="22"/>
        </w:rPr>
        <w:t>.</w:t>
      </w:r>
    </w:p>
    <w:p w14:paraId="0D690F31" w14:textId="77777777"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bookmarkStart w:id="4" w:name="_heading=h.2et92p0" w:colFirst="0" w:colLast="0"/>
      <w:bookmarkEnd w:id="4"/>
      <w:r>
        <w:rPr>
          <w:rFonts w:ascii="Palatino Linotype" w:eastAsia="Palatino Linotype" w:hAnsi="Palatino Linotype" w:cs="Palatino Linotype"/>
          <w:i/>
          <w:color w:val="000000"/>
          <w:sz w:val="22"/>
          <w:szCs w:val="22"/>
        </w:rPr>
        <w:t>Para el caso en el que no cuente con la información que se ordena entregar</w:t>
      </w:r>
      <w:r w:rsidR="00D61A98">
        <w:rPr>
          <w:rFonts w:ascii="Palatino Linotype" w:eastAsia="Palatino Linotype" w:hAnsi="Palatino Linotype" w:cs="Palatino Linotype"/>
          <w:i/>
          <w:color w:val="000000"/>
          <w:sz w:val="22"/>
          <w:szCs w:val="22"/>
        </w:rPr>
        <w:t>, por no actualizarse el supuesto</w:t>
      </w:r>
      <w:r>
        <w:rPr>
          <w:rFonts w:ascii="Palatino Linotype" w:eastAsia="Palatino Linotype" w:hAnsi="Palatino Linotype" w:cs="Palatino Linotype"/>
          <w:i/>
          <w:color w:val="000000"/>
          <w:sz w:val="22"/>
          <w:szCs w:val="22"/>
        </w:rPr>
        <w:t xml:space="preserve">, deberá hacerlo del conocimiento de </w:t>
      </w:r>
      <w:r>
        <w:rPr>
          <w:rFonts w:ascii="Palatino Linotype" w:eastAsia="Palatino Linotype" w:hAnsi="Palatino Linotype" w:cs="Palatino Linotype"/>
          <w:b/>
          <w:i/>
          <w:color w:val="000000"/>
          <w:sz w:val="22"/>
          <w:szCs w:val="22"/>
        </w:rPr>
        <w:t>la parte Recurrente</w:t>
      </w:r>
      <w:r>
        <w:rPr>
          <w:rFonts w:ascii="Palatino Linotype" w:eastAsia="Palatino Linotype" w:hAnsi="Palatino Linotype" w:cs="Palatino Linotype"/>
          <w:i/>
          <w:color w:val="000000"/>
          <w:sz w:val="22"/>
          <w:szCs w:val="22"/>
        </w:rPr>
        <w:t xml:space="preserve"> de manera fundada y motivada, en términos del segundo párrafo del artículo 19 de la Ley de Transparencia y Acceso a la Información Pública del Estado de México y Municipios. </w:t>
      </w:r>
    </w:p>
    <w:p w14:paraId="12788AB8"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56E65FF"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674BC778" w14:textId="77777777"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61302CA5" w14:textId="77777777" w:rsidR="006E1E11" w:rsidRDefault="005C56E2">
      <w:pPr>
        <w:spacing w:before="240" w:after="240" w:line="360" w:lineRule="auto"/>
        <w:jc w:val="both"/>
        <w:rPr>
          <w:rFonts w:ascii="Palatino Linotype" w:eastAsia="Palatino Linotype" w:hAnsi="Palatino Linotype" w:cs="Palatino Linotype"/>
          <w:sz w:val="20"/>
          <w:szCs w:val="20"/>
        </w:rPr>
        <w:sectPr w:rsidR="006E1E11">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7AE62B99" wp14:editId="6B237CF9">
                <wp:simplePos x="0" y="0"/>
                <wp:positionH relativeFrom="column">
                  <wp:posOffset>72389</wp:posOffset>
                </wp:positionH>
                <wp:positionV relativeFrom="paragraph">
                  <wp:posOffset>2687955</wp:posOffset>
                </wp:positionV>
                <wp:extent cx="5324475" cy="30670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324475" cy="3067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0C163"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211.65pt" to="424.95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" strokecolor="black [3040]"/>
            </w:pict>
          </mc:Fallback>
        </mc:AlternateContent>
      </w:r>
      <w:r w:rsidR="00BE0A0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D61A98">
        <w:rPr>
          <w:rFonts w:ascii="Palatino Linotype" w:eastAsia="Palatino Linotype" w:hAnsi="Palatino Linotype" w:cs="Palatino Linotype"/>
        </w:rPr>
        <w:t>TERCERA</w:t>
      </w:r>
      <w:r w:rsidR="00BE0A01">
        <w:rPr>
          <w:rFonts w:ascii="Palatino Linotype" w:eastAsia="Palatino Linotype" w:hAnsi="Palatino Linotype" w:cs="Palatino Linotype"/>
        </w:rPr>
        <w:t xml:space="preserve"> SESIÓN ORDINARIA CELEBRADA EL </w:t>
      </w:r>
      <w:r w:rsidR="00D61A98">
        <w:rPr>
          <w:rFonts w:ascii="Palatino Linotype" w:eastAsia="Palatino Linotype" w:hAnsi="Palatino Linotype" w:cs="Palatino Linotype"/>
        </w:rPr>
        <w:t>CATORCE</w:t>
      </w:r>
      <w:r w:rsidR="00BE0A01">
        <w:rPr>
          <w:rFonts w:ascii="Palatino Linotype" w:eastAsia="Palatino Linotype" w:hAnsi="Palatino Linotype" w:cs="Palatino Linotype"/>
        </w:rPr>
        <w:t xml:space="preserve"> DE SEPTIEMBRE DE DOS MIL VEINTIDÓS, ANTE EL SE</w:t>
      </w:r>
      <w:bookmarkStart w:id="5" w:name="_GoBack"/>
      <w:bookmarkEnd w:id="5"/>
      <w:r w:rsidR="00BE0A01">
        <w:rPr>
          <w:rFonts w:ascii="Palatino Linotype" w:eastAsia="Palatino Linotype" w:hAnsi="Palatino Linotype" w:cs="Palatino Linotype"/>
        </w:rPr>
        <w:t>CRETARIO TÉCNICO DEL PLENO, ALEXIS TAPIA RAMÍREZ.</w:t>
      </w:r>
    </w:p>
    <w:p w14:paraId="102D9EEB" w14:textId="77777777" w:rsidR="006E1E11" w:rsidRDefault="006E1E11">
      <w:pPr>
        <w:spacing w:before="240" w:after="240" w:line="360" w:lineRule="auto"/>
        <w:jc w:val="both"/>
        <w:rPr>
          <w:rFonts w:ascii="Palatino Linotype" w:eastAsia="Palatino Linotype" w:hAnsi="Palatino Linotype" w:cs="Palatino Linotype"/>
          <w:sz w:val="20"/>
          <w:szCs w:val="20"/>
        </w:rPr>
      </w:pPr>
    </w:p>
    <w:p w14:paraId="41366334" w14:textId="77777777" w:rsidR="006E1E11" w:rsidRDefault="006E1E11">
      <w:pPr>
        <w:spacing w:before="240" w:after="240" w:line="360" w:lineRule="auto"/>
        <w:jc w:val="both"/>
        <w:rPr>
          <w:rFonts w:ascii="Palatino Linotype" w:eastAsia="Palatino Linotype" w:hAnsi="Palatino Linotype" w:cs="Palatino Linotype"/>
          <w:sz w:val="20"/>
          <w:szCs w:val="20"/>
        </w:rPr>
      </w:pPr>
    </w:p>
    <w:p w14:paraId="5E88A6D1" w14:textId="77777777" w:rsidR="006E1E11" w:rsidRDefault="006E1E11">
      <w:pPr>
        <w:spacing w:before="240" w:after="240" w:line="360" w:lineRule="auto"/>
        <w:jc w:val="both"/>
        <w:rPr>
          <w:rFonts w:ascii="Palatino Linotype" w:eastAsia="Palatino Linotype" w:hAnsi="Palatino Linotype" w:cs="Palatino Linotype"/>
          <w:sz w:val="20"/>
          <w:szCs w:val="20"/>
        </w:rPr>
      </w:pPr>
    </w:p>
    <w:p w14:paraId="3B749377" w14:textId="77777777" w:rsidR="006E1E11" w:rsidRDefault="006E1E11">
      <w:pPr>
        <w:spacing w:before="240" w:after="240" w:line="360" w:lineRule="auto"/>
        <w:jc w:val="both"/>
        <w:rPr>
          <w:rFonts w:ascii="Palatino Linotype" w:eastAsia="Palatino Linotype" w:hAnsi="Palatino Linotype" w:cs="Palatino Linotype"/>
          <w:sz w:val="20"/>
          <w:szCs w:val="20"/>
        </w:rPr>
      </w:pPr>
    </w:p>
    <w:p w14:paraId="024A1985" w14:textId="77777777" w:rsidR="006E1E11" w:rsidRDefault="006E1E11">
      <w:pPr>
        <w:spacing w:before="240" w:after="240" w:line="360" w:lineRule="auto"/>
        <w:jc w:val="both"/>
        <w:rPr>
          <w:rFonts w:ascii="Palatino Linotype" w:eastAsia="Palatino Linotype" w:hAnsi="Palatino Linotype" w:cs="Palatino Linotype"/>
          <w:sz w:val="20"/>
          <w:szCs w:val="20"/>
        </w:rPr>
      </w:pPr>
    </w:p>
    <w:p w14:paraId="6FC1BC42" w14:textId="77777777" w:rsidR="006E1E11" w:rsidRDefault="006E1E11">
      <w:pPr>
        <w:spacing w:before="240" w:after="240" w:line="360" w:lineRule="auto"/>
        <w:jc w:val="both"/>
        <w:rPr>
          <w:rFonts w:ascii="Palatino Linotype" w:eastAsia="Palatino Linotype" w:hAnsi="Palatino Linotype" w:cs="Palatino Linotype"/>
          <w:sz w:val="20"/>
          <w:szCs w:val="20"/>
        </w:rPr>
      </w:pPr>
    </w:p>
    <w:p w14:paraId="766031FA" w14:textId="77777777" w:rsidR="006E1E11" w:rsidRDefault="006E1E11">
      <w:pPr>
        <w:spacing w:before="240" w:after="240" w:line="360" w:lineRule="auto"/>
        <w:jc w:val="both"/>
        <w:rPr>
          <w:rFonts w:ascii="Palatino Linotype" w:eastAsia="Palatino Linotype" w:hAnsi="Palatino Linotype" w:cs="Palatino Linotype"/>
          <w:sz w:val="20"/>
          <w:szCs w:val="20"/>
        </w:rPr>
      </w:pPr>
    </w:p>
    <w:p w14:paraId="636A3A48" w14:textId="77777777" w:rsidR="006E1E11" w:rsidRDefault="006E1E11">
      <w:pPr>
        <w:spacing w:before="240" w:after="240" w:line="360" w:lineRule="auto"/>
        <w:jc w:val="both"/>
        <w:rPr>
          <w:rFonts w:ascii="Palatino Linotype" w:eastAsia="Palatino Linotype" w:hAnsi="Palatino Linotype" w:cs="Palatino Linotype"/>
          <w:sz w:val="20"/>
          <w:szCs w:val="20"/>
        </w:rPr>
      </w:pPr>
    </w:p>
    <w:sectPr w:rsidR="006E1E11">
      <w:head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37D45" w14:textId="77777777" w:rsidR="00307FAA" w:rsidRDefault="00307FAA">
      <w:r>
        <w:separator/>
      </w:r>
    </w:p>
  </w:endnote>
  <w:endnote w:type="continuationSeparator" w:id="0">
    <w:p w14:paraId="65A7A43A" w14:textId="77777777" w:rsidR="00307FAA" w:rsidRDefault="00307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D8D4C" w14:textId="77777777" w:rsidR="006E1E11" w:rsidRDefault="00BE0A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5D58">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5D58">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7B726D61" w14:textId="77777777" w:rsidR="006E1E11" w:rsidRDefault="006E1E1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41683" w14:textId="77777777" w:rsidR="006E1E11" w:rsidRDefault="00BE0A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5D5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5D58">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09A09D66" w14:textId="77777777" w:rsidR="006E1E11" w:rsidRDefault="006E1E1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22508" w14:textId="77777777" w:rsidR="00307FAA" w:rsidRDefault="00307FAA">
      <w:r>
        <w:separator/>
      </w:r>
    </w:p>
  </w:footnote>
  <w:footnote w:type="continuationSeparator" w:id="0">
    <w:p w14:paraId="62DE1E57" w14:textId="77777777" w:rsidR="00307FAA" w:rsidRDefault="00307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B66CD" w14:textId="77777777" w:rsidR="006E1E11" w:rsidRDefault="00BE0A0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3357170" wp14:editId="444DBF69">
          <wp:simplePos x="0" y="0"/>
          <wp:positionH relativeFrom="column">
            <wp:posOffset>-1080132</wp:posOffset>
          </wp:positionH>
          <wp:positionV relativeFrom="paragraph">
            <wp:posOffset>-396399</wp:posOffset>
          </wp:positionV>
          <wp:extent cx="7809865" cy="10165715"/>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6E1E11" w14:paraId="7C705959" w14:textId="77777777">
      <w:tc>
        <w:tcPr>
          <w:tcW w:w="2489" w:type="dxa"/>
          <w:shd w:val="clear" w:color="auto" w:fill="auto"/>
        </w:tcPr>
        <w:p w14:paraId="64A3A0B0" w14:textId="77777777"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7458598D" w14:textId="77777777" w:rsidR="006E1E11" w:rsidRDefault="002113B6">
          <w:pPr>
            <w:ind w:right="175"/>
            <w:jc w:val="both"/>
            <w:rPr>
              <w:rFonts w:ascii="Palatino Linotype" w:eastAsia="Palatino Linotype" w:hAnsi="Palatino Linotype" w:cs="Palatino Linotype"/>
              <w:b/>
            </w:rPr>
          </w:pPr>
          <w:r>
            <w:rPr>
              <w:rFonts w:ascii="Palatino Linotype" w:eastAsia="Palatino Linotype" w:hAnsi="Palatino Linotype" w:cs="Palatino Linotype"/>
              <w:b/>
            </w:rPr>
            <w:t>073</w:t>
          </w:r>
          <w:r w:rsidR="00BE0A01">
            <w:rPr>
              <w:rFonts w:ascii="Palatino Linotype" w:eastAsia="Palatino Linotype" w:hAnsi="Palatino Linotype" w:cs="Palatino Linotype"/>
              <w:b/>
            </w:rPr>
            <w:t>54/INFOEM/IP/RR/2022</w:t>
          </w:r>
        </w:p>
      </w:tc>
    </w:tr>
    <w:tr w:rsidR="006E1E11" w14:paraId="475B6EE4" w14:textId="77777777">
      <w:trPr>
        <w:trHeight w:val="228"/>
      </w:trPr>
      <w:tc>
        <w:tcPr>
          <w:tcW w:w="2489" w:type="dxa"/>
          <w:shd w:val="clear" w:color="auto" w:fill="auto"/>
          <w:vAlign w:val="center"/>
        </w:tcPr>
        <w:p w14:paraId="7D20B785" w14:textId="77777777"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6B2D63D2" w14:textId="77777777" w:rsidR="006E1E11" w:rsidRDefault="00BE0A01">
          <w:pPr>
            <w:ind w:left="-45" w:right="-257"/>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r w:rsidR="002113B6">
            <w:rPr>
              <w:rFonts w:ascii="Palatino Linotype" w:eastAsia="Palatino Linotype" w:hAnsi="Palatino Linotype" w:cs="Palatino Linotype"/>
              <w:b/>
            </w:rPr>
            <w:t>Tenancingo</w:t>
          </w:r>
        </w:p>
      </w:tc>
    </w:tr>
    <w:tr w:rsidR="006E1E11" w14:paraId="4ACEC154" w14:textId="77777777">
      <w:tc>
        <w:tcPr>
          <w:tcW w:w="2489" w:type="dxa"/>
          <w:shd w:val="clear" w:color="auto" w:fill="auto"/>
          <w:vAlign w:val="center"/>
        </w:tcPr>
        <w:p w14:paraId="19BA078F" w14:textId="77777777" w:rsidR="006E1E11" w:rsidRDefault="00BE0A0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10C0AD8D" w14:textId="77777777" w:rsidR="006E1E11" w:rsidRDefault="00BE0A0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8DB9BD0" w14:textId="77777777" w:rsidR="006E1E11" w:rsidRDefault="00BE0A0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B6779" w14:textId="77777777" w:rsidR="006E1E11" w:rsidRDefault="006E1E1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5953" w:type="dxa"/>
      <w:tblInd w:w="3261" w:type="dxa"/>
      <w:tblLayout w:type="fixed"/>
      <w:tblLook w:val="0400" w:firstRow="0" w:lastRow="0" w:firstColumn="0" w:lastColumn="0" w:noHBand="0" w:noVBand="1"/>
    </w:tblPr>
    <w:tblGrid>
      <w:gridCol w:w="2551"/>
      <w:gridCol w:w="3402"/>
    </w:tblGrid>
    <w:tr w:rsidR="006E1E11" w14:paraId="23B72BE3" w14:textId="77777777">
      <w:tc>
        <w:tcPr>
          <w:tcW w:w="2551" w:type="dxa"/>
          <w:shd w:val="clear" w:color="auto" w:fill="auto"/>
          <w:vAlign w:val="center"/>
        </w:tcPr>
        <w:p w14:paraId="21AD5B42" w14:textId="77777777"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1292C5B3" w14:textId="77777777" w:rsidR="006E1E11" w:rsidRDefault="002113B6">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073</w:t>
          </w:r>
          <w:r w:rsidR="00BE0A01">
            <w:rPr>
              <w:rFonts w:ascii="Palatino Linotype" w:eastAsia="Palatino Linotype" w:hAnsi="Palatino Linotype" w:cs="Palatino Linotype"/>
              <w:b/>
            </w:rPr>
            <w:t>54/INFOEM/IP/RR/2022</w:t>
          </w:r>
        </w:p>
      </w:tc>
    </w:tr>
    <w:tr w:rsidR="006E1E11" w14:paraId="7F85B045" w14:textId="77777777">
      <w:trPr>
        <w:trHeight w:val="130"/>
      </w:trPr>
      <w:tc>
        <w:tcPr>
          <w:tcW w:w="2551" w:type="dxa"/>
          <w:shd w:val="clear" w:color="auto" w:fill="auto"/>
          <w:vAlign w:val="center"/>
        </w:tcPr>
        <w:p w14:paraId="451B5E5C" w14:textId="77777777"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45FFC06B" w14:textId="77777777" w:rsidR="006E1E11" w:rsidRDefault="006E1E11">
          <w:pPr>
            <w:ind w:left="-45"/>
            <w:jc w:val="both"/>
            <w:rPr>
              <w:rFonts w:ascii="Palatino Linotype" w:eastAsia="Palatino Linotype" w:hAnsi="Palatino Linotype" w:cs="Palatino Linotype"/>
              <w:b/>
            </w:rPr>
          </w:pPr>
        </w:p>
      </w:tc>
    </w:tr>
    <w:tr w:rsidR="006E1E11" w14:paraId="33E12DBA" w14:textId="77777777">
      <w:trPr>
        <w:trHeight w:val="228"/>
      </w:trPr>
      <w:tc>
        <w:tcPr>
          <w:tcW w:w="2551" w:type="dxa"/>
          <w:shd w:val="clear" w:color="auto" w:fill="auto"/>
          <w:vAlign w:val="center"/>
        </w:tcPr>
        <w:p w14:paraId="46C83A62" w14:textId="77777777"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0A748A10" w14:textId="77777777" w:rsidR="006E1E11" w:rsidRDefault="002113B6">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Tenancingo</w:t>
          </w:r>
        </w:p>
      </w:tc>
    </w:tr>
    <w:tr w:rsidR="006E1E11" w14:paraId="50EE7F58" w14:textId="77777777">
      <w:tc>
        <w:tcPr>
          <w:tcW w:w="2551" w:type="dxa"/>
          <w:shd w:val="clear" w:color="auto" w:fill="auto"/>
          <w:vAlign w:val="center"/>
        </w:tcPr>
        <w:p w14:paraId="60A40EF6" w14:textId="77777777"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10DEDDC5" w14:textId="77777777" w:rsidR="006E1E11" w:rsidRDefault="00BE0A0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8983652" w14:textId="77777777" w:rsidR="006E1E11" w:rsidRDefault="00BE0A0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75B5044B" wp14:editId="3C72B9B1">
          <wp:simplePos x="0" y="0"/>
          <wp:positionH relativeFrom="column">
            <wp:posOffset>-1175382</wp:posOffset>
          </wp:positionH>
          <wp:positionV relativeFrom="paragraph">
            <wp:posOffset>-1325242</wp:posOffset>
          </wp:positionV>
          <wp:extent cx="7809865" cy="101657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585A1" w14:textId="77777777" w:rsidR="006E1E11" w:rsidRDefault="006E1E1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4034561E" w14:textId="77777777" w:rsidR="006E1E11" w:rsidRDefault="006E1E1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54C98"/>
    <w:multiLevelType w:val="multilevel"/>
    <w:tmpl w:val="4690689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9C17AA7"/>
    <w:multiLevelType w:val="multilevel"/>
    <w:tmpl w:val="760E6B8C"/>
    <w:lvl w:ilvl="0">
      <w:start w:val="3"/>
      <w:numFmt w:val="lowerLetter"/>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3E4938E2"/>
    <w:multiLevelType w:val="multilevel"/>
    <w:tmpl w:val="102EFC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525144F9"/>
    <w:multiLevelType w:val="multilevel"/>
    <w:tmpl w:val="7CD68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CD8087A"/>
    <w:multiLevelType w:val="multilevel"/>
    <w:tmpl w:val="DD7A1B0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BEB655A"/>
    <w:multiLevelType w:val="multilevel"/>
    <w:tmpl w:val="EE84C1CC"/>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725F7E99"/>
    <w:multiLevelType w:val="hybridMultilevel"/>
    <w:tmpl w:val="F11E9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6FF67A3"/>
    <w:multiLevelType w:val="hybridMultilevel"/>
    <w:tmpl w:val="2DF68E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E11"/>
    <w:rsid w:val="00076345"/>
    <w:rsid w:val="001D064A"/>
    <w:rsid w:val="002113B6"/>
    <w:rsid w:val="00307FAA"/>
    <w:rsid w:val="0049778E"/>
    <w:rsid w:val="004F3C46"/>
    <w:rsid w:val="00533E2A"/>
    <w:rsid w:val="005C56E2"/>
    <w:rsid w:val="00695D58"/>
    <w:rsid w:val="006E1E11"/>
    <w:rsid w:val="006F2FCB"/>
    <w:rsid w:val="007106E5"/>
    <w:rsid w:val="00983189"/>
    <w:rsid w:val="00B27483"/>
    <w:rsid w:val="00BB7532"/>
    <w:rsid w:val="00BE0A01"/>
    <w:rsid w:val="00D61A98"/>
    <w:rsid w:val="00E52855"/>
    <w:rsid w:val="00F52A7D"/>
    <w:rsid w:val="00FB33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52702"/>
  <w15:docId w15:val="{6EA5EE87-3E48-496E-8FC6-BA92BEB5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A7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RqbTHJzliEGhaD99yyMTP6R33w==">AMUW2mV0NtSGjCAvo2T1w8GnX+vjWT7zH/4IDsSXDPp7pEOTAH0H3GxWQtaUDPKBz8bjpGLtQk0AlwDnzTtKEgzNl1D68tmP002OF+cnSSlBC8xs35dMZx+SuhpAkFM8xHkn2Dg/JMkrYOdQh9L/AAgEL5EhFE+1IP7FS3e7IGgM59VOV363s7GneATEoMlXEj/BEkFjmcqr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7788</Words>
  <Characters>42839</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2022-09-19T18:00:00Z</cp:lastPrinted>
  <dcterms:created xsi:type="dcterms:W3CDTF">2022-09-30T17:33:00Z</dcterms:created>
  <dcterms:modified xsi:type="dcterms:W3CDTF">2022-09-30T17:33:00Z</dcterms:modified>
</cp:coreProperties>
</file>