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AD682" w14:textId="77777777" w:rsidR="007F7B11" w:rsidRPr="000A2051" w:rsidRDefault="007F7B11" w:rsidP="00FF1C38">
      <w:pPr>
        <w:spacing w:line="360" w:lineRule="auto"/>
        <w:jc w:val="center"/>
        <w:rPr>
          <w:rFonts w:ascii="Palatino Linotype" w:hAnsi="Palatino Linotype"/>
          <w:b/>
          <w:lang w:val="es-ES_tradnl"/>
        </w:rPr>
      </w:pPr>
    </w:p>
    <w:p w14:paraId="27378BAC" w14:textId="23C245E8" w:rsidR="007F7B11" w:rsidRPr="003C5388" w:rsidRDefault="007F7B11" w:rsidP="00FF1C38">
      <w:pPr>
        <w:tabs>
          <w:tab w:val="left" w:pos="3465"/>
        </w:tabs>
        <w:spacing w:before="240" w:after="360" w:line="360" w:lineRule="auto"/>
        <w:jc w:val="both"/>
        <w:rPr>
          <w:rFonts w:ascii="Palatino Linotype" w:eastAsiaTheme="minorEastAsia" w:hAnsi="Palatino Linotype" w:cstheme="minorBidi"/>
          <w:lang w:val="es-ES_tradnl"/>
        </w:rPr>
      </w:pPr>
      <w:r w:rsidRPr="003C5388">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E56CFE" w:rsidRPr="003C5388">
        <w:rPr>
          <w:rFonts w:ascii="Palatino Linotype" w:eastAsiaTheme="minorEastAsia" w:hAnsi="Palatino Linotype" w:cstheme="minorBidi"/>
          <w:lang w:val="es-ES_tradnl"/>
        </w:rPr>
        <w:t>n Metepe</w:t>
      </w:r>
      <w:r w:rsidR="00160B22" w:rsidRPr="003C5388">
        <w:rPr>
          <w:rFonts w:ascii="Palatino Linotype" w:eastAsiaTheme="minorEastAsia" w:hAnsi="Palatino Linotype" w:cstheme="minorBidi"/>
          <w:lang w:val="es-ES_tradnl"/>
        </w:rPr>
        <w:t>c, Estado de México; de veinte (20</w:t>
      </w:r>
      <w:r w:rsidRPr="003C5388">
        <w:rPr>
          <w:rFonts w:ascii="Palatino Linotype" w:eastAsiaTheme="minorEastAsia" w:hAnsi="Palatino Linotype" w:cstheme="minorBidi"/>
          <w:lang w:val="es-ES_tradnl"/>
        </w:rPr>
        <w:t>)</w:t>
      </w:r>
      <w:r w:rsidR="00E176F9" w:rsidRPr="003C5388">
        <w:rPr>
          <w:rFonts w:ascii="Palatino Linotype" w:eastAsiaTheme="minorEastAsia" w:hAnsi="Palatino Linotype" w:cstheme="minorBidi"/>
          <w:lang w:val="es-ES_tradnl"/>
        </w:rPr>
        <w:t xml:space="preserve"> </w:t>
      </w:r>
      <w:r w:rsidRPr="003C5388">
        <w:rPr>
          <w:rFonts w:ascii="Palatino Linotype" w:eastAsiaTheme="minorEastAsia" w:hAnsi="Palatino Linotype" w:cstheme="minorBidi"/>
          <w:lang w:val="es-ES_tradnl"/>
        </w:rPr>
        <w:t>de</w:t>
      </w:r>
      <w:r w:rsidR="00160B22" w:rsidRPr="003C5388">
        <w:rPr>
          <w:rFonts w:ascii="Palatino Linotype" w:eastAsiaTheme="minorEastAsia" w:hAnsi="Palatino Linotype" w:cstheme="minorBidi"/>
          <w:lang w:val="es-ES_tradnl"/>
        </w:rPr>
        <w:t xml:space="preserve"> abril de dos </w:t>
      </w:r>
      <w:r w:rsidRPr="003C5388">
        <w:rPr>
          <w:rFonts w:ascii="Palatino Linotype" w:eastAsiaTheme="minorEastAsia" w:hAnsi="Palatino Linotype" w:cstheme="minorBidi"/>
          <w:lang w:val="es-ES_tradnl"/>
        </w:rPr>
        <w:t>mil veintidós.</w:t>
      </w:r>
    </w:p>
    <w:p w14:paraId="18F60015" w14:textId="59CC7A4C" w:rsidR="007F7B11" w:rsidRPr="003C5388" w:rsidRDefault="000167BD" w:rsidP="00FF1C38">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3C5388">
        <w:rPr>
          <w:rFonts w:ascii="Palatino Linotype" w:eastAsiaTheme="minorEastAsia" w:hAnsi="Palatino Linotype" w:cstheme="minorBidi"/>
          <w:b/>
          <w:color w:val="000000" w:themeColor="text1"/>
          <w:lang w:val="es-ES_tradnl"/>
        </w:rPr>
        <w:t>VISTO</w:t>
      </w:r>
      <w:r w:rsidRPr="003C5388">
        <w:rPr>
          <w:rFonts w:ascii="Palatino Linotype" w:eastAsiaTheme="minorEastAsia" w:hAnsi="Palatino Linotype" w:cstheme="minorBidi"/>
          <w:color w:val="000000" w:themeColor="text1"/>
          <w:lang w:val="es-ES_tradnl"/>
        </w:rPr>
        <w:t xml:space="preserve"> el expediente electrónico formado con motivo del recurso de revisión</w:t>
      </w:r>
      <w:r w:rsidR="00160B22" w:rsidRPr="003C5388">
        <w:rPr>
          <w:rFonts w:ascii="Palatino Linotype" w:eastAsiaTheme="minorEastAsia" w:hAnsi="Palatino Linotype" w:cstheme="minorBidi"/>
          <w:color w:val="000000" w:themeColor="text1"/>
          <w:lang w:val="es-ES_tradnl"/>
        </w:rPr>
        <w:t xml:space="preserve"> </w:t>
      </w:r>
      <w:r w:rsidR="00160B22" w:rsidRPr="003C5388">
        <w:rPr>
          <w:rFonts w:ascii="Palatino Linotype" w:eastAsiaTheme="minorEastAsia" w:hAnsi="Palatino Linotype" w:cstheme="minorBidi"/>
          <w:b/>
          <w:bCs/>
          <w:color w:val="000000" w:themeColor="text1"/>
        </w:rPr>
        <w:t>01103/INFOEM/IP/RR/2022</w:t>
      </w:r>
      <w:r w:rsidRPr="003C5388">
        <w:rPr>
          <w:rFonts w:ascii="Palatino Linotype" w:eastAsiaTheme="minorEastAsia" w:hAnsi="Palatino Linotype" w:cstheme="minorBidi"/>
          <w:b/>
          <w:bCs/>
          <w:color w:val="000000" w:themeColor="text1"/>
          <w:lang w:val="es-ES_tradnl"/>
        </w:rPr>
        <w:t xml:space="preserve">, </w:t>
      </w:r>
      <w:r w:rsidRPr="003C5388">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3C5388">
        <w:rPr>
          <w:rFonts w:ascii="Palatino Linotype" w:eastAsiaTheme="minorEastAsia" w:hAnsi="Palatino Linotype" w:cstheme="minorBidi"/>
          <w:b/>
          <w:color w:val="000000" w:themeColor="text1"/>
          <w:lang w:val="es-ES_tradnl"/>
        </w:rPr>
        <w:t xml:space="preserve">(SAIMEX), </w:t>
      </w:r>
      <w:r w:rsidRPr="003C5388">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3C5388">
        <w:rPr>
          <w:rFonts w:ascii="Palatino Linotype" w:eastAsiaTheme="minorEastAsia" w:hAnsi="Palatino Linotype" w:cstheme="minorBidi"/>
          <w:b/>
          <w:color w:val="000000" w:themeColor="text1"/>
          <w:lang w:val="es-ES_tradnl"/>
        </w:rPr>
        <w:t>RECURRENTE</w:t>
      </w:r>
      <w:r w:rsidR="00160B22" w:rsidRPr="003C5388">
        <w:rPr>
          <w:rFonts w:ascii="Palatino Linotype" w:eastAsiaTheme="minorEastAsia" w:hAnsi="Palatino Linotype" w:cstheme="minorBidi"/>
          <w:color w:val="000000" w:themeColor="text1"/>
          <w:lang w:val="es-ES_tradnl"/>
        </w:rPr>
        <w:t>, en contra de la falta de respuesta</w:t>
      </w:r>
      <w:r w:rsidRPr="003C5388">
        <w:rPr>
          <w:rFonts w:ascii="Palatino Linotype" w:eastAsiaTheme="minorEastAsia" w:hAnsi="Palatino Linotype" w:cstheme="minorBidi"/>
          <w:color w:val="000000" w:themeColor="text1"/>
          <w:lang w:val="es-ES_tradnl"/>
        </w:rPr>
        <w:t xml:space="preserve"> de</w:t>
      </w:r>
      <w:r w:rsidR="00160B22" w:rsidRPr="003C5388">
        <w:rPr>
          <w:rFonts w:ascii="Palatino Linotype" w:eastAsiaTheme="minorEastAsia" w:hAnsi="Palatino Linotype" w:cstheme="minorBidi"/>
          <w:color w:val="000000" w:themeColor="text1"/>
          <w:lang w:val="es-ES_tradnl"/>
        </w:rPr>
        <w:t>l</w:t>
      </w:r>
      <w:r w:rsidRPr="003C5388">
        <w:rPr>
          <w:rFonts w:ascii="Palatino Linotype" w:hAnsi="Palatino Linotype"/>
        </w:rPr>
        <w:t xml:space="preserve"> </w:t>
      </w:r>
      <w:r w:rsidR="00E56CFE" w:rsidRPr="003C5388">
        <w:rPr>
          <w:rFonts w:ascii="Palatino Linotype" w:hAnsi="Palatino Linotype"/>
          <w:b/>
          <w:bCs/>
        </w:rPr>
        <w:t xml:space="preserve">Ayuntamiento de Teoloyucan </w:t>
      </w:r>
      <w:r w:rsidRPr="003C5388">
        <w:rPr>
          <w:rFonts w:ascii="Palatino Linotype" w:eastAsiaTheme="minorEastAsia" w:hAnsi="Palatino Linotype" w:cstheme="minorBidi"/>
          <w:color w:val="000000" w:themeColor="text1"/>
          <w:lang w:val="es-ES_tradnl"/>
        </w:rPr>
        <w:t>en lo sucesivo el</w:t>
      </w:r>
      <w:r w:rsidRPr="003C5388">
        <w:rPr>
          <w:rFonts w:ascii="Palatino Linotype" w:eastAsiaTheme="minorEastAsia" w:hAnsi="Palatino Linotype" w:cstheme="minorBidi"/>
          <w:b/>
          <w:color w:val="000000" w:themeColor="text1"/>
          <w:lang w:val="es-ES_tradnl"/>
        </w:rPr>
        <w:t xml:space="preserve"> SUJETO OBLIGADO, </w:t>
      </w:r>
      <w:r w:rsidRPr="003C5388">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2E6CFD9" w14:textId="6A7D8E82" w:rsidR="000C53E4" w:rsidRPr="003C5388" w:rsidRDefault="007F7B11" w:rsidP="00FF1C38">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00171624"/>
      <w:r w:rsidRPr="003C5388">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3C5388" w:rsidRDefault="00D13A6B" w:rsidP="00FF1C38">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5EB9467F" w:rsidR="007F7B11" w:rsidRPr="003C5388" w:rsidRDefault="007F7B11" w:rsidP="00FF1C38">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3C5388">
        <w:rPr>
          <w:rFonts w:ascii="Palatino Linotype" w:eastAsia="Calibri" w:hAnsi="Palatino Linotype" w:cs="Arial"/>
        </w:rPr>
        <w:t xml:space="preserve">El </w:t>
      </w:r>
      <w:r w:rsidR="00160B22" w:rsidRPr="003C5388">
        <w:rPr>
          <w:rFonts w:ascii="Palatino Linotype" w:eastAsia="Calibri" w:hAnsi="Palatino Linotype" w:cs="Arial"/>
        </w:rPr>
        <w:t>veintiocho (28</w:t>
      </w:r>
      <w:r w:rsidR="000C53E4" w:rsidRPr="003C5388">
        <w:rPr>
          <w:rFonts w:ascii="Palatino Linotype" w:eastAsia="Calibri" w:hAnsi="Palatino Linotype" w:cs="Arial"/>
        </w:rPr>
        <w:t>) de</w:t>
      </w:r>
      <w:r w:rsidR="00EB0CEE" w:rsidRPr="003C5388">
        <w:rPr>
          <w:rFonts w:ascii="Palatino Linotype" w:eastAsia="Calibri" w:hAnsi="Palatino Linotype" w:cs="Arial"/>
        </w:rPr>
        <w:t xml:space="preserve"> enero</w:t>
      </w:r>
      <w:r w:rsidR="00E176F9" w:rsidRPr="003C5388">
        <w:rPr>
          <w:rFonts w:ascii="Palatino Linotype" w:eastAsia="Calibri" w:hAnsi="Palatino Linotype" w:cs="Arial"/>
        </w:rPr>
        <w:t xml:space="preserve"> </w:t>
      </w:r>
      <w:r w:rsidRPr="003C5388">
        <w:rPr>
          <w:rFonts w:ascii="Palatino Linotype" w:eastAsia="Calibri" w:hAnsi="Palatino Linotype" w:cs="Arial"/>
        </w:rPr>
        <w:t xml:space="preserve">de dos mil </w:t>
      </w:r>
      <w:r w:rsidR="00EB0CEE" w:rsidRPr="003C5388">
        <w:rPr>
          <w:rFonts w:ascii="Palatino Linotype" w:eastAsia="Calibri" w:hAnsi="Palatino Linotype" w:cs="Arial"/>
        </w:rPr>
        <w:t>veintidós</w:t>
      </w:r>
      <w:r w:rsidRPr="003C5388">
        <w:rPr>
          <w:rFonts w:ascii="Palatino Linotype" w:eastAsiaTheme="minorEastAsia" w:hAnsi="Palatino Linotype" w:cstheme="minorBidi"/>
          <w:b/>
          <w:lang w:val="es-ES_tradnl"/>
        </w:rPr>
        <w:t xml:space="preserve">, </w:t>
      </w:r>
      <w:r w:rsidRPr="003C5388">
        <w:rPr>
          <w:rFonts w:ascii="Palatino Linotype" w:eastAsia="Calibri" w:hAnsi="Palatino Linotype" w:cs="Arial"/>
        </w:rPr>
        <w:t xml:space="preserve">se presentó ante el </w:t>
      </w:r>
      <w:r w:rsidRPr="003C5388">
        <w:rPr>
          <w:rFonts w:ascii="Palatino Linotype" w:eastAsia="Calibri" w:hAnsi="Palatino Linotype" w:cs="Arial"/>
          <w:b/>
        </w:rPr>
        <w:t>SUJETO OBLIGADO</w:t>
      </w:r>
      <w:r w:rsidRPr="003C5388">
        <w:rPr>
          <w:rFonts w:ascii="Palatino Linotype" w:eastAsia="Calibri" w:hAnsi="Palatino Linotype" w:cs="Arial"/>
          <w:lang w:val="es-ES_tradnl"/>
        </w:rPr>
        <w:t xml:space="preserve"> vía </w:t>
      </w:r>
      <w:r w:rsidRPr="003C5388">
        <w:rPr>
          <w:rFonts w:ascii="Palatino Linotype" w:eastAsia="Calibri" w:hAnsi="Palatino Linotype" w:cs="Arial"/>
        </w:rPr>
        <w:t xml:space="preserve">Sistema de Acceso a la Información Mexiquense </w:t>
      </w:r>
      <w:r w:rsidRPr="003C5388">
        <w:rPr>
          <w:rFonts w:ascii="Palatino Linotype" w:eastAsia="Calibri" w:hAnsi="Palatino Linotype" w:cs="Arial"/>
          <w:b/>
        </w:rPr>
        <w:t>SAIMEX</w:t>
      </w:r>
      <w:r w:rsidRPr="003C5388">
        <w:rPr>
          <w:rFonts w:ascii="Palatino Linotype" w:eastAsia="Calibri" w:hAnsi="Palatino Linotype" w:cs="Arial"/>
        </w:rPr>
        <w:t xml:space="preserve">, la solicitud de información pública registrada con el número </w:t>
      </w:r>
      <w:r w:rsidR="00E56CFE" w:rsidRPr="003C5388">
        <w:rPr>
          <w:rFonts w:ascii="Palatino Linotype" w:eastAsia="Calibri" w:hAnsi="Palatino Linotype" w:cs="Arial"/>
          <w:b/>
          <w:bCs/>
        </w:rPr>
        <w:t xml:space="preserve"> </w:t>
      </w:r>
      <w:r w:rsidR="00160B22" w:rsidRPr="003C5388">
        <w:rPr>
          <w:rFonts w:ascii="Palatino Linotype" w:eastAsia="Calibri" w:hAnsi="Palatino Linotype" w:cs="Arial"/>
          <w:b/>
          <w:bCs/>
        </w:rPr>
        <w:t xml:space="preserve">00045/TEOLOYU/IP/2022 </w:t>
      </w:r>
      <w:r w:rsidRPr="003C5388">
        <w:rPr>
          <w:rFonts w:ascii="Palatino Linotype" w:eastAsia="Calibri" w:hAnsi="Palatino Linotype" w:cs="Arial"/>
        </w:rPr>
        <w:t>ante la cual solicitó:</w:t>
      </w:r>
    </w:p>
    <w:p w14:paraId="718F0BAA" w14:textId="77777777" w:rsidR="007F7B11" w:rsidRPr="003C5388" w:rsidRDefault="007F7B11" w:rsidP="00FF1C38">
      <w:pPr>
        <w:spacing w:line="360" w:lineRule="auto"/>
        <w:ind w:left="360"/>
        <w:contextualSpacing/>
        <w:jc w:val="both"/>
        <w:rPr>
          <w:rFonts w:ascii="Palatino Linotype" w:eastAsiaTheme="minorEastAsia" w:hAnsi="Palatino Linotype" w:cstheme="minorBidi"/>
          <w:i/>
          <w:color w:val="000000"/>
          <w:lang w:val="es-ES_tradnl"/>
        </w:rPr>
      </w:pPr>
    </w:p>
    <w:p w14:paraId="17BF7598" w14:textId="669AE202" w:rsidR="007F7B11" w:rsidRPr="003C5388" w:rsidRDefault="007F7B11" w:rsidP="00FF1C38">
      <w:pPr>
        <w:spacing w:line="360" w:lineRule="auto"/>
        <w:ind w:left="567" w:right="567"/>
        <w:contextualSpacing/>
        <w:jc w:val="both"/>
        <w:rPr>
          <w:rFonts w:ascii="Palatino Linotype" w:eastAsiaTheme="minorEastAsia" w:hAnsi="Palatino Linotype" w:cstheme="minorBidi"/>
          <w:color w:val="000000"/>
          <w:lang w:val="es-ES_tradnl"/>
        </w:rPr>
      </w:pPr>
      <w:r w:rsidRPr="003C5388">
        <w:rPr>
          <w:rFonts w:ascii="Palatino Linotype" w:eastAsiaTheme="minorEastAsia" w:hAnsi="Palatino Linotype" w:cstheme="minorBidi"/>
          <w:i/>
          <w:color w:val="000000"/>
          <w:lang w:val="es-ES_tradnl"/>
        </w:rPr>
        <w:t>“</w:t>
      </w:r>
      <w:r w:rsidR="00160B22" w:rsidRPr="003C5388">
        <w:rPr>
          <w:rFonts w:ascii="Palatino Linotype" w:eastAsiaTheme="minorEastAsia" w:hAnsi="Palatino Linotype" w:cstheme="minorBidi"/>
          <w:i/>
          <w:color w:val="000000"/>
          <w:lang w:val="es-ES_tradnl"/>
        </w:rPr>
        <w:t>SOLICITO LOS PLANOS MANZANEROS DE TEOLOYUCAN</w:t>
      </w:r>
      <w:r w:rsidRPr="003C5388">
        <w:rPr>
          <w:rFonts w:ascii="Palatino Linotype" w:eastAsiaTheme="minorEastAsia" w:hAnsi="Palatino Linotype" w:cstheme="minorBidi"/>
          <w:i/>
          <w:color w:val="000000"/>
          <w:lang w:val="es-ES_tradnl"/>
        </w:rPr>
        <w:t>”</w:t>
      </w:r>
      <w:r w:rsidRPr="003C5388">
        <w:rPr>
          <w:rFonts w:ascii="Palatino Linotype" w:eastAsiaTheme="minorEastAsia" w:hAnsi="Palatino Linotype" w:cstheme="minorBidi"/>
          <w:color w:val="000000"/>
          <w:lang w:val="es-ES_tradnl"/>
        </w:rPr>
        <w:t xml:space="preserve"> (Sic)</w:t>
      </w:r>
    </w:p>
    <w:p w14:paraId="270EF866" w14:textId="77777777" w:rsidR="007F7B11" w:rsidRPr="003C5388" w:rsidRDefault="007F7B11" w:rsidP="00FF1C38">
      <w:pPr>
        <w:spacing w:line="360" w:lineRule="auto"/>
        <w:jc w:val="both"/>
        <w:rPr>
          <w:rFonts w:ascii="Palatino Linotype" w:hAnsi="Palatino Linotype" w:cs="Arial"/>
        </w:rPr>
      </w:pPr>
    </w:p>
    <w:p w14:paraId="7A8253AD" w14:textId="400D92F6" w:rsidR="00E176F9" w:rsidRPr="003C5388" w:rsidRDefault="007F7B11" w:rsidP="00FF1C38">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3C5388">
        <w:rPr>
          <w:rFonts w:ascii="Palatino Linotype" w:eastAsia="Calibri" w:hAnsi="Palatino Linotype" w:cs="Arial"/>
          <w:lang w:val="es-AR"/>
        </w:rPr>
        <w:lastRenderedPageBreak/>
        <w:t xml:space="preserve">De las constancias </w:t>
      </w:r>
      <w:r w:rsidRPr="003C5388">
        <w:rPr>
          <w:rFonts w:ascii="Palatino Linotype" w:hAnsi="Palatino Linotype" w:cs="Arial"/>
        </w:rPr>
        <w:t xml:space="preserve">que obran en el expediente, se aprecia que el entonces </w:t>
      </w:r>
      <w:r w:rsidRPr="003C5388">
        <w:rPr>
          <w:rFonts w:ascii="Palatino Linotype" w:hAnsi="Palatino Linotype" w:cs="Arial"/>
          <w:b/>
        </w:rPr>
        <w:t>SOLICITANTE</w:t>
      </w:r>
      <w:r w:rsidRPr="003C5388">
        <w:rPr>
          <w:rFonts w:ascii="Palatino Linotype" w:hAnsi="Palatino Linotype" w:cs="Arial"/>
        </w:rPr>
        <w:t xml:space="preserve"> señaló como modalidad de entrega de la información:</w:t>
      </w:r>
      <w:r w:rsidRPr="003C5388">
        <w:rPr>
          <w:rFonts w:ascii="Palatino Linotype" w:hAnsi="Palatino Linotype" w:cs="Arial"/>
          <w:b/>
        </w:rPr>
        <w:t xml:space="preserve"> </w:t>
      </w:r>
      <w:r w:rsidRPr="003C5388">
        <w:rPr>
          <w:rFonts w:ascii="Palatino Linotype" w:eastAsiaTheme="minorEastAsia" w:hAnsi="Palatino Linotype" w:cstheme="minorBidi"/>
          <w:b/>
          <w:lang w:val="es-ES_tradnl"/>
        </w:rPr>
        <w:t xml:space="preserve">A través del </w:t>
      </w:r>
      <w:r w:rsidR="0060001F" w:rsidRPr="003C5388">
        <w:rPr>
          <w:rFonts w:ascii="Palatino Linotype" w:eastAsiaTheme="minorEastAsia" w:hAnsi="Palatino Linotype" w:cstheme="minorBidi"/>
          <w:b/>
          <w:lang w:val="es-ES_tradnl"/>
        </w:rPr>
        <w:t>SAIMEX</w:t>
      </w:r>
      <w:r w:rsidRPr="003C5388">
        <w:rPr>
          <w:rFonts w:ascii="Palatino Linotype" w:eastAsiaTheme="minorEastAsia" w:hAnsi="Palatino Linotype" w:cstheme="minorBidi"/>
          <w:b/>
          <w:lang w:val="es-ES_tradnl"/>
        </w:rPr>
        <w:t>.</w:t>
      </w:r>
    </w:p>
    <w:p w14:paraId="63CBCB65" w14:textId="77777777" w:rsidR="00E176F9" w:rsidRPr="003C5388" w:rsidRDefault="00E176F9" w:rsidP="00FF1C38">
      <w:pPr>
        <w:tabs>
          <w:tab w:val="left" w:pos="284"/>
        </w:tabs>
        <w:spacing w:before="240" w:after="240" w:line="360" w:lineRule="auto"/>
        <w:contextualSpacing/>
        <w:jc w:val="both"/>
        <w:rPr>
          <w:rFonts w:ascii="Palatino Linotype" w:eastAsia="MS Mincho" w:hAnsi="Palatino Linotype"/>
          <w:lang w:val="es-ES_tradnl"/>
        </w:rPr>
      </w:pPr>
    </w:p>
    <w:p w14:paraId="25B833D0" w14:textId="6E874C8E" w:rsidR="00E176F9" w:rsidRPr="003C5388" w:rsidRDefault="00E56CFE" w:rsidP="00FF1C38">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3C5388">
        <w:rPr>
          <w:rFonts w:ascii="Palatino Linotype" w:eastAsiaTheme="minorEastAsia" w:hAnsi="Palatino Linotype" w:cstheme="minorBidi"/>
          <w:color w:val="000000" w:themeColor="text1"/>
          <w:lang w:val="es-ES_tradnl"/>
        </w:rPr>
        <w:t>El</w:t>
      </w:r>
      <w:r w:rsidR="00160B22" w:rsidRPr="003C5388">
        <w:rPr>
          <w:rFonts w:ascii="Palatino Linotype" w:eastAsiaTheme="minorEastAsia" w:hAnsi="Palatino Linotype" w:cstheme="minorBidi"/>
          <w:color w:val="000000" w:themeColor="text1"/>
          <w:lang w:val="es-ES_tradnl"/>
        </w:rPr>
        <w:t xml:space="preserve"> </w:t>
      </w:r>
      <w:r w:rsidR="00E176F9" w:rsidRPr="003C5388">
        <w:rPr>
          <w:rFonts w:ascii="Palatino Linotype" w:eastAsiaTheme="minorEastAsia" w:hAnsi="Palatino Linotype" w:cstheme="minorBidi"/>
          <w:b/>
          <w:color w:val="000000" w:themeColor="text1"/>
          <w:lang w:val="es-ES_tradnl"/>
        </w:rPr>
        <w:t>SUJETO OBLIGADO</w:t>
      </w:r>
      <w:r w:rsidR="00E176F9" w:rsidRPr="003C5388">
        <w:rPr>
          <w:rFonts w:ascii="Palatino Linotype" w:eastAsiaTheme="minorEastAsia" w:hAnsi="Palatino Linotype" w:cstheme="minorBidi"/>
          <w:color w:val="000000" w:themeColor="text1"/>
          <w:lang w:val="es-ES_tradnl"/>
        </w:rPr>
        <w:t xml:space="preserve"> </w:t>
      </w:r>
      <w:r w:rsidR="00160B22" w:rsidRPr="003C5388">
        <w:rPr>
          <w:rFonts w:ascii="Palatino Linotype" w:eastAsiaTheme="minorEastAsia" w:hAnsi="Palatino Linotype" w:cstheme="minorBidi"/>
          <w:color w:val="000000" w:themeColor="text1"/>
          <w:lang w:val="es-ES_tradnl"/>
        </w:rPr>
        <w:t xml:space="preserve">no </w:t>
      </w:r>
      <w:r w:rsidR="00E176F9" w:rsidRPr="003C5388">
        <w:rPr>
          <w:rFonts w:ascii="Palatino Linotype" w:eastAsiaTheme="minorEastAsia" w:hAnsi="Palatino Linotype" w:cstheme="minorBidi"/>
          <w:color w:val="000000" w:themeColor="text1"/>
          <w:lang w:val="es-ES_tradnl"/>
        </w:rPr>
        <w:t>dio respuest</w:t>
      </w:r>
      <w:r w:rsidR="00160B22" w:rsidRPr="003C5388">
        <w:rPr>
          <w:rFonts w:ascii="Palatino Linotype" w:eastAsiaTheme="minorEastAsia" w:hAnsi="Palatino Linotype" w:cstheme="minorBidi"/>
          <w:color w:val="000000" w:themeColor="text1"/>
          <w:lang w:val="es-ES_tradnl"/>
        </w:rPr>
        <w:t>a a la solicitud de información.</w:t>
      </w:r>
    </w:p>
    <w:p w14:paraId="1D2FBD05" w14:textId="0C672349" w:rsidR="007F7B11" w:rsidRPr="003C5388" w:rsidRDefault="007F7B11" w:rsidP="00FF1C38">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MX"/>
        </w:rPr>
      </w:pPr>
    </w:p>
    <w:p w14:paraId="5FCB9BAC" w14:textId="535D527C" w:rsidR="0060001F" w:rsidRPr="003C5388" w:rsidRDefault="007F7B11" w:rsidP="00FF1C38">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3C5388">
        <w:rPr>
          <w:rFonts w:ascii="Palatino Linotype" w:hAnsi="Palatino Linotype" w:cs="Arial"/>
          <w:lang w:val="es-ES_tradnl"/>
        </w:rPr>
        <w:t>Derivado de la</w:t>
      </w:r>
      <w:r w:rsidR="00160B22" w:rsidRPr="003C5388">
        <w:rPr>
          <w:rFonts w:ascii="Palatino Linotype" w:hAnsi="Palatino Linotype" w:cs="Arial"/>
          <w:lang w:val="es-ES_tradnl"/>
        </w:rPr>
        <w:t xml:space="preserve"> falta de</w:t>
      </w:r>
      <w:r w:rsidR="0060001F" w:rsidRPr="003C5388">
        <w:rPr>
          <w:rFonts w:ascii="Palatino Linotype" w:hAnsi="Palatino Linotype" w:cs="Arial"/>
          <w:lang w:val="es-ES_tradnl"/>
        </w:rPr>
        <w:t xml:space="preserve"> </w:t>
      </w:r>
      <w:r w:rsidRPr="003C5388">
        <w:rPr>
          <w:rFonts w:ascii="Palatino Linotype" w:hAnsi="Palatino Linotype" w:cs="Arial"/>
          <w:lang w:val="es-ES_tradnl"/>
        </w:rPr>
        <w:t>respuesta, el</w:t>
      </w:r>
      <w:r w:rsidRPr="003C5388">
        <w:rPr>
          <w:rFonts w:ascii="Palatino Linotype" w:hAnsi="Palatino Linotype" w:cs="Arial"/>
        </w:rPr>
        <w:t xml:space="preserve"> </w:t>
      </w:r>
      <w:r w:rsidR="00160B22" w:rsidRPr="003C5388">
        <w:rPr>
          <w:rFonts w:ascii="Palatino Linotype" w:hAnsi="Palatino Linotype" w:cs="Arial"/>
        </w:rPr>
        <w:t>veintidós (22</w:t>
      </w:r>
      <w:r w:rsidRPr="003C5388">
        <w:rPr>
          <w:rFonts w:ascii="Palatino Linotype" w:hAnsi="Palatino Linotype" w:cs="Arial"/>
        </w:rPr>
        <w:t>) de</w:t>
      </w:r>
      <w:r w:rsidR="00EB0CEE" w:rsidRPr="003C5388">
        <w:rPr>
          <w:rFonts w:ascii="Palatino Linotype" w:hAnsi="Palatino Linotype" w:cs="Arial"/>
        </w:rPr>
        <w:t xml:space="preserve"> febrero</w:t>
      </w:r>
      <w:r w:rsidR="00B537D4" w:rsidRPr="003C5388">
        <w:rPr>
          <w:rFonts w:ascii="Palatino Linotype" w:hAnsi="Palatino Linotype" w:cs="Arial"/>
        </w:rPr>
        <w:t xml:space="preserve"> </w:t>
      </w:r>
      <w:r w:rsidR="0060001F" w:rsidRPr="003C5388">
        <w:rPr>
          <w:rFonts w:ascii="Palatino Linotype" w:hAnsi="Palatino Linotype" w:cs="Arial"/>
        </w:rPr>
        <w:t xml:space="preserve">de dos </w:t>
      </w:r>
      <w:r w:rsidR="0083296F" w:rsidRPr="003C5388">
        <w:rPr>
          <w:rFonts w:ascii="Palatino Linotype" w:hAnsi="Palatino Linotype" w:cs="Arial"/>
        </w:rPr>
        <w:t>mil veintidós</w:t>
      </w:r>
      <w:r w:rsidRPr="003C5388">
        <w:rPr>
          <w:rFonts w:ascii="Palatino Linotype" w:hAnsi="Palatino Linotype" w:cs="Arial"/>
        </w:rPr>
        <w:t>, el particular interpuso el recurso de revisión con número indicado al rubro y señalando como:</w:t>
      </w:r>
    </w:p>
    <w:p w14:paraId="2D1E09E7" w14:textId="77777777" w:rsidR="0060001F" w:rsidRPr="003C5388" w:rsidRDefault="0060001F" w:rsidP="00FF1C38">
      <w:pPr>
        <w:pStyle w:val="Prrafodelista"/>
        <w:spacing w:line="360" w:lineRule="auto"/>
        <w:rPr>
          <w:rFonts w:ascii="Palatino Linotype" w:hAnsi="Palatino Linotype" w:cs="Arial"/>
          <w:b/>
        </w:rPr>
      </w:pPr>
    </w:p>
    <w:p w14:paraId="46AD8467" w14:textId="14DB157F" w:rsidR="007F7B11" w:rsidRPr="003C5388" w:rsidRDefault="007F7B11" w:rsidP="00160B22">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3C5388">
        <w:rPr>
          <w:rFonts w:ascii="Palatino Linotype" w:hAnsi="Palatino Linotype" w:cs="Arial"/>
          <w:b/>
        </w:rPr>
        <w:t>Acto impugnado:</w:t>
      </w:r>
      <w:r w:rsidRPr="003C5388">
        <w:rPr>
          <w:rFonts w:ascii="Palatino Linotype" w:hAnsi="Palatino Linotype" w:cs="Arial"/>
        </w:rPr>
        <w:t xml:space="preserve"> </w:t>
      </w:r>
      <w:r w:rsidRPr="003C5388">
        <w:rPr>
          <w:rFonts w:ascii="Palatino Linotype" w:hAnsi="Palatino Linotype" w:cs="Arial"/>
          <w:i/>
        </w:rPr>
        <w:t>“</w:t>
      </w:r>
      <w:r w:rsidR="00160B22" w:rsidRPr="003C5388">
        <w:rPr>
          <w:rFonts w:ascii="Palatino Linotype" w:hAnsi="Palatino Linotype" w:cs="Arial"/>
          <w:i/>
        </w:rPr>
        <w:t>la señora Karen Martínez Peregrino de transparencia es una ineficiente y no da respuesta alguna</w:t>
      </w:r>
      <w:r w:rsidR="00EB0CEE" w:rsidRPr="003C5388">
        <w:rPr>
          <w:rFonts w:ascii="Palatino Linotype" w:hAnsi="Palatino Linotype" w:cs="Arial"/>
          <w:i/>
        </w:rPr>
        <w:t>.</w:t>
      </w:r>
      <w:r w:rsidRPr="003C5388">
        <w:rPr>
          <w:rFonts w:ascii="Palatino Linotype" w:hAnsi="Palatino Linotype" w:cs="Arial"/>
          <w:i/>
        </w:rPr>
        <w:t>” (Sic).</w:t>
      </w:r>
    </w:p>
    <w:p w14:paraId="09BD370B" w14:textId="77777777" w:rsidR="007F7B11" w:rsidRPr="003C5388" w:rsidRDefault="007F7B11" w:rsidP="00FF1C38">
      <w:pPr>
        <w:tabs>
          <w:tab w:val="left" w:pos="426"/>
          <w:tab w:val="left" w:pos="993"/>
        </w:tabs>
        <w:spacing w:line="360" w:lineRule="auto"/>
        <w:ind w:left="567" w:right="738"/>
        <w:contextualSpacing/>
        <w:jc w:val="both"/>
        <w:rPr>
          <w:rFonts w:ascii="Palatino Linotype" w:hAnsi="Palatino Linotype" w:cs="Arial"/>
        </w:rPr>
      </w:pPr>
    </w:p>
    <w:p w14:paraId="3AF54962" w14:textId="6623E95B" w:rsidR="007F7B11" w:rsidRPr="003C5388" w:rsidRDefault="007F7B11" w:rsidP="00160B22">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3C5388">
        <w:rPr>
          <w:rFonts w:ascii="Palatino Linotype" w:hAnsi="Palatino Linotype" w:cs="Arial"/>
          <w:b/>
        </w:rPr>
        <w:t>Razones o motivos de inconformidad:</w:t>
      </w:r>
      <w:r w:rsidRPr="003C5388">
        <w:rPr>
          <w:rFonts w:ascii="Palatino Linotype" w:hAnsi="Palatino Linotype" w:cs="Arial"/>
        </w:rPr>
        <w:t xml:space="preserve"> </w:t>
      </w:r>
      <w:r w:rsidRPr="003C5388">
        <w:rPr>
          <w:rFonts w:ascii="Palatino Linotype" w:hAnsi="Palatino Linotype" w:cs="Arial"/>
          <w:i/>
        </w:rPr>
        <w:t>“</w:t>
      </w:r>
      <w:r w:rsidR="00160B22" w:rsidRPr="003C5388">
        <w:rPr>
          <w:rFonts w:ascii="Palatino Linotype" w:hAnsi="Palatino Linotype" w:cs="Arial"/>
          <w:i/>
        </w:rPr>
        <w:t>la señora Karen Martínez Peregrino de transparencia es una ineficiente y no da respuesta alguna</w:t>
      </w:r>
      <w:r w:rsidR="00B537D4" w:rsidRPr="003C5388">
        <w:rPr>
          <w:rFonts w:ascii="Palatino Linotype" w:hAnsi="Palatino Linotype" w:cs="Arial"/>
          <w:i/>
        </w:rPr>
        <w:t>.</w:t>
      </w:r>
      <w:r w:rsidRPr="003C5388">
        <w:rPr>
          <w:rFonts w:ascii="Palatino Linotype" w:hAnsi="Palatino Linotype" w:cs="Arial"/>
          <w:i/>
        </w:rPr>
        <w:t>” (Sic).</w:t>
      </w:r>
    </w:p>
    <w:p w14:paraId="6F0D0AC4" w14:textId="77777777" w:rsidR="007F7B11" w:rsidRPr="003C5388" w:rsidRDefault="007F7B11" w:rsidP="00FF1C38">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3C5388" w:rsidRDefault="007F7B11" w:rsidP="00FF1C38">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3C5388">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3C5388">
        <w:rPr>
          <w:rFonts w:ascii="Palatino Linotype" w:eastAsia="Calibri" w:hAnsi="Palatino Linotype" w:cs="Arial"/>
          <w:b/>
        </w:rPr>
        <w:t>Ley de Transparencia y Acceso a la Información Pública del Estado de México y Municipios</w:t>
      </w:r>
      <w:r w:rsidRPr="003C5388">
        <w:rPr>
          <w:rFonts w:ascii="Palatino Linotype" w:eastAsia="Calibri" w:hAnsi="Palatino Linotype" w:cs="Arial"/>
        </w:rPr>
        <w:t xml:space="preserve">, se turnó a la </w:t>
      </w:r>
      <w:r w:rsidRPr="003C5388">
        <w:rPr>
          <w:rFonts w:ascii="Palatino Linotype" w:eastAsia="Calibri" w:hAnsi="Palatino Linotype" w:cs="Arial"/>
          <w:b/>
        </w:rPr>
        <w:t>Comisionada María del Rosario Mejía Ayala</w:t>
      </w:r>
      <w:r w:rsidRPr="003C5388">
        <w:rPr>
          <w:rFonts w:ascii="Palatino Linotype" w:eastAsia="Calibri" w:hAnsi="Palatino Linotype" w:cs="Arial"/>
        </w:rPr>
        <w:t>, con el objeto de su análisis.</w:t>
      </w:r>
    </w:p>
    <w:p w14:paraId="0A930C08" w14:textId="77777777" w:rsidR="007F7B11" w:rsidRPr="003C5388" w:rsidRDefault="007F7B11" w:rsidP="00FF1C38">
      <w:pPr>
        <w:tabs>
          <w:tab w:val="left" w:pos="284"/>
        </w:tabs>
        <w:spacing w:before="240" w:after="240" w:line="360" w:lineRule="auto"/>
        <w:contextualSpacing/>
        <w:jc w:val="both"/>
        <w:rPr>
          <w:rFonts w:ascii="Palatino Linotype" w:eastAsia="Calibri" w:hAnsi="Palatino Linotype" w:cs="Arial"/>
          <w:color w:val="000000" w:themeColor="text1"/>
        </w:rPr>
      </w:pPr>
    </w:p>
    <w:p w14:paraId="410E1C8D" w14:textId="76A2775C" w:rsidR="002A75D4" w:rsidRPr="003C5388" w:rsidRDefault="007F7B11" w:rsidP="00FF1C38">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3C5388">
        <w:rPr>
          <w:rFonts w:ascii="Palatino Linotype" w:eastAsia="Calibri" w:hAnsi="Palatino Linotype" w:cs="Arial"/>
        </w:rPr>
        <w:t>La Comisionada Ponente, con fundamento en lo dispuesto por el artículo 185 fracción II de la ley de la materia, a tr</w:t>
      </w:r>
      <w:r w:rsidR="00B537D4" w:rsidRPr="003C5388">
        <w:rPr>
          <w:rFonts w:ascii="Palatino Linotype" w:eastAsia="Calibri" w:hAnsi="Palatino Linotype" w:cs="Arial"/>
        </w:rPr>
        <w:t>avés d</w:t>
      </w:r>
      <w:r w:rsidR="00201271" w:rsidRPr="003C5388">
        <w:rPr>
          <w:rFonts w:ascii="Palatino Linotype" w:eastAsia="Calibri" w:hAnsi="Palatino Linotype" w:cs="Arial"/>
        </w:rPr>
        <w:t xml:space="preserve">el </w:t>
      </w:r>
      <w:r w:rsidR="00160B22" w:rsidRPr="003C5388">
        <w:rPr>
          <w:rFonts w:ascii="Palatino Linotype" w:eastAsia="Calibri" w:hAnsi="Palatino Linotype" w:cs="Arial"/>
        </w:rPr>
        <w:t>acuerdo de admisión de veintiocho</w:t>
      </w:r>
      <w:r w:rsidR="0060001F" w:rsidRPr="003C5388">
        <w:rPr>
          <w:rFonts w:ascii="Palatino Linotype" w:eastAsia="Calibri" w:hAnsi="Palatino Linotype" w:cs="Arial"/>
        </w:rPr>
        <w:t xml:space="preserve"> </w:t>
      </w:r>
      <w:r w:rsidR="00160B22" w:rsidRPr="003C5388">
        <w:rPr>
          <w:rFonts w:ascii="Palatino Linotype" w:eastAsia="Calibri" w:hAnsi="Palatino Linotype" w:cs="Arial"/>
        </w:rPr>
        <w:t xml:space="preserve"> </w:t>
      </w:r>
      <w:r w:rsidR="00160B22" w:rsidRPr="003C5388">
        <w:rPr>
          <w:rFonts w:ascii="Palatino Linotype" w:eastAsia="Calibri" w:hAnsi="Palatino Linotype" w:cs="Arial"/>
        </w:rPr>
        <w:lastRenderedPageBreak/>
        <w:t>(28</w:t>
      </w:r>
      <w:r w:rsidR="00AD0232" w:rsidRPr="003C5388">
        <w:rPr>
          <w:rFonts w:ascii="Palatino Linotype" w:eastAsia="Calibri" w:hAnsi="Palatino Linotype" w:cs="Arial"/>
        </w:rPr>
        <w:t>) de</w:t>
      </w:r>
      <w:r w:rsidR="00925779" w:rsidRPr="003C5388">
        <w:rPr>
          <w:rFonts w:ascii="Palatino Linotype" w:eastAsia="Calibri" w:hAnsi="Palatino Linotype" w:cs="Arial"/>
        </w:rPr>
        <w:t xml:space="preserve"> febrero </w:t>
      </w:r>
      <w:r w:rsidRPr="003C5388">
        <w:rPr>
          <w:rFonts w:ascii="Palatino Linotype" w:eastAsia="Calibri" w:hAnsi="Palatino Linotype" w:cs="Arial"/>
        </w:rPr>
        <w:t xml:space="preserve">de dos mil </w:t>
      </w:r>
      <w:r w:rsidR="00925779" w:rsidRPr="003C5388">
        <w:rPr>
          <w:rFonts w:ascii="Palatino Linotype" w:eastAsia="Calibri" w:hAnsi="Palatino Linotype" w:cs="Arial"/>
        </w:rPr>
        <w:t>veintidós,</w:t>
      </w:r>
      <w:r w:rsidRPr="003C5388">
        <w:rPr>
          <w:rFonts w:ascii="Palatino Linotype" w:eastAsia="Calibri" w:hAnsi="Palatino Linotype" w:cs="Arial"/>
        </w:rPr>
        <w:t xml:space="preserve"> puso a disposición de las partes el expediente electrónico </w:t>
      </w:r>
      <w:r w:rsidRPr="003C5388">
        <w:rPr>
          <w:rFonts w:ascii="Palatino Linotype" w:eastAsia="Calibri" w:hAnsi="Palatino Linotype" w:cs="Arial"/>
          <w:lang w:val="es-ES_tradnl"/>
        </w:rPr>
        <w:t xml:space="preserve">vía </w:t>
      </w:r>
      <w:r w:rsidRPr="003C5388">
        <w:rPr>
          <w:rFonts w:ascii="Palatino Linotype" w:eastAsia="Calibri" w:hAnsi="Palatino Linotype" w:cs="Arial"/>
        </w:rPr>
        <w:t xml:space="preserve">Sistema de Acceso a la Información Mexiquense </w:t>
      </w:r>
      <w:r w:rsidRPr="003C5388">
        <w:rPr>
          <w:rFonts w:ascii="Palatino Linotype" w:eastAsia="Calibri" w:hAnsi="Palatino Linotype" w:cs="Arial"/>
          <w:b/>
        </w:rPr>
        <w:t xml:space="preserve">SAIMEX </w:t>
      </w:r>
      <w:r w:rsidRPr="003C5388">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3C5388">
        <w:rPr>
          <w:rFonts w:ascii="Palatino Linotype" w:eastAsia="Calibri" w:hAnsi="Palatino Linotype" w:cs="Arial"/>
          <w:b/>
        </w:rPr>
        <w:t>SUJETO OBLIGADO</w:t>
      </w:r>
      <w:r w:rsidRPr="003C5388">
        <w:rPr>
          <w:rFonts w:ascii="Palatino Linotype" w:eastAsia="Calibri" w:hAnsi="Palatino Linotype" w:cs="Arial"/>
        </w:rPr>
        <w:t xml:space="preserve"> presentara el Informe Justificado procedente.</w:t>
      </w:r>
    </w:p>
    <w:p w14:paraId="6272591D" w14:textId="77777777" w:rsidR="002A75D4" w:rsidRPr="003C5388" w:rsidRDefault="002A75D4" w:rsidP="00FF1C38">
      <w:pPr>
        <w:spacing w:line="360" w:lineRule="auto"/>
        <w:rPr>
          <w:rFonts w:ascii="Palatino Linotype" w:eastAsia="Calibri" w:hAnsi="Palatino Linotype" w:cs="Arial"/>
          <w:color w:val="000000" w:themeColor="text1"/>
        </w:rPr>
      </w:pPr>
    </w:p>
    <w:p w14:paraId="39603FF1" w14:textId="1FA3662B" w:rsidR="002A75D4" w:rsidRPr="003C5388" w:rsidRDefault="00160B22" w:rsidP="00FF1C38">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3C5388">
        <w:rPr>
          <w:rFonts w:ascii="Palatino Linotype" w:eastAsia="Calibri" w:hAnsi="Palatino Linotype" w:cs="Arial"/>
          <w:color w:val="000000" w:themeColor="text1"/>
        </w:rPr>
        <w:t>En fecha siete</w:t>
      </w:r>
      <w:r w:rsidR="002A75D4" w:rsidRPr="003C5388">
        <w:rPr>
          <w:rFonts w:ascii="Palatino Linotype" w:eastAsia="Calibri" w:hAnsi="Palatino Linotype" w:cs="Arial"/>
          <w:color w:val="000000" w:themeColor="text1"/>
        </w:rPr>
        <w:t xml:space="preserve"> (07) de marzo de dos mil veintidós el </w:t>
      </w:r>
      <w:r w:rsidR="002A75D4" w:rsidRPr="003C5388">
        <w:rPr>
          <w:rFonts w:ascii="Palatino Linotype" w:eastAsia="Calibri" w:hAnsi="Palatino Linotype" w:cs="Arial"/>
          <w:b/>
          <w:color w:val="000000" w:themeColor="text1"/>
        </w:rPr>
        <w:t xml:space="preserve">SUJETO OBLIGADO </w:t>
      </w:r>
      <w:r w:rsidR="002A75D4" w:rsidRPr="003C5388">
        <w:rPr>
          <w:rFonts w:ascii="Palatino Linotype" w:eastAsia="Calibri" w:hAnsi="Palatino Linotype" w:cs="Arial"/>
          <w:color w:val="000000" w:themeColor="text1"/>
        </w:rPr>
        <w:t>realizó entrega de un documento en calidad de informe justificado, mismo que se hizo de conocimiento del Recur</w:t>
      </w:r>
      <w:r w:rsidRPr="003C5388">
        <w:rPr>
          <w:rFonts w:ascii="Palatino Linotype" w:eastAsia="Calibri" w:hAnsi="Palatino Linotype" w:cs="Arial"/>
          <w:color w:val="000000" w:themeColor="text1"/>
        </w:rPr>
        <w:t>rente mediante acuerdo de fecha cinco (05</w:t>
      </w:r>
      <w:r w:rsidR="002A75D4" w:rsidRPr="003C5388">
        <w:rPr>
          <w:rFonts w:ascii="Palatino Linotype" w:eastAsia="Calibri" w:hAnsi="Palatino Linotype" w:cs="Arial"/>
          <w:color w:val="000000" w:themeColor="text1"/>
        </w:rPr>
        <w:t>) de</w:t>
      </w:r>
      <w:r w:rsidRPr="003C5388">
        <w:rPr>
          <w:rFonts w:ascii="Palatino Linotype" w:eastAsia="Calibri" w:hAnsi="Palatino Linotype" w:cs="Arial"/>
          <w:color w:val="000000" w:themeColor="text1"/>
        </w:rPr>
        <w:t xml:space="preserve"> abril</w:t>
      </w:r>
      <w:r w:rsidR="002A75D4" w:rsidRPr="003C5388">
        <w:rPr>
          <w:rFonts w:ascii="Palatino Linotype" w:eastAsia="Calibri" w:hAnsi="Palatino Linotype" w:cs="Arial"/>
          <w:color w:val="000000" w:themeColor="text1"/>
        </w:rPr>
        <w:t xml:space="preserve">, no obstante, y afecto de que no exista opacidad se describen a continuación: </w:t>
      </w:r>
    </w:p>
    <w:p w14:paraId="3C81CA81" w14:textId="77777777" w:rsidR="002A75D4" w:rsidRPr="003C5388" w:rsidRDefault="002A75D4" w:rsidP="00FF1C38">
      <w:pPr>
        <w:spacing w:line="360" w:lineRule="auto"/>
        <w:ind w:right="616"/>
        <w:rPr>
          <w:rFonts w:ascii="Palatino Linotype" w:eastAsia="Calibri" w:hAnsi="Palatino Linotype" w:cs="Arial"/>
          <w:b/>
          <w:color w:val="000000" w:themeColor="text1"/>
        </w:rPr>
      </w:pPr>
    </w:p>
    <w:p w14:paraId="5A429B6A" w14:textId="158DDBDB" w:rsidR="002A75D4" w:rsidRPr="003C5388" w:rsidRDefault="003509D5" w:rsidP="00FF1C38">
      <w:pPr>
        <w:numPr>
          <w:ilvl w:val="0"/>
          <w:numId w:val="35"/>
        </w:numPr>
        <w:tabs>
          <w:tab w:val="left" w:pos="284"/>
        </w:tabs>
        <w:spacing w:line="360" w:lineRule="auto"/>
        <w:ind w:left="284" w:right="616" w:firstLine="0"/>
        <w:contextualSpacing/>
        <w:jc w:val="both"/>
        <w:rPr>
          <w:rFonts w:ascii="Palatino Linotype" w:eastAsia="Calibri" w:hAnsi="Palatino Linotype" w:cs="Arial"/>
          <w:b/>
          <w:color w:val="000000" w:themeColor="text1"/>
        </w:rPr>
      </w:pPr>
      <w:hyperlink r:id="rId8" w:history="1">
        <w:r w:rsidR="00160B22" w:rsidRPr="003C5388">
          <w:rPr>
            <w:rStyle w:val="Hipervnculo"/>
            <w:rFonts w:ascii="Palatino Linotype" w:eastAsia="Calibri" w:hAnsi="Palatino Linotype" w:cs="Arial"/>
            <w:b/>
            <w:bCs/>
            <w:color w:val="000000" w:themeColor="text1"/>
            <w:u w:val="none"/>
          </w:rPr>
          <w:t>Informe Justificado RR 1103.docx</w:t>
        </w:r>
      </w:hyperlink>
      <w:r w:rsidR="002A75D4" w:rsidRPr="003C5388">
        <w:rPr>
          <w:rFonts w:ascii="Palatino Linotype" w:eastAsia="Calibri" w:hAnsi="Palatino Linotype" w:cs="Arial"/>
          <w:b/>
          <w:color w:val="000000" w:themeColor="text1"/>
        </w:rPr>
        <w:t xml:space="preserve">: </w:t>
      </w:r>
      <w:r w:rsidR="00160B22" w:rsidRPr="003C5388">
        <w:rPr>
          <w:rFonts w:ascii="Palatino Linotype" w:eastAsia="Calibri" w:hAnsi="Palatino Linotype" w:cs="Arial"/>
          <w:color w:val="000000" w:themeColor="text1"/>
        </w:rPr>
        <w:t>Documento electrónico que en tres (03</w:t>
      </w:r>
      <w:r w:rsidR="002A75D4" w:rsidRPr="003C5388">
        <w:rPr>
          <w:rFonts w:ascii="Palatino Linotype" w:eastAsia="Calibri" w:hAnsi="Palatino Linotype" w:cs="Arial"/>
          <w:color w:val="000000" w:themeColor="text1"/>
        </w:rPr>
        <w:t xml:space="preserve">) hojas contiene el oficio </w:t>
      </w:r>
      <w:r w:rsidR="00160B22" w:rsidRPr="003C5388">
        <w:rPr>
          <w:rFonts w:ascii="Palatino Linotype" w:eastAsia="Calibri" w:hAnsi="Palatino Linotype" w:cs="Arial"/>
          <w:color w:val="000000" w:themeColor="text1"/>
          <w:lang w:val="es-MX"/>
        </w:rPr>
        <w:t>UT/KMP/180/2022</w:t>
      </w:r>
      <w:r w:rsidR="00160B22" w:rsidRPr="003C5388">
        <w:rPr>
          <w:rFonts w:ascii="Palatino Linotype" w:eastAsia="Calibri" w:hAnsi="Palatino Linotype" w:cs="Arial"/>
          <w:color w:val="000000" w:themeColor="text1"/>
        </w:rPr>
        <w:t xml:space="preserve"> dirigido, </w:t>
      </w:r>
      <w:r w:rsidR="002A75D4" w:rsidRPr="003C5388">
        <w:rPr>
          <w:rFonts w:ascii="Palatino Linotype" w:eastAsia="Calibri" w:hAnsi="Palatino Linotype" w:cs="Arial"/>
          <w:color w:val="000000" w:themeColor="text1"/>
        </w:rPr>
        <w:t>s</w:t>
      </w:r>
      <w:r w:rsidR="00160B22" w:rsidRPr="003C5388">
        <w:rPr>
          <w:rFonts w:ascii="Palatino Linotype" w:eastAsia="Calibri" w:hAnsi="Palatino Linotype" w:cs="Arial"/>
          <w:color w:val="000000" w:themeColor="text1"/>
        </w:rPr>
        <w:t>us</w:t>
      </w:r>
      <w:r w:rsidR="002A75D4" w:rsidRPr="003C5388">
        <w:rPr>
          <w:rFonts w:ascii="Palatino Linotype" w:eastAsia="Calibri" w:hAnsi="Palatino Linotype" w:cs="Arial"/>
          <w:color w:val="000000" w:themeColor="text1"/>
        </w:rPr>
        <w:t>crito por el</w:t>
      </w:r>
      <w:r w:rsidR="00160B22" w:rsidRPr="003C5388">
        <w:rPr>
          <w:rFonts w:ascii="Palatino Linotype" w:eastAsia="Calibri" w:hAnsi="Palatino Linotype" w:cs="Arial"/>
          <w:color w:val="000000" w:themeColor="text1"/>
        </w:rPr>
        <w:t xml:space="preserve"> Titular de la Unidad de Transparencia</w:t>
      </w:r>
      <w:r w:rsidR="002A75D4" w:rsidRPr="003C5388">
        <w:rPr>
          <w:rFonts w:ascii="Palatino Linotype" w:eastAsia="Calibri" w:hAnsi="Palatino Linotype" w:cs="Arial"/>
          <w:color w:val="000000" w:themeColor="text1"/>
        </w:rPr>
        <w:t xml:space="preserve">, mediante el cual se refiere que: </w:t>
      </w:r>
    </w:p>
    <w:p w14:paraId="598FE6CB" w14:textId="0792B6C8" w:rsidR="00C776DD" w:rsidRPr="003C5388" w:rsidRDefault="00C776DD" w:rsidP="00C776DD">
      <w:pPr>
        <w:tabs>
          <w:tab w:val="left" w:pos="284"/>
        </w:tabs>
        <w:spacing w:line="360" w:lineRule="auto"/>
        <w:ind w:right="616"/>
        <w:contextualSpacing/>
        <w:jc w:val="both"/>
        <w:rPr>
          <w:rFonts w:ascii="Palatino Linotype" w:eastAsia="Calibri" w:hAnsi="Palatino Linotype" w:cs="Arial"/>
          <w:i/>
        </w:rPr>
      </w:pPr>
    </w:p>
    <w:p w14:paraId="6C8E3490" w14:textId="4DFE1777" w:rsidR="002A75D4" w:rsidRPr="003C5388" w:rsidRDefault="00C776DD" w:rsidP="00C776DD">
      <w:pPr>
        <w:tabs>
          <w:tab w:val="left" w:pos="284"/>
        </w:tabs>
        <w:spacing w:line="360" w:lineRule="auto"/>
        <w:ind w:left="927" w:right="616"/>
        <w:contextualSpacing/>
        <w:jc w:val="center"/>
        <w:rPr>
          <w:rFonts w:ascii="Palatino Linotype" w:eastAsia="Calibri" w:hAnsi="Palatino Linotype" w:cs="Arial"/>
          <w:i/>
          <w:lang w:val="es-ES_tradnl"/>
        </w:rPr>
      </w:pPr>
      <w:r w:rsidRPr="003C5388">
        <w:rPr>
          <w:noProof/>
          <w:lang w:val="es-MX" w:eastAsia="es-MX"/>
        </w:rPr>
        <w:lastRenderedPageBreak/>
        <w:drawing>
          <wp:inline distT="0" distB="0" distL="0" distR="0" wp14:anchorId="27D719A8" wp14:editId="0F0F1F7B">
            <wp:extent cx="3009900" cy="35678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92" t="19312" r="30415" b="7363"/>
                    <a:stretch/>
                  </pic:blipFill>
                  <pic:spPr bwMode="auto">
                    <a:xfrm>
                      <a:off x="0" y="0"/>
                      <a:ext cx="3013425" cy="3572011"/>
                    </a:xfrm>
                    <a:prstGeom prst="rect">
                      <a:avLst/>
                    </a:prstGeom>
                    <a:ln>
                      <a:noFill/>
                    </a:ln>
                    <a:extLst>
                      <a:ext uri="{53640926-AAD7-44D8-BBD7-CCE9431645EC}">
                        <a14:shadowObscured xmlns:a14="http://schemas.microsoft.com/office/drawing/2010/main"/>
                      </a:ext>
                    </a:extLst>
                  </pic:spPr>
                </pic:pic>
              </a:graphicData>
            </a:graphic>
          </wp:inline>
        </w:drawing>
      </w:r>
    </w:p>
    <w:p w14:paraId="7176F4DB" w14:textId="77777777" w:rsidR="002A75D4" w:rsidRPr="003C5388" w:rsidRDefault="002A75D4" w:rsidP="00FF1C38">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3E3FC7B4" w:rsidR="00F71F04" w:rsidRPr="003C5388" w:rsidRDefault="007F7B11" w:rsidP="00FF1C38">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3C5388">
        <w:rPr>
          <w:rFonts w:ascii="Palatino Linotype" w:eastAsia="Calibri" w:hAnsi="Palatino Linotype" w:cs="Arial"/>
          <w:lang w:val="es-ES_tradnl"/>
        </w:rPr>
        <w:t>La</w:t>
      </w:r>
      <w:r w:rsidRPr="003C5388">
        <w:rPr>
          <w:rFonts w:ascii="Palatino Linotype" w:eastAsiaTheme="minorEastAsia" w:hAnsi="Palatino Linotype" w:cstheme="minorBidi"/>
          <w:lang w:val="es-ES_tradnl"/>
        </w:rPr>
        <w:t xml:space="preserve"> Comisionada Ponente decretó el cierre del periodo de instrucción</w:t>
      </w:r>
      <w:r w:rsidRPr="003C5388">
        <w:rPr>
          <w:rFonts w:ascii="Palatino Linotype" w:eastAsiaTheme="minorEastAsia" w:hAnsi="Palatino Linotype" w:cs="Arial"/>
          <w:lang w:val="es-ES_tradnl"/>
        </w:rPr>
        <w:t xml:space="preserve"> </w:t>
      </w:r>
      <w:r w:rsidR="00C776DD" w:rsidRPr="003C5388">
        <w:rPr>
          <w:rFonts w:ascii="Palatino Linotype" w:eastAsiaTheme="minorEastAsia" w:hAnsi="Palatino Linotype" w:cstheme="minorBidi"/>
          <w:lang w:val="es-ES_tradnl"/>
        </w:rPr>
        <w:t>m</w:t>
      </w:r>
      <w:r w:rsidR="004855F9" w:rsidRPr="003C5388">
        <w:rPr>
          <w:rFonts w:ascii="Palatino Linotype" w:eastAsiaTheme="minorEastAsia" w:hAnsi="Palatino Linotype" w:cstheme="minorBidi"/>
          <w:lang w:val="es-ES_tradnl"/>
        </w:rPr>
        <w:t>ediante acuerdo de diecinueve (19</w:t>
      </w:r>
      <w:r w:rsidRPr="003C5388">
        <w:rPr>
          <w:rFonts w:ascii="Palatino Linotype" w:eastAsiaTheme="minorEastAsia" w:hAnsi="Palatino Linotype" w:cstheme="minorBidi"/>
          <w:lang w:val="es-ES_tradnl"/>
        </w:rPr>
        <w:t>) de</w:t>
      </w:r>
      <w:r w:rsidR="00C776DD" w:rsidRPr="003C5388">
        <w:rPr>
          <w:rFonts w:ascii="Palatino Linotype" w:eastAsiaTheme="minorEastAsia" w:hAnsi="Palatino Linotype" w:cstheme="minorBidi"/>
          <w:lang w:val="es-ES_tradnl"/>
        </w:rPr>
        <w:t xml:space="preserve"> abril de</w:t>
      </w:r>
      <w:r w:rsidR="00F71F04" w:rsidRPr="003C5388">
        <w:rPr>
          <w:rFonts w:ascii="Palatino Linotype" w:eastAsiaTheme="minorEastAsia" w:hAnsi="Palatino Linotype" w:cstheme="minorBidi"/>
          <w:lang w:val="es-ES_tradnl"/>
        </w:rPr>
        <w:t xml:space="preserve"> dos mil veintidós. </w:t>
      </w:r>
    </w:p>
    <w:p w14:paraId="3084EEE5" w14:textId="77777777" w:rsidR="007F7B11" w:rsidRPr="003C5388" w:rsidRDefault="007F7B11" w:rsidP="00FF1C38">
      <w:pPr>
        <w:spacing w:before="240" w:line="360" w:lineRule="auto"/>
        <w:jc w:val="both"/>
        <w:rPr>
          <w:rFonts w:ascii="Palatino Linotype" w:eastAsiaTheme="minorEastAsia" w:hAnsi="Palatino Linotype" w:cstheme="minorBidi"/>
          <w:lang w:val="es-ES_tradnl"/>
        </w:rPr>
      </w:pPr>
    </w:p>
    <w:p w14:paraId="76CD9171" w14:textId="77777777" w:rsidR="007F7B11" w:rsidRPr="003C5388" w:rsidRDefault="007F7B11" w:rsidP="00FF1C38">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100171625"/>
      <w:r w:rsidRPr="003C5388">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3C5388" w:rsidRDefault="007F7B11" w:rsidP="00FF1C38">
      <w:pPr>
        <w:spacing w:line="360" w:lineRule="auto"/>
        <w:rPr>
          <w:rFonts w:ascii="Palatino Linotype" w:eastAsiaTheme="minorEastAsia" w:hAnsi="Palatino Linotype" w:cstheme="minorBidi"/>
          <w:lang w:val="es-MX" w:eastAsia="en-US"/>
        </w:rPr>
      </w:pPr>
    </w:p>
    <w:p w14:paraId="20ECDB0D" w14:textId="77777777" w:rsidR="007F7B11" w:rsidRPr="003C5388" w:rsidRDefault="007F7B11" w:rsidP="00FF1C38">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00171626"/>
      <w:r w:rsidRPr="003C5388">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3C5388" w:rsidRDefault="007F7B11" w:rsidP="00FF1C38">
      <w:pPr>
        <w:spacing w:line="360" w:lineRule="auto"/>
        <w:rPr>
          <w:rFonts w:ascii="Palatino Linotype" w:eastAsiaTheme="minorEastAsia" w:hAnsi="Palatino Linotype" w:cstheme="minorBidi"/>
          <w:lang w:val="es-MX" w:eastAsia="en-US"/>
        </w:rPr>
      </w:pPr>
    </w:p>
    <w:p w14:paraId="5385D441" w14:textId="1A5D41AE" w:rsidR="00EB08EE" w:rsidRPr="003C5388" w:rsidRDefault="00EB08EE" w:rsidP="00FF1C38">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3C538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C5388">
        <w:rPr>
          <w:rFonts w:ascii="Palatino Linotype" w:eastAsia="Calibri" w:hAnsi="Palatino Linotype"/>
          <w:b/>
        </w:rPr>
        <w:t>Constitución Política de los Estados Unidos Mexicanos</w:t>
      </w:r>
      <w:r w:rsidRPr="003C5388">
        <w:rPr>
          <w:rFonts w:ascii="Palatino Linotype" w:eastAsia="Calibri" w:hAnsi="Palatino Linotype"/>
        </w:rPr>
        <w:t xml:space="preserve">; </w:t>
      </w:r>
      <w:r w:rsidRPr="003C5388">
        <w:rPr>
          <w:rFonts w:ascii="Palatino Linotype" w:eastAsia="Calibri" w:hAnsi="Palatino Linotype" w:cs="Arial"/>
          <w:bCs/>
          <w:color w:val="222222"/>
          <w:shd w:val="clear" w:color="auto" w:fill="FFFFFF"/>
          <w:lang w:eastAsia="en-US"/>
        </w:rPr>
        <w:t>5, párrafo</w:t>
      </w:r>
      <w:r w:rsidRPr="003C5388">
        <w:rPr>
          <w:rFonts w:ascii="Palatino Linotype" w:eastAsia="Calibri" w:hAnsi="Palatino Linotype"/>
          <w:lang w:val="es-MX" w:eastAsia="en-US"/>
        </w:rPr>
        <w:t xml:space="preserve"> </w:t>
      </w:r>
      <w:r w:rsidRPr="003C5388">
        <w:rPr>
          <w:rFonts w:ascii="Palatino Linotype" w:eastAsia="Calibri" w:hAnsi="Palatino Linotype"/>
          <w:lang w:val="es-MX" w:eastAsia="en-US"/>
        </w:rPr>
        <w:lastRenderedPageBreak/>
        <w:t>trigésimo, trigésimo primero y trigésimo segundo, fracciones I, II, III, IV y V</w:t>
      </w:r>
      <w:r w:rsidRPr="003C5388">
        <w:rPr>
          <w:rFonts w:ascii="Palatino Linotype" w:eastAsia="MS Mincho" w:hAnsi="Palatino Linotype"/>
          <w:lang w:val="es-ES_tradnl"/>
        </w:rPr>
        <w:t xml:space="preserve"> </w:t>
      </w:r>
      <w:r w:rsidRPr="003C5388">
        <w:rPr>
          <w:rFonts w:ascii="Palatino Linotype" w:eastAsia="Calibri" w:hAnsi="Palatino Linotype"/>
        </w:rPr>
        <w:t xml:space="preserve">de la </w:t>
      </w:r>
      <w:r w:rsidRPr="003C5388">
        <w:rPr>
          <w:rFonts w:ascii="Palatino Linotype" w:eastAsia="Calibri" w:hAnsi="Palatino Linotype"/>
          <w:b/>
        </w:rPr>
        <w:t>Constitución Política del Estado Libre y Soberano de México</w:t>
      </w:r>
      <w:r w:rsidRPr="003C5388">
        <w:rPr>
          <w:rFonts w:ascii="Palatino Linotype" w:eastAsia="Calibri" w:hAnsi="Palatino Linotype"/>
        </w:rPr>
        <w:t xml:space="preserve">; artículos 1, 2 fracción II, 13, 29, 36 fracciones I y II, 176, 178, 179, 181 párrafo tercero y 185 </w:t>
      </w:r>
      <w:r w:rsidRPr="003C5388">
        <w:rPr>
          <w:rFonts w:ascii="Palatino Linotype" w:eastAsia="Calibri" w:hAnsi="Palatino Linotype" w:cs="Arial"/>
        </w:rPr>
        <w:t xml:space="preserve">de la </w:t>
      </w:r>
      <w:r w:rsidRPr="003C5388">
        <w:rPr>
          <w:rFonts w:ascii="Palatino Linotype" w:eastAsia="Calibri" w:hAnsi="Palatino Linotype" w:cs="Arial"/>
          <w:b/>
        </w:rPr>
        <w:t>Ley de Transparencia y Acceso a la Información Pública del Estado de México y Municipios</w:t>
      </w:r>
      <w:r w:rsidRPr="003C5388">
        <w:rPr>
          <w:rFonts w:ascii="Palatino Linotype" w:eastAsia="Calibri" w:hAnsi="Palatino Linotype" w:cs="Arial"/>
        </w:rPr>
        <w:t xml:space="preserve">; </w:t>
      </w:r>
      <w:r w:rsidRPr="003C5388">
        <w:rPr>
          <w:rFonts w:ascii="Palatino Linotype" w:eastAsia="Calibri" w:hAnsi="Palatino Linotype" w:cs="Arial"/>
          <w:b/>
        </w:rPr>
        <w:t>7, 9 fracciones I y XXIV, y 11</w:t>
      </w:r>
      <w:r w:rsidRPr="003C5388">
        <w:rPr>
          <w:rFonts w:ascii="Palatino Linotype" w:eastAsia="Calibri" w:hAnsi="Palatino Linotype" w:cs="Arial"/>
        </w:rPr>
        <w:t xml:space="preserve"> del </w:t>
      </w:r>
      <w:r w:rsidRPr="003C5388">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3C5388" w:rsidRDefault="007F7B11" w:rsidP="00FF1C38">
      <w:pPr>
        <w:tabs>
          <w:tab w:val="left" w:pos="284"/>
          <w:tab w:val="left" w:pos="426"/>
        </w:tabs>
        <w:spacing w:line="360" w:lineRule="auto"/>
        <w:contextualSpacing/>
        <w:jc w:val="both"/>
        <w:rPr>
          <w:rFonts w:ascii="Palatino Linotype" w:eastAsia="Calibri" w:hAnsi="Palatino Linotype"/>
          <w:b/>
          <w:lang w:val="es-ES_tradnl"/>
        </w:rPr>
      </w:pPr>
    </w:p>
    <w:p w14:paraId="779A0BEE" w14:textId="60D9A59B" w:rsidR="00C776DD" w:rsidRPr="003C5388" w:rsidRDefault="007F7B11" w:rsidP="00C776DD">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100171627"/>
      <w:r w:rsidRPr="003C5388">
        <w:rPr>
          <w:rFonts w:ascii="Palatino Linotype" w:eastAsiaTheme="majorEastAsia" w:hAnsi="Palatino Linotype" w:cstheme="majorBidi"/>
          <w:b/>
          <w:lang w:val="es-MX" w:eastAsia="en-US"/>
        </w:rPr>
        <w:t>SEGUNDO. De la oportunidad y procedencia.</w:t>
      </w:r>
      <w:bookmarkEnd w:id="9"/>
      <w:bookmarkEnd w:id="10"/>
      <w:bookmarkEnd w:id="11"/>
    </w:p>
    <w:p w14:paraId="68E7B4C3" w14:textId="77777777" w:rsidR="00C776DD" w:rsidRPr="003C5388" w:rsidRDefault="00C776DD" w:rsidP="00C776DD">
      <w:pPr>
        <w:pStyle w:val="Prrafodelista"/>
        <w:keepNext/>
        <w:keepLines/>
        <w:numPr>
          <w:ilvl w:val="0"/>
          <w:numId w:val="36"/>
        </w:numPr>
        <w:suppressAutoHyphens/>
        <w:spacing w:before="240" w:line="360" w:lineRule="auto"/>
        <w:ind w:left="0" w:firstLine="0"/>
        <w:outlineLvl w:val="0"/>
        <w:rPr>
          <w:rFonts w:ascii="Palatino Linotype" w:hAnsi="Palatino Linotype"/>
          <w:color w:val="2E74B5"/>
          <w:lang w:eastAsia="en-US"/>
        </w:rPr>
      </w:pPr>
      <w:bookmarkStart w:id="12" w:name="_Toc88563301"/>
      <w:bookmarkStart w:id="13" w:name="_Toc94140289"/>
      <w:bookmarkStart w:id="14" w:name="_Toc100171628"/>
      <w:r w:rsidRPr="003C5388">
        <w:rPr>
          <w:rFonts w:ascii="Palatino Linotype" w:hAnsi="Palatino Linotype"/>
          <w:b/>
          <w:color w:val="000000"/>
        </w:rPr>
        <w:t>De la interposición del recurso</w:t>
      </w:r>
      <w:r w:rsidRPr="003C5388">
        <w:rPr>
          <w:rFonts w:ascii="Palatino Linotype" w:hAnsi="Palatino Linotype"/>
          <w:color w:val="2E74B5"/>
        </w:rPr>
        <w:t>.</w:t>
      </w:r>
      <w:bookmarkEnd w:id="12"/>
      <w:bookmarkEnd w:id="13"/>
      <w:bookmarkEnd w:id="14"/>
      <w:r w:rsidRPr="003C5388">
        <w:rPr>
          <w:rFonts w:ascii="Palatino Linotype" w:hAnsi="Palatino Linotype"/>
          <w:color w:val="2E74B5"/>
        </w:rPr>
        <w:t xml:space="preserve"> </w:t>
      </w:r>
    </w:p>
    <w:p w14:paraId="1C0E8A3D" w14:textId="77777777" w:rsidR="00C776DD" w:rsidRPr="003C5388" w:rsidRDefault="00C776DD" w:rsidP="00C776DD">
      <w:pPr>
        <w:spacing w:line="360" w:lineRule="auto"/>
        <w:rPr>
          <w:rFonts w:ascii="Palatino Linotype" w:hAnsi="Palatino Linotype"/>
          <w:lang w:val="es-MX" w:eastAsia="en-US"/>
        </w:rPr>
      </w:pPr>
    </w:p>
    <w:p w14:paraId="74DA0120" w14:textId="77777777" w:rsidR="00C776DD" w:rsidRPr="003C5388" w:rsidRDefault="00C776DD" w:rsidP="00C776DD">
      <w:pPr>
        <w:pStyle w:val="Prrafodelista"/>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3C5388">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3C5388">
        <w:rPr>
          <w:rFonts w:ascii="Palatino Linotype" w:eastAsia="Calibri" w:hAnsi="Palatino Linotype" w:cs="Arial"/>
          <w:b/>
          <w:lang w:eastAsia="en-US"/>
        </w:rPr>
        <w:t>SUJETO OBLIGADO</w:t>
      </w:r>
      <w:r w:rsidRPr="003C5388">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A6A26F4" w14:textId="77777777" w:rsidR="00C776DD" w:rsidRPr="003C5388" w:rsidRDefault="00C776DD" w:rsidP="00C776DD">
      <w:pPr>
        <w:tabs>
          <w:tab w:val="left" w:pos="426"/>
        </w:tabs>
        <w:spacing w:line="360" w:lineRule="auto"/>
        <w:contextualSpacing/>
        <w:jc w:val="both"/>
        <w:rPr>
          <w:rFonts w:ascii="Palatino Linotype" w:hAnsi="Palatino Linotype" w:cs="Arial"/>
          <w:color w:val="000000"/>
          <w:lang w:val="es-ES_tradnl"/>
        </w:rPr>
      </w:pPr>
    </w:p>
    <w:p w14:paraId="05654213" w14:textId="77777777" w:rsidR="00C776DD" w:rsidRPr="003C5388" w:rsidRDefault="00C776DD" w:rsidP="00C776DD">
      <w:pPr>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C5388">
        <w:rPr>
          <w:rFonts w:ascii="Palatino Linotype" w:eastAsia="Calibri" w:hAnsi="Palatino Linotype" w:cs="Arial"/>
        </w:rPr>
        <w:t xml:space="preserve">Por ende, se constituye la figura jurídica de la </w:t>
      </w:r>
      <w:r w:rsidRPr="003C5388">
        <w:rPr>
          <w:rFonts w:ascii="Palatino Linotype" w:eastAsia="Calibri" w:hAnsi="Palatino Linotype" w:cs="Arial"/>
          <w:i/>
        </w:rPr>
        <w:t>negativa ficta</w:t>
      </w:r>
      <w:r w:rsidRPr="003C5388">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w:t>
      </w:r>
      <w:r w:rsidRPr="003C5388">
        <w:rPr>
          <w:rFonts w:ascii="Palatino Linotype" w:eastAsia="Calibri" w:hAnsi="Palatino Linotype" w:cs="Arial"/>
        </w:rPr>
        <w:lastRenderedPageBreak/>
        <w:t xml:space="preserve">que establece el artículo </w:t>
      </w:r>
      <w:r w:rsidRPr="003C5388">
        <w:rPr>
          <w:rFonts w:ascii="Palatino Linotype" w:eastAsia="Calibri" w:hAnsi="Palatino Linotype" w:cs="Arial"/>
          <w:b/>
        </w:rPr>
        <w:t>178</w:t>
      </w:r>
      <w:r w:rsidRPr="003C5388">
        <w:rPr>
          <w:rFonts w:ascii="Palatino Linotype" w:eastAsia="Calibri" w:hAnsi="Palatino Linotype" w:cs="Arial"/>
        </w:rPr>
        <w:t xml:space="preserve"> segundo párrafo de </w:t>
      </w:r>
      <w:r w:rsidRPr="003C5388">
        <w:rPr>
          <w:rFonts w:ascii="Palatino Linotype" w:eastAsia="Calibri" w:hAnsi="Palatino Linotype" w:cs="Arial"/>
          <w:b/>
        </w:rPr>
        <w:t>Ley de Transparencia y Acceso a la Información Pública del Estado de México y Municipios</w:t>
      </w:r>
      <w:r w:rsidRPr="003C5388">
        <w:rPr>
          <w:rFonts w:ascii="Palatino Linotype" w:eastAsia="Calibri" w:hAnsi="Palatino Linotype"/>
          <w:color w:val="000000"/>
          <w:shd w:val="clear" w:color="auto" w:fill="FFFFFF"/>
          <w:lang w:val="es-MX" w:eastAsia="en-US"/>
        </w:rPr>
        <w:t xml:space="preserve">, que dispone; ante la falta de respuesta del </w:t>
      </w:r>
      <w:r w:rsidRPr="003C5388">
        <w:rPr>
          <w:rFonts w:ascii="Palatino Linotype" w:eastAsia="Calibri" w:hAnsi="Palatino Linotype"/>
          <w:b/>
          <w:color w:val="000000"/>
          <w:shd w:val="clear" w:color="auto" w:fill="FFFFFF"/>
          <w:lang w:val="es-MX" w:eastAsia="en-US"/>
        </w:rPr>
        <w:t>SUJETO OBLIGADO,</w:t>
      </w:r>
      <w:r w:rsidRPr="003C5388">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3C5388">
        <w:rPr>
          <w:rFonts w:ascii="Palatino Linotype" w:eastAsia="Calibri" w:hAnsi="Palatino Linotype"/>
          <w:b/>
          <w:color w:val="000000"/>
          <w:shd w:val="clear" w:color="auto" w:fill="FFFFFF"/>
          <w:lang w:val="es-MX" w:eastAsia="en-US"/>
        </w:rPr>
        <w:t xml:space="preserve">podrá ser interpuesto en cualquier momento. </w:t>
      </w:r>
    </w:p>
    <w:p w14:paraId="18A487CE" w14:textId="77777777" w:rsidR="00C776DD" w:rsidRPr="003C5388" w:rsidRDefault="00C776DD" w:rsidP="00C776DD">
      <w:pPr>
        <w:tabs>
          <w:tab w:val="left" w:pos="426"/>
        </w:tabs>
        <w:spacing w:line="360" w:lineRule="auto"/>
        <w:contextualSpacing/>
        <w:rPr>
          <w:rFonts w:ascii="Palatino Linotype" w:hAnsi="Palatino Linotype" w:cs="Arial"/>
          <w:color w:val="000000"/>
          <w:lang w:val="es-ES_tradnl"/>
        </w:rPr>
      </w:pPr>
    </w:p>
    <w:p w14:paraId="7AFAA673" w14:textId="77777777" w:rsidR="00C776DD" w:rsidRPr="003C5388" w:rsidRDefault="00C776DD" w:rsidP="00C776DD">
      <w:pPr>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C5388">
        <w:rPr>
          <w:rFonts w:ascii="Palatino Linotype" w:eastAsia="Calibri" w:hAnsi="Palatino Linotype" w:cs="Arial"/>
        </w:rPr>
        <w:t xml:space="preserve">Por lo que, tratándose de la </w:t>
      </w:r>
      <w:r w:rsidRPr="003C5388">
        <w:rPr>
          <w:rFonts w:ascii="Palatino Linotype" w:eastAsia="Calibri" w:hAnsi="Palatino Linotype" w:cs="Arial"/>
          <w:i/>
        </w:rPr>
        <w:t>negativa ficta</w:t>
      </w:r>
      <w:r w:rsidRPr="003C5388">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3C5388">
        <w:rPr>
          <w:rFonts w:ascii="Palatino Linotype" w:eastAsia="Calibri" w:hAnsi="Palatino Linotype" w:cs="Arial"/>
          <w:i/>
        </w:rPr>
        <w:t>negativa ficta</w:t>
      </w:r>
      <w:r w:rsidRPr="003C5388">
        <w:rPr>
          <w:rFonts w:ascii="Palatino Linotype" w:eastAsia="Calibri" w:hAnsi="Palatino Linotype" w:cs="Arial"/>
        </w:rPr>
        <w:t>, que señala:</w:t>
      </w:r>
    </w:p>
    <w:p w14:paraId="7CD087F4" w14:textId="77777777" w:rsidR="00C776DD" w:rsidRPr="003C5388" w:rsidRDefault="00C776DD" w:rsidP="00C776DD">
      <w:pPr>
        <w:spacing w:line="360" w:lineRule="auto"/>
        <w:contextualSpacing/>
        <w:jc w:val="both"/>
        <w:rPr>
          <w:rFonts w:ascii="Palatino Linotype" w:hAnsi="Palatino Linotype" w:cs="Arial"/>
          <w:color w:val="000000"/>
          <w:lang w:val="es-ES_tradnl"/>
        </w:rPr>
      </w:pPr>
    </w:p>
    <w:p w14:paraId="66FC9758" w14:textId="77777777" w:rsidR="00C776DD" w:rsidRPr="003C5388" w:rsidRDefault="00C776DD" w:rsidP="00C776DD">
      <w:pPr>
        <w:tabs>
          <w:tab w:val="left" w:pos="7655"/>
        </w:tabs>
        <w:spacing w:after="240" w:line="360" w:lineRule="auto"/>
        <w:ind w:left="567" w:right="567"/>
        <w:jc w:val="center"/>
        <w:rPr>
          <w:rFonts w:ascii="Palatino Linotype" w:eastAsia="Calibri" w:hAnsi="Palatino Linotype" w:cs="Arial"/>
          <w:b/>
        </w:rPr>
      </w:pPr>
      <w:r w:rsidRPr="003C5388">
        <w:rPr>
          <w:rFonts w:ascii="Palatino Linotype" w:eastAsia="Calibri" w:hAnsi="Palatino Linotype" w:cs="Arial"/>
          <w:b/>
        </w:rPr>
        <w:t>Criterio 0001-15</w:t>
      </w:r>
    </w:p>
    <w:p w14:paraId="034706FB" w14:textId="77777777" w:rsidR="00C776DD" w:rsidRPr="003C5388" w:rsidRDefault="00C776DD" w:rsidP="00C776DD">
      <w:pPr>
        <w:tabs>
          <w:tab w:val="left" w:pos="7655"/>
        </w:tabs>
        <w:spacing w:before="240" w:after="240" w:line="360" w:lineRule="auto"/>
        <w:ind w:left="567" w:right="567"/>
        <w:jc w:val="both"/>
        <w:rPr>
          <w:rFonts w:ascii="Palatino Linotype" w:eastAsia="Calibri" w:hAnsi="Palatino Linotype" w:cs="Arial"/>
          <w:i/>
        </w:rPr>
      </w:pPr>
      <w:r w:rsidRPr="003C5388">
        <w:rPr>
          <w:rFonts w:ascii="Palatino Linotype" w:eastAsia="Calibri" w:hAnsi="Palatino Linotype" w:cs="Arial"/>
          <w:b/>
          <w:i/>
        </w:rPr>
        <w:t>NEGATIVA FICTA. PLAZO PARA INTERPONER EL RECURSO DE REVISIÓN TRATÁNDOSE DE.</w:t>
      </w:r>
      <w:r w:rsidRPr="003C5388">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w:t>
      </w:r>
      <w:r w:rsidRPr="003C5388">
        <w:rPr>
          <w:rFonts w:ascii="Palatino Linotype" w:eastAsia="Calibri" w:hAnsi="Palatino Linotype" w:cs="Arial"/>
          <w:i/>
        </w:rPr>
        <w:lastRenderedPageBreak/>
        <w:t>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6E36FE6" w14:textId="77777777" w:rsidR="00C776DD" w:rsidRPr="003C5388" w:rsidRDefault="00C776DD" w:rsidP="00C776DD">
      <w:pPr>
        <w:tabs>
          <w:tab w:val="left" w:pos="7655"/>
        </w:tabs>
        <w:spacing w:line="360" w:lineRule="auto"/>
        <w:ind w:left="567" w:right="567"/>
        <w:jc w:val="both"/>
        <w:rPr>
          <w:rFonts w:ascii="Palatino Linotype" w:eastAsia="Calibri" w:hAnsi="Palatino Linotype" w:cs="Arial"/>
          <w:i/>
        </w:rPr>
      </w:pPr>
    </w:p>
    <w:p w14:paraId="51937CC9" w14:textId="0E2876DE" w:rsidR="00C776DD" w:rsidRPr="003C5388" w:rsidRDefault="00C776DD" w:rsidP="00C776DD">
      <w:pPr>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3C5388">
        <w:rPr>
          <w:rFonts w:ascii="Palatino Linotype" w:hAnsi="Palatino Linotype" w:cs="Arial"/>
          <w:color w:val="000000"/>
          <w:lang w:eastAsia="es-MX"/>
        </w:rPr>
        <w:t xml:space="preserve">Lo anterior, se explica porque la </w:t>
      </w:r>
      <w:r w:rsidRPr="003C5388">
        <w:rPr>
          <w:rFonts w:ascii="Palatino Linotype" w:hAnsi="Palatino Linotype" w:cs="Arial"/>
          <w:b/>
          <w:color w:val="000000"/>
          <w:lang w:eastAsia="es-MX"/>
        </w:rPr>
        <w:t>ausencia</w:t>
      </w:r>
      <w:r w:rsidRPr="003C5388">
        <w:rPr>
          <w:rFonts w:ascii="Palatino Linotype" w:hAnsi="Palatino Linotype" w:cs="Arial"/>
          <w:color w:val="000000"/>
          <w:lang w:eastAsia="es-MX"/>
        </w:rPr>
        <w:t xml:space="preserve"> de una respuesta en la solicitud constituye un acto que vulnera el derecho de manera continua y actualizable cada día, en tanto no se emita la respuesta a la que esté impuesto el </w:t>
      </w:r>
      <w:r w:rsidRPr="003C5388">
        <w:rPr>
          <w:rFonts w:ascii="Palatino Linotype" w:hAnsi="Palatino Linotype" w:cs="Arial"/>
          <w:b/>
          <w:color w:val="000000"/>
          <w:lang w:eastAsia="es-MX"/>
        </w:rPr>
        <w:t>SUJETO OBLIGADO</w:t>
      </w:r>
      <w:r w:rsidRPr="003C5388">
        <w:rPr>
          <w:rFonts w:ascii="Palatino Linotype" w:hAnsi="Palatino Linotype" w:cs="Arial"/>
          <w:color w:val="000000"/>
          <w:lang w:eastAsia="es-MX"/>
        </w:rPr>
        <w:t>.</w:t>
      </w:r>
    </w:p>
    <w:p w14:paraId="4164EABB" w14:textId="77777777" w:rsidR="00C776DD" w:rsidRPr="003C5388" w:rsidRDefault="00C776DD" w:rsidP="00C776DD">
      <w:pPr>
        <w:tabs>
          <w:tab w:val="left" w:pos="426"/>
        </w:tabs>
        <w:suppressAutoHyphens/>
        <w:spacing w:after="160" w:line="360" w:lineRule="auto"/>
        <w:contextualSpacing/>
        <w:jc w:val="both"/>
        <w:rPr>
          <w:rFonts w:ascii="Palatino Linotype" w:hAnsi="Palatino Linotype" w:cs="Arial"/>
          <w:color w:val="000000"/>
          <w:lang w:eastAsia="es-MX"/>
        </w:rPr>
      </w:pPr>
    </w:p>
    <w:p w14:paraId="5899928D" w14:textId="758DCFBC" w:rsidR="000167BD" w:rsidRPr="003C5388" w:rsidRDefault="000167BD" w:rsidP="00FF1C38">
      <w:pPr>
        <w:pStyle w:val="Ttulo1"/>
        <w:spacing w:line="360" w:lineRule="auto"/>
        <w:jc w:val="both"/>
        <w:rPr>
          <w:rFonts w:ascii="Palatino Linotype" w:eastAsia="Calibri" w:hAnsi="Palatino Linotype" w:cs="Arial"/>
          <w:sz w:val="24"/>
          <w:szCs w:val="24"/>
        </w:rPr>
      </w:pPr>
      <w:bookmarkStart w:id="15" w:name="_Toc86941038"/>
      <w:bookmarkStart w:id="16" w:name="_Toc97170672"/>
      <w:bookmarkStart w:id="17" w:name="_Toc99013132"/>
      <w:bookmarkStart w:id="18" w:name="_Toc100171629"/>
      <w:r w:rsidRPr="003C5388">
        <w:rPr>
          <w:rFonts w:ascii="Palatino Linotype" w:hAnsi="Palatino Linotype"/>
          <w:b/>
          <w:color w:val="auto"/>
          <w:sz w:val="24"/>
          <w:szCs w:val="24"/>
        </w:rPr>
        <w:t>II. Del nombre como requisito innecesario para la tramitación del recurso.</w:t>
      </w:r>
      <w:bookmarkEnd w:id="15"/>
      <w:bookmarkEnd w:id="16"/>
      <w:bookmarkEnd w:id="17"/>
      <w:bookmarkEnd w:id="18"/>
      <w:r w:rsidRPr="003C5388">
        <w:rPr>
          <w:rFonts w:ascii="Palatino Linotype" w:hAnsi="Palatino Linotype"/>
          <w:b/>
          <w:color w:val="auto"/>
          <w:sz w:val="24"/>
          <w:szCs w:val="24"/>
        </w:rPr>
        <w:t xml:space="preserve"> </w:t>
      </w:r>
    </w:p>
    <w:p w14:paraId="16980151" w14:textId="77777777" w:rsidR="000167BD" w:rsidRPr="003C5388" w:rsidRDefault="000167BD" w:rsidP="00FF1C38">
      <w:pPr>
        <w:tabs>
          <w:tab w:val="left" w:pos="426"/>
        </w:tabs>
        <w:spacing w:line="360" w:lineRule="auto"/>
        <w:ind w:right="49"/>
        <w:contextualSpacing/>
        <w:jc w:val="both"/>
        <w:rPr>
          <w:rFonts w:ascii="Palatino Linotype" w:hAnsi="Palatino Linotype" w:cs="Arial"/>
          <w:b/>
        </w:rPr>
      </w:pPr>
    </w:p>
    <w:p w14:paraId="60774EF3" w14:textId="6E2A5207" w:rsidR="000167BD" w:rsidRPr="003C5388" w:rsidRDefault="000167BD" w:rsidP="00FF1C38">
      <w:pPr>
        <w:pStyle w:val="Prrafodelista"/>
        <w:numPr>
          <w:ilvl w:val="0"/>
          <w:numId w:val="17"/>
        </w:numPr>
        <w:tabs>
          <w:tab w:val="left" w:pos="0"/>
        </w:tabs>
        <w:spacing w:after="160" w:line="360" w:lineRule="auto"/>
        <w:ind w:left="0" w:right="49" w:firstLine="0"/>
        <w:contextualSpacing/>
        <w:jc w:val="both"/>
        <w:rPr>
          <w:rFonts w:ascii="Palatino Linotype" w:hAnsi="Palatino Linotype" w:cs="Arial"/>
          <w:b/>
          <w:lang w:val="es-ES_tradnl"/>
        </w:rPr>
      </w:pPr>
      <w:r w:rsidRPr="003C5388">
        <w:rPr>
          <w:rFonts w:ascii="Palatino Linotype" w:hAnsi="Palatino Linotype" w:cs="Arial"/>
          <w:bCs/>
          <w:lang w:val="es-ES_tradnl"/>
        </w:rPr>
        <w:t xml:space="preserve">Por </w:t>
      </w:r>
      <w:r w:rsidRPr="003C5388">
        <w:rPr>
          <w:rFonts w:ascii="Palatino Linotype" w:hAnsi="Palatino Linotype" w:cs="Arial"/>
          <w:bCs/>
        </w:rPr>
        <w:t xml:space="preserve">otro lado, de la revisión a los expedientes electrónicos contenidos en el sistema </w:t>
      </w:r>
      <w:r w:rsidRPr="003C5388">
        <w:rPr>
          <w:rFonts w:ascii="Palatino Linotype" w:hAnsi="Palatino Linotype" w:cs="Arial"/>
          <w:b/>
          <w:bCs/>
        </w:rPr>
        <w:t>SAIMEX,</w:t>
      </w:r>
      <w:r w:rsidRPr="003C538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C5388">
        <w:rPr>
          <w:rFonts w:ascii="Palatino Linotype" w:hAnsi="Palatino Linotype" w:cs="Arial"/>
          <w:b/>
          <w:bCs/>
        </w:rPr>
        <w:t>no señaló su nombre completo, ni se tiene certeza sobre su identidad</w:t>
      </w:r>
      <w:r w:rsidRPr="003C5388">
        <w:rPr>
          <w:rFonts w:ascii="Palatino Linotype" w:hAnsi="Palatino Linotype" w:cs="Arial"/>
          <w:bCs/>
        </w:rPr>
        <w:t xml:space="preserve">; sin embargo, es importante señalar que el nombre de los Solicitantes y Recurrentes no es un requisito indispensable para la tramitación del acto procesal específico en materia </w:t>
      </w:r>
      <w:r w:rsidRPr="003C5388">
        <w:rPr>
          <w:rFonts w:ascii="Palatino Linotype" w:hAnsi="Palatino Linotype" w:cs="Arial"/>
          <w:bCs/>
        </w:rPr>
        <w:lastRenderedPageBreak/>
        <w:t>de acceso a la información, ello en estricto apego al numeral 155 párrafo tercero de la Ley de la materia, en concatenación con el 180 del mismo ordenamiento.</w:t>
      </w:r>
    </w:p>
    <w:p w14:paraId="5C1CA7E7" w14:textId="77777777" w:rsidR="000167BD" w:rsidRPr="003C5388" w:rsidRDefault="000167BD" w:rsidP="00FF1C38">
      <w:pPr>
        <w:tabs>
          <w:tab w:val="left" w:pos="426"/>
        </w:tabs>
        <w:spacing w:line="360" w:lineRule="auto"/>
        <w:ind w:right="49"/>
        <w:contextualSpacing/>
        <w:jc w:val="both"/>
        <w:rPr>
          <w:rFonts w:ascii="Palatino Linotype" w:hAnsi="Palatino Linotype" w:cs="Arial"/>
          <w:b/>
        </w:rPr>
      </w:pPr>
    </w:p>
    <w:p w14:paraId="52622AC6" w14:textId="77777777" w:rsidR="000167BD" w:rsidRPr="003C5388" w:rsidRDefault="000167BD" w:rsidP="00FF1C38">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C5388">
        <w:rPr>
          <w:rFonts w:ascii="Palatino Linotype" w:hAnsi="Palatino Linotype" w:cs="Arial"/>
          <w:bCs/>
        </w:rPr>
        <w:t xml:space="preserve">Esto es así, ya que de conformidad con los artículos 6, apartado A, fracciones III y IV de la </w:t>
      </w:r>
      <w:r w:rsidRPr="003C5388">
        <w:rPr>
          <w:rFonts w:ascii="Palatino Linotype" w:hAnsi="Palatino Linotype" w:cs="Arial"/>
          <w:b/>
          <w:bCs/>
        </w:rPr>
        <w:t>Constitución Política de los Estados Unidos Mexicanos</w:t>
      </w:r>
      <w:r w:rsidRPr="003C5388">
        <w:rPr>
          <w:rFonts w:ascii="Palatino Linotype" w:hAnsi="Palatino Linotype" w:cs="Arial"/>
          <w:bCs/>
        </w:rPr>
        <w:t xml:space="preserve">; 5, párrafos trigésimo, trigésimo primero y trigésimo segundo, fracciones III, IV y V, de la </w:t>
      </w:r>
      <w:r w:rsidRPr="003C5388">
        <w:rPr>
          <w:rFonts w:ascii="Palatino Linotype" w:hAnsi="Palatino Linotype" w:cs="Arial"/>
          <w:b/>
          <w:bCs/>
        </w:rPr>
        <w:t>Constitución Política del Estado Libre y Soberano de México</w:t>
      </w:r>
      <w:r w:rsidRPr="003C538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0FD050" w14:textId="77777777" w:rsidR="000167BD" w:rsidRPr="003C5388" w:rsidRDefault="000167BD" w:rsidP="00FF1C38">
      <w:pPr>
        <w:tabs>
          <w:tab w:val="left" w:pos="426"/>
        </w:tabs>
        <w:spacing w:line="360" w:lineRule="auto"/>
        <w:ind w:right="49"/>
        <w:contextualSpacing/>
        <w:jc w:val="both"/>
        <w:rPr>
          <w:rFonts w:ascii="Palatino Linotype" w:hAnsi="Palatino Linotype" w:cs="Arial"/>
          <w:b/>
        </w:rPr>
      </w:pPr>
    </w:p>
    <w:p w14:paraId="48B7537F" w14:textId="77777777" w:rsidR="000167BD" w:rsidRPr="003C5388" w:rsidRDefault="000167BD" w:rsidP="00FF1C38">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C538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0AFF16" w14:textId="77777777" w:rsidR="000167BD" w:rsidRPr="003C5388" w:rsidRDefault="000167BD" w:rsidP="00FF1C38">
      <w:pPr>
        <w:tabs>
          <w:tab w:val="left" w:pos="426"/>
        </w:tabs>
        <w:spacing w:line="360" w:lineRule="auto"/>
        <w:ind w:right="49"/>
        <w:contextualSpacing/>
        <w:jc w:val="both"/>
        <w:rPr>
          <w:rFonts w:ascii="Palatino Linotype" w:hAnsi="Palatino Linotype" w:cs="Arial"/>
          <w:b/>
        </w:rPr>
      </w:pPr>
    </w:p>
    <w:p w14:paraId="0CE8C191" w14:textId="77777777" w:rsidR="000167BD" w:rsidRPr="003C5388" w:rsidRDefault="000167BD" w:rsidP="00FF1C38">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C5388">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8569198" w14:textId="77777777" w:rsidR="000167BD" w:rsidRPr="003C5388" w:rsidRDefault="000167BD" w:rsidP="00FF1C38">
      <w:pPr>
        <w:tabs>
          <w:tab w:val="left" w:pos="426"/>
        </w:tabs>
        <w:spacing w:line="360" w:lineRule="auto"/>
        <w:ind w:right="49"/>
        <w:contextualSpacing/>
        <w:jc w:val="both"/>
        <w:rPr>
          <w:rFonts w:ascii="Palatino Linotype" w:hAnsi="Palatino Linotype" w:cs="Arial"/>
          <w:b/>
        </w:rPr>
      </w:pPr>
    </w:p>
    <w:p w14:paraId="0C1C5DB9" w14:textId="77777777" w:rsidR="000167BD" w:rsidRPr="003C5388" w:rsidRDefault="000167BD" w:rsidP="00FF1C38">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C538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7442C18" w14:textId="77777777" w:rsidR="000167BD" w:rsidRPr="003C5388" w:rsidRDefault="000167BD" w:rsidP="00FF1C38">
      <w:pPr>
        <w:tabs>
          <w:tab w:val="left" w:pos="426"/>
        </w:tabs>
        <w:spacing w:line="360" w:lineRule="auto"/>
        <w:ind w:right="49"/>
        <w:contextualSpacing/>
        <w:jc w:val="both"/>
        <w:rPr>
          <w:rFonts w:ascii="Palatino Linotype" w:hAnsi="Palatino Linotype" w:cs="Arial"/>
          <w:b/>
        </w:rPr>
      </w:pPr>
    </w:p>
    <w:p w14:paraId="283DA2BE" w14:textId="21DF4142" w:rsidR="000167BD" w:rsidRPr="003C5388" w:rsidRDefault="000167BD" w:rsidP="00FF1C38">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C5388">
        <w:rPr>
          <w:rFonts w:ascii="Palatino Linotype" w:hAnsi="Palatino Linotype" w:cs="Arial"/>
          <w:bCs/>
        </w:rPr>
        <w:t xml:space="preserve">Por lo tanto, el nombre de la </w:t>
      </w:r>
      <w:r w:rsidRPr="003C5388">
        <w:rPr>
          <w:rFonts w:ascii="Palatino Linotype" w:hAnsi="Palatino Linotype" w:cs="Arial"/>
          <w:b/>
          <w:bCs/>
        </w:rPr>
        <w:t>SOLICITANTE</w:t>
      </w:r>
      <w:r w:rsidRPr="003C5388">
        <w:rPr>
          <w:rFonts w:ascii="Palatino Linotype" w:hAnsi="Palatino Linotype" w:cs="Arial"/>
          <w:bCs/>
        </w:rPr>
        <w:t xml:space="preserve"> y subsecuente </w:t>
      </w:r>
      <w:r w:rsidRPr="003C5388">
        <w:rPr>
          <w:rFonts w:ascii="Palatino Linotype" w:hAnsi="Palatino Linotype" w:cs="Arial"/>
          <w:b/>
          <w:bCs/>
        </w:rPr>
        <w:t>RECURRENTE</w:t>
      </w:r>
      <w:r w:rsidRPr="003C538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5C1AA4" w:rsidRPr="003C5388">
        <w:rPr>
          <w:rFonts w:ascii="Palatino Linotype" w:hAnsi="Palatino Linotype" w:cs="Arial"/>
          <w:bCs/>
        </w:rPr>
        <w:t xml:space="preserve">Garante. </w:t>
      </w:r>
    </w:p>
    <w:p w14:paraId="589C0EE6" w14:textId="225A6B91" w:rsidR="000167BD" w:rsidRPr="003C5388" w:rsidRDefault="000167BD" w:rsidP="00FF1C38">
      <w:pPr>
        <w:tabs>
          <w:tab w:val="left" w:pos="426"/>
        </w:tabs>
        <w:spacing w:after="160" w:line="360" w:lineRule="auto"/>
        <w:ind w:right="49"/>
        <w:contextualSpacing/>
        <w:jc w:val="both"/>
        <w:rPr>
          <w:rFonts w:ascii="Palatino Linotype" w:hAnsi="Palatino Linotype" w:cs="Arial"/>
          <w:b/>
        </w:rPr>
      </w:pPr>
    </w:p>
    <w:p w14:paraId="4D628ED6" w14:textId="0354B402" w:rsidR="003A0689" w:rsidRPr="003C5388" w:rsidRDefault="003A0689" w:rsidP="00FF1C38">
      <w:pPr>
        <w:keepNext/>
        <w:keepLines/>
        <w:spacing w:before="240" w:line="360" w:lineRule="auto"/>
        <w:jc w:val="both"/>
        <w:outlineLvl w:val="0"/>
        <w:rPr>
          <w:rFonts w:ascii="Palatino Linotype" w:hAnsi="Palatino Linotype" w:cs="Arial"/>
          <w:b/>
        </w:rPr>
      </w:pPr>
      <w:bookmarkStart w:id="19" w:name="_Toc85137160"/>
      <w:bookmarkStart w:id="20" w:name="_Toc96526730"/>
      <w:bookmarkStart w:id="21" w:name="_Toc96549903"/>
      <w:bookmarkStart w:id="22" w:name="_Toc99013133"/>
      <w:bookmarkStart w:id="23" w:name="_Toc100171630"/>
      <w:r w:rsidRPr="003C5388">
        <w:rPr>
          <w:rFonts w:ascii="Palatino Linotype" w:eastAsiaTheme="majorEastAsia" w:hAnsi="Palatino Linotype" w:cstheme="majorBidi"/>
          <w:b/>
        </w:rPr>
        <w:t>I</w:t>
      </w:r>
      <w:bookmarkStart w:id="24" w:name="_Toc67587987"/>
      <w:bookmarkStart w:id="25" w:name="_Toc68804763"/>
      <w:bookmarkStart w:id="26" w:name="_Toc96526731"/>
      <w:bookmarkEnd w:id="19"/>
      <w:bookmarkEnd w:id="20"/>
      <w:r w:rsidR="000A6CEB" w:rsidRPr="003C5388">
        <w:rPr>
          <w:rFonts w:ascii="Palatino Linotype" w:eastAsiaTheme="majorEastAsia" w:hAnsi="Palatino Linotype" w:cstheme="majorBidi"/>
          <w:b/>
        </w:rPr>
        <w:t>II</w:t>
      </w:r>
      <w:r w:rsidRPr="003C5388">
        <w:rPr>
          <w:rFonts w:ascii="Palatino Linotype" w:eastAsiaTheme="majorEastAsia" w:hAnsi="Palatino Linotype" w:cstheme="majorBidi"/>
          <w:b/>
          <w:color w:val="000000" w:themeColor="text1"/>
          <w:lang w:val="es-MX" w:eastAsia="en-US"/>
        </w:rPr>
        <w:t xml:space="preserve">. De la determinación sobre la </w:t>
      </w:r>
      <w:proofErr w:type="spellStart"/>
      <w:r w:rsidRPr="003C5388">
        <w:rPr>
          <w:rFonts w:ascii="Palatino Linotype" w:eastAsiaTheme="majorEastAsia" w:hAnsi="Palatino Linotype" w:cstheme="majorBidi"/>
          <w:b/>
          <w:color w:val="000000" w:themeColor="text1"/>
          <w:lang w:val="es-MX" w:eastAsia="en-US"/>
        </w:rPr>
        <w:t>procedibilidad</w:t>
      </w:r>
      <w:proofErr w:type="spellEnd"/>
      <w:r w:rsidRPr="003C5388">
        <w:rPr>
          <w:rFonts w:ascii="Palatino Linotype" w:eastAsiaTheme="majorEastAsia" w:hAnsi="Palatino Linotype" w:cstheme="majorBidi"/>
          <w:b/>
          <w:color w:val="000000" w:themeColor="text1"/>
          <w:lang w:val="es-MX" w:eastAsia="en-US"/>
        </w:rPr>
        <w:t xml:space="preserve"> del recurso.</w:t>
      </w:r>
      <w:bookmarkEnd w:id="21"/>
      <w:bookmarkEnd w:id="22"/>
      <w:bookmarkEnd w:id="23"/>
      <w:bookmarkEnd w:id="24"/>
      <w:bookmarkEnd w:id="25"/>
      <w:bookmarkEnd w:id="26"/>
      <w:r w:rsidRPr="003C5388">
        <w:rPr>
          <w:rFonts w:ascii="Palatino Linotype" w:eastAsiaTheme="majorEastAsia" w:hAnsi="Palatino Linotype" w:cstheme="majorBidi"/>
          <w:b/>
          <w:color w:val="000000" w:themeColor="text1"/>
          <w:lang w:val="es-MX" w:eastAsia="en-US"/>
        </w:rPr>
        <w:t xml:space="preserve"> </w:t>
      </w:r>
    </w:p>
    <w:p w14:paraId="590E79CA" w14:textId="77777777" w:rsidR="003A0689" w:rsidRPr="003C5388" w:rsidRDefault="003A0689" w:rsidP="00FF1C38">
      <w:pPr>
        <w:spacing w:line="360" w:lineRule="auto"/>
        <w:rPr>
          <w:rFonts w:ascii="Palatino Linotype" w:hAnsi="Palatino Linotype"/>
          <w:lang w:val="es-MX" w:eastAsia="en-US"/>
        </w:rPr>
      </w:pPr>
    </w:p>
    <w:p w14:paraId="63B996C5" w14:textId="35CBC272" w:rsidR="007F7B11" w:rsidRPr="003C5388" w:rsidRDefault="003A0689" w:rsidP="00FF1C38">
      <w:pPr>
        <w:numPr>
          <w:ilvl w:val="0"/>
          <w:numId w:val="29"/>
        </w:numPr>
        <w:spacing w:after="160" w:line="360" w:lineRule="auto"/>
        <w:ind w:left="0" w:right="49" w:firstLine="0"/>
        <w:contextualSpacing/>
        <w:jc w:val="both"/>
        <w:rPr>
          <w:rFonts w:ascii="Palatino Linotype" w:hAnsi="Palatino Linotype"/>
          <w:lang w:val="es-ES_tradnl"/>
        </w:rPr>
      </w:pPr>
      <w:r w:rsidRPr="003C5388">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AB1CB0" w14:textId="77777777" w:rsidR="00807009" w:rsidRPr="003C5388" w:rsidRDefault="00807009" w:rsidP="00FF1C38">
      <w:pPr>
        <w:spacing w:after="160" w:line="360" w:lineRule="auto"/>
        <w:ind w:right="49"/>
        <w:contextualSpacing/>
        <w:jc w:val="both"/>
        <w:rPr>
          <w:rFonts w:ascii="Palatino Linotype" w:hAnsi="Palatino Linotype"/>
          <w:lang w:val="es-ES_tradnl"/>
        </w:rPr>
      </w:pPr>
    </w:p>
    <w:p w14:paraId="3A105F6E" w14:textId="3C213068" w:rsidR="00064592" w:rsidRPr="003C5388" w:rsidRDefault="00064592" w:rsidP="003E504E">
      <w:pPr>
        <w:keepNext/>
        <w:keepLines/>
        <w:tabs>
          <w:tab w:val="left" w:pos="284"/>
          <w:tab w:val="left" w:pos="426"/>
        </w:tabs>
        <w:spacing w:before="240" w:line="360" w:lineRule="auto"/>
        <w:jc w:val="both"/>
        <w:outlineLvl w:val="0"/>
        <w:rPr>
          <w:rFonts w:ascii="Palatino Linotype" w:eastAsiaTheme="majorEastAsia" w:hAnsi="Palatino Linotype" w:cstheme="majorBidi"/>
          <w:b/>
          <w:color w:val="000000" w:themeColor="text1"/>
          <w:lang w:val="es-MX" w:eastAsia="en-US"/>
        </w:rPr>
      </w:pPr>
      <w:bookmarkStart w:id="27" w:name="_Toc100171631"/>
      <w:bookmarkStart w:id="28" w:name="_Toc500360400"/>
      <w:bookmarkStart w:id="29" w:name="_Toc459174366"/>
      <w:bookmarkStart w:id="30" w:name="_Toc459659884"/>
      <w:bookmarkStart w:id="31" w:name="_Toc461687280"/>
      <w:bookmarkStart w:id="32" w:name="_Toc462771051"/>
      <w:bookmarkStart w:id="33" w:name="_Toc464139201"/>
      <w:bookmarkStart w:id="34" w:name="_Toc495427545"/>
      <w:bookmarkStart w:id="35" w:name="_Toc499296549"/>
      <w:r w:rsidRPr="003C5388">
        <w:rPr>
          <w:rFonts w:ascii="Palatino Linotype" w:eastAsiaTheme="majorEastAsia" w:hAnsi="Palatino Linotype" w:cstheme="majorBidi"/>
          <w:b/>
          <w:color w:val="000000" w:themeColor="text1"/>
          <w:lang w:val="es-MX" w:eastAsia="en-US"/>
        </w:rPr>
        <w:lastRenderedPageBreak/>
        <w:t xml:space="preserve">TERCERO. </w:t>
      </w:r>
      <w:r w:rsidRPr="003C5388">
        <w:rPr>
          <w:rFonts w:ascii="Palatino Linotype" w:eastAsia="MS Gothic" w:hAnsi="Palatino Linotype"/>
          <w:b/>
          <w:lang w:val="es-MX" w:eastAsia="en-US"/>
        </w:rPr>
        <w:t>Del deber de las autoridades de promover, respetar, proteger y garantizar el derecho de acceso a la información pública.</w:t>
      </w:r>
      <w:bookmarkEnd w:id="27"/>
      <w:r w:rsidRPr="003C5388">
        <w:rPr>
          <w:rFonts w:ascii="Palatino Linotype" w:eastAsia="MS Gothic" w:hAnsi="Palatino Linotype"/>
          <w:b/>
          <w:lang w:val="es-MX" w:eastAsia="en-US"/>
        </w:rPr>
        <w:t xml:space="preserve"> </w:t>
      </w:r>
    </w:p>
    <w:p w14:paraId="2129E338" w14:textId="77777777" w:rsidR="00064592" w:rsidRPr="003C5388" w:rsidRDefault="00064592" w:rsidP="00064592">
      <w:pPr>
        <w:spacing w:line="360" w:lineRule="auto"/>
        <w:ind w:left="720"/>
        <w:contextualSpacing/>
        <w:rPr>
          <w:rFonts w:ascii="Palatino Linotype" w:eastAsia="MS Mincho" w:hAnsi="Palatino Linotype" w:cs="Arial"/>
          <w:lang w:val="es-ES_tradnl"/>
        </w:rPr>
      </w:pPr>
    </w:p>
    <w:p w14:paraId="5EFE902B" w14:textId="32DF0F08" w:rsidR="00064592" w:rsidRPr="003C5388" w:rsidRDefault="00064592" w:rsidP="00064592">
      <w:pPr>
        <w:pStyle w:val="Prrafodelista"/>
        <w:numPr>
          <w:ilvl w:val="0"/>
          <w:numId w:val="29"/>
        </w:numPr>
        <w:tabs>
          <w:tab w:val="left" w:pos="426"/>
        </w:tabs>
        <w:suppressAutoHyphens/>
        <w:spacing w:before="240" w:after="240" w:line="360" w:lineRule="auto"/>
        <w:ind w:left="0" w:firstLine="0"/>
        <w:contextualSpacing/>
        <w:jc w:val="both"/>
        <w:rPr>
          <w:rFonts w:ascii="Palatino Linotype" w:eastAsia="MS Mincho" w:hAnsi="Palatino Linotype"/>
          <w:color w:val="000000"/>
          <w:lang w:val="es-ES_tradnl"/>
        </w:rPr>
      </w:pPr>
      <w:r w:rsidRPr="003C5388">
        <w:rPr>
          <w:rFonts w:ascii="Palatino Linotype" w:hAnsi="Palatino Linotype"/>
          <w:lang w:val="es-ES_tradnl"/>
        </w:rPr>
        <w:t xml:space="preserve">Es menester precisar que este </w:t>
      </w:r>
      <w:r w:rsidRPr="003C5388">
        <w:rPr>
          <w:rFonts w:ascii="Palatino Linotype" w:eastAsia="MS Mincho" w:hAnsi="Palatino Linotype"/>
          <w:color w:val="000000"/>
          <w:lang w:val="es-ES_tradnl"/>
        </w:rPr>
        <w:t xml:space="preserve">Órgano Garante parte de que </w:t>
      </w:r>
      <w:r w:rsidRPr="003C5388">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C5388">
        <w:rPr>
          <w:rFonts w:ascii="Palatino Linotype" w:hAnsi="Palatino Linotype" w:cs="Arial"/>
          <w:color w:val="000000"/>
          <w:lang w:val="es-ES_tradnl"/>
        </w:rPr>
        <w:t xml:space="preserve"> </w:t>
      </w:r>
      <w:r w:rsidRPr="003C5388">
        <w:rPr>
          <w:rFonts w:ascii="Palatino Linotype" w:hAnsi="Palatino Linotype" w:cs="Arial"/>
          <w:b/>
          <w:color w:val="000000"/>
          <w:lang w:val="es-ES_tradnl"/>
        </w:rPr>
        <w:t>SUJETO OBLIGADO</w:t>
      </w:r>
      <w:r w:rsidRPr="003C5388">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C5388">
        <w:rPr>
          <w:rFonts w:ascii="Palatino Linotype" w:hAnsi="Palatino Linotype" w:cs="Arial"/>
          <w:b/>
          <w:color w:val="000000"/>
          <w:lang w:val="es-ES_tradnl"/>
        </w:rPr>
        <w:t xml:space="preserve">Constitución Política de los Estados Unidos Mexicanos </w:t>
      </w:r>
      <w:r w:rsidRPr="003C5388">
        <w:rPr>
          <w:rFonts w:ascii="Palatino Linotype" w:hAnsi="Palatino Linotype" w:cs="Arial"/>
          <w:color w:val="000000"/>
          <w:lang w:val="es-ES_tradnl"/>
        </w:rPr>
        <w:t xml:space="preserve">al señalar la obligación de “promover, </w:t>
      </w:r>
      <w:r w:rsidRPr="003C5388">
        <w:rPr>
          <w:rFonts w:ascii="Palatino Linotype" w:hAnsi="Palatino Linotype" w:cs="Arial"/>
          <w:b/>
          <w:color w:val="000000"/>
          <w:lang w:val="es-ES_tradnl"/>
        </w:rPr>
        <w:t>respetar</w:t>
      </w:r>
      <w:r w:rsidRPr="003C5388">
        <w:rPr>
          <w:rFonts w:ascii="Palatino Linotype" w:hAnsi="Palatino Linotype" w:cs="Arial"/>
          <w:color w:val="000000"/>
          <w:lang w:val="es-ES_tradnl"/>
        </w:rPr>
        <w:t xml:space="preserve">, proteger y </w:t>
      </w:r>
      <w:r w:rsidRPr="003C5388">
        <w:rPr>
          <w:rFonts w:ascii="Palatino Linotype" w:hAnsi="Palatino Linotype" w:cs="Arial"/>
          <w:b/>
          <w:color w:val="000000"/>
          <w:lang w:val="es-ES_tradnl"/>
        </w:rPr>
        <w:t>garantizar</w:t>
      </w:r>
      <w:r w:rsidRPr="003C5388">
        <w:rPr>
          <w:rFonts w:ascii="Palatino Linotype" w:hAnsi="Palatino Linotype" w:cs="Arial"/>
          <w:color w:val="000000"/>
          <w:lang w:val="es-ES_tradnl"/>
        </w:rPr>
        <w:t xml:space="preserve"> los derechos humanos”, entre los cuales se encuentra dicho derecho. </w:t>
      </w:r>
    </w:p>
    <w:p w14:paraId="66ED9DA2" w14:textId="77777777" w:rsidR="00064592" w:rsidRPr="003C5388" w:rsidRDefault="00064592" w:rsidP="00064592">
      <w:pPr>
        <w:tabs>
          <w:tab w:val="left" w:pos="426"/>
        </w:tabs>
        <w:spacing w:line="360" w:lineRule="auto"/>
        <w:ind w:right="49"/>
        <w:contextualSpacing/>
        <w:jc w:val="both"/>
        <w:rPr>
          <w:rFonts w:ascii="Palatino Linotype" w:eastAsia="MS Mincho" w:hAnsi="Palatino Linotype"/>
          <w:color w:val="000000"/>
          <w:lang w:val="es-ES_tradnl"/>
        </w:rPr>
      </w:pPr>
    </w:p>
    <w:p w14:paraId="44C52BCA" w14:textId="77777777" w:rsidR="00064592" w:rsidRPr="003C5388" w:rsidRDefault="00064592" w:rsidP="00064592">
      <w:pPr>
        <w:numPr>
          <w:ilvl w:val="0"/>
          <w:numId w:val="29"/>
        </w:numPr>
        <w:tabs>
          <w:tab w:val="left" w:pos="426"/>
        </w:tabs>
        <w:suppressAutoHyphen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lang w:val="es-ES_tradnl"/>
        </w:rPr>
        <w:t xml:space="preserve">Definiendo el Derecho de Acceso a la Información Pública como: </w:t>
      </w:r>
      <w:r w:rsidRPr="003C5388">
        <w:rPr>
          <w:rFonts w:ascii="Palatino Linotype" w:hAnsi="Palatino Linotype"/>
          <w:i/>
          <w:color w:val="000000"/>
          <w:lang w:val="es-ES_tradnl"/>
        </w:rPr>
        <w:t>La igualdad de oportunidades para recibir, buscar e impartir información</w:t>
      </w:r>
      <w:r w:rsidRPr="003C5388">
        <w:rPr>
          <w:rFonts w:ascii="Palatino Linotype" w:hAnsi="Palatino Linotype"/>
          <w:i/>
          <w:color w:val="000000"/>
          <w:vertAlign w:val="superscript"/>
          <w:lang w:val="es-ES_tradnl"/>
        </w:rPr>
        <w:footnoteReference w:id="1"/>
      </w:r>
      <w:r w:rsidRPr="003C5388">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C5388">
        <w:rPr>
          <w:rFonts w:ascii="Palatino Linotype" w:hAnsi="Palatino Linotype"/>
          <w:i/>
          <w:color w:val="000000"/>
          <w:vertAlign w:val="superscript"/>
          <w:lang w:val="es-ES_tradnl"/>
        </w:rPr>
        <w:footnoteReference w:id="2"/>
      </w:r>
      <w:r w:rsidRPr="003C5388">
        <w:rPr>
          <w:rFonts w:ascii="Palatino Linotype" w:hAnsi="Palatino Linotype"/>
          <w:color w:val="000000"/>
          <w:lang w:val="es-ES_tradnl"/>
        </w:rPr>
        <w:t xml:space="preserve">que se constituye como una </w:t>
      </w:r>
      <w:r w:rsidRPr="003C5388">
        <w:rPr>
          <w:rFonts w:ascii="Palatino Linotype" w:hAnsi="Palatino Linotype"/>
          <w:color w:val="000000"/>
          <w:lang w:val="es-ES_tradnl"/>
        </w:rPr>
        <w:lastRenderedPageBreak/>
        <w:t>herramienta fundamental para ejercer</w:t>
      </w:r>
      <w:r w:rsidRPr="003C5388">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3C5388">
        <w:rPr>
          <w:rFonts w:ascii="Palatino Linotype" w:hAnsi="Palatino Linotype"/>
          <w:i/>
          <w:color w:val="000000"/>
          <w:vertAlign w:val="superscript"/>
          <w:lang w:val="es-ES_tradnl"/>
        </w:rPr>
        <w:footnoteReference w:id="3"/>
      </w:r>
      <w:r w:rsidRPr="003C5388">
        <w:rPr>
          <w:rFonts w:ascii="Palatino Linotype" w:hAnsi="Palatino Linotype"/>
          <w:color w:val="000000"/>
          <w:lang w:val="es-ES_tradnl"/>
        </w:rPr>
        <w:t>fomentando</w:t>
      </w:r>
      <w:r w:rsidRPr="003C5388">
        <w:rPr>
          <w:rFonts w:ascii="Palatino Linotype" w:hAnsi="Palatino Linotype"/>
          <w:i/>
          <w:color w:val="000000"/>
          <w:lang w:val="es-ES_tradnl"/>
        </w:rPr>
        <w:t xml:space="preserve"> la transparencia de las actividades estatales y </w:t>
      </w:r>
      <w:r w:rsidRPr="003C5388">
        <w:rPr>
          <w:rFonts w:ascii="Palatino Linotype" w:hAnsi="Palatino Linotype"/>
          <w:color w:val="000000"/>
          <w:lang w:val="es-ES_tradnl"/>
        </w:rPr>
        <w:t>promoviendo</w:t>
      </w:r>
      <w:r w:rsidRPr="003C5388">
        <w:rPr>
          <w:rFonts w:ascii="Palatino Linotype" w:hAnsi="Palatino Linotype"/>
          <w:i/>
          <w:color w:val="000000"/>
          <w:lang w:val="es-ES_tradnl"/>
        </w:rPr>
        <w:t xml:space="preserve"> la responsabilidad de los funcionarios sobre su gestión pública,</w:t>
      </w:r>
      <w:r w:rsidRPr="003C5388">
        <w:rPr>
          <w:rFonts w:ascii="Palatino Linotype" w:hAnsi="Palatino Linotype"/>
          <w:i/>
          <w:color w:val="000000"/>
          <w:vertAlign w:val="superscript"/>
          <w:lang w:val="es-ES_tradnl"/>
        </w:rPr>
        <w:footnoteReference w:id="4"/>
      </w:r>
      <w:r w:rsidRPr="003C5388">
        <w:rPr>
          <w:rFonts w:ascii="Palatino Linotype" w:hAnsi="Palatino Linotype"/>
          <w:color w:val="000000"/>
          <w:lang w:val="es-ES_tradnl"/>
        </w:rPr>
        <w:t>que permite</w:t>
      </w:r>
      <w:r w:rsidRPr="003C5388">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5B2DB95A" w14:textId="77777777" w:rsidR="00064592" w:rsidRPr="003C5388" w:rsidRDefault="00064592" w:rsidP="00064592">
      <w:pPr>
        <w:tabs>
          <w:tab w:val="left" w:pos="426"/>
        </w:tabs>
        <w:spacing w:line="360" w:lineRule="auto"/>
        <w:contextualSpacing/>
        <w:rPr>
          <w:rFonts w:ascii="Palatino Linotype" w:hAnsi="Palatino Linotype"/>
          <w:lang w:val="es-ES_tradnl"/>
        </w:rPr>
      </w:pPr>
    </w:p>
    <w:p w14:paraId="042C8ACA" w14:textId="77777777" w:rsidR="00064592" w:rsidRPr="003C5388" w:rsidRDefault="00064592" w:rsidP="00064592">
      <w:pPr>
        <w:numPr>
          <w:ilvl w:val="0"/>
          <w:numId w:val="29"/>
        </w:numPr>
        <w:tabs>
          <w:tab w:val="left" w:pos="426"/>
        </w:tabs>
        <w:suppressAutoHyphens/>
        <w:spacing w:before="240" w:after="240" w:line="360" w:lineRule="auto"/>
        <w:ind w:left="0" w:firstLine="0"/>
        <w:contextualSpacing/>
        <w:jc w:val="both"/>
        <w:rPr>
          <w:rFonts w:ascii="Palatino Linotype" w:hAnsi="Palatino Linotype"/>
          <w:i/>
          <w:lang w:val="es-ES_tradnl"/>
        </w:rPr>
      </w:pPr>
      <w:r w:rsidRPr="003C5388">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BD519BC" w14:textId="77777777" w:rsidR="00064592" w:rsidRPr="003C5388" w:rsidRDefault="00064592" w:rsidP="00064592">
      <w:pPr>
        <w:tabs>
          <w:tab w:val="left" w:pos="426"/>
        </w:tabs>
        <w:spacing w:before="240" w:after="240" w:line="360" w:lineRule="auto"/>
        <w:contextualSpacing/>
        <w:jc w:val="both"/>
        <w:rPr>
          <w:rFonts w:ascii="Palatino Linotype" w:hAnsi="Palatino Linotype"/>
          <w:i/>
          <w:lang w:val="es-ES_tradnl"/>
        </w:rPr>
      </w:pPr>
      <w:r w:rsidRPr="003C5388">
        <w:rPr>
          <w:rFonts w:ascii="Palatino Linotype" w:hAnsi="Palatino Linotype"/>
          <w:i/>
          <w:lang w:val="es-ES_tradnl"/>
        </w:rPr>
        <w:t xml:space="preserve"> </w:t>
      </w:r>
    </w:p>
    <w:p w14:paraId="79491D88" w14:textId="77777777" w:rsidR="00064592" w:rsidRPr="003C5388" w:rsidRDefault="00064592" w:rsidP="00064592">
      <w:pPr>
        <w:numPr>
          <w:ilvl w:val="0"/>
          <w:numId w:val="29"/>
        </w:numPr>
        <w:tabs>
          <w:tab w:val="left" w:pos="426"/>
        </w:tabs>
        <w:suppressAutoHyphens/>
        <w:spacing w:before="240" w:after="240" w:line="360" w:lineRule="auto"/>
        <w:ind w:left="0" w:firstLine="0"/>
        <w:contextualSpacing/>
        <w:jc w:val="both"/>
        <w:rPr>
          <w:rFonts w:ascii="Palatino Linotype" w:hAnsi="Palatino Linotype" w:cs="Arial"/>
          <w:lang w:val="es-ES_tradnl"/>
        </w:rPr>
      </w:pPr>
      <w:r w:rsidRPr="003C5388">
        <w:rPr>
          <w:rFonts w:ascii="Palatino Linotype" w:hAnsi="Palatino Linotype"/>
          <w:lang w:val="es-ES_tradnl"/>
        </w:rPr>
        <w:t>Por lo tanto, derivado de lo señalado con anterioridad, la actuación</w:t>
      </w:r>
      <w:r w:rsidRPr="003C5388">
        <w:rPr>
          <w:rFonts w:ascii="Palatino Linotype" w:hAnsi="Palatino Linotype"/>
          <w:lang w:val="es-MX"/>
        </w:rPr>
        <w:t xml:space="preserve"> del </w:t>
      </w:r>
      <w:r w:rsidRPr="003C5388">
        <w:rPr>
          <w:rFonts w:ascii="Palatino Linotype" w:hAnsi="Palatino Linotype"/>
          <w:b/>
          <w:lang w:val="es-ES_tradnl"/>
        </w:rPr>
        <w:t xml:space="preserve">Ayuntamiento de Naucalpan de Juárez </w:t>
      </w:r>
      <w:r w:rsidRPr="003C5388">
        <w:rPr>
          <w:rFonts w:ascii="Palatino Linotype" w:hAnsi="Palatino Linotype" w:cs="Arial"/>
          <w:lang w:val="es-ES_tradnl"/>
        </w:rPr>
        <w:t xml:space="preserve">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antes del cierre de instrucción de los asuntos a resolver, puede ser entregada la información para reparar el derecho afectado. </w:t>
      </w:r>
    </w:p>
    <w:p w14:paraId="04FEDB41" w14:textId="77777777" w:rsidR="00064592" w:rsidRPr="003C5388" w:rsidRDefault="00064592" w:rsidP="00064592">
      <w:pPr>
        <w:tabs>
          <w:tab w:val="left" w:pos="426"/>
        </w:tabs>
        <w:spacing w:line="360" w:lineRule="auto"/>
        <w:contextualSpacing/>
        <w:rPr>
          <w:rFonts w:ascii="Palatino Linotype" w:hAnsi="Palatino Linotype" w:cs="Arial"/>
          <w:lang w:val="es-ES_tradnl"/>
        </w:rPr>
      </w:pPr>
    </w:p>
    <w:p w14:paraId="402DEF01" w14:textId="77777777" w:rsidR="00064592" w:rsidRPr="003C5388" w:rsidRDefault="00064592" w:rsidP="00064592">
      <w:pPr>
        <w:numPr>
          <w:ilvl w:val="0"/>
          <w:numId w:val="29"/>
        </w:numPr>
        <w:tabs>
          <w:tab w:val="left" w:pos="426"/>
        </w:tabs>
        <w:suppressAutoHyphen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cs="Arial"/>
          <w:lang w:val="es-ES_tradnl"/>
        </w:rPr>
        <w:t xml:space="preserve">Ante tal afectación, el artículo primero Constitucional de forma clara y precisa dispone que como consecuencia de la obligación que tienen las autoridades de </w:t>
      </w:r>
      <w:r w:rsidRPr="003C5388">
        <w:rPr>
          <w:rFonts w:ascii="Palatino Linotype" w:hAnsi="Palatino Linotype" w:cs="Arial"/>
          <w:lang w:val="es-ES_tradnl"/>
        </w:rPr>
        <w:lastRenderedPageBreak/>
        <w:t xml:space="preserve">promover, respetar, proteger y garantizar el derecho humano; el Estado deberá prevenir, investigar, sancionar y reparar las violaciones a los derechos humanos. </w:t>
      </w:r>
    </w:p>
    <w:p w14:paraId="3D36E184" w14:textId="77777777" w:rsidR="00064592" w:rsidRPr="003C5388" w:rsidRDefault="00064592" w:rsidP="00064592">
      <w:pPr>
        <w:tabs>
          <w:tab w:val="left" w:pos="426"/>
        </w:tabs>
        <w:spacing w:before="240" w:after="240" w:line="360" w:lineRule="auto"/>
        <w:contextualSpacing/>
        <w:jc w:val="both"/>
        <w:rPr>
          <w:rFonts w:ascii="Palatino Linotype" w:hAnsi="Palatino Linotype"/>
          <w:lang w:val="es-ES_tradnl"/>
        </w:rPr>
      </w:pPr>
    </w:p>
    <w:p w14:paraId="4D21E2E7" w14:textId="46DAD997" w:rsidR="00064592" w:rsidRPr="003C5388" w:rsidRDefault="00064592" w:rsidP="00064592">
      <w:pPr>
        <w:numPr>
          <w:ilvl w:val="0"/>
          <w:numId w:val="29"/>
        </w:numPr>
        <w:tabs>
          <w:tab w:val="left" w:pos="426"/>
        </w:tabs>
        <w:suppressAutoHyphens/>
        <w:spacing w:before="240" w:after="160" w:line="360" w:lineRule="auto"/>
        <w:ind w:left="0" w:firstLine="0"/>
        <w:contextualSpacing/>
        <w:jc w:val="both"/>
        <w:rPr>
          <w:rFonts w:ascii="Palatino Linotype" w:hAnsi="Palatino Linotype"/>
          <w:lang w:val="es-ES_tradnl"/>
        </w:rPr>
      </w:pPr>
      <w:r w:rsidRPr="003C5388">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3C5388">
        <w:rPr>
          <w:rFonts w:ascii="Palatino Linotype" w:hAnsi="Palatino Linotype" w:cs="Arial"/>
          <w:i/>
          <w:lang w:val="es-ES_tradnl"/>
        </w:rPr>
        <w:t>por los principios de simplicidad, rapidez gratuidad del procedimiento, auxilio y orientación a los particulares</w:t>
      </w:r>
      <w:r w:rsidRPr="003C5388">
        <w:rPr>
          <w:rFonts w:ascii="Palatino Linotype" w:hAnsi="Palatino Linotype" w:cs="Arial"/>
          <w:lang w:val="es-ES_tradnl"/>
        </w:rPr>
        <w:t>, contemplando el derecho de las personas con discapacidad y hablantes de lengua indígena.</w:t>
      </w:r>
    </w:p>
    <w:p w14:paraId="5F656165" w14:textId="77777777" w:rsidR="00064592" w:rsidRPr="003C5388" w:rsidRDefault="00064592" w:rsidP="00064592">
      <w:pPr>
        <w:tabs>
          <w:tab w:val="left" w:pos="426"/>
        </w:tabs>
        <w:suppressAutoHyphens/>
        <w:spacing w:before="240" w:after="160" w:line="360" w:lineRule="auto"/>
        <w:contextualSpacing/>
        <w:jc w:val="both"/>
        <w:rPr>
          <w:rFonts w:ascii="Palatino Linotype" w:hAnsi="Palatino Linotype"/>
          <w:lang w:val="es-ES_tradnl"/>
        </w:rPr>
      </w:pPr>
    </w:p>
    <w:p w14:paraId="0E36C468" w14:textId="54DA4AC0" w:rsidR="00113C54" w:rsidRPr="003C5388" w:rsidRDefault="00064592" w:rsidP="00FF1C38">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36" w:name="_Toc100171632"/>
      <w:r w:rsidRPr="003C5388">
        <w:rPr>
          <w:rFonts w:ascii="Palatino Linotype" w:eastAsiaTheme="majorEastAsia" w:hAnsi="Palatino Linotype" w:cstheme="majorBidi"/>
          <w:b/>
          <w:color w:val="000000" w:themeColor="text1"/>
          <w:lang w:val="es-MX" w:eastAsia="en-US"/>
        </w:rPr>
        <w:t xml:space="preserve">CUARTO. </w:t>
      </w:r>
      <w:r w:rsidR="007F7B11" w:rsidRPr="003C5388">
        <w:rPr>
          <w:rFonts w:ascii="Palatino Linotype" w:eastAsiaTheme="majorEastAsia" w:hAnsi="Palatino Linotype" w:cstheme="majorBidi"/>
          <w:b/>
          <w:lang w:val="es-MX" w:eastAsia="en-US"/>
        </w:rPr>
        <w:t>De las causales del sobreseimiento.</w:t>
      </w:r>
      <w:bookmarkEnd w:id="28"/>
      <w:bookmarkEnd w:id="36"/>
    </w:p>
    <w:p w14:paraId="557279DF" w14:textId="77777777" w:rsidR="00064592" w:rsidRPr="003C5388" w:rsidRDefault="00064592" w:rsidP="00FF1C38">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77101540" w14:textId="77777777" w:rsidR="00113C54" w:rsidRPr="003C5388" w:rsidRDefault="00113C54" w:rsidP="00064592">
      <w:pPr>
        <w:numPr>
          <w:ilvl w:val="0"/>
          <w:numId w:val="29"/>
        </w:numPr>
        <w:spacing w:line="360" w:lineRule="auto"/>
        <w:ind w:left="0" w:right="49" w:firstLine="0"/>
        <w:contextualSpacing/>
        <w:jc w:val="both"/>
        <w:rPr>
          <w:rFonts w:ascii="Palatino Linotype" w:eastAsiaTheme="minorEastAsia" w:hAnsi="Palatino Linotype" w:cs="Arial"/>
          <w:lang w:val="es-ES_tradnl"/>
        </w:rPr>
      </w:pPr>
      <w:bookmarkStart w:id="37" w:name="_Toc466371865"/>
      <w:bookmarkStart w:id="38" w:name="_Toc466377653"/>
      <w:bookmarkStart w:id="39" w:name="_Toc495427547"/>
      <w:bookmarkStart w:id="40" w:name="_Toc497905366"/>
      <w:bookmarkEnd w:id="29"/>
      <w:bookmarkEnd w:id="30"/>
      <w:bookmarkEnd w:id="31"/>
      <w:bookmarkEnd w:id="32"/>
      <w:bookmarkEnd w:id="33"/>
      <w:bookmarkEnd w:id="34"/>
      <w:bookmarkEnd w:id="35"/>
      <w:r w:rsidRPr="003C5388">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3C5388">
        <w:rPr>
          <w:rFonts w:ascii="Palatino Linotype" w:eastAsia="Calibri" w:hAnsi="Palatino Linotype" w:cs="Arial"/>
          <w:lang w:val="es-ES_tradnl"/>
        </w:rPr>
        <w:t>Transparencia, Acceso a la Información Pública del Estado de México y Municipios</w:t>
      </w:r>
      <w:r w:rsidRPr="003C5388">
        <w:rPr>
          <w:rFonts w:ascii="Palatino Linotype" w:eastAsiaTheme="minorEastAsia" w:hAnsi="Palatino Linotype" w:cs="Arial"/>
          <w:lang w:val="es-ES_tradnl"/>
        </w:rPr>
        <w:t xml:space="preserve">, y determinar la confirmación; revocación o modificación; </w:t>
      </w:r>
      <w:proofErr w:type="spellStart"/>
      <w:r w:rsidRPr="003C5388">
        <w:rPr>
          <w:rFonts w:ascii="Palatino Linotype" w:eastAsiaTheme="minorEastAsia" w:hAnsi="Palatino Linotype" w:cs="Arial"/>
          <w:lang w:val="es-ES_tradnl"/>
        </w:rPr>
        <w:t>desechamiento</w:t>
      </w:r>
      <w:proofErr w:type="spellEnd"/>
      <w:r w:rsidRPr="003C5388">
        <w:rPr>
          <w:rFonts w:ascii="Palatino Linotype" w:eastAsiaTheme="minorEastAsia" w:hAnsi="Palatino Linotype" w:cs="Arial"/>
          <w:lang w:val="es-ES_tradnl"/>
        </w:rPr>
        <w:t xml:space="preserve"> o </w:t>
      </w:r>
      <w:r w:rsidRPr="003C5388">
        <w:rPr>
          <w:rFonts w:ascii="Palatino Linotype" w:eastAsiaTheme="minorEastAsia" w:hAnsi="Palatino Linotype" w:cs="Arial"/>
          <w:b/>
          <w:lang w:val="es-ES_tradnl"/>
        </w:rPr>
        <w:t>sobreseimiento</w:t>
      </w:r>
      <w:r w:rsidRPr="003C5388">
        <w:rPr>
          <w:rFonts w:ascii="Palatino Linotype" w:eastAsiaTheme="minorEastAsia" w:hAnsi="Palatino Linotype" w:cs="Arial"/>
          <w:lang w:val="es-ES_tradnl"/>
        </w:rPr>
        <w:t xml:space="preserve">; y en su caso ordenar la entrega de la información con respecto a la respuesta emitida por el </w:t>
      </w:r>
      <w:r w:rsidRPr="003C5388">
        <w:rPr>
          <w:rFonts w:ascii="Palatino Linotype" w:eastAsiaTheme="minorEastAsia" w:hAnsi="Palatino Linotype" w:cs="Arial"/>
          <w:b/>
          <w:lang w:val="es-ES_tradnl"/>
        </w:rPr>
        <w:t>SUJETO</w:t>
      </w:r>
      <w:r w:rsidRPr="003C5388">
        <w:rPr>
          <w:rFonts w:ascii="Palatino Linotype" w:eastAsiaTheme="minorEastAsia" w:hAnsi="Palatino Linotype" w:cs="Arial"/>
          <w:lang w:val="es-ES_tradnl"/>
        </w:rPr>
        <w:t xml:space="preserve"> </w:t>
      </w:r>
      <w:r w:rsidRPr="003C5388">
        <w:rPr>
          <w:rFonts w:ascii="Palatino Linotype" w:eastAsiaTheme="minorEastAsia" w:hAnsi="Palatino Linotype" w:cs="Arial"/>
          <w:b/>
          <w:lang w:val="es-ES_tradnl"/>
        </w:rPr>
        <w:t>OBLIGADO</w:t>
      </w:r>
      <w:r w:rsidRPr="003C5388">
        <w:rPr>
          <w:rFonts w:ascii="Palatino Linotype" w:eastAsiaTheme="minorEastAsia" w:hAnsi="Palatino Linotype" w:cs="Arial"/>
          <w:lang w:val="es-ES_tradnl"/>
        </w:rPr>
        <w:t>.</w:t>
      </w:r>
    </w:p>
    <w:p w14:paraId="3F0C30A9" w14:textId="77777777" w:rsidR="00113C54" w:rsidRPr="003C5388" w:rsidRDefault="00113C54" w:rsidP="00FF1C38">
      <w:pPr>
        <w:spacing w:line="360" w:lineRule="auto"/>
        <w:ind w:right="49"/>
        <w:contextualSpacing/>
        <w:jc w:val="both"/>
        <w:rPr>
          <w:rFonts w:ascii="Palatino Linotype" w:eastAsiaTheme="minorEastAsia" w:hAnsi="Palatino Linotype" w:cs="Arial"/>
          <w:lang w:val="es-ES_tradnl"/>
        </w:rPr>
      </w:pPr>
    </w:p>
    <w:p w14:paraId="3CB403B9" w14:textId="61710281" w:rsidR="00EE72FB" w:rsidRPr="003C5388" w:rsidRDefault="000A2051" w:rsidP="00064592">
      <w:pPr>
        <w:numPr>
          <w:ilvl w:val="0"/>
          <w:numId w:val="29"/>
        </w:numPr>
        <w:spacing w:line="360" w:lineRule="auto"/>
        <w:ind w:left="0" w:right="49" w:firstLine="0"/>
        <w:contextualSpacing/>
        <w:jc w:val="both"/>
        <w:rPr>
          <w:rFonts w:ascii="Palatino Linotype" w:eastAsiaTheme="minorEastAsia" w:hAnsi="Palatino Linotype" w:cs="Arial"/>
          <w:lang w:val="es-ES_tradnl"/>
        </w:rPr>
      </w:pPr>
      <w:r w:rsidRPr="003C5388">
        <w:rPr>
          <w:rFonts w:ascii="Palatino Linotype" w:eastAsia="Calibri" w:hAnsi="Palatino Linotype" w:cs="Arial"/>
          <w:color w:val="000000" w:themeColor="text1"/>
          <w:lang w:val="es-MX" w:eastAsia="en-US"/>
        </w:rPr>
        <w:t>E</w:t>
      </w:r>
      <w:r w:rsidR="00113C54" w:rsidRPr="003C5388">
        <w:rPr>
          <w:rFonts w:ascii="Palatino Linotype" w:eastAsia="Calibri" w:hAnsi="Palatino Linotype" w:cs="Arial"/>
          <w:color w:val="000000" w:themeColor="text1"/>
          <w:lang w:val="es-MX" w:eastAsia="en-US"/>
        </w:rPr>
        <w:t xml:space="preserve">n el caso concreto y derivado del razonamiento lógico-jurídico de las constancias que obran en el expediente electrónico al rubro indicado, es de señalar que el </w:t>
      </w:r>
      <w:r w:rsidR="00113C54" w:rsidRPr="003C5388">
        <w:rPr>
          <w:rFonts w:ascii="Palatino Linotype" w:eastAsiaTheme="minorEastAsia" w:hAnsi="Palatino Linotype" w:cs="Arial"/>
          <w:color w:val="000000" w:themeColor="text1"/>
          <w:lang w:val="es-ES_tradnl"/>
        </w:rPr>
        <w:t xml:space="preserve">ahora recurrente, solicitó </w:t>
      </w:r>
      <w:r w:rsidR="00EE72FB" w:rsidRPr="003C5388">
        <w:rPr>
          <w:rFonts w:ascii="Palatino Linotype" w:eastAsiaTheme="minorEastAsia" w:hAnsi="Palatino Linotype" w:cs="Arial"/>
          <w:color w:val="000000" w:themeColor="text1"/>
          <w:lang w:val="es-ES_tradnl"/>
        </w:rPr>
        <w:t xml:space="preserve">acceso al </w:t>
      </w:r>
      <w:r w:rsidR="00EE72FB" w:rsidRPr="003C5388">
        <w:rPr>
          <w:rFonts w:ascii="Palatino Linotype" w:eastAsiaTheme="minorEastAsia" w:hAnsi="Palatino Linotype" w:cs="Arial"/>
          <w:i/>
          <w:color w:val="000000" w:themeColor="text1"/>
          <w:lang w:val="es-ES_tradnl"/>
        </w:rPr>
        <w:t>“</w:t>
      </w:r>
      <w:r w:rsidR="00843BC1" w:rsidRPr="003C5388">
        <w:rPr>
          <w:rFonts w:ascii="Palatino Linotype" w:eastAsiaTheme="minorEastAsia" w:hAnsi="Palatino Linotype" w:cs="Arial"/>
          <w:i/>
          <w:color w:val="000000" w:themeColor="text1"/>
          <w:lang w:val="es-ES_tradnl"/>
        </w:rPr>
        <w:t>SOLICITO LOS PLANOS MANZANEROS DE TEOLOYUCAN</w:t>
      </w:r>
      <w:r w:rsidR="00EE72FB" w:rsidRPr="003C5388">
        <w:rPr>
          <w:rFonts w:ascii="Palatino Linotype" w:eastAsiaTheme="minorEastAsia" w:hAnsi="Palatino Linotype" w:cs="Arial"/>
          <w:i/>
          <w:color w:val="000000" w:themeColor="text1"/>
          <w:lang w:val="es-ES_tradnl"/>
        </w:rPr>
        <w:t>”</w:t>
      </w:r>
      <w:r w:rsidR="00EE72FB" w:rsidRPr="003C5388">
        <w:rPr>
          <w:rFonts w:ascii="Palatino Linotype" w:eastAsiaTheme="minorEastAsia" w:hAnsi="Palatino Linotype" w:cs="Arial"/>
          <w:color w:val="000000" w:themeColor="text1"/>
          <w:lang w:val="es-ES_tradnl"/>
        </w:rPr>
        <w:t xml:space="preserve"> </w:t>
      </w:r>
    </w:p>
    <w:p w14:paraId="04389EED" w14:textId="77777777" w:rsidR="00807009" w:rsidRPr="003C5388" w:rsidRDefault="00807009" w:rsidP="00843BC1">
      <w:pPr>
        <w:spacing w:line="360" w:lineRule="auto"/>
        <w:rPr>
          <w:rFonts w:ascii="Palatino Linotype" w:eastAsiaTheme="minorEastAsia" w:hAnsi="Palatino Linotype" w:cstheme="minorBidi"/>
          <w:lang w:val="es-ES_tradnl"/>
        </w:rPr>
      </w:pPr>
    </w:p>
    <w:p w14:paraId="4E1955A5" w14:textId="66F402B2" w:rsidR="00FF1C38" w:rsidRPr="003C5388" w:rsidRDefault="00FF1C38" w:rsidP="00064592">
      <w:pPr>
        <w:numPr>
          <w:ilvl w:val="0"/>
          <w:numId w:val="29"/>
        </w:numPr>
        <w:spacing w:line="360" w:lineRule="auto"/>
        <w:ind w:left="0" w:right="49" w:firstLine="0"/>
        <w:contextualSpacing/>
        <w:jc w:val="both"/>
        <w:rPr>
          <w:rFonts w:ascii="Palatino Linotype" w:eastAsiaTheme="minorEastAsia" w:hAnsi="Palatino Linotype" w:cstheme="minorBidi"/>
          <w:b/>
          <w:lang w:val="es-ES_tradnl"/>
        </w:rPr>
      </w:pPr>
      <w:r w:rsidRPr="003C5388">
        <w:rPr>
          <w:rFonts w:ascii="Palatino Linotype" w:eastAsiaTheme="minorEastAsia" w:hAnsi="Palatino Linotype" w:cs="Arial"/>
          <w:lang w:val="es-ES_tradnl"/>
        </w:rPr>
        <w:lastRenderedPageBreak/>
        <w:t>Inconforme con la</w:t>
      </w:r>
      <w:r w:rsidR="00843BC1" w:rsidRPr="003C5388">
        <w:rPr>
          <w:rFonts w:ascii="Palatino Linotype" w:eastAsiaTheme="minorEastAsia" w:hAnsi="Palatino Linotype" w:cs="Arial"/>
          <w:lang w:val="es-ES_tradnl"/>
        </w:rPr>
        <w:t xml:space="preserve"> falta de </w:t>
      </w:r>
      <w:r w:rsidRPr="003C5388">
        <w:rPr>
          <w:rFonts w:ascii="Palatino Linotype" w:eastAsiaTheme="minorEastAsia" w:hAnsi="Palatino Linotype" w:cs="Arial"/>
          <w:lang w:val="es-ES_tradnl"/>
        </w:rPr>
        <w:t xml:space="preserve"> respuesta del </w:t>
      </w:r>
      <w:r w:rsidRPr="003C5388">
        <w:rPr>
          <w:rFonts w:ascii="Palatino Linotype" w:eastAsiaTheme="minorEastAsia" w:hAnsi="Palatino Linotype" w:cs="Arial"/>
          <w:b/>
          <w:lang w:val="es-ES_tradnl"/>
        </w:rPr>
        <w:t xml:space="preserve">SUJETO OBLIGADO </w:t>
      </w:r>
      <w:r w:rsidRPr="003C5388">
        <w:rPr>
          <w:rFonts w:ascii="Palatino Linotype" w:eastAsiaTheme="minorEastAsia" w:hAnsi="Palatino Linotype" w:cs="Arial"/>
          <w:lang w:val="es-ES_tradnl"/>
        </w:rPr>
        <w:t>el particular presentó el Recurso de R</w:t>
      </w:r>
      <w:r w:rsidR="00843BC1" w:rsidRPr="003C5388">
        <w:rPr>
          <w:rFonts w:ascii="Palatino Linotype" w:eastAsiaTheme="minorEastAsia" w:hAnsi="Palatino Linotype" w:cs="Arial"/>
          <w:lang w:val="es-ES_tradnl"/>
        </w:rPr>
        <w:t>evisión de mérito, en el que señaló como inconformidad la negativa a otorgar la respuesta a la solicitud, no obstante</w:t>
      </w:r>
      <w:r w:rsidRPr="003C5388">
        <w:rPr>
          <w:rFonts w:ascii="Palatino Linotype" w:eastAsiaTheme="minorEastAsia" w:hAnsi="Palatino Linotype" w:cs="Arial"/>
          <w:lang w:val="es-ES_tradnl"/>
        </w:rPr>
        <w:t>, este Órgano Garante advierte que</w:t>
      </w:r>
      <w:r w:rsidR="00843BC1" w:rsidRPr="003C5388">
        <w:rPr>
          <w:rFonts w:ascii="Palatino Linotype" w:eastAsiaTheme="minorEastAsia" w:hAnsi="Palatino Linotype" w:cs="Arial"/>
          <w:lang w:val="es-ES_tradnl"/>
        </w:rPr>
        <w:t xml:space="preserve"> parte de</w:t>
      </w:r>
      <w:r w:rsidRPr="003C5388">
        <w:rPr>
          <w:rFonts w:ascii="Palatino Linotype" w:eastAsiaTheme="minorEastAsia" w:hAnsi="Palatino Linotype" w:cs="Arial"/>
          <w:lang w:val="es-ES_tradnl"/>
        </w:rPr>
        <w:t xml:space="preserve"> </w:t>
      </w:r>
      <w:r w:rsidR="00843BC1" w:rsidRPr="003C5388">
        <w:rPr>
          <w:rFonts w:ascii="Palatino Linotype" w:eastAsia="Calibri" w:hAnsi="Palatino Linotype" w:cs="Arial"/>
          <w:color w:val="000000"/>
          <w:lang w:val="es-MX"/>
        </w:rPr>
        <w:t>los motivos de inconformidad expuesto</w:t>
      </w:r>
      <w:r w:rsidRPr="003C5388">
        <w:rPr>
          <w:rFonts w:ascii="Palatino Linotype" w:eastAsia="Calibri" w:hAnsi="Palatino Linotype" w:cs="Arial"/>
          <w:color w:val="000000"/>
          <w:lang w:val="es-MX"/>
        </w:rPr>
        <w:t>s al momento</w:t>
      </w:r>
      <w:r w:rsidR="00843BC1" w:rsidRPr="003C5388">
        <w:rPr>
          <w:rFonts w:ascii="Palatino Linotype" w:eastAsia="Calibri" w:hAnsi="Palatino Linotype" w:cs="Arial"/>
          <w:color w:val="000000"/>
          <w:lang w:val="es-MX"/>
        </w:rPr>
        <w:t xml:space="preserve"> de presentar su recurso de revisión</w:t>
      </w:r>
      <w:r w:rsidRPr="003C5388">
        <w:rPr>
          <w:rFonts w:ascii="Palatino Linotype" w:eastAsia="Calibri" w:hAnsi="Palatino Linotype" w:cs="Arial"/>
          <w:color w:val="000000"/>
          <w:lang w:val="es-MX"/>
        </w:rPr>
        <w:t xml:space="preserve">, </w:t>
      </w:r>
      <w:r w:rsidRPr="003C5388">
        <w:rPr>
          <w:rFonts w:ascii="Palatino Linotype" w:hAnsi="Palatino Linotype" w:cs="Arial"/>
          <w:lang w:val="es-MX"/>
        </w:rPr>
        <w:t>no constituyen el ejercicio del derecho de acceso a la información pública</w:t>
      </w:r>
      <w:r w:rsidR="00064592" w:rsidRPr="003C5388">
        <w:rPr>
          <w:rFonts w:ascii="Palatino Linotype" w:hAnsi="Palatino Linotype" w:cs="Arial"/>
          <w:lang w:val="es-MX"/>
        </w:rPr>
        <w:t>, debido a que se trata de</w:t>
      </w:r>
      <w:r w:rsidRPr="003C5388">
        <w:rPr>
          <w:rFonts w:ascii="Palatino Linotype" w:hAnsi="Palatino Linotype" w:cs="Arial"/>
          <w:lang w:val="es-MX"/>
        </w:rPr>
        <w:t xml:space="preserve"> declaraciones que no se </w:t>
      </w:r>
      <w:r w:rsidR="00064592" w:rsidRPr="003C5388">
        <w:rPr>
          <w:rFonts w:ascii="Palatino Linotype" w:hAnsi="Palatino Linotype" w:cs="Arial"/>
          <w:lang w:val="es-MX"/>
        </w:rPr>
        <w:t xml:space="preserve">realizan en </w:t>
      </w:r>
      <w:r w:rsidR="00021E5D" w:rsidRPr="003C5388">
        <w:rPr>
          <w:rFonts w:ascii="Palatino Linotype" w:hAnsi="Palatino Linotype" w:cs="Arial"/>
          <w:lang w:val="es-MX"/>
        </w:rPr>
        <w:t>el marco del ejercicio del derecho de acceso a la información.</w:t>
      </w:r>
      <w:r w:rsidRPr="003C5388">
        <w:rPr>
          <w:rFonts w:ascii="Palatino Linotype" w:hAnsi="Palatino Linotype" w:cs="Arial"/>
          <w:lang w:val="es-MX"/>
        </w:rPr>
        <w:t xml:space="preserve"> </w:t>
      </w:r>
    </w:p>
    <w:p w14:paraId="27BB1D91" w14:textId="77777777" w:rsidR="00064592" w:rsidRPr="003C5388" w:rsidRDefault="00064592" w:rsidP="00064592">
      <w:pPr>
        <w:pStyle w:val="Prrafodelista"/>
        <w:rPr>
          <w:rFonts w:ascii="Palatino Linotype" w:eastAsiaTheme="minorEastAsia" w:hAnsi="Palatino Linotype" w:cstheme="minorBidi"/>
          <w:b/>
          <w:lang w:val="es-ES_tradnl"/>
        </w:rPr>
      </w:pPr>
    </w:p>
    <w:p w14:paraId="5164EBE9" w14:textId="093FE37B" w:rsidR="00064592" w:rsidRPr="003C5388" w:rsidRDefault="00064592" w:rsidP="00064592">
      <w:pPr>
        <w:numPr>
          <w:ilvl w:val="0"/>
          <w:numId w:val="29"/>
        </w:numPr>
        <w:spacing w:line="360" w:lineRule="auto"/>
        <w:ind w:left="0" w:right="49" w:firstLine="0"/>
        <w:contextualSpacing/>
        <w:jc w:val="both"/>
        <w:rPr>
          <w:rFonts w:ascii="Palatino Linotype" w:eastAsiaTheme="minorEastAsia" w:hAnsi="Palatino Linotype" w:cstheme="minorBidi"/>
          <w:lang w:val="es-ES_tradnl"/>
        </w:rPr>
      </w:pPr>
      <w:r w:rsidRPr="003C5388">
        <w:rPr>
          <w:rFonts w:ascii="Palatino Linotype" w:eastAsiaTheme="minorEastAsia" w:hAnsi="Palatino Linotype" w:cstheme="minorBidi"/>
          <w:lang w:val="es-ES_tradnl"/>
        </w:rPr>
        <w:t>Sin embargo, con relación a la manifestación correspondiente a “</w:t>
      </w:r>
      <w:r w:rsidRPr="003C5388">
        <w:rPr>
          <w:rFonts w:ascii="Palatino Linotype" w:eastAsiaTheme="minorEastAsia" w:hAnsi="Palatino Linotype" w:cstheme="minorBidi"/>
          <w:i/>
        </w:rPr>
        <w:t xml:space="preserve">no da respuesta alguna” </w:t>
      </w:r>
      <w:r w:rsidRPr="003C5388">
        <w:rPr>
          <w:rFonts w:ascii="Palatino Linotype" w:eastAsiaTheme="minorEastAsia" w:hAnsi="Palatino Linotype" w:cstheme="minorBidi"/>
        </w:rPr>
        <w:t>es o</w:t>
      </w:r>
      <w:r w:rsidRPr="003C5388">
        <w:rPr>
          <w:rFonts w:ascii="Palatino Linotype" w:eastAsiaTheme="minorEastAsia" w:hAnsi="Palatino Linotype" w:cstheme="minorBidi"/>
          <w:i/>
        </w:rPr>
        <w:t xml:space="preserve">portuno referir que el ente recurrido mediante informe justificado refirió que “La obligación de proporcionar información no corresponde el procesamiento </w:t>
      </w:r>
      <w:r w:rsidR="001654FA" w:rsidRPr="003C5388">
        <w:rPr>
          <w:rFonts w:ascii="Palatino Linotype" w:eastAsiaTheme="minorEastAsia" w:hAnsi="Palatino Linotype" w:cstheme="minorBidi"/>
          <w:i/>
        </w:rPr>
        <w:t>de las mismas, ni el presentarla conforme a los intereses del solicitante</w:t>
      </w:r>
      <w:r w:rsidR="00021E5D" w:rsidRPr="003C5388">
        <w:rPr>
          <w:rFonts w:ascii="Palatino Linotype" w:eastAsiaTheme="minorEastAsia" w:hAnsi="Palatino Linotype" w:cstheme="minorBidi"/>
        </w:rPr>
        <w:t>”</w:t>
      </w:r>
      <w:r w:rsidR="001654FA" w:rsidRPr="003C5388">
        <w:rPr>
          <w:rFonts w:ascii="Palatino Linotype" w:eastAsiaTheme="minorEastAsia" w:hAnsi="Palatino Linotype" w:cstheme="minorBidi"/>
        </w:rPr>
        <w:t>, como a continuación se observa:</w:t>
      </w:r>
      <w:r w:rsidRPr="003C5388">
        <w:rPr>
          <w:rFonts w:ascii="Palatino Linotype" w:eastAsiaTheme="minorEastAsia" w:hAnsi="Palatino Linotype" w:cstheme="minorBidi"/>
        </w:rPr>
        <w:t xml:space="preserve"> </w:t>
      </w:r>
    </w:p>
    <w:p w14:paraId="566386BD" w14:textId="61CC4D6F" w:rsidR="00843BC1" w:rsidRPr="003C5388" w:rsidRDefault="00021E5D" w:rsidP="00843BC1">
      <w:pPr>
        <w:spacing w:line="360" w:lineRule="auto"/>
        <w:ind w:right="49"/>
        <w:contextualSpacing/>
        <w:jc w:val="both"/>
        <w:rPr>
          <w:rFonts w:ascii="Palatino Linotype" w:eastAsiaTheme="minorEastAsia" w:hAnsi="Palatino Linotype" w:cstheme="minorBidi"/>
          <w:b/>
          <w:lang w:val="es-ES_tradnl"/>
        </w:rPr>
      </w:pPr>
      <w:r w:rsidRPr="003C5388">
        <w:rPr>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75C373A9" wp14:editId="18E4DD9D">
                <wp:simplePos x="0" y="0"/>
                <wp:positionH relativeFrom="column">
                  <wp:posOffset>615315</wp:posOffset>
                </wp:positionH>
                <wp:positionV relativeFrom="paragraph">
                  <wp:posOffset>2966720</wp:posOffset>
                </wp:positionV>
                <wp:extent cx="4533900" cy="62865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4533900" cy="6286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00D25DB8" id="Rectángulo 6" o:spid="_x0000_s1026" style="position:absolute;margin-left:48.45pt;margin-top:233.6pt;width:357pt;height: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" filled="f" strokecolor="red" strokeweight="1pt">
                <v:shadow on="t" color="black" opacity="22937f" origin=",.5" offset="0,.63889mm"/>
              </v:rect>
            </w:pict>
          </mc:Fallback>
        </mc:AlternateContent>
      </w:r>
      <w:r w:rsidR="00064592" w:rsidRPr="003C5388">
        <w:rPr>
          <w:noProof/>
          <w:sz w:val="20"/>
          <w:szCs w:val="20"/>
          <w:lang w:val="es-MX" w:eastAsia="es-MX"/>
        </w:rPr>
        <w:drawing>
          <wp:inline distT="0" distB="0" distL="0" distR="0" wp14:anchorId="782965E3" wp14:editId="5C10A8A2">
            <wp:extent cx="5612130" cy="489918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57" t="16322" r="21231" b="4002"/>
                    <a:stretch/>
                  </pic:blipFill>
                  <pic:spPr bwMode="auto">
                    <a:xfrm>
                      <a:off x="0" y="0"/>
                      <a:ext cx="5612130" cy="4899188"/>
                    </a:xfrm>
                    <a:prstGeom prst="rect">
                      <a:avLst/>
                    </a:prstGeom>
                    <a:ln>
                      <a:noFill/>
                    </a:ln>
                    <a:extLst>
                      <a:ext uri="{53640926-AAD7-44D8-BBD7-CCE9431645EC}">
                        <a14:shadowObscured xmlns:a14="http://schemas.microsoft.com/office/drawing/2010/main"/>
                      </a:ext>
                    </a:extLst>
                  </pic:spPr>
                </pic:pic>
              </a:graphicData>
            </a:graphic>
          </wp:inline>
        </w:drawing>
      </w:r>
    </w:p>
    <w:p w14:paraId="451B3DDA" w14:textId="77777777" w:rsidR="001654FA" w:rsidRPr="003C5388" w:rsidRDefault="001654FA" w:rsidP="00843BC1">
      <w:pPr>
        <w:spacing w:line="360" w:lineRule="auto"/>
        <w:ind w:right="49"/>
        <w:contextualSpacing/>
        <w:jc w:val="both"/>
        <w:rPr>
          <w:rFonts w:ascii="Palatino Linotype" w:eastAsiaTheme="minorEastAsia" w:hAnsi="Palatino Linotype" w:cstheme="minorBidi"/>
          <w:b/>
          <w:lang w:val="es-ES_tradnl"/>
        </w:rPr>
      </w:pPr>
    </w:p>
    <w:p w14:paraId="6251365A" w14:textId="77777777" w:rsidR="00064592" w:rsidRPr="003C5388" w:rsidRDefault="00064592" w:rsidP="00064592">
      <w:pPr>
        <w:pStyle w:val="Prrafodelista"/>
        <w:rPr>
          <w:rFonts w:ascii="Palatino Linotype" w:hAnsi="Palatino Linotype" w:cs="Arial"/>
          <w:lang w:val="es-MX"/>
        </w:rPr>
      </w:pPr>
    </w:p>
    <w:p w14:paraId="15509420" w14:textId="1D6FEF16" w:rsidR="001654FA" w:rsidRPr="003C5388" w:rsidRDefault="001654FA" w:rsidP="00021E5D">
      <w:pPr>
        <w:numPr>
          <w:ilvl w:val="0"/>
          <w:numId w:val="29"/>
        </w:numPr>
        <w:spacing w:line="360" w:lineRule="auto"/>
        <w:ind w:left="0" w:right="49" w:firstLine="0"/>
        <w:contextualSpacing/>
        <w:jc w:val="both"/>
        <w:rPr>
          <w:rFonts w:ascii="Palatino Linotype" w:hAnsi="Palatino Linotype" w:cs="Arial"/>
          <w:i/>
          <w:lang w:val="es-MX" w:eastAsia="gl-ES"/>
        </w:rPr>
      </w:pPr>
      <w:r w:rsidRPr="003C5388">
        <w:rPr>
          <w:rFonts w:ascii="Palatino Linotype" w:hAnsi="Palatino Linotype" w:cs="Arial"/>
          <w:lang w:val="es-MX"/>
        </w:rPr>
        <w:t>Bajo ese contexto</w:t>
      </w:r>
      <w:r w:rsidRPr="003C5388">
        <w:rPr>
          <w:rFonts w:ascii="Palatino Linotype" w:eastAsia="Calibri" w:hAnsi="Palatino Linotype" w:cs="Arial"/>
          <w:bCs/>
          <w:lang w:val="es-MX" w:eastAsia="en-US"/>
        </w:rPr>
        <w:t xml:space="preserve">, el  </w:t>
      </w:r>
      <w:r w:rsidRPr="003C5388">
        <w:rPr>
          <w:rFonts w:ascii="Palatino Linotype" w:hAnsi="Palatino Linotype"/>
          <w:color w:val="000000" w:themeColor="text1"/>
        </w:rPr>
        <w:t xml:space="preserve">artículo 115 de la Constitución Política de los Estados Unidos Mexicanos, en su párrafo II, establece que </w:t>
      </w:r>
      <w:r w:rsidRPr="003C5388">
        <w:rPr>
          <w:rFonts w:ascii="Palatino Linotype" w:hAnsi="Palatino Linotype"/>
          <w:b/>
          <w:color w:val="000000" w:themeColor="text1"/>
        </w:rPr>
        <w:t>los municipios estarán investidos de</w:t>
      </w:r>
      <w:r w:rsidRPr="003C5388">
        <w:rPr>
          <w:rFonts w:ascii="Palatino Linotype" w:hAnsi="Palatino Linotype"/>
          <w:color w:val="000000" w:themeColor="text1"/>
        </w:rPr>
        <w:t xml:space="preserve"> </w:t>
      </w:r>
      <w:r w:rsidRPr="003C5388">
        <w:rPr>
          <w:rFonts w:ascii="Palatino Linotype" w:hAnsi="Palatino Linotype"/>
          <w:b/>
          <w:color w:val="000000" w:themeColor="text1"/>
        </w:rPr>
        <w:t>personalidad jurídica</w:t>
      </w:r>
      <w:r w:rsidRPr="003C5388">
        <w:rPr>
          <w:rFonts w:ascii="Palatino Linotype" w:hAnsi="Palatino Linotype"/>
          <w:color w:val="000000" w:themeColor="text1"/>
        </w:rPr>
        <w:t xml:space="preserve"> y manejarán su patrimonio conforme a la ley; asimismo, </w:t>
      </w:r>
      <w:r w:rsidRPr="003C5388">
        <w:rPr>
          <w:rFonts w:ascii="Palatino Linotype" w:hAnsi="Palatino Linotype"/>
          <w:b/>
          <w:color w:val="000000" w:themeColor="text1"/>
        </w:rPr>
        <w:t>tendrán facultades para aprobar</w:t>
      </w:r>
      <w:r w:rsidRPr="003C5388">
        <w:rPr>
          <w:rFonts w:ascii="Palatino Linotype" w:hAnsi="Palatino Linotype"/>
          <w:color w:val="000000" w:themeColor="text1"/>
        </w:rPr>
        <w:t xml:space="preserve">, de acuerdo con las leyes en materia municipal que deberán expedir las legislaturas de los Estados, los bandos de policía y gobierno, </w:t>
      </w:r>
      <w:r w:rsidRPr="003C5388">
        <w:rPr>
          <w:rFonts w:ascii="Palatino Linotype" w:hAnsi="Palatino Linotype"/>
          <w:b/>
          <w:color w:val="000000" w:themeColor="text1"/>
        </w:rPr>
        <w:t>los reglamentos, circulares y disposiciones administrativas</w:t>
      </w:r>
      <w:r w:rsidRPr="003C5388">
        <w:rPr>
          <w:rFonts w:ascii="Palatino Linotype" w:hAnsi="Palatino Linotype"/>
          <w:color w:val="000000" w:themeColor="text1"/>
        </w:rPr>
        <w:t xml:space="preserve"> de observancia general dentro de sus respectivas jurisdicciones, </w:t>
      </w:r>
      <w:r w:rsidRPr="003C5388">
        <w:rPr>
          <w:rFonts w:ascii="Palatino Linotype" w:hAnsi="Palatino Linotype"/>
          <w:b/>
          <w:color w:val="000000" w:themeColor="text1"/>
        </w:rPr>
        <w:t>que</w:t>
      </w:r>
      <w:r w:rsidRPr="003C5388">
        <w:rPr>
          <w:rFonts w:ascii="Palatino Linotype" w:hAnsi="Palatino Linotype"/>
          <w:color w:val="000000" w:themeColor="text1"/>
        </w:rPr>
        <w:t xml:space="preserve"> organicen la </w:t>
      </w:r>
      <w:r w:rsidRPr="003C5388">
        <w:rPr>
          <w:rFonts w:ascii="Palatino Linotype" w:hAnsi="Palatino Linotype"/>
          <w:color w:val="000000" w:themeColor="text1"/>
        </w:rPr>
        <w:lastRenderedPageBreak/>
        <w:t xml:space="preserve">administración pública municipal, </w:t>
      </w:r>
      <w:r w:rsidRPr="003C5388">
        <w:rPr>
          <w:rFonts w:ascii="Palatino Linotype" w:hAnsi="Palatino Linotype"/>
          <w:b/>
          <w:color w:val="000000" w:themeColor="text1"/>
        </w:rPr>
        <w:t>regulen las materias, procedimientos, funciones y servicios públicos de su competencia</w:t>
      </w:r>
      <w:r w:rsidRPr="003C5388">
        <w:rPr>
          <w:rFonts w:ascii="Palatino Linotype" w:hAnsi="Palatino Linotype"/>
          <w:color w:val="000000" w:themeColor="text1"/>
        </w:rPr>
        <w:t xml:space="preserve"> y aseguren la participación ciudadana y vecinal.</w:t>
      </w:r>
    </w:p>
    <w:p w14:paraId="526A8FFC" w14:textId="77777777" w:rsidR="001654FA" w:rsidRPr="003C5388" w:rsidRDefault="001654FA" w:rsidP="001654FA">
      <w:pPr>
        <w:spacing w:line="360" w:lineRule="auto"/>
        <w:rPr>
          <w:rFonts w:ascii="Palatino Linotype" w:eastAsiaTheme="minorEastAsia" w:hAnsi="Palatino Linotype" w:cstheme="minorBidi"/>
          <w:color w:val="000000" w:themeColor="text1"/>
          <w:lang w:val="es-MX"/>
        </w:rPr>
      </w:pPr>
    </w:p>
    <w:p w14:paraId="1CC7B27F" w14:textId="36D77678" w:rsidR="001654FA" w:rsidRPr="003C5388" w:rsidRDefault="001654FA" w:rsidP="00F55C13">
      <w:pPr>
        <w:pStyle w:val="Prrafodelista"/>
        <w:numPr>
          <w:ilvl w:val="0"/>
          <w:numId w:val="29"/>
        </w:numPr>
        <w:spacing w:before="240" w:after="360" w:line="360" w:lineRule="auto"/>
        <w:ind w:left="0" w:firstLine="0"/>
        <w:contextualSpacing/>
        <w:jc w:val="both"/>
        <w:rPr>
          <w:rFonts w:ascii="Palatino Linotype" w:eastAsia="MS Mincho" w:hAnsi="Palatino Linotype" w:cs="Arial"/>
          <w:i/>
          <w:lang w:val="es-MX"/>
        </w:rPr>
      </w:pPr>
      <w:r w:rsidRPr="003C5388">
        <w:rPr>
          <w:rFonts w:ascii="Palatino Linotype" w:eastAsiaTheme="minorEastAsia" w:hAnsi="Palatino Linotype" w:cstheme="minorBidi"/>
          <w:color w:val="000000" w:themeColor="text1"/>
          <w:lang w:val="es-MX"/>
        </w:rPr>
        <w:t xml:space="preserve">Correlativo a lo anterior, la fracción V del numeral 115 de nuestra </w:t>
      </w:r>
      <w:r w:rsidRPr="003C5388">
        <w:rPr>
          <w:rFonts w:ascii="Palatino Linotype" w:eastAsiaTheme="minorEastAsia" w:hAnsi="Palatino Linotype" w:cstheme="minorBidi"/>
          <w:i/>
          <w:color w:val="000000" w:themeColor="text1"/>
          <w:lang w:val="es-MX"/>
        </w:rPr>
        <w:t>Magna Carta</w:t>
      </w:r>
      <w:r w:rsidRPr="003C5388">
        <w:rPr>
          <w:rFonts w:ascii="Palatino Linotype" w:eastAsiaTheme="minorEastAsia" w:hAnsi="Palatino Linotype" w:cstheme="minorBidi"/>
          <w:color w:val="000000" w:themeColor="text1"/>
          <w:lang w:val="es-MX"/>
        </w:rPr>
        <w:t xml:space="preserve"> establece que los municipios, en términos de las leyes federales y estatales relativas, estarán facultados para:</w:t>
      </w:r>
    </w:p>
    <w:p w14:paraId="6A33EE90" w14:textId="77777777" w:rsidR="00021E5D" w:rsidRPr="003C5388" w:rsidRDefault="00021E5D" w:rsidP="00021E5D">
      <w:pPr>
        <w:spacing w:before="240" w:after="360" w:line="360" w:lineRule="auto"/>
        <w:contextualSpacing/>
        <w:jc w:val="both"/>
        <w:rPr>
          <w:rFonts w:ascii="Palatino Linotype" w:eastAsia="MS Mincho" w:hAnsi="Palatino Linotype" w:cs="Arial"/>
          <w:i/>
          <w:lang w:val="es-MX"/>
        </w:rPr>
      </w:pPr>
    </w:p>
    <w:p w14:paraId="341765FD" w14:textId="77777777" w:rsidR="001654FA" w:rsidRPr="003C5388" w:rsidRDefault="001654FA" w:rsidP="00021E5D">
      <w:pPr>
        <w:numPr>
          <w:ilvl w:val="1"/>
          <w:numId w:val="38"/>
        </w:numPr>
        <w:tabs>
          <w:tab w:val="left" w:pos="851"/>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3C5388">
        <w:rPr>
          <w:rFonts w:ascii="Palatino Linotype" w:eastAsiaTheme="minorEastAsia" w:hAnsi="Palatino Linotype" w:cstheme="minorBidi"/>
          <w:b/>
          <w:color w:val="000000" w:themeColor="text1"/>
          <w:lang w:val="es-MX"/>
        </w:rPr>
        <w:t>Formular, aprobar y administrar la zonificación</w:t>
      </w:r>
      <w:r w:rsidRPr="003C5388">
        <w:rPr>
          <w:rFonts w:ascii="Palatino Linotype" w:eastAsiaTheme="minorEastAsia" w:hAnsi="Palatino Linotype" w:cstheme="minorBidi"/>
          <w:color w:val="000000" w:themeColor="text1"/>
          <w:lang w:val="es-MX"/>
        </w:rPr>
        <w:t xml:space="preserve"> y planes de desarrollo urbano </w:t>
      </w:r>
      <w:r w:rsidRPr="003C5388">
        <w:rPr>
          <w:rFonts w:ascii="Palatino Linotype" w:eastAsiaTheme="minorEastAsia" w:hAnsi="Palatino Linotype" w:cstheme="minorBidi"/>
          <w:b/>
          <w:color w:val="000000" w:themeColor="text1"/>
          <w:lang w:val="es-MX"/>
        </w:rPr>
        <w:t>municipal</w:t>
      </w:r>
      <w:r w:rsidRPr="003C5388">
        <w:rPr>
          <w:rFonts w:ascii="Palatino Linotype" w:eastAsiaTheme="minorEastAsia" w:hAnsi="Palatino Linotype" w:cstheme="minorBidi"/>
          <w:color w:val="000000" w:themeColor="text1"/>
          <w:lang w:val="es-MX"/>
        </w:rPr>
        <w:t>, así como los planes en materia de movilidad y seguridad vial;</w:t>
      </w:r>
    </w:p>
    <w:p w14:paraId="00B06911" w14:textId="77777777" w:rsidR="001654FA" w:rsidRPr="003C5388" w:rsidRDefault="001654FA" w:rsidP="00021E5D">
      <w:pPr>
        <w:numPr>
          <w:ilvl w:val="1"/>
          <w:numId w:val="38"/>
        </w:numPr>
        <w:tabs>
          <w:tab w:val="left" w:pos="851"/>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3C5388">
        <w:rPr>
          <w:rFonts w:ascii="Palatino Linotype" w:eastAsiaTheme="minorEastAsia" w:hAnsi="Palatino Linotype" w:cstheme="minorBidi"/>
          <w:b/>
          <w:color w:val="000000" w:themeColor="text1"/>
          <w:lang w:val="es-MX"/>
        </w:rPr>
        <w:t>Autorizar, controlar y vigilar la utilización del suelo</w:t>
      </w:r>
      <w:r w:rsidRPr="003C5388">
        <w:rPr>
          <w:rFonts w:ascii="Palatino Linotype" w:eastAsiaTheme="minorEastAsia" w:hAnsi="Palatino Linotype" w:cstheme="minorBidi"/>
          <w:color w:val="000000" w:themeColor="text1"/>
          <w:lang w:val="es-MX"/>
        </w:rPr>
        <w:t>, en el ámbito de su competencia, en sus jurisdicciones territoriales; e</w:t>
      </w:r>
    </w:p>
    <w:p w14:paraId="0ABB4F9A" w14:textId="33D5E9A7" w:rsidR="001654FA" w:rsidRPr="003C5388" w:rsidRDefault="001654FA" w:rsidP="00021E5D">
      <w:pPr>
        <w:numPr>
          <w:ilvl w:val="1"/>
          <w:numId w:val="38"/>
        </w:numPr>
        <w:tabs>
          <w:tab w:val="left" w:pos="851"/>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3C5388">
        <w:rPr>
          <w:rFonts w:ascii="Palatino Linotype" w:eastAsiaTheme="minorEastAsia" w:hAnsi="Palatino Linotype" w:cstheme="minorBidi"/>
          <w:b/>
          <w:color w:val="000000" w:themeColor="text1"/>
          <w:lang w:val="es-MX"/>
        </w:rPr>
        <w:t>Intervenir en la regularización de la tenencia de la tierra</w:t>
      </w:r>
      <w:r w:rsidRPr="003C5388">
        <w:rPr>
          <w:rFonts w:ascii="Palatino Linotype" w:eastAsiaTheme="minorEastAsia" w:hAnsi="Palatino Linotype" w:cstheme="minorBidi"/>
          <w:color w:val="000000" w:themeColor="text1"/>
          <w:lang w:val="es-MX"/>
        </w:rPr>
        <w:t xml:space="preserve"> urbana</w:t>
      </w:r>
      <w:proofErr w:type="gramStart"/>
      <w:r w:rsidR="00EF157E" w:rsidRPr="003C5388">
        <w:rPr>
          <w:rFonts w:ascii="Palatino Linotype" w:eastAsiaTheme="minorEastAsia" w:hAnsi="Palatino Linotype" w:cstheme="minorBidi"/>
          <w:color w:val="000000" w:themeColor="text1"/>
          <w:lang w:val="es-MX"/>
        </w:rPr>
        <w:t>..</w:t>
      </w:r>
      <w:proofErr w:type="gramEnd"/>
    </w:p>
    <w:p w14:paraId="4EE970AE" w14:textId="77777777" w:rsidR="001654FA" w:rsidRPr="003C5388" w:rsidRDefault="001654FA" w:rsidP="001654FA">
      <w:pPr>
        <w:spacing w:before="240" w:after="360" w:line="360" w:lineRule="auto"/>
        <w:contextualSpacing/>
        <w:jc w:val="both"/>
        <w:rPr>
          <w:rFonts w:ascii="Palatino Linotype" w:eastAsia="MS Mincho" w:hAnsi="Palatino Linotype" w:cs="Arial"/>
          <w:i/>
          <w:lang w:val="es-MX"/>
        </w:rPr>
      </w:pPr>
    </w:p>
    <w:p w14:paraId="4A2A36B4" w14:textId="6D0F9859" w:rsidR="00237998" w:rsidRPr="003C5388" w:rsidRDefault="00EF157E" w:rsidP="00F55C13">
      <w:pPr>
        <w:numPr>
          <w:ilvl w:val="0"/>
          <w:numId w:val="29"/>
        </w:numPr>
        <w:spacing w:before="240" w:after="240" w:line="360" w:lineRule="auto"/>
        <w:ind w:left="0" w:right="49" w:firstLine="0"/>
        <w:contextualSpacing/>
        <w:jc w:val="both"/>
        <w:rPr>
          <w:rFonts w:ascii="Palatino Linotype" w:eastAsia="Calibri" w:hAnsi="Palatino Linotype"/>
          <w:i/>
        </w:rPr>
      </w:pPr>
      <w:r w:rsidRPr="003C5388">
        <w:rPr>
          <w:rFonts w:ascii="Palatino Linotype" w:hAnsi="Palatino Linotype" w:cs="Arial"/>
          <w:lang w:eastAsia="es-MX"/>
        </w:rPr>
        <w:t>En ese tenor</w:t>
      </w:r>
      <w:r w:rsidR="001654FA" w:rsidRPr="003C5388">
        <w:rPr>
          <w:rFonts w:ascii="Palatino Linotype" w:eastAsia="Calibri" w:hAnsi="Palatino Linotype"/>
        </w:rPr>
        <w:t xml:space="preserve">, se observa que el particular requiere acceso a </w:t>
      </w:r>
      <w:r w:rsidR="00F55C13" w:rsidRPr="003C5388">
        <w:rPr>
          <w:rFonts w:ascii="Palatino Linotype" w:eastAsia="Calibri" w:hAnsi="Palatino Linotype"/>
        </w:rPr>
        <w:t xml:space="preserve">los </w:t>
      </w:r>
      <w:r w:rsidR="001654FA" w:rsidRPr="003C5388">
        <w:rPr>
          <w:rFonts w:ascii="Palatino Linotype" w:eastAsia="Calibri" w:hAnsi="Palatino Linotype"/>
        </w:rPr>
        <w:t>“Plano</w:t>
      </w:r>
      <w:r w:rsidR="00F55C13" w:rsidRPr="003C5388">
        <w:rPr>
          <w:rFonts w:ascii="Palatino Linotype" w:eastAsia="Calibri" w:hAnsi="Palatino Linotype"/>
        </w:rPr>
        <w:t>s</w:t>
      </w:r>
      <w:r w:rsidR="001654FA" w:rsidRPr="003C5388">
        <w:rPr>
          <w:rFonts w:ascii="Palatino Linotype" w:eastAsia="Calibri" w:hAnsi="Palatino Linotype"/>
        </w:rPr>
        <w:t xml:space="preserve"> Manzanero</w:t>
      </w:r>
      <w:r w:rsidR="00F55C13" w:rsidRPr="003C5388">
        <w:rPr>
          <w:rFonts w:ascii="Palatino Linotype" w:eastAsia="Calibri" w:hAnsi="Palatino Linotype"/>
        </w:rPr>
        <w:t xml:space="preserve">s”, </w:t>
      </w:r>
      <w:r w:rsidRPr="003C5388">
        <w:rPr>
          <w:rFonts w:ascii="Palatino Linotype" w:eastAsia="Calibri" w:hAnsi="Palatino Linotype"/>
        </w:rPr>
        <w:t xml:space="preserve">por lo que </w:t>
      </w:r>
      <w:r w:rsidR="001654FA" w:rsidRPr="003C5388">
        <w:rPr>
          <w:rFonts w:ascii="Palatino Linotype" w:eastAsia="Calibri" w:hAnsi="Palatino Linotype"/>
        </w:rPr>
        <w:t xml:space="preserve">resulta toral traer a contexto </w:t>
      </w:r>
      <w:r w:rsidR="00237998" w:rsidRPr="003C5388">
        <w:rPr>
          <w:rFonts w:ascii="Palatino Linotype" w:eastAsia="Calibri" w:hAnsi="Palatino Linotype"/>
        </w:rPr>
        <w:t xml:space="preserve">el Manual Catastral del Estado de México, mismo que refiere que dentro de los servicios catastrales que presta el ayuntamiento de encuentra el de certificaciones de plano manzanero, como a continuación se observa: </w:t>
      </w:r>
    </w:p>
    <w:p w14:paraId="00879945" w14:textId="77777777" w:rsidR="00237998" w:rsidRPr="003C5388" w:rsidRDefault="00237998" w:rsidP="00237998">
      <w:pPr>
        <w:spacing w:before="240" w:after="240" w:line="360" w:lineRule="auto"/>
        <w:ind w:right="49"/>
        <w:contextualSpacing/>
        <w:jc w:val="both"/>
        <w:rPr>
          <w:rFonts w:ascii="Palatino Linotype" w:eastAsia="Calibri" w:hAnsi="Palatino Linotype"/>
          <w:i/>
        </w:rPr>
      </w:pPr>
    </w:p>
    <w:p w14:paraId="6AC01E3D" w14:textId="41D02B8C"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w:t>
      </w:r>
      <w:r w:rsidRPr="003C5388">
        <w:rPr>
          <w:rFonts w:ascii="Palatino Linotype" w:eastAsia="Calibri" w:hAnsi="Palatino Linotype"/>
          <w:b/>
          <w:i/>
        </w:rPr>
        <w:t>ACGC014.</w:t>
      </w:r>
      <w:r w:rsidRPr="003C5388">
        <w:rPr>
          <w:rFonts w:ascii="Palatino Linotype" w:eastAsia="Calibri" w:hAnsi="Palatino Linotype"/>
          <w:i/>
        </w:rPr>
        <w:t xml:space="preserve"> Los servicios catastrales que presta el ayuntamiento son: </w:t>
      </w:r>
      <w:r w:rsidRPr="003C5388">
        <w:rPr>
          <w:rFonts w:ascii="Palatino Linotype" w:eastAsia="Calibri" w:hAnsi="Palatino Linotype"/>
          <w:i/>
        </w:rPr>
        <w:sym w:font="Symbol" w:char="F0B7"/>
      </w:r>
      <w:r w:rsidRPr="003C5388">
        <w:rPr>
          <w:rFonts w:ascii="Palatino Linotype" w:eastAsia="Calibri" w:hAnsi="Palatino Linotype"/>
          <w:i/>
        </w:rPr>
        <w:t xml:space="preserve"> Inscripción de inmuebles en el padrón catastral municipal. </w:t>
      </w:r>
    </w:p>
    <w:p w14:paraId="4333B233"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lastRenderedPageBreak/>
        <w:sym w:font="Symbol" w:char="F0B7"/>
      </w:r>
      <w:r w:rsidRPr="003C5388">
        <w:rPr>
          <w:rFonts w:ascii="Palatino Linotype" w:eastAsia="Calibri" w:hAnsi="Palatino Linotype"/>
          <w:i/>
        </w:rPr>
        <w:t xml:space="preserve"> Registro de altas, bajas y modificaciones de construcciones.</w:t>
      </w:r>
    </w:p>
    <w:p w14:paraId="399A604D"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w:t>
      </w:r>
      <w:r w:rsidRPr="003C5388">
        <w:rPr>
          <w:rFonts w:ascii="Palatino Linotype" w:eastAsia="Calibri" w:hAnsi="Palatino Linotype"/>
          <w:i/>
        </w:rPr>
        <w:sym w:font="Symbol" w:char="F0B7"/>
      </w:r>
      <w:r w:rsidRPr="003C5388">
        <w:rPr>
          <w:rFonts w:ascii="Palatino Linotype" w:eastAsia="Calibri" w:hAnsi="Palatino Linotype"/>
          <w:i/>
        </w:rPr>
        <w:t xml:space="preserve"> Actualización del padrón catastral derivada de subdivisión, fusión, lotificación, </w:t>
      </w:r>
      <w:proofErr w:type="spellStart"/>
      <w:r w:rsidRPr="003C5388">
        <w:rPr>
          <w:rFonts w:ascii="Palatino Linotype" w:eastAsia="Calibri" w:hAnsi="Palatino Linotype"/>
          <w:i/>
        </w:rPr>
        <w:t>relotificación</w:t>
      </w:r>
      <w:proofErr w:type="spellEnd"/>
      <w:r w:rsidRPr="003C5388">
        <w:rPr>
          <w:rFonts w:ascii="Palatino Linotype" w:eastAsia="Calibri" w:hAnsi="Palatino Linotype"/>
          <w:i/>
        </w:rPr>
        <w:t xml:space="preserve">, conjuntos urbanos, afectaciones y modificación de linderos, previa autorización emitida por la autoridad competente. </w:t>
      </w:r>
    </w:p>
    <w:p w14:paraId="655F0DC4"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sym w:font="Symbol" w:char="F0B7"/>
      </w:r>
      <w:r w:rsidRPr="003C5388">
        <w:rPr>
          <w:rFonts w:ascii="Palatino Linotype" w:eastAsia="Calibri" w:hAnsi="Palatino Linotype"/>
          <w:i/>
        </w:rPr>
        <w:t xml:space="preserve"> Actualización al padrón catastral derivada de cambios técnicos y administrativos.</w:t>
      </w:r>
    </w:p>
    <w:p w14:paraId="2F3B6BF6"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sym w:font="Symbol" w:char="F0B7"/>
      </w:r>
      <w:r w:rsidRPr="003C5388">
        <w:rPr>
          <w:rFonts w:ascii="Palatino Linotype" w:eastAsia="Calibri" w:hAnsi="Palatino Linotype"/>
          <w:i/>
        </w:rPr>
        <w:t xml:space="preserve"> Asignación, baja y reasignación de clave catastral. </w:t>
      </w:r>
    </w:p>
    <w:p w14:paraId="07F3CDF7"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b/>
          <w:i/>
        </w:rPr>
      </w:pPr>
      <w:r w:rsidRPr="003C5388">
        <w:rPr>
          <w:rFonts w:ascii="Palatino Linotype" w:eastAsia="Calibri" w:hAnsi="Palatino Linotype"/>
          <w:b/>
          <w:i/>
        </w:rPr>
        <w:sym w:font="Symbol" w:char="F0B7"/>
      </w:r>
      <w:r w:rsidRPr="003C5388">
        <w:rPr>
          <w:rFonts w:ascii="Palatino Linotype" w:eastAsia="Calibri" w:hAnsi="Palatino Linotype"/>
          <w:b/>
          <w:i/>
        </w:rPr>
        <w:t xml:space="preserve"> Certificaciones de clave catastral, clave y valor catastral y plano manzanero. </w:t>
      </w:r>
    </w:p>
    <w:p w14:paraId="24B52F48" w14:textId="2F31409E"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sym w:font="Symbol" w:char="F0B7"/>
      </w:r>
      <w:r w:rsidRPr="003C5388">
        <w:rPr>
          <w:rFonts w:ascii="Palatino Linotype" w:eastAsia="Calibri" w:hAnsi="Palatino Linotype"/>
          <w:i/>
        </w:rPr>
        <w:t xml:space="preserve"> Constancia de identificación catastral. </w:t>
      </w:r>
    </w:p>
    <w:p w14:paraId="1B6ECC21"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sym w:font="Symbol" w:char="F0B7"/>
      </w:r>
      <w:r w:rsidRPr="003C5388">
        <w:rPr>
          <w:rFonts w:ascii="Palatino Linotype" w:eastAsia="Calibri" w:hAnsi="Palatino Linotype"/>
          <w:i/>
        </w:rPr>
        <w:t xml:space="preserve"> Levantamiento topográfico catastral, en los casos previstos por las disposiciones jurídicas aplicables. </w:t>
      </w:r>
    </w:p>
    <w:p w14:paraId="7D6E6FD7" w14:textId="0767FFAC"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sym w:font="Symbol" w:char="F0B7"/>
      </w:r>
      <w:r w:rsidRPr="003C5388">
        <w:rPr>
          <w:rFonts w:ascii="Palatino Linotype" w:eastAsia="Calibri" w:hAnsi="Palatino Linotype"/>
          <w:i/>
        </w:rPr>
        <w:t xml:space="preserve"> Verificación de linderos.” (Sic)</w:t>
      </w:r>
    </w:p>
    <w:p w14:paraId="0D6D470F" w14:textId="0569FDC5" w:rsidR="001654FA" w:rsidRPr="003C5388" w:rsidRDefault="001654FA" w:rsidP="001654FA">
      <w:pPr>
        <w:spacing w:before="240" w:after="240" w:line="360" w:lineRule="auto"/>
        <w:ind w:right="49"/>
        <w:contextualSpacing/>
        <w:jc w:val="both"/>
        <w:rPr>
          <w:rFonts w:ascii="Palatino Linotype" w:eastAsia="Calibri" w:hAnsi="Palatino Linotype"/>
        </w:rPr>
      </w:pPr>
    </w:p>
    <w:p w14:paraId="3B6754CB" w14:textId="77777777" w:rsidR="00237998" w:rsidRPr="003C5388" w:rsidRDefault="00237998" w:rsidP="00237998">
      <w:pPr>
        <w:numPr>
          <w:ilvl w:val="0"/>
          <w:numId w:val="29"/>
        </w:numPr>
        <w:spacing w:before="240" w:after="240" w:line="360" w:lineRule="auto"/>
        <w:ind w:left="0" w:right="49" w:firstLine="0"/>
        <w:contextualSpacing/>
        <w:jc w:val="both"/>
        <w:rPr>
          <w:rFonts w:ascii="Palatino Linotype" w:eastAsia="Calibri" w:hAnsi="Palatino Linotype"/>
          <w:b/>
        </w:rPr>
      </w:pPr>
      <w:r w:rsidRPr="003C5388">
        <w:rPr>
          <w:rFonts w:ascii="Palatino Linotype" w:eastAsia="Calibri" w:hAnsi="Palatino Linotype"/>
        </w:rPr>
        <w:t xml:space="preserve">En razón de lo anterior, el </w:t>
      </w:r>
      <w:r w:rsidRPr="003C5388">
        <w:rPr>
          <w:rFonts w:ascii="Palatino Linotype" w:eastAsia="Calibri" w:hAnsi="Palatino Linotype"/>
          <w:b/>
        </w:rPr>
        <w:t xml:space="preserve">Reglamento del Título Quinto del Código financiero del Estado de México y Municipios, dominado “Del Catastro”, </w:t>
      </w:r>
      <w:r w:rsidRPr="003C5388">
        <w:rPr>
          <w:rFonts w:ascii="Palatino Linotype" w:eastAsia="Calibri" w:hAnsi="Palatino Linotype"/>
        </w:rPr>
        <w:t>señala que las autoridades catastrales podrán expedir certificaciones o constancias de los documentos y datos que obren en sus archivos o en el padrón catastral, como se observa:</w:t>
      </w:r>
    </w:p>
    <w:p w14:paraId="062CB8E1" w14:textId="77777777" w:rsidR="00237998" w:rsidRPr="003C5388" w:rsidRDefault="00237998" w:rsidP="00237998">
      <w:pPr>
        <w:spacing w:before="240" w:after="240" w:line="360" w:lineRule="auto"/>
        <w:ind w:right="49"/>
        <w:contextualSpacing/>
        <w:jc w:val="both"/>
        <w:rPr>
          <w:rFonts w:ascii="Palatino Linotype" w:eastAsia="Calibri" w:hAnsi="Palatino Linotype"/>
        </w:rPr>
      </w:pPr>
    </w:p>
    <w:p w14:paraId="7CBD4E00"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“Artículo 21.-</w:t>
      </w:r>
      <w:r w:rsidRPr="003C5388">
        <w:rPr>
          <w:rFonts w:ascii="Palatino Linotype" w:eastAsia="Calibri" w:hAnsi="Palatino Linotype"/>
          <w:i/>
        </w:rPr>
        <w:t xml:space="preserve"> La expedición de las certificaciones o constancias y demás trabajos que realice el Catastro Municipal, invariablemente deberán apegarse a lo dispuesto en el artículo 173 del Código y en el apartado correspondiente del Manual Catastral en el que se establecerán los lineamientos generales, procedimientos y requisitos que deben atender los solicitantes, así como los </w:t>
      </w:r>
      <w:r w:rsidRPr="003C5388">
        <w:rPr>
          <w:rFonts w:ascii="Palatino Linotype" w:eastAsia="Calibri" w:hAnsi="Palatino Linotype"/>
          <w:i/>
        </w:rPr>
        <w:lastRenderedPageBreak/>
        <w:t>formatos autorizados para emitir los documentos correspondientes. Para el cobro de estos servicios se deberá atender a las cuotas y tarifas establecidas en el artículo 166 del Código.</w:t>
      </w:r>
    </w:p>
    <w:p w14:paraId="05665409"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b/>
        </w:rPr>
      </w:pPr>
    </w:p>
    <w:p w14:paraId="41B27E77"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 xml:space="preserve"> Artículo 22.- </w:t>
      </w:r>
      <w:r w:rsidRPr="003C5388">
        <w:rPr>
          <w:rFonts w:ascii="Palatino Linotype" w:eastAsia="Calibri" w:hAnsi="Palatino Linotype"/>
          <w:i/>
        </w:rPr>
        <w:t xml:space="preserve">La Autoridad Catastral Municipal prestará los siguientes trámites y servicios: </w:t>
      </w:r>
    </w:p>
    <w:p w14:paraId="77AA609C"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p>
    <w:p w14:paraId="5E494884"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w:t>
      </w:r>
    </w:p>
    <w:p w14:paraId="3C6FD5EE"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II. Servicios: </w:t>
      </w:r>
    </w:p>
    <w:p w14:paraId="296EED78"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w:t>
      </w:r>
    </w:p>
    <w:p w14:paraId="1F98DE8D"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p>
    <w:p w14:paraId="469E856A"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b/>
          <w:i/>
        </w:rPr>
      </w:pPr>
      <w:r w:rsidRPr="003C5388">
        <w:rPr>
          <w:rFonts w:ascii="Palatino Linotype" w:eastAsia="Calibri" w:hAnsi="Palatino Linotype"/>
          <w:b/>
          <w:i/>
        </w:rPr>
        <w:t>c) Certificación de Plano Manzanero;</w:t>
      </w:r>
    </w:p>
    <w:p w14:paraId="4A710435"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p>
    <w:p w14:paraId="6CBB30C7"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(Sic)</w:t>
      </w:r>
    </w:p>
    <w:p w14:paraId="427C6EF7" w14:textId="77777777" w:rsidR="002A2F95" w:rsidRPr="003C5388" w:rsidRDefault="002A2F95" w:rsidP="001654FA">
      <w:pPr>
        <w:spacing w:before="240" w:after="240" w:line="360" w:lineRule="auto"/>
        <w:ind w:right="49"/>
        <w:contextualSpacing/>
        <w:jc w:val="both"/>
        <w:rPr>
          <w:rFonts w:ascii="Palatino Linotype" w:eastAsia="Calibri" w:hAnsi="Palatino Linotype"/>
        </w:rPr>
      </w:pPr>
    </w:p>
    <w:p w14:paraId="5520CDE9" w14:textId="6705ACFF" w:rsidR="00237998" w:rsidRPr="003C5388" w:rsidRDefault="00237998" w:rsidP="00237998">
      <w:pPr>
        <w:numPr>
          <w:ilvl w:val="0"/>
          <w:numId w:val="29"/>
        </w:numPr>
        <w:spacing w:before="240" w:after="240" w:line="360" w:lineRule="auto"/>
        <w:ind w:left="0" w:right="49" w:firstLine="0"/>
        <w:contextualSpacing/>
        <w:jc w:val="both"/>
        <w:rPr>
          <w:rFonts w:ascii="Palatino Linotype" w:eastAsia="Calibri" w:hAnsi="Palatino Linotype"/>
          <w:b/>
        </w:rPr>
      </w:pPr>
      <w:r w:rsidRPr="003C5388">
        <w:rPr>
          <w:rFonts w:ascii="Palatino Linotype" w:eastAsia="Calibri" w:hAnsi="Palatino Linotype"/>
        </w:rPr>
        <w:t xml:space="preserve">Establecido lo anterior, se advierte que para la realización del trámite denominado “Certificación de Plano Manzanero” de conformidad con lo que señala el registro </w:t>
      </w:r>
      <w:r w:rsidRPr="003C5388">
        <w:rPr>
          <w:rFonts w:ascii="Palatino Linotype" w:eastAsia="Calibri" w:hAnsi="Palatino Linotype"/>
          <w:b/>
        </w:rPr>
        <w:t xml:space="preserve">ACGC008, </w:t>
      </w:r>
      <w:r w:rsidRPr="003C5388">
        <w:rPr>
          <w:rFonts w:ascii="Palatino Linotype" w:eastAsia="Calibri" w:hAnsi="Palatino Linotype"/>
        </w:rPr>
        <w:t>del ya referido Manual Catastral del Estado de México, adquiere de un procesamiento técnico:</w:t>
      </w:r>
    </w:p>
    <w:p w14:paraId="66885575" w14:textId="77777777" w:rsidR="00237998" w:rsidRPr="003C5388" w:rsidRDefault="00237998" w:rsidP="00237998">
      <w:pPr>
        <w:spacing w:before="240" w:after="240" w:line="360" w:lineRule="auto"/>
        <w:ind w:right="49"/>
        <w:contextualSpacing/>
        <w:jc w:val="both"/>
        <w:rPr>
          <w:rFonts w:ascii="Palatino Linotype" w:eastAsia="Calibri" w:hAnsi="Palatino Linotype"/>
          <w:b/>
        </w:rPr>
      </w:pPr>
    </w:p>
    <w:p w14:paraId="17436656" w14:textId="77777777" w:rsidR="00237998" w:rsidRPr="003C5388" w:rsidRDefault="00237998" w:rsidP="00237998">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“ACGC008.-</w:t>
      </w:r>
      <w:r w:rsidRPr="003C5388">
        <w:rPr>
          <w:rFonts w:ascii="Palatino Linotype" w:eastAsia="Calibri" w:hAnsi="Palatino Linotype"/>
          <w:i/>
        </w:rPr>
        <w:t xml:space="preserve"> Toda certificación de plano manzanero debe constar sobre copia del gráfico en escala 1:500 </w:t>
      </w:r>
      <w:proofErr w:type="spellStart"/>
      <w:r w:rsidRPr="003C5388">
        <w:rPr>
          <w:rFonts w:ascii="Palatino Linotype" w:eastAsia="Calibri" w:hAnsi="Palatino Linotype"/>
          <w:i/>
        </w:rPr>
        <w:t>ó</w:t>
      </w:r>
      <w:proofErr w:type="spellEnd"/>
      <w:r w:rsidRPr="003C5388">
        <w:rPr>
          <w:rFonts w:ascii="Palatino Linotype" w:eastAsia="Calibri" w:hAnsi="Palatino Linotype"/>
          <w:i/>
        </w:rPr>
        <w:t xml:space="preserve"> 1:1000, resaltando la configuración del predio de que se trate y anotando al reverso la leyenda siguiente: "lugar, fecha, nombre y cargo de la autoridad catastral, con fundamento en el artículo 173 del Código Financiero del Estado de México y Municipios, certifico que el presente plano es </w:t>
      </w:r>
      <w:r w:rsidRPr="003C5388">
        <w:rPr>
          <w:rFonts w:ascii="Palatino Linotype" w:eastAsia="Calibri" w:hAnsi="Palatino Linotype"/>
          <w:i/>
        </w:rPr>
        <w:lastRenderedPageBreak/>
        <w:t>copia fiel del original que obra en el archivo del registro gráfico del padrón catastral de este ayuntamiento. Atentamente, nombre completo, cargo, firma y sello de la autoridad catastral.” (Sic)</w:t>
      </w:r>
    </w:p>
    <w:p w14:paraId="72BCEEC4" w14:textId="77777777" w:rsidR="00237998" w:rsidRPr="003C5388" w:rsidRDefault="00237998" w:rsidP="001654FA">
      <w:pPr>
        <w:spacing w:before="240" w:after="240" w:line="360" w:lineRule="auto"/>
        <w:ind w:right="49"/>
        <w:contextualSpacing/>
        <w:jc w:val="both"/>
        <w:rPr>
          <w:rFonts w:ascii="Palatino Linotype" w:eastAsia="Calibri" w:hAnsi="Palatino Linotype"/>
        </w:rPr>
      </w:pPr>
    </w:p>
    <w:p w14:paraId="344BC040" w14:textId="7E46972E" w:rsidR="001654FA" w:rsidRPr="003C5388" w:rsidRDefault="001654FA" w:rsidP="00EF157E">
      <w:pPr>
        <w:numPr>
          <w:ilvl w:val="0"/>
          <w:numId w:val="29"/>
        </w:numPr>
        <w:spacing w:before="240" w:after="240" w:line="360" w:lineRule="auto"/>
        <w:ind w:left="0" w:right="49" w:firstLine="0"/>
        <w:contextualSpacing/>
        <w:jc w:val="both"/>
        <w:rPr>
          <w:rFonts w:ascii="Palatino Linotype" w:eastAsia="Calibri" w:hAnsi="Palatino Linotype"/>
          <w:b/>
        </w:rPr>
      </w:pPr>
      <w:r w:rsidRPr="003C5388">
        <w:rPr>
          <w:rFonts w:ascii="Palatino Linotype" w:eastAsia="Calibri" w:hAnsi="Palatino Linotype"/>
        </w:rPr>
        <w:t xml:space="preserve">En ese sentido, </w:t>
      </w:r>
      <w:r w:rsidR="00237998" w:rsidRPr="003C5388">
        <w:rPr>
          <w:rFonts w:ascii="Palatino Linotype" w:eastAsia="Calibri" w:hAnsi="Palatino Linotype"/>
        </w:rPr>
        <w:t xml:space="preserve">y en relación a la serie de formalidades necesarias para la consecución del </w:t>
      </w:r>
      <w:proofErr w:type="spellStart"/>
      <w:r w:rsidR="00237998" w:rsidRPr="003C5388">
        <w:rPr>
          <w:rFonts w:ascii="Palatino Linotype" w:eastAsia="Calibri" w:hAnsi="Palatino Linotype"/>
        </w:rPr>
        <w:t>tramite</w:t>
      </w:r>
      <w:proofErr w:type="spellEnd"/>
      <w:r w:rsidR="00237998" w:rsidRPr="003C5388">
        <w:rPr>
          <w:rFonts w:ascii="Palatino Linotype" w:eastAsia="Calibri" w:hAnsi="Palatino Linotype"/>
        </w:rPr>
        <w:t xml:space="preserve"> señalado </w:t>
      </w:r>
      <w:r w:rsidRPr="003C5388">
        <w:rPr>
          <w:rFonts w:ascii="Palatino Linotype" w:eastAsia="Calibri" w:hAnsi="Palatino Linotype"/>
        </w:rPr>
        <w:t>resulta trascendente lo</w:t>
      </w:r>
      <w:r w:rsidR="00237998" w:rsidRPr="003C5388">
        <w:rPr>
          <w:rFonts w:ascii="Palatino Linotype" w:eastAsia="Calibri" w:hAnsi="Palatino Linotype"/>
        </w:rPr>
        <w:t xml:space="preserve"> estipulado el inciso ACGC001 del </w:t>
      </w:r>
      <w:r w:rsidRPr="003C5388">
        <w:rPr>
          <w:rFonts w:ascii="Palatino Linotype" w:eastAsia="Calibri" w:hAnsi="Palatino Linotype"/>
        </w:rPr>
        <w:t>Manual Catastral</w:t>
      </w:r>
      <w:r w:rsidR="00237998" w:rsidRPr="003C5388">
        <w:rPr>
          <w:rFonts w:ascii="Palatino Linotype" w:eastAsia="Calibri" w:hAnsi="Palatino Linotype"/>
        </w:rPr>
        <w:t xml:space="preserve"> en cita</w:t>
      </w:r>
      <w:r w:rsidRPr="003C5388">
        <w:rPr>
          <w:rFonts w:ascii="Palatino Linotype" w:eastAsia="Calibri" w:hAnsi="Palatino Linotype"/>
        </w:rPr>
        <w:t xml:space="preserve">, mismo que refiere que para otorgar la prestación de servicios catastrales, el usuario deberá atender diversas formalidades, como a continuación se observa: </w:t>
      </w:r>
    </w:p>
    <w:p w14:paraId="591B1AC2" w14:textId="77777777" w:rsidR="001654FA" w:rsidRPr="003C5388" w:rsidRDefault="001654FA" w:rsidP="001654FA">
      <w:pPr>
        <w:spacing w:before="240" w:after="240" w:line="360" w:lineRule="auto"/>
        <w:ind w:right="49"/>
        <w:contextualSpacing/>
        <w:jc w:val="both"/>
        <w:rPr>
          <w:rFonts w:ascii="Palatino Linotype" w:eastAsia="Calibri" w:hAnsi="Palatino Linotype"/>
          <w:b/>
        </w:rPr>
      </w:pPr>
    </w:p>
    <w:p w14:paraId="7FDE7790"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w:t>
      </w:r>
      <w:r w:rsidRPr="003C5388">
        <w:rPr>
          <w:rFonts w:ascii="Palatino Linotype" w:eastAsia="Calibri" w:hAnsi="Palatino Linotype"/>
          <w:b/>
          <w:i/>
        </w:rPr>
        <w:t>ACGC001.-</w:t>
      </w:r>
      <w:r w:rsidRPr="003C5388">
        <w:rPr>
          <w:rFonts w:ascii="Palatino Linotype" w:eastAsia="Calibri" w:hAnsi="Palatino Linotype"/>
          <w:i/>
        </w:rPr>
        <w:t xml:space="preserve"> Para otorgar la prestación de servicios catastrales, el usuario deberá presentar solicitud por escrito o en el formato establecido, acreditar su interés jurídico o legítimo y cumplir con los requisitos establecidos en el presente manual, en términos de lo que establece el artículo 173 del Código Financiero del Estado de México y Municipios.</w:t>
      </w:r>
    </w:p>
    <w:p w14:paraId="149DCF85"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052ECCB4"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Las áreas responsables de la atención al público usuario, deberán registrar y controlar en el formato correspondiente, cada una de las orientaciones o trámites que realicen, en el ámbito de sus respectivas competencias.</w:t>
      </w:r>
    </w:p>
    <w:p w14:paraId="6F6FCF62"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2F73D312"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ACGC003.-</w:t>
      </w:r>
      <w:r w:rsidRPr="003C5388">
        <w:rPr>
          <w:rFonts w:ascii="Palatino Linotype" w:eastAsia="Calibri" w:hAnsi="Palatino Linotype"/>
          <w:i/>
        </w:rPr>
        <w:t xml:space="preserve"> El municipio se sujetará al cobro de los derechos por los servicios catastrales conforme a las tarifas establecidas en el artículo 166 del Código Financiero del Estado de México y Municipios y, el Instituto, a la tarifa de servicios y productos aprobada por su Consejo Directivo y publicados en la </w:t>
      </w:r>
      <w:r w:rsidRPr="003C5388">
        <w:rPr>
          <w:rFonts w:ascii="Palatino Linotype" w:eastAsia="Calibri" w:hAnsi="Palatino Linotype"/>
          <w:i/>
        </w:rPr>
        <w:lastRenderedPageBreak/>
        <w:t xml:space="preserve">Gaceta del Gobierno, debiendo invariablemente emitir la orden de pago que en cada caso corresponda. </w:t>
      </w:r>
    </w:p>
    <w:p w14:paraId="097525BF"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6E35B972"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ACGC004.-</w:t>
      </w:r>
      <w:r w:rsidRPr="003C5388">
        <w:rPr>
          <w:rFonts w:ascii="Palatino Linotype" w:eastAsia="Calibri" w:hAnsi="Palatino Linotype"/>
          <w:i/>
        </w:rPr>
        <w:t xml:space="preserve"> Para la solicitud de servicios catastrales, invariablemente, los usuarios deberán cubrir los siguientes requisitos:</w:t>
      </w:r>
    </w:p>
    <w:p w14:paraId="1E1838F0"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224CFFAB"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Solicitud por escrito o en el formato establecido. </w:t>
      </w:r>
    </w:p>
    <w:p w14:paraId="7EF90A99"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Copia de la identificación oficial del propietario o poseedor del inmueble y de la persona autorizada mediante carta poder o representación legal. </w:t>
      </w:r>
    </w:p>
    <w:p w14:paraId="33189ABA"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Pago correspondiente por el servicio solicitado. </w:t>
      </w:r>
    </w:p>
    <w:p w14:paraId="51F490E2"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2E671A99"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ACGC005.-</w:t>
      </w:r>
      <w:r w:rsidRPr="003C5388">
        <w:rPr>
          <w:rFonts w:ascii="Palatino Linotype" w:eastAsia="Calibri" w:hAnsi="Palatino Linotype"/>
          <w:i/>
        </w:rPr>
        <w:t xml:space="preserve"> Solamente se expedirán certificaciones, y constancias de la información catastral, que obre en los archivos documentales o en el Padrón Catastral. </w:t>
      </w:r>
    </w:p>
    <w:p w14:paraId="44743A05"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39E2B4DF"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ACGC006.-</w:t>
      </w:r>
      <w:r w:rsidRPr="003C5388">
        <w:rPr>
          <w:rFonts w:ascii="Palatino Linotype" w:eastAsia="Calibri" w:hAnsi="Palatino Linotype"/>
          <w:i/>
        </w:rPr>
        <w:t xml:space="preserve"> Para la solicitud de productos catastrales, invariablemente, los usuarios deberán cubrir los siguientes requisitos:</w:t>
      </w:r>
    </w:p>
    <w:p w14:paraId="4941ADCC"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77B53C54"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Solicitud por escrito o en el formato establecido. </w:t>
      </w:r>
    </w:p>
    <w:p w14:paraId="7ED85ED1"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 Pago correspondiente por el producto solicitado. </w:t>
      </w:r>
    </w:p>
    <w:p w14:paraId="4DBA8551"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079944FA"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b/>
          <w:i/>
        </w:rPr>
        <w:t>ACGC007.-</w:t>
      </w:r>
      <w:r w:rsidRPr="003C5388">
        <w:rPr>
          <w:rFonts w:ascii="Palatino Linotype" w:eastAsia="Calibri" w:hAnsi="Palatino Linotype"/>
          <w:i/>
        </w:rPr>
        <w:t xml:space="preserve"> Para hacer constar el interés jurídico o legítimo, el solicitante deberá presentar ante la autoridad catastral, los siguientes documentos: </w:t>
      </w:r>
    </w:p>
    <w:p w14:paraId="01E3032B" w14:textId="77777777" w:rsidR="00EF157E" w:rsidRPr="003C5388" w:rsidRDefault="00EF157E" w:rsidP="001654FA">
      <w:pPr>
        <w:spacing w:before="240" w:after="240" w:line="360" w:lineRule="auto"/>
        <w:ind w:left="567" w:right="616"/>
        <w:contextualSpacing/>
        <w:jc w:val="both"/>
        <w:rPr>
          <w:rFonts w:ascii="Palatino Linotype" w:eastAsia="Calibri" w:hAnsi="Palatino Linotype"/>
          <w:i/>
        </w:rPr>
      </w:pPr>
    </w:p>
    <w:p w14:paraId="4A9BE9D2" w14:textId="20EE8856" w:rsidR="001654FA" w:rsidRPr="003C5388" w:rsidRDefault="00EF157E" w:rsidP="00EF157E">
      <w:pPr>
        <w:spacing w:before="240" w:after="240" w:line="360" w:lineRule="auto"/>
        <w:ind w:left="284" w:right="616" w:hanging="284"/>
        <w:contextualSpacing/>
        <w:jc w:val="both"/>
        <w:rPr>
          <w:rFonts w:ascii="Palatino Linotype" w:eastAsia="Calibri" w:hAnsi="Palatino Linotype"/>
          <w:i/>
        </w:rPr>
      </w:pPr>
      <w:r w:rsidRPr="003C5388">
        <w:rPr>
          <w:rFonts w:ascii="Palatino Linotype" w:eastAsia="Calibri" w:hAnsi="Palatino Linotype"/>
          <w:i/>
        </w:rPr>
        <w:lastRenderedPageBreak/>
        <w:t xml:space="preserve">   </w:t>
      </w:r>
      <w:r w:rsidR="001654FA" w:rsidRPr="003C5388">
        <w:rPr>
          <w:rFonts w:ascii="Palatino Linotype" w:eastAsia="Calibri" w:hAnsi="Palatino Linotype"/>
          <w:i/>
        </w:rPr>
        <w:t>• Documento que acredite la propiedad o posesión del inmueble, el cual puede ser cualesquiera de entre los siguientes:</w:t>
      </w:r>
    </w:p>
    <w:p w14:paraId="5A6609C9"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Escritura Pública. </w:t>
      </w:r>
    </w:p>
    <w:p w14:paraId="17923E76"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Contrato privado de compra-venta, cesión o donación.</w:t>
      </w:r>
    </w:p>
    <w:p w14:paraId="6072F18F"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Sentencia de la autoridad judicial que haya causado ejecutoria.</w:t>
      </w:r>
    </w:p>
    <w:p w14:paraId="34A9D9BC"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Manifestación de adquisición de inmuebles u otras operaciones traslativas de dominio de inmuebles, autorizada por la autoridad fiscal respectiva y el recibo de pago correspondiente.</w:t>
      </w:r>
    </w:p>
    <w:p w14:paraId="7312D284"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Acta de entrega cuando se trate de inmuebles de interés social.</w:t>
      </w:r>
    </w:p>
    <w:p w14:paraId="34230E43"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Cédula de contratación que emita la dependencia oficial autorizada para la regularización de la tenencia de la tierra.</w:t>
      </w:r>
    </w:p>
    <w:p w14:paraId="3FE6E101" w14:textId="77777777" w:rsidR="001654FA" w:rsidRPr="003C5388" w:rsidRDefault="001654FA" w:rsidP="001654FA">
      <w:pPr>
        <w:numPr>
          <w:ilvl w:val="0"/>
          <w:numId w:val="39"/>
        </w:num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Título, certificado o cesión de derechos agrarios, parcelarios o comunes, así como sentencia emitida por el tribunal agrario. o In matriculación administrativa o judicial. </w:t>
      </w:r>
    </w:p>
    <w:p w14:paraId="1752B3D7"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 xml:space="preserve">Carta poder en la que el propietario o poseedor del inmueble de que se trate, autoriza a otra persona para realizar en su nombre, el trámite de solicitud del producto o servicio requerido, en su caso. </w:t>
      </w:r>
    </w:p>
    <w:p w14:paraId="5AC9F5BA"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p>
    <w:p w14:paraId="10E4CA5F" w14:textId="77777777" w:rsidR="001654FA" w:rsidRPr="003C5388" w:rsidRDefault="001654FA" w:rsidP="001654FA">
      <w:pPr>
        <w:spacing w:before="240" w:after="240" w:line="360" w:lineRule="auto"/>
        <w:ind w:left="567" w:right="616"/>
        <w:contextualSpacing/>
        <w:jc w:val="both"/>
        <w:rPr>
          <w:rFonts w:ascii="Palatino Linotype" w:eastAsia="Calibri" w:hAnsi="Palatino Linotype"/>
          <w:i/>
        </w:rPr>
      </w:pPr>
      <w:r w:rsidRPr="003C5388">
        <w:rPr>
          <w:rFonts w:ascii="Palatino Linotype" w:eastAsia="Calibri" w:hAnsi="Palatino Linotype"/>
          <w:i/>
        </w:rPr>
        <w:t>Documento notarial mediante el que el propietario o poseedor del inmueble, otorga la representación legal a otra persona para la realización del trámite de solicitud del producto o servicio requerido, en su caso.” (Sic)</w:t>
      </w:r>
    </w:p>
    <w:p w14:paraId="4F0328F1" w14:textId="77777777" w:rsidR="0073002B" w:rsidRPr="003C5388" w:rsidRDefault="0073002B" w:rsidP="002A2F95">
      <w:pPr>
        <w:spacing w:before="240" w:after="240" w:line="360" w:lineRule="auto"/>
        <w:ind w:right="616"/>
        <w:contextualSpacing/>
        <w:jc w:val="both"/>
        <w:rPr>
          <w:rFonts w:ascii="Palatino Linotype" w:eastAsia="Calibri" w:hAnsi="Palatino Linotype"/>
          <w:i/>
        </w:rPr>
      </w:pPr>
    </w:p>
    <w:p w14:paraId="4306A31D" w14:textId="1A8BE280" w:rsidR="002A2F95" w:rsidRPr="003C5388" w:rsidRDefault="002A2F95" w:rsidP="002A2F95">
      <w:pPr>
        <w:pStyle w:val="Prrafodelista"/>
        <w:numPr>
          <w:ilvl w:val="0"/>
          <w:numId w:val="29"/>
        </w:numPr>
        <w:spacing w:line="360" w:lineRule="auto"/>
        <w:ind w:left="0" w:firstLine="0"/>
        <w:jc w:val="both"/>
        <w:rPr>
          <w:rFonts w:ascii="Palatino Linotype" w:hAnsi="Palatino Linotype" w:cs="Arial"/>
          <w:lang w:val="es-MX"/>
        </w:rPr>
      </w:pPr>
      <w:r w:rsidRPr="003C5388">
        <w:rPr>
          <w:rFonts w:ascii="Palatino Linotype" w:hAnsi="Palatino Linotype" w:cs="Arial"/>
          <w:lang w:val="es-MX"/>
        </w:rPr>
        <w:t xml:space="preserve">Acotado lo anterior, adquiere relevancia el artículo </w:t>
      </w:r>
      <w:r w:rsidRPr="003C5388">
        <w:rPr>
          <w:rFonts w:ascii="Palatino Linotype" w:hAnsi="Palatino Linotype" w:cs="Arial"/>
        </w:rPr>
        <w:t xml:space="preserve">172 de la Ley de Transparencia, mismo que refiere que cuando la información solicitada corresponda </w:t>
      </w:r>
      <w:r w:rsidRPr="003C5388">
        <w:rPr>
          <w:rFonts w:ascii="Palatino Linotype" w:hAnsi="Palatino Linotype" w:cs="Arial"/>
        </w:rPr>
        <w:lastRenderedPageBreak/>
        <w:t xml:space="preserve">a información que sea posible obtener mediante un trámite previamente establecido y previsto en una norma, el sujeto obligado orientará al solicitante sobre el procedimiento que corresponda, como a continuación se observa: </w:t>
      </w:r>
    </w:p>
    <w:p w14:paraId="70AC5F68" w14:textId="77777777" w:rsidR="002A2F95" w:rsidRPr="003C5388" w:rsidRDefault="002A2F95" w:rsidP="002A2F95">
      <w:pPr>
        <w:spacing w:line="360" w:lineRule="auto"/>
        <w:jc w:val="both"/>
        <w:rPr>
          <w:rFonts w:ascii="Palatino Linotype" w:hAnsi="Palatino Linotype" w:cs="Arial"/>
        </w:rPr>
      </w:pPr>
    </w:p>
    <w:p w14:paraId="1FD50AC0" w14:textId="77777777" w:rsidR="002A2F95" w:rsidRPr="003C5388" w:rsidRDefault="002A2F95" w:rsidP="002A2F95">
      <w:pPr>
        <w:spacing w:line="360" w:lineRule="auto"/>
        <w:ind w:left="567" w:right="616"/>
        <w:jc w:val="both"/>
        <w:rPr>
          <w:rFonts w:ascii="Palatino Linotype" w:hAnsi="Palatino Linotype" w:cs="Arial"/>
          <w:i/>
        </w:rPr>
      </w:pPr>
      <w:r w:rsidRPr="003C5388">
        <w:rPr>
          <w:rFonts w:ascii="Palatino Linotype" w:hAnsi="Palatino Linotype" w:cs="Arial"/>
          <w:i/>
        </w:rPr>
        <w:t>“</w:t>
      </w:r>
      <w:r w:rsidRPr="003C5388">
        <w:rPr>
          <w:rFonts w:ascii="Palatino Linotype" w:hAnsi="Palatino Linotype" w:cs="Arial"/>
          <w:b/>
          <w:i/>
        </w:rPr>
        <w:t>Artículo 172.</w:t>
      </w:r>
      <w:r w:rsidRPr="003C5388">
        <w:rPr>
          <w:rFonts w:ascii="Palatino Linotype" w:hAnsi="Palatino Linotype" w:cs="Arial"/>
          <w:i/>
        </w:rPr>
        <w:t xml:space="preserve"> 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w:t>
      </w:r>
    </w:p>
    <w:p w14:paraId="78D23FE9" w14:textId="3D458561" w:rsidR="002A2F95" w:rsidRPr="003C5388" w:rsidRDefault="002A2F95" w:rsidP="002A2F95">
      <w:pPr>
        <w:spacing w:line="360" w:lineRule="auto"/>
        <w:ind w:left="567" w:right="616"/>
        <w:jc w:val="both"/>
        <w:rPr>
          <w:rFonts w:ascii="Palatino Linotype" w:hAnsi="Palatino Linotype" w:cs="Arial"/>
          <w:i/>
        </w:rPr>
      </w:pPr>
      <w:r w:rsidRPr="003C5388">
        <w:rPr>
          <w:rFonts w:ascii="Palatino Linotype" w:hAnsi="Palatino Linotype" w:cs="Arial"/>
          <w:i/>
        </w:rPr>
        <w:t>Los argumentos para justificar cualquier negativa de acceso a la información deben recaer en el sujeto obligado al cual la información fue solicitada.” (Sic)</w:t>
      </w:r>
    </w:p>
    <w:p w14:paraId="34EAC827" w14:textId="77777777" w:rsidR="002A2F95" w:rsidRPr="003C5388" w:rsidRDefault="002A2F95" w:rsidP="002A2F95">
      <w:pPr>
        <w:spacing w:line="360" w:lineRule="auto"/>
        <w:jc w:val="both"/>
        <w:rPr>
          <w:rFonts w:ascii="Palatino Linotype" w:hAnsi="Palatino Linotype" w:cs="Arial"/>
          <w:lang w:val="es-MX"/>
        </w:rPr>
      </w:pPr>
    </w:p>
    <w:p w14:paraId="30E164D3" w14:textId="2123D6E8" w:rsidR="00365EAA" w:rsidRPr="003C5388" w:rsidRDefault="00FF1C38" w:rsidP="00365EAA">
      <w:pPr>
        <w:pStyle w:val="Prrafodelista"/>
        <w:numPr>
          <w:ilvl w:val="0"/>
          <w:numId w:val="29"/>
        </w:numPr>
        <w:spacing w:line="360" w:lineRule="auto"/>
        <w:ind w:left="0" w:firstLine="0"/>
        <w:jc w:val="both"/>
        <w:rPr>
          <w:rFonts w:ascii="Palatino Linotype" w:hAnsi="Palatino Linotype" w:cs="Arial"/>
          <w:lang w:val="es-MX"/>
        </w:rPr>
      </w:pPr>
      <w:r w:rsidRPr="003C5388">
        <w:rPr>
          <w:rFonts w:ascii="Palatino Linotype" w:hAnsi="Palatino Linotype" w:cs="Arial"/>
          <w:lang w:val="es-MX"/>
        </w:rPr>
        <w:t xml:space="preserve">Es así que, </w:t>
      </w:r>
      <w:r w:rsidR="00F55C13" w:rsidRPr="003C5388">
        <w:rPr>
          <w:rFonts w:ascii="Palatino Linotype" w:hAnsi="Palatino Linotype" w:cs="Arial"/>
          <w:lang w:val="es-MX"/>
        </w:rPr>
        <w:t xml:space="preserve">es posible determinar que el “Plano Manzanero” corresponde a un trámite especifico, </w:t>
      </w:r>
      <w:r w:rsidR="00365EAA" w:rsidRPr="003C5388">
        <w:rPr>
          <w:rFonts w:ascii="Palatino Linotype" w:hAnsi="Palatino Linotype" w:cs="Arial"/>
          <w:lang w:val="es-MX"/>
        </w:rPr>
        <w:t xml:space="preserve">ya que derivado de lo que se ha puntualizado se observa que los </w:t>
      </w:r>
      <w:r w:rsidR="00504274" w:rsidRPr="003C5388">
        <w:rPr>
          <w:rFonts w:ascii="Palatino Linotype" w:hAnsi="Palatino Linotype" w:cs="Arial"/>
          <w:lang w:val="es-MX"/>
        </w:rPr>
        <w:t xml:space="preserve">procedimientos aplicables a la certificación del mismo </w:t>
      </w:r>
      <w:r w:rsidR="0073002B" w:rsidRPr="003C5388">
        <w:rPr>
          <w:rFonts w:ascii="Palatino Linotype" w:hAnsi="Palatino Linotype" w:cs="Arial"/>
          <w:lang w:val="es-MX"/>
        </w:rPr>
        <w:t>requieren una serie de</w:t>
      </w:r>
      <w:r w:rsidR="00504274" w:rsidRPr="003C5388">
        <w:rPr>
          <w:rFonts w:ascii="Palatino Linotype" w:hAnsi="Palatino Linotype" w:cs="Arial"/>
          <w:lang w:val="es-MX"/>
        </w:rPr>
        <w:t xml:space="preserve"> formalidades que no se pueden atender</w:t>
      </w:r>
      <w:r w:rsidR="0073002B" w:rsidRPr="003C5388">
        <w:rPr>
          <w:rFonts w:ascii="Palatino Linotype" w:hAnsi="Palatino Linotype" w:cs="Arial"/>
          <w:lang w:val="es-MX"/>
        </w:rPr>
        <w:t xml:space="preserve"> a través del ejercicio del derecho de acceso a la información</w:t>
      </w:r>
      <w:r w:rsidR="002A2F95" w:rsidRPr="003C5388">
        <w:rPr>
          <w:rFonts w:ascii="Palatino Linotype" w:hAnsi="Palatino Linotype" w:cs="Arial"/>
          <w:lang w:val="es-MX"/>
        </w:rPr>
        <w:t xml:space="preserve"> </w:t>
      </w:r>
      <w:r w:rsidR="0073002B" w:rsidRPr="003C5388">
        <w:rPr>
          <w:rFonts w:ascii="Palatino Linotype" w:hAnsi="Palatino Linotype" w:cs="Arial"/>
          <w:lang w:val="es-MX"/>
        </w:rPr>
        <w:t xml:space="preserve">por lo que </w:t>
      </w:r>
      <w:r w:rsidR="00365EAA" w:rsidRPr="003C5388">
        <w:rPr>
          <w:rFonts w:ascii="Palatino Linotype" w:hAnsi="Palatino Linotype" w:cs="Arial"/>
          <w:lang w:val="es-MX"/>
        </w:rPr>
        <w:t xml:space="preserve">los particulares deberán agotar el trámite correspondiente para obtener la documentación de su interés, adquiere sustento lo anterior de conformidad con el criterio  17/09 emitido por el Instituto Nacional de Transparencia, Acceso a la Información y Protección de Datos Personales, como a continuación se observa: </w:t>
      </w:r>
    </w:p>
    <w:p w14:paraId="3AB9C1F6" w14:textId="77777777" w:rsidR="002A2F95" w:rsidRPr="003C5388" w:rsidRDefault="002A2F95" w:rsidP="002A2F95">
      <w:pPr>
        <w:pStyle w:val="Prrafodelista"/>
        <w:spacing w:line="360" w:lineRule="auto"/>
        <w:ind w:left="0"/>
        <w:jc w:val="both"/>
        <w:rPr>
          <w:rFonts w:ascii="Palatino Linotype" w:hAnsi="Palatino Linotype" w:cs="Arial"/>
          <w:lang w:val="es-MX"/>
        </w:rPr>
      </w:pPr>
    </w:p>
    <w:p w14:paraId="1A2EA8F8" w14:textId="1E975B1D" w:rsidR="00365EAA" w:rsidRPr="003C5388" w:rsidRDefault="00365EAA" w:rsidP="00365EAA">
      <w:pPr>
        <w:spacing w:line="360" w:lineRule="auto"/>
        <w:ind w:left="567" w:right="616"/>
        <w:jc w:val="both"/>
        <w:rPr>
          <w:rFonts w:ascii="Palatino Linotype" w:hAnsi="Palatino Linotype" w:cs="Arial"/>
          <w:lang w:val="es-MX"/>
        </w:rPr>
      </w:pPr>
      <w:r w:rsidRPr="003C5388">
        <w:rPr>
          <w:rFonts w:ascii="Palatino Linotype" w:hAnsi="Palatino Linotype" w:cs="Arial"/>
          <w:b/>
          <w:i/>
          <w:lang w:val="es-MX"/>
        </w:rPr>
        <w:t xml:space="preserve">“Prevalencia de un trámite inscrito en el Registro Federal de Trámites y Servicios o en el Registro correspondiente en materia fiscal, frente a una </w:t>
      </w:r>
      <w:r w:rsidRPr="003C5388">
        <w:rPr>
          <w:rFonts w:ascii="Palatino Linotype" w:hAnsi="Palatino Linotype" w:cs="Arial"/>
          <w:b/>
          <w:i/>
          <w:lang w:val="es-MX"/>
        </w:rPr>
        <w:lastRenderedPageBreak/>
        <w:t>solicitud de acceso o corrección de datos personales en el marco de la Ley Federal de Transparencia y Acceso a la Información Pública Gubernamental</w:t>
      </w:r>
      <w:r w:rsidRPr="003C5388">
        <w:rPr>
          <w:rFonts w:ascii="Palatino Linotype" w:hAnsi="Palatino Linotype" w:cs="Arial"/>
          <w:i/>
          <w:lang w:val="es-MX"/>
        </w:rPr>
        <w:t xml:space="preserve">. El artículo 7 de la Ley Federal de Transparencia y Acceso a la Información Pública Gubernamental, en sus fracciones VII y VIII, establece que los sujetos obligados deberán poner a disposición del público y actualizar, entre otra, la información correspondiente a los servicios que ofrecen, así como sus trámites, requisitos y formatos. Al respecto, el artículo 77 del Reglamento de la Ley Federal de Transparencia y Acceso a la Información Pública Gubernamental, dispone que, </w:t>
      </w:r>
      <w:r w:rsidRPr="003C5388">
        <w:rPr>
          <w:rFonts w:ascii="Palatino Linotype" w:hAnsi="Palatino Linotype" w:cs="Arial"/>
          <w:b/>
          <w:i/>
          <w:lang w:val="es-MX"/>
        </w:rPr>
        <w:t xml:space="preserve">en el caso de que los plazos y procedimientos aplicables a las solicitudes de acceso y corrección de datos personales se precisen como servicios o trámites de conformidad con las fracciones VII y VIII </w:t>
      </w:r>
      <w:proofErr w:type="gramStart"/>
      <w:r w:rsidRPr="003C5388">
        <w:rPr>
          <w:rFonts w:ascii="Palatino Linotype" w:hAnsi="Palatino Linotype" w:cs="Arial"/>
          <w:b/>
          <w:i/>
          <w:lang w:val="es-MX"/>
        </w:rPr>
        <w:t>del  citado</w:t>
      </w:r>
      <w:proofErr w:type="gramEnd"/>
      <w:r w:rsidRPr="003C5388">
        <w:rPr>
          <w:rFonts w:ascii="Palatino Linotype" w:hAnsi="Palatino Linotype" w:cs="Arial"/>
          <w:b/>
          <w:i/>
          <w:lang w:val="es-MX"/>
        </w:rPr>
        <w:t xml:space="preserve">  artículo  7,  los  particulares  deberán  presentar  sus  solicitudes conforme a lo que ahí se establezca. Por lo anterior, tratándose de solicitudes de acceso o corrección de datos personales respecto de las cuales exista un trámite específico para la obtención o corrección de la información personal respectiva, registrado ante la instancia competente y publicado en la página de Internet de la dependencia o entidad, los particulares deberán agotar el trámite correspondiente para obtener la documentación de su interés.</w:t>
      </w:r>
      <w:r w:rsidRPr="003C5388">
        <w:rPr>
          <w:rFonts w:ascii="Palatino Linotype" w:hAnsi="Palatino Linotype" w:cs="Arial"/>
          <w:i/>
          <w:lang w:val="es-MX"/>
        </w:rPr>
        <w:t xml:space="preserve"> En ese sentido, derivado de la especialidad del trámite, se justifica que la solicitud de referencia no se encauce a través del procedimiento previsto en la Ley Federal de Transparencia y Acceso a la Información Pública Gubernamental.”</w:t>
      </w:r>
      <w:r w:rsidRPr="003C5388">
        <w:rPr>
          <w:rFonts w:ascii="Palatino Linotype" w:hAnsi="Palatino Linotype" w:cs="Arial"/>
          <w:lang w:val="es-MX"/>
        </w:rPr>
        <w:t xml:space="preserve"> (Sic)</w:t>
      </w:r>
    </w:p>
    <w:p w14:paraId="0FD4FBE4" w14:textId="77777777" w:rsidR="00365EAA" w:rsidRPr="003C5388" w:rsidRDefault="00365EAA" w:rsidP="00365EAA">
      <w:pPr>
        <w:spacing w:line="360" w:lineRule="auto"/>
        <w:ind w:left="567" w:right="616"/>
        <w:jc w:val="both"/>
        <w:rPr>
          <w:rFonts w:ascii="Palatino Linotype" w:hAnsi="Palatino Linotype" w:cs="Arial"/>
          <w:lang w:val="es-MX"/>
        </w:rPr>
      </w:pPr>
    </w:p>
    <w:p w14:paraId="78D0044F" w14:textId="6F6AD1D8" w:rsidR="00365EAA" w:rsidRPr="003C5388" w:rsidRDefault="00365EAA" w:rsidP="00365EAA">
      <w:pPr>
        <w:spacing w:line="360" w:lineRule="auto"/>
        <w:ind w:left="567" w:right="616"/>
        <w:jc w:val="both"/>
        <w:rPr>
          <w:rFonts w:ascii="Palatino Linotype" w:hAnsi="Palatino Linotype" w:cs="Arial"/>
          <w:lang w:val="es-MX"/>
        </w:rPr>
      </w:pPr>
      <w:r w:rsidRPr="003C5388">
        <w:rPr>
          <w:rFonts w:ascii="Palatino Linotype" w:hAnsi="Palatino Linotype" w:cs="Arial"/>
          <w:lang w:val="es-MX"/>
        </w:rPr>
        <w:t xml:space="preserve">(Énfasis añadido) </w:t>
      </w:r>
    </w:p>
    <w:p w14:paraId="3AB03A2C" w14:textId="77777777" w:rsidR="00504274" w:rsidRPr="003C5388" w:rsidRDefault="00504274" w:rsidP="00365EAA">
      <w:pPr>
        <w:spacing w:line="360" w:lineRule="auto"/>
        <w:ind w:left="567" w:right="616"/>
        <w:jc w:val="both"/>
        <w:rPr>
          <w:rFonts w:ascii="Palatino Linotype" w:hAnsi="Palatino Linotype" w:cs="Arial"/>
          <w:lang w:val="es-MX"/>
        </w:rPr>
      </w:pPr>
    </w:p>
    <w:p w14:paraId="67657252" w14:textId="77777777" w:rsidR="00727081" w:rsidRPr="003C5388" w:rsidRDefault="00727081" w:rsidP="00727081">
      <w:pPr>
        <w:pStyle w:val="Prrafodelista"/>
        <w:spacing w:line="360" w:lineRule="auto"/>
        <w:ind w:left="0"/>
        <w:jc w:val="both"/>
        <w:rPr>
          <w:rFonts w:ascii="Palatino Linotype" w:hAnsi="Palatino Linotype" w:cs="Arial"/>
          <w:lang w:val="es-MX"/>
        </w:rPr>
      </w:pPr>
    </w:p>
    <w:p w14:paraId="13DD80B5" w14:textId="5FC01EDF" w:rsidR="00BF25D8" w:rsidRPr="003C5388" w:rsidRDefault="00365EAA" w:rsidP="002A2F95">
      <w:pPr>
        <w:pStyle w:val="Prrafodelista"/>
        <w:numPr>
          <w:ilvl w:val="0"/>
          <w:numId w:val="29"/>
        </w:numPr>
        <w:spacing w:line="360" w:lineRule="auto"/>
        <w:ind w:left="0" w:firstLine="0"/>
        <w:jc w:val="both"/>
        <w:rPr>
          <w:rFonts w:ascii="Palatino Linotype" w:hAnsi="Palatino Linotype" w:cs="Arial"/>
          <w:lang w:val="es-MX"/>
        </w:rPr>
      </w:pPr>
      <w:r w:rsidRPr="003C5388">
        <w:rPr>
          <w:rFonts w:ascii="Palatino Linotype" w:hAnsi="Palatino Linotype" w:cs="Arial"/>
          <w:lang w:val="es-MX"/>
        </w:rPr>
        <w:t>Así las cosas</w:t>
      </w:r>
      <w:r w:rsidR="00FF1C38" w:rsidRPr="003C5388">
        <w:rPr>
          <w:rFonts w:ascii="Palatino Linotype" w:hAnsi="Palatino Linotype" w:cs="Arial"/>
          <w:lang w:val="es-MX"/>
        </w:rPr>
        <w:t xml:space="preserve">, es importante precisar que </w:t>
      </w:r>
      <w:r w:rsidR="002A2F95" w:rsidRPr="003C5388">
        <w:rPr>
          <w:rFonts w:ascii="Palatino Linotype" w:hAnsi="Palatino Linotype" w:cs="Arial"/>
          <w:lang w:val="es-MX"/>
        </w:rPr>
        <w:t xml:space="preserve">si bien </w:t>
      </w:r>
      <w:r w:rsidR="00FF1C38" w:rsidRPr="003C5388">
        <w:rPr>
          <w:rFonts w:ascii="Palatino Linotype" w:hAnsi="Palatino Linotype" w:cs="Arial"/>
          <w:lang w:val="es-MX"/>
        </w:rPr>
        <w:t xml:space="preserve">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w:t>
      </w:r>
      <w:r w:rsidR="00BF25D8" w:rsidRPr="003C5388">
        <w:rPr>
          <w:rFonts w:ascii="Palatino Linotype" w:hAnsi="Palatino Linotype" w:cs="Arial"/>
          <w:lang w:val="es-MX"/>
        </w:rPr>
        <w:t>la causal de la negativa a la información solicitada</w:t>
      </w:r>
      <w:r w:rsidR="002A2F95" w:rsidRPr="003C5388">
        <w:rPr>
          <w:rFonts w:ascii="Palatino Linotype" w:hAnsi="Palatino Linotype" w:cs="Arial"/>
          <w:lang w:val="es-MX"/>
        </w:rPr>
        <w:t>, l</w:t>
      </w:r>
      <w:r w:rsidR="00237998" w:rsidRPr="003C5388">
        <w:rPr>
          <w:rFonts w:ascii="Palatino Linotype" w:hAnsi="Palatino Linotype" w:cs="Arial"/>
          <w:lang w:val="es-MX"/>
        </w:rPr>
        <w:t xml:space="preserve">o cierto es que </w:t>
      </w:r>
      <w:r w:rsidR="00BF25D8" w:rsidRPr="003C5388">
        <w:rPr>
          <w:rFonts w:ascii="Palatino Linotype" w:hAnsi="Palatino Linotype" w:cs="Arial"/>
          <w:lang w:val="es-MX"/>
        </w:rPr>
        <w:t>, del</w:t>
      </w:r>
      <w:r w:rsidR="00FF1C38" w:rsidRPr="003C5388">
        <w:rPr>
          <w:rFonts w:ascii="Palatino Linotype" w:hAnsi="Palatino Linotype" w:cs="Arial"/>
          <w:lang w:val="es-MX"/>
        </w:rPr>
        <w:t xml:space="preserve"> análisis efectuado al expediente</w:t>
      </w:r>
      <w:r w:rsidR="00504274" w:rsidRPr="003C5388">
        <w:rPr>
          <w:rFonts w:ascii="Palatino Linotype" w:hAnsi="Palatino Linotype" w:cs="Arial"/>
          <w:lang w:val="es-MX"/>
        </w:rPr>
        <w:t xml:space="preserve"> electrónico, se advierte que </w:t>
      </w:r>
      <w:proofErr w:type="spellStart"/>
      <w:r w:rsidR="00504274" w:rsidRPr="003C5388">
        <w:rPr>
          <w:rFonts w:ascii="Palatino Linotype" w:hAnsi="Palatino Linotype" w:cs="Arial"/>
          <w:lang w:val="es-MX"/>
        </w:rPr>
        <w:t>subsiste</w:t>
      </w:r>
      <w:r w:rsidR="00FF1C38" w:rsidRPr="003C5388">
        <w:rPr>
          <w:rFonts w:ascii="Palatino Linotype" w:hAnsi="Palatino Linotype" w:cs="Arial"/>
          <w:lang w:val="es-MX"/>
        </w:rPr>
        <w:t>a</w:t>
      </w:r>
      <w:proofErr w:type="spellEnd"/>
      <w:r w:rsidR="00FF1C38" w:rsidRPr="003C5388">
        <w:rPr>
          <w:rFonts w:ascii="Palatino Linotype" w:hAnsi="Palatino Linotype" w:cs="Arial"/>
          <w:lang w:val="es-MX"/>
        </w:rPr>
        <w:t xml:space="preserve"> la hipótesis prevista en el artículo </w:t>
      </w:r>
      <w:r w:rsidR="00BF25D8" w:rsidRPr="003C5388">
        <w:rPr>
          <w:rFonts w:ascii="Palatino Linotype" w:hAnsi="Palatino Linotype" w:cs="Arial"/>
          <w:lang w:val="es-MX"/>
        </w:rPr>
        <w:t xml:space="preserve">192 de la Ley de Transparencia fracción </w:t>
      </w:r>
      <w:r w:rsidR="002A2F95" w:rsidRPr="003C5388">
        <w:rPr>
          <w:rFonts w:ascii="Palatino Linotype" w:hAnsi="Palatino Linotype" w:cs="Arial"/>
          <w:lang w:val="es-MX"/>
        </w:rPr>
        <w:t>VI</w:t>
      </w:r>
      <w:r w:rsidR="002A2F95" w:rsidRPr="003C5388">
        <w:rPr>
          <w:rFonts w:ascii="Palatino Linotype" w:hAnsi="Palatino Linotype" w:cs="Arial"/>
          <w:vertAlign w:val="superscript"/>
          <w:lang w:val="es-MX"/>
        </w:rPr>
        <w:footnoteReference w:id="5"/>
      </w:r>
      <w:r w:rsidR="00BF25D8" w:rsidRPr="003C5388">
        <w:rPr>
          <w:rFonts w:ascii="Palatino Linotype" w:hAnsi="Palatino Linotype" w:cs="Arial"/>
          <w:lang w:val="es-MX"/>
        </w:rPr>
        <w:t>, en relación con la fracción</w:t>
      </w:r>
      <w:r w:rsidR="002A2F95" w:rsidRPr="003C5388">
        <w:rPr>
          <w:rFonts w:ascii="Palatino Linotype" w:hAnsi="Palatino Linotype" w:cs="Arial"/>
          <w:lang w:val="es-MX"/>
        </w:rPr>
        <w:t xml:space="preserve"> IV</w:t>
      </w:r>
      <w:r w:rsidR="00BF25D8" w:rsidRPr="003C5388">
        <w:rPr>
          <w:rFonts w:ascii="Palatino Linotype" w:hAnsi="Palatino Linotype" w:cs="Arial"/>
          <w:lang w:val="es-MX"/>
        </w:rPr>
        <w:t xml:space="preserve"> del diverso 191,</w:t>
      </w:r>
      <w:r w:rsidR="00237998" w:rsidRPr="003C5388">
        <w:rPr>
          <w:rFonts w:ascii="Palatino Linotype" w:hAnsi="Palatino Linotype" w:cs="Arial"/>
          <w:lang w:val="es-MX"/>
        </w:rPr>
        <w:t xml:space="preserve"> por lo que</w:t>
      </w:r>
      <w:r w:rsidR="00BF25D8" w:rsidRPr="003C5388">
        <w:rPr>
          <w:rFonts w:ascii="Palatino Linotype" w:hAnsi="Palatino Linotype" w:cs="Arial"/>
          <w:lang w:val="es-MX"/>
        </w:rPr>
        <w:t xml:space="preserve"> lo procedente es sobreseer el presente asunto, ya que una vez admitido apareció una causal de improcedencia.    </w:t>
      </w:r>
    </w:p>
    <w:p w14:paraId="6BC38447" w14:textId="77777777" w:rsidR="00727081" w:rsidRPr="003C5388" w:rsidRDefault="00727081" w:rsidP="00727081">
      <w:pPr>
        <w:pStyle w:val="Prrafodelista"/>
        <w:rPr>
          <w:rFonts w:ascii="Palatino Linotype" w:hAnsi="Palatino Linotype" w:cs="Arial"/>
        </w:rPr>
      </w:pPr>
    </w:p>
    <w:p w14:paraId="22713323" w14:textId="77777777" w:rsidR="00727081" w:rsidRPr="003C5388" w:rsidRDefault="00727081" w:rsidP="00727081">
      <w:pPr>
        <w:pStyle w:val="Prrafodelista"/>
        <w:spacing w:line="360" w:lineRule="auto"/>
        <w:ind w:left="0"/>
        <w:jc w:val="both"/>
        <w:rPr>
          <w:rFonts w:ascii="Palatino Linotype" w:hAnsi="Palatino Linotype" w:cs="Arial"/>
        </w:rPr>
      </w:pPr>
    </w:p>
    <w:p w14:paraId="60B5F31E" w14:textId="5028EB1B" w:rsidR="00BF25D8" w:rsidRPr="003C5388" w:rsidRDefault="00FF1C38" w:rsidP="00BF25D8">
      <w:pPr>
        <w:spacing w:line="360" w:lineRule="auto"/>
        <w:ind w:left="709" w:right="709"/>
        <w:jc w:val="both"/>
        <w:rPr>
          <w:rFonts w:ascii="Palatino Linotype" w:hAnsi="Palatino Linotype" w:cs="Arial"/>
          <w:i/>
          <w:lang w:val="es-MX"/>
        </w:rPr>
      </w:pPr>
      <w:r w:rsidRPr="003C5388">
        <w:rPr>
          <w:rFonts w:ascii="Palatino Linotype" w:hAnsi="Palatino Linotype" w:cs="Arial"/>
          <w:i/>
          <w:lang w:val="es-MX"/>
        </w:rPr>
        <w:t>“</w:t>
      </w:r>
      <w:r w:rsidRPr="003C5388">
        <w:rPr>
          <w:rFonts w:ascii="Palatino Linotype" w:hAnsi="Palatino Linotype" w:cs="Arial"/>
          <w:b/>
          <w:i/>
          <w:lang w:val="es-MX"/>
        </w:rPr>
        <w:t>Artículo 191</w:t>
      </w:r>
      <w:r w:rsidRPr="003C5388">
        <w:rPr>
          <w:rFonts w:ascii="Palatino Linotype" w:hAnsi="Palatino Linotype" w:cs="Arial"/>
          <w:i/>
          <w:lang w:val="es-MX"/>
        </w:rPr>
        <w:t>. El recurso será desechado por improcedente cuando:</w:t>
      </w:r>
    </w:p>
    <w:p w14:paraId="0E83F072" w14:textId="361F1002" w:rsidR="00BF25D8" w:rsidRPr="003C5388" w:rsidRDefault="00BF25D8" w:rsidP="00FF1C38">
      <w:pPr>
        <w:spacing w:line="360" w:lineRule="auto"/>
        <w:ind w:left="709" w:right="709"/>
        <w:jc w:val="both"/>
        <w:rPr>
          <w:rFonts w:ascii="Palatino Linotype" w:hAnsi="Palatino Linotype" w:cs="Arial"/>
          <w:b/>
          <w:i/>
          <w:lang w:val="es-MX"/>
        </w:rPr>
      </w:pPr>
      <w:r w:rsidRPr="003C5388">
        <w:rPr>
          <w:rFonts w:ascii="Palatino Linotype" w:hAnsi="Palatino Linotype" w:cs="Arial"/>
          <w:b/>
          <w:i/>
          <w:lang w:val="es-MX"/>
        </w:rPr>
        <w:t>(…)</w:t>
      </w:r>
    </w:p>
    <w:p w14:paraId="171D4998" w14:textId="7C4E397C" w:rsidR="00FF1C38" w:rsidRPr="003C5388" w:rsidRDefault="00BF25D8" w:rsidP="00FF1C38">
      <w:pPr>
        <w:spacing w:line="360" w:lineRule="auto"/>
        <w:ind w:left="709" w:right="709"/>
        <w:jc w:val="both"/>
        <w:rPr>
          <w:rFonts w:ascii="Palatino Linotype" w:hAnsi="Palatino Linotype" w:cs="Arial"/>
          <w:i/>
          <w:lang w:val="es-MX"/>
        </w:rPr>
      </w:pPr>
      <w:r w:rsidRPr="003C5388">
        <w:rPr>
          <w:rFonts w:ascii="Palatino Linotype" w:hAnsi="Palatino Linotype" w:cs="Arial"/>
          <w:b/>
          <w:i/>
        </w:rPr>
        <w:t>VI. Se trate de una consulta, o trámite en específico; y</w:t>
      </w:r>
    </w:p>
    <w:p w14:paraId="78FE4AD4" w14:textId="16442AC1" w:rsidR="00FF1C38" w:rsidRPr="003C5388" w:rsidRDefault="00BF25D8" w:rsidP="00FF1C38">
      <w:pPr>
        <w:spacing w:line="360" w:lineRule="auto"/>
        <w:ind w:left="709" w:right="709"/>
        <w:jc w:val="both"/>
        <w:rPr>
          <w:rFonts w:ascii="Palatino Linotype" w:hAnsi="Palatino Linotype" w:cs="Arial"/>
          <w:i/>
          <w:lang w:val="es-MX"/>
        </w:rPr>
      </w:pPr>
      <w:r w:rsidRPr="003C5388">
        <w:rPr>
          <w:rFonts w:ascii="Palatino Linotype" w:hAnsi="Palatino Linotype" w:cs="Arial"/>
          <w:i/>
          <w:lang w:val="es-MX"/>
        </w:rPr>
        <w:t>(</w:t>
      </w:r>
      <w:r w:rsidR="00FF1C38" w:rsidRPr="003C5388">
        <w:rPr>
          <w:rFonts w:ascii="Palatino Linotype" w:hAnsi="Palatino Linotype" w:cs="Arial"/>
          <w:i/>
          <w:lang w:val="es-MX"/>
        </w:rPr>
        <w:t>…</w:t>
      </w:r>
      <w:r w:rsidRPr="003C5388">
        <w:rPr>
          <w:rFonts w:ascii="Palatino Linotype" w:hAnsi="Palatino Linotype" w:cs="Arial"/>
          <w:i/>
          <w:lang w:val="es-MX"/>
        </w:rPr>
        <w:t>)</w:t>
      </w:r>
    </w:p>
    <w:p w14:paraId="4E89B29B" w14:textId="77777777" w:rsidR="00FF1C38" w:rsidRPr="003C5388" w:rsidRDefault="00FF1C38" w:rsidP="00FF1C38">
      <w:pPr>
        <w:spacing w:line="360" w:lineRule="auto"/>
        <w:ind w:left="709" w:right="709"/>
        <w:jc w:val="both"/>
        <w:rPr>
          <w:rFonts w:ascii="Palatino Linotype" w:hAnsi="Palatino Linotype" w:cs="Arial"/>
          <w:i/>
          <w:lang w:val="es-MX"/>
        </w:rPr>
      </w:pPr>
    </w:p>
    <w:p w14:paraId="1395CD70" w14:textId="77777777" w:rsidR="00FF1C38" w:rsidRPr="003C5388" w:rsidRDefault="00FF1C38" w:rsidP="00FF1C38">
      <w:pPr>
        <w:spacing w:line="360" w:lineRule="auto"/>
        <w:ind w:left="709" w:right="709"/>
        <w:jc w:val="both"/>
        <w:rPr>
          <w:rFonts w:ascii="Palatino Linotype" w:hAnsi="Palatino Linotype" w:cs="Arial"/>
          <w:lang w:val="es-MX"/>
        </w:rPr>
      </w:pPr>
      <w:r w:rsidRPr="003C5388">
        <w:rPr>
          <w:rFonts w:ascii="Palatino Linotype" w:hAnsi="Palatino Linotype" w:cs="Arial"/>
          <w:lang w:val="es-MX"/>
        </w:rPr>
        <w:t>(Énfasis añadido)</w:t>
      </w:r>
    </w:p>
    <w:p w14:paraId="686D2DEC" w14:textId="77777777" w:rsidR="00504274" w:rsidRPr="003C5388" w:rsidRDefault="00504274" w:rsidP="00FF1C38">
      <w:pPr>
        <w:spacing w:line="360" w:lineRule="auto"/>
        <w:ind w:left="709" w:right="709"/>
        <w:jc w:val="both"/>
        <w:rPr>
          <w:rFonts w:ascii="Palatino Linotype" w:hAnsi="Palatino Linotype" w:cs="Arial"/>
          <w:lang w:val="es-MX"/>
        </w:rPr>
      </w:pPr>
    </w:p>
    <w:p w14:paraId="0B784986" w14:textId="77777777" w:rsidR="00727081" w:rsidRPr="003C5388" w:rsidRDefault="00727081" w:rsidP="00727081">
      <w:pPr>
        <w:pStyle w:val="Prrafodelista"/>
        <w:spacing w:line="360" w:lineRule="auto"/>
        <w:ind w:left="0" w:right="49"/>
        <w:jc w:val="both"/>
        <w:rPr>
          <w:rFonts w:ascii="Palatino Linotype" w:hAnsi="Palatino Linotype" w:cs="Arial"/>
          <w:lang w:val="es-MX"/>
        </w:rPr>
      </w:pPr>
    </w:p>
    <w:p w14:paraId="7F508BB9" w14:textId="77777777" w:rsidR="00FF1C38" w:rsidRPr="003C5388" w:rsidRDefault="00FF1C38" w:rsidP="00E37034">
      <w:pPr>
        <w:spacing w:before="240" w:after="240" w:line="360" w:lineRule="auto"/>
        <w:ind w:right="567"/>
        <w:contextualSpacing/>
        <w:jc w:val="both"/>
        <w:rPr>
          <w:rFonts w:ascii="Palatino Linotype" w:hAnsi="Palatino Linotype"/>
          <w:i/>
          <w:lang w:val="es-MX"/>
        </w:rPr>
      </w:pPr>
    </w:p>
    <w:p w14:paraId="500D4226" w14:textId="481646D5" w:rsidR="00FF1C38" w:rsidRPr="003C5388" w:rsidRDefault="00FF1C38" w:rsidP="00064592">
      <w:pPr>
        <w:pStyle w:val="Prrafodelista"/>
        <w:numPr>
          <w:ilvl w:val="0"/>
          <w:numId w:val="29"/>
        </w:numPr>
        <w:spacing w:before="240" w:after="240" w:line="360" w:lineRule="auto"/>
        <w:ind w:left="0" w:firstLine="0"/>
        <w:jc w:val="both"/>
        <w:rPr>
          <w:rFonts w:ascii="Palatino Linotype" w:hAnsi="Palatino Linotype" w:cs="Arial"/>
          <w:lang w:val="es-MX"/>
        </w:rPr>
      </w:pPr>
      <w:r w:rsidRPr="003C5388">
        <w:rPr>
          <w:rFonts w:ascii="Palatino Linotype" w:hAnsi="Palatino Linotype" w:cs="Arial"/>
          <w:lang w:val="es-MX"/>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7AF9515" w14:textId="77777777" w:rsidR="00FF1C38" w:rsidRPr="003C5388" w:rsidRDefault="00FF1C38" w:rsidP="00FF1C38">
      <w:pPr>
        <w:spacing w:before="240" w:after="240" w:line="360" w:lineRule="auto"/>
        <w:ind w:left="567" w:right="567"/>
        <w:contextualSpacing/>
        <w:jc w:val="both"/>
        <w:rPr>
          <w:rFonts w:ascii="Palatino Linotype" w:hAnsi="Palatino Linotype"/>
          <w:b/>
          <w:i/>
          <w:lang w:val="es-MX"/>
        </w:rPr>
      </w:pPr>
      <w:r w:rsidRPr="003C5388">
        <w:rPr>
          <w:rFonts w:ascii="Palatino Linotype" w:hAnsi="Palatino Linotype"/>
          <w:b/>
          <w:i/>
          <w:lang w:val="es-MX"/>
        </w:rPr>
        <w:t>“DESECHAMIENTO O SOBRESEIMIENTO EN EL JUICIO DE AMPARO. NO IMPLICA DENEGACIÓN DE JUSTICIA NI GENERA INSEGURIDAD JURÍDICA”</w:t>
      </w:r>
    </w:p>
    <w:p w14:paraId="15F701FA" w14:textId="77777777" w:rsidR="00FF1C38" w:rsidRPr="003C5388" w:rsidRDefault="00FF1C38" w:rsidP="00FF1C38">
      <w:pPr>
        <w:spacing w:before="240" w:after="240" w:line="360" w:lineRule="auto"/>
        <w:ind w:left="567" w:right="567"/>
        <w:contextualSpacing/>
        <w:jc w:val="both"/>
        <w:rPr>
          <w:rFonts w:ascii="Palatino Linotype" w:hAnsi="Palatino Linotype"/>
          <w:i/>
          <w:lang w:val="es-MX"/>
        </w:rPr>
      </w:pPr>
      <w:r w:rsidRPr="003C5388">
        <w:rPr>
          <w:rFonts w:ascii="Palatino Linotype" w:hAnsi="Palatino Linotype"/>
          <w:i/>
          <w:lang w:val="es-MX"/>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3C5388">
        <w:rPr>
          <w:rFonts w:ascii="Palatino Linotype" w:hAnsi="Palatino Linotype"/>
          <w:i/>
          <w:lang w:val="es-MX"/>
        </w:rPr>
        <w:t>promovente</w:t>
      </w:r>
      <w:proofErr w:type="spellEnd"/>
      <w:r w:rsidRPr="003C5388">
        <w:rPr>
          <w:rFonts w:ascii="Palatino Linotype" w:hAnsi="Palatino Linotype"/>
          <w:i/>
          <w:lang w:val="es-MX"/>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2326916" w14:textId="77777777" w:rsidR="00D879AC" w:rsidRPr="003C5388" w:rsidRDefault="00D879AC" w:rsidP="00FF1C38">
      <w:pPr>
        <w:spacing w:before="240" w:after="240" w:line="360" w:lineRule="auto"/>
        <w:ind w:left="567" w:right="567"/>
        <w:contextualSpacing/>
        <w:jc w:val="both"/>
        <w:rPr>
          <w:rFonts w:ascii="Palatino Linotype" w:hAnsi="Palatino Linotype"/>
          <w:i/>
          <w:lang w:val="es-MX"/>
        </w:rPr>
      </w:pPr>
    </w:p>
    <w:p w14:paraId="13153AB1" w14:textId="4F4A49EB" w:rsidR="00D879AC" w:rsidRPr="003C5388" w:rsidRDefault="0083265B" w:rsidP="00D879AC">
      <w:pPr>
        <w:keepNext/>
        <w:keepLines/>
        <w:spacing w:before="240" w:line="360" w:lineRule="auto"/>
        <w:outlineLvl w:val="0"/>
        <w:rPr>
          <w:rFonts w:ascii="Palatino Linotype" w:eastAsia="MS Gothic" w:hAnsi="Palatino Linotype"/>
          <w:b/>
          <w:lang w:eastAsia="en-US"/>
        </w:rPr>
      </w:pPr>
      <w:bookmarkStart w:id="41" w:name="_Toc487739452"/>
      <w:bookmarkStart w:id="42" w:name="_Toc524344196"/>
      <w:bookmarkStart w:id="43" w:name="_Toc526271201"/>
      <w:bookmarkStart w:id="44" w:name="_Toc536106975"/>
      <w:bookmarkStart w:id="45" w:name="_Toc87354264"/>
      <w:bookmarkStart w:id="46" w:name="_Toc94140313"/>
      <w:bookmarkStart w:id="47" w:name="_Toc100171633"/>
      <w:r w:rsidRPr="003C5388">
        <w:rPr>
          <w:rFonts w:ascii="Palatino Linotype" w:eastAsia="MS Gothic" w:hAnsi="Palatino Linotype"/>
          <w:b/>
          <w:lang w:eastAsia="en-US"/>
        </w:rPr>
        <w:t>QUINTO</w:t>
      </w:r>
      <w:r w:rsidR="00D879AC" w:rsidRPr="003C5388">
        <w:rPr>
          <w:rFonts w:ascii="Palatino Linotype" w:eastAsia="MS Gothic" w:hAnsi="Palatino Linotype"/>
          <w:b/>
          <w:lang w:eastAsia="en-US"/>
        </w:rPr>
        <w:t>. Vista a los órganos de control interno</w:t>
      </w:r>
      <w:bookmarkEnd w:id="41"/>
      <w:r w:rsidR="00D879AC" w:rsidRPr="003C5388">
        <w:rPr>
          <w:rFonts w:ascii="Palatino Linotype" w:eastAsia="MS Gothic" w:hAnsi="Palatino Linotype"/>
          <w:b/>
          <w:lang w:eastAsia="en-US"/>
        </w:rPr>
        <w:t>.</w:t>
      </w:r>
      <w:bookmarkEnd w:id="42"/>
      <w:bookmarkEnd w:id="43"/>
      <w:bookmarkEnd w:id="44"/>
      <w:bookmarkEnd w:id="45"/>
      <w:bookmarkEnd w:id="46"/>
      <w:bookmarkEnd w:id="47"/>
    </w:p>
    <w:p w14:paraId="307965B4" w14:textId="77777777" w:rsidR="00D879AC" w:rsidRPr="003C5388" w:rsidRDefault="00D879AC" w:rsidP="00D879AC">
      <w:pPr>
        <w:spacing w:line="360" w:lineRule="auto"/>
        <w:rPr>
          <w:rFonts w:ascii="Palatino Linotype" w:hAnsi="Palatino Linotype"/>
          <w:lang w:eastAsia="en-US"/>
        </w:rPr>
      </w:pPr>
    </w:p>
    <w:p w14:paraId="3C3F7638" w14:textId="70AD85A2" w:rsidR="00D879AC" w:rsidRPr="003C5388" w:rsidRDefault="00D879AC" w:rsidP="00D879AC">
      <w:pPr>
        <w:pStyle w:val="Prrafodelista"/>
        <w:numPr>
          <w:ilvl w:val="0"/>
          <w:numId w:val="29"/>
        </w:numPr>
        <w:tabs>
          <w:tab w:val="left" w:pos="426"/>
        </w:tab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69A7154A"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49E894A5" w14:textId="77777777" w:rsidR="00D879AC" w:rsidRPr="003C5388" w:rsidRDefault="00D879AC" w:rsidP="00D879AC">
      <w:pPr>
        <w:numPr>
          <w:ilvl w:val="0"/>
          <w:numId w:val="29"/>
        </w:numPr>
        <w:tabs>
          <w:tab w:val="left" w:pos="426"/>
        </w:tab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7A9B52D5"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33C5ADDD"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i/>
          <w:lang w:val="es-ES_tradnl"/>
        </w:rPr>
        <w:t>“</w:t>
      </w:r>
      <w:r w:rsidRPr="003C5388">
        <w:rPr>
          <w:rFonts w:ascii="Palatino Linotype" w:hAnsi="Palatino Linotype"/>
          <w:b/>
          <w:i/>
          <w:lang w:val="es-ES_tradnl"/>
        </w:rPr>
        <w:t>Artículo 190.</w:t>
      </w:r>
      <w:r w:rsidRPr="003C5388">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1ABD41F" w14:textId="77777777" w:rsidR="00D879AC" w:rsidRPr="003C5388" w:rsidRDefault="00D879AC" w:rsidP="00D879AC">
      <w:pPr>
        <w:spacing w:line="360" w:lineRule="auto"/>
        <w:ind w:left="567" w:right="567"/>
        <w:contextualSpacing/>
        <w:jc w:val="both"/>
        <w:rPr>
          <w:rFonts w:ascii="Palatino Linotype" w:hAnsi="Palatino Linotype"/>
          <w:i/>
          <w:lang w:val="es-ES_tradnl"/>
        </w:rPr>
      </w:pPr>
    </w:p>
    <w:p w14:paraId="77F5851F"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b/>
          <w:bCs/>
          <w:i/>
          <w:lang w:val="es-ES_tradnl"/>
        </w:rPr>
        <w:t>Artículo 223.</w:t>
      </w:r>
      <w:r w:rsidRPr="003C5388">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100EAA1"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i/>
          <w:lang w:val="es-ES_tradnl"/>
        </w:rPr>
        <w:lastRenderedPageBreak/>
        <w:t>(…)”</w:t>
      </w:r>
    </w:p>
    <w:p w14:paraId="3B35D969"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1BE27075" w14:textId="77777777" w:rsidR="00D879AC" w:rsidRPr="003C5388" w:rsidRDefault="00D879AC" w:rsidP="00D879AC">
      <w:pPr>
        <w:numPr>
          <w:ilvl w:val="0"/>
          <w:numId w:val="29"/>
        </w:numPr>
        <w:tabs>
          <w:tab w:val="left" w:pos="426"/>
        </w:tab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lang w:val="es-ES_tradnl"/>
        </w:rPr>
        <w:t xml:space="preserve">Del análisis a los dispositivos normativos señalados </w:t>
      </w:r>
      <w:r w:rsidRPr="003C5388">
        <w:rPr>
          <w:rFonts w:ascii="Palatino Linotype" w:hAnsi="Palatino Linotype"/>
          <w:i/>
          <w:iCs/>
          <w:lang w:val="es-ES_tradnl"/>
        </w:rPr>
        <w:t>supra</w:t>
      </w:r>
      <w:r w:rsidRPr="003C5388">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5900EDC7"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13AECAC1" w14:textId="77777777" w:rsidR="00D879AC" w:rsidRPr="003C5388" w:rsidRDefault="00D879AC" w:rsidP="00D879AC">
      <w:pPr>
        <w:numPr>
          <w:ilvl w:val="0"/>
          <w:numId w:val="29"/>
        </w:numPr>
        <w:spacing w:after="120" w:line="360" w:lineRule="auto"/>
        <w:ind w:left="0" w:right="49" w:firstLine="0"/>
        <w:contextualSpacing/>
        <w:jc w:val="both"/>
        <w:rPr>
          <w:rFonts w:ascii="Palatino Linotype" w:hAnsi="Palatino Linotype" w:cs="Arial"/>
          <w:color w:val="000000"/>
          <w:lang w:val="es-ES_tradnl"/>
        </w:rPr>
      </w:pPr>
      <w:r w:rsidRPr="003C5388">
        <w:rPr>
          <w:rFonts w:ascii="Palatino Linotype" w:hAnsi="Palatino Linotype" w:cs="Arial"/>
          <w:color w:val="000000"/>
          <w:lang w:val="es-ES_tradnl"/>
        </w:rPr>
        <w:t>En consecuencia, el recurso de revisión consiste en una garantía secundaria</w:t>
      </w:r>
      <w:r w:rsidRPr="003C5388">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3C5388">
        <w:rPr>
          <w:rFonts w:ascii="Palatino Linotype" w:hAnsi="Palatino Linotype" w:cs="Arial"/>
          <w:color w:val="000000"/>
          <w:vertAlign w:val="superscript"/>
          <w:lang w:val="es-ES_tradnl"/>
        </w:rPr>
        <w:footnoteReference w:id="6"/>
      </w:r>
      <w:r w:rsidRPr="003C5388">
        <w:rPr>
          <w:rFonts w:ascii="Palatino Linotype" w:hAnsi="Palatino Linotype" w:cs="Arial"/>
          <w:color w:val="000000"/>
          <w:lang w:val="es-ES_tradnl"/>
        </w:rPr>
        <w:t xml:space="preserve">, esto refiere que, ante la falta de respuesta por parte del </w:t>
      </w:r>
      <w:r w:rsidRPr="003C5388">
        <w:rPr>
          <w:rFonts w:ascii="Palatino Linotype" w:hAnsi="Palatino Linotype" w:cs="Arial"/>
          <w:b/>
          <w:color w:val="000000"/>
          <w:lang w:val="es-ES_tradnl"/>
        </w:rPr>
        <w:t>SUJETO OBLIGADO</w:t>
      </w:r>
      <w:r w:rsidRPr="003C5388">
        <w:rPr>
          <w:rFonts w:ascii="Palatino Linotype" w:hAnsi="Palatino Linotype" w:cs="Arial"/>
          <w:color w:val="000000"/>
          <w:lang w:val="es-ES_tradnl"/>
        </w:rPr>
        <w:t xml:space="preserve">, la </w:t>
      </w:r>
      <w:r w:rsidRPr="003C5388">
        <w:rPr>
          <w:rFonts w:ascii="Palatino Linotype" w:hAnsi="Palatino Linotype" w:cs="Arial"/>
          <w:b/>
          <w:color w:val="000000"/>
          <w:lang w:val="es-ES_tradnl"/>
        </w:rPr>
        <w:t>RECURRENTE</w:t>
      </w:r>
      <w:r w:rsidRPr="003C5388">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33A51153"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5E96745E" w14:textId="77777777" w:rsidR="00D879AC" w:rsidRPr="003C5388" w:rsidRDefault="00D879AC" w:rsidP="00D879AC">
      <w:pPr>
        <w:numPr>
          <w:ilvl w:val="0"/>
          <w:numId w:val="29"/>
        </w:numPr>
        <w:tabs>
          <w:tab w:val="left" w:pos="426"/>
        </w:tab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4CFB2479"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59B30621"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b/>
          <w:i/>
          <w:lang w:val="es-ES_tradnl"/>
        </w:rPr>
        <w:lastRenderedPageBreak/>
        <w:t>“Artículo 222.</w:t>
      </w:r>
      <w:r w:rsidRPr="003C5388">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43FF0777"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b/>
          <w:i/>
          <w:lang w:val="es-ES_tradnl"/>
        </w:rPr>
        <w:t>I. Cualquier acto u omisión que provoque la suspensión o deficiencia en la atención de las solicitudes de información</w:t>
      </w:r>
      <w:r w:rsidRPr="003C5388">
        <w:rPr>
          <w:rFonts w:ascii="Palatino Linotype" w:hAnsi="Palatino Linotype"/>
          <w:i/>
          <w:lang w:val="es-ES_tradnl"/>
        </w:rPr>
        <w:t>;</w:t>
      </w:r>
    </w:p>
    <w:p w14:paraId="29CE3427"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b/>
          <w:i/>
          <w:lang w:val="es-ES_tradnl"/>
        </w:rPr>
        <w:t>II. La falta de respuesta a las solicitudes de información en los plazos señalados en la normatividad aplicable</w:t>
      </w:r>
      <w:r w:rsidRPr="003C5388">
        <w:rPr>
          <w:rFonts w:ascii="Palatino Linotype" w:hAnsi="Palatino Linotype"/>
          <w:i/>
          <w:lang w:val="es-ES_tradnl"/>
        </w:rPr>
        <w:t>;</w:t>
      </w:r>
    </w:p>
    <w:p w14:paraId="66B3806D" w14:textId="77777777" w:rsidR="00D879AC" w:rsidRPr="003C5388" w:rsidRDefault="00D879AC" w:rsidP="00D879AC">
      <w:pPr>
        <w:spacing w:line="360" w:lineRule="auto"/>
        <w:ind w:left="567" w:right="567"/>
        <w:contextualSpacing/>
        <w:jc w:val="both"/>
        <w:rPr>
          <w:rFonts w:ascii="Palatino Linotype" w:hAnsi="Palatino Linotype"/>
          <w:i/>
          <w:lang w:val="es-ES_tradnl"/>
        </w:rPr>
      </w:pPr>
      <w:r w:rsidRPr="003C5388">
        <w:rPr>
          <w:rFonts w:ascii="Palatino Linotype" w:hAnsi="Palatino Linotype"/>
          <w:i/>
          <w:lang w:val="es-ES_tradnl"/>
        </w:rPr>
        <w:t xml:space="preserve">(…)” </w:t>
      </w:r>
    </w:p>
    <w:p w14:paraId="0F52C1A6" w14:textId="77777777" w:rsidR="00D879AC" w:rsidRPr="003C5388" w:rsidRDefault="00D879AC" w:rsidP="00D879AC">
      <w:pPr>
        <w:spacing w:line="360" w:lineRule="auto"/>
        <w:ind w:left="567" w:right="567"/>
        <w:contextualSpacing/>
        <w:jc w:val="both"/>
        <w:rPr>
          <w:rFonts w:ascii="Palatino Linotype" w:hAnsi="Palatino Linotype"/>
          <w:iCs/>
          <w:lang w:val="es-ES_tradnl"/>
        </w:rPr>
      </w:pPr>
    </w:p>
    <w:p w14:paraId="74DBADEE" w14:textId="77777777" w:rsidR="00D879AC" w:rsidRPr="003C5388" w:rsidRDefault="00D879AC" w:rsidP="00D879AC">
      <w:pPr>
        <w:spacing w:line="360" w:lineRule="auto"/>
        <w:ind w:left="567" w:right="567"/>
        <w:contextualSpacing/>
        <w:jc w:val="both"/>
        <w:rPr>
          <w:rFonts w:ascii="Palatino Linotype" w:hAnsi="Palatino Linotype"/>
          <w:i/>
          <w:iCs/>
          <w:lang w:val="es-ES_tradnl"/>
        </w:rPr>
      </w:pPr>
      <w:r w:rsidRPr="003C5388">
        <w:rPr>
          <w:rFonts w:ascii="Palatino Linotype" w:hAnsi="Palatino Linotype"/>
          <w:i/>
          <w:iCs/>
          <w:lang w:val="es-ES_tradnl"/>
        </w:rPr>
        <w:t>(Énfasis añadido)</w:t>
      </w:r>
    </w:p>
    <w:p w14:paraId="2AAC7F3E" w14:textId="77777777" w:rsidR="00D879AC" w:rsidRPr="003C5388" w:rsidRDefault="00D879AC" w:rsidP="00D879AC">
      <w:pPr>
        <w:tabs>
          <w:tab w:val="left" w:pos="426"/>
        </w:tabs>
        <w:spacing w:before="240" w:after="240" w:line="360" w:lineRule="auto"/>
        <w:contextualSpacing/>
        <w:jc w:val="both"/>
        <w:rPr>
          <w:rFonts w:ascii="Palatino Linotype" w:hAnsi="Palatino Linotype"/>
          <w:lang w:val="es-ES_tradnl"/>
        </w:rPr>
      </w:pPr>
    </w:p>
    <w:p w14:paraId="369A4A10" w14:textId="5840C5F5" w:rsidR="00D879AC" w:rsidRPr="003C5388" w:rsidRDefault="00D879AC" w:rsidP="00D879AC">
      <w:pPr>
        <w:numPr>
          <w:ilvl w:val="0"/>
          <w:numId w:val="29"/>
        </w:numPr>
        <w:tabs>
          <w:tab w:val="left" w:pos="426"/>
        </w:tabs>
        <w:spacing w:before="240" w:after="240" w:line="360" w:lineRule="auto"/>
        <w:ind w:left="0" w:firstLine="0"/>
        <w:contextualSpacing/>
        <w:jc w:val="both"/>
        <w:rPr>
          <w:rFonts w:ascii="Palatino Linotype" w:hAnsi="Palatino Linotype"/>
          <w:lang w:val="es-ES_tradnl"/>
        </w:rPr>
      </w:pPr>
      <w:r w:rsidRPr="003C5388">
        <w:rPr>
          <w:rFonts w:ascii="Palatino Linotype" w:hAnsi="Palatino Linotype"/>
          <w:lang w:val="es-ES_tradnl"/>
        </w:rPr>
        <w:t xml:space="preserve">En el presente asunto, de constancias de autos que obran en el expediente digital del </w:t>
      </w:r>
      <w:r w:rsidRPr="003C5388">
        <w:rPr>
          <w:rFonts w:ascii="Palatino Linotype" w:hAnsi="Palatino Linotype"/>
          <w:b/>
          <w:lang w:val="es-ES_tradnl"/>
        </w:rPr>
        <w:t>SAIMEX</w:t>
      </w:r>
      <w:r w:rsidRPr="003C5388">
        <w:rPr>
          <w:rFonts w:ascii="Palatino Linotype" w:hAnsi="Palatino Linotype"/>
          <w:lang w:val="es-ES_tradnl"/>
        </w:rPr>
        <w:t>, para el caso del recurso de revisión</w:t>
      </w:r>
      <w:r w:rsidRPr="003C5388">
        <w:rPr>
          <w:rFonts w:ascii="Verdana" w:hAnsi="Verdana"/>
          <w:b/>
          <w:bCs/>
          <w:color w:val="FF0000"/>
        </w:rPr>
        <w:t xml:space="preserve"> </w:t>
      </w:r>
      <w:r w:rsidRPr="003C5388">
        <w:rPr>
          <w:rFonts w:ascii="Palatino Linotype" w:hAnsi="Palatino Linotype"/>
          <w:b/>
          <w:bCs/>
        </w:rPr>
        <w:t>01103/INFOEM/IP/RR/2022</w:t>
      </w:r>
      <w:r w:rsidRPr="003C5388">
        <w:rPr>
          <w:rFonts w:ascii="Palatino Linotype" w:hAnsi="Palatino Linotype"/>
          <w:lang w:val="es-ES_tradnl"/>
        </w:rPr>
        <w:t>, no se atendió la solitud de información por el</w:t>
      </w:r>
      <w:r w:rsidRPr="003C5388">
        <w:rPr>
          <w:rFonts w:ascii="Palatino Linotype" w:hAnsi="Palatino Linotype"/>
          <w:b/>
          <w:szCs w:val="22"/>
          <w:lang w:val="es-ES_tradnl"/>
        </w:rPr>
        <w:t xml:space="preserve"> </w:t>
      </w:r>
      <w:r w:rsidRPr="003C5388">
        <w:rPr>
          <w:rFonts w:ascii="Palatino Linotype" w:hAnsi="Palatino Linotype"/>
          <w:b/>
          <w:lang w:val="es-ES_tradnl"/>
        </w:rPr>
        <w:t>Ayuntamiento de Teoloyucan</w:t>
      </w:r>
      <w:r w:rsidRPr="003C5388">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3C5388">
        <w:rPr>
          <w:rFonts w:ascii="Palatino Linotype" w:hAnsi="Palatino Linotype"/>
          <w:b/>
          <w:lang w:val="es-ES_tradnl"/>
        </w:rPr>
        <w:t>SUJETO OBLIGADO</w:t>
      </w:r>
      <w:r w:rsidRPr="003C5388">
        <w:rPr>
          <w:rFonts w:ascii="Palatino Linotype" w:hAnsi="Palatino Linotype"/>
          <w:lang w:val="es-ES_tradnl"/>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3C5388">
        <w:rPr>
          <w:rFonts w:ascii="Palatino Linotype" w:hAnsi="Palatino Linotype"/>
          <w:b/>
          <w:lang w:val="es-ES_tradnl"/>
        </w:rPr>
        <w:t>SUJETO OBLIGADO</w:t>
      </w:r>
      <w:r w:rsidRPr="003C5388">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3C5388">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5A6B5EF5" w14:textId="77777777" w:rsidR="0083265B" w:rsidRPr="003C5388" w:rsidRDefault="0083265B" w:rsidP="00FF1C38">
      <w:pPr>
        <w:keepNext/>
        <w:keepLines/>
        <w:suppressAutoHyphens/>
        <w:spacing w:before="240" w:line="360" w:lineRule="auto"/>
        <w:outlineLvl w:val="0"/>
        <w:rPr>
          <w:rFonts w:ascii="Palatino Linotype" w:eastAsia="MS Mincho" w:hAnsi="Palatino Linotype"/>
          <w:color w:val="000000"/>
          <w:lang w:val="es-ES_tradnl"/>
        </w:rPr>
      </w:pPr>
    </w:p>
    <w:p w14:paraId="73A7F6DD" w14:textId="6426CE85" w:rsidR="00AC3F44" w:rsidRPr="003C5388" w:rsidRDefault="0083265B" w:rsidP="00FF1C38">
      <w:pPr>
        <w:keepNext/>
        <w:keepLines/>
        <w:suppressAutoHyphens/>
        <w:spacing w:before="240" w:line="360" w:lineRule="auto"/>
        <w:outlineLvl w:val="0"/>
        <w:rPr>
          <w:rFonts w:ascii="Palatino Linotype" w:hAnsi="Palatino Linotype"/>
          <w:b/>
          <w:color w:val="000000"/>
        </w:rPr>
      </w:pPr>
      <w:bookmarkStart w:id="48" w:name="_Toc100171634"/>
      <w:r w:rsidRPr="003C5388">
        <w:rPr>
          <w:rFonts w:ascii="Palatino Linotype" w:eastAsia="MS Mincho" w:hAnsi="Palatino Linotype"/>
          <w:b/>
          <w:color w:val="000000"/>
          <w:lang w:val="es-ES_tradnl"/>
        </w:rPr>
        <w:t>SEXTO</w:t>
      </w:r>
      <w:r w:rsidR="00AC3F44" w:rsidRPr="003C5388">
        <w:rPr>
          <w:rFonts w:ascii="Palatino Linotype" w:hAnsi="Palatino Linotype"/>
          <w:b/>
          <w:color w:val="000000"/>
        </w:rPr>
        <w:t>. De la decisión.</w:t>
      </w:r>
      <w:bookmarkEnd w:id="48"/>
      <w:r w:rsidR="00AC3F44" w:rsidRPr="003C5388">
        <w:rPr>
          <w:rFonts w:ascii="Palatino Linotype" w:hAnsi="Palatino Linotype"/>
          <w:b/>
          <w:color w:val="000000"/>
        </w:rPr>
        <w:t xml:space="preserve"> </w:t>
      </w:r>
    </w:p>
    <w:p w14:paraId="0E3F6B3C" w14:textId="29FDB416" w:rsidR="009E2AFB" w:rsidRPr="003C5388" w:rsidRDefault="00AC3F44" w:rsidP="009E2AFB">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3C5388">
        <w:rPr>
          <w:rFonts w:ascii="Palatino Linotype" w:hAnsi="Palatino Linotype" w:cs="Tahoma"/>
          <w:lang w:val="es-MX"/>
        </w:rPr>
        <w:t>Con base en todo lo expuesto, y toda vez que</w:t>
      </w:r>
      <w:r w:rsidR="00BF25D8" w:rsidRPr="003C5388">
        <w:rPr>
          <w:rFonts w:ascii="Palatino Linotype" w:hAnsi="Palatino Linotype" w:cs="Tahoma"/>
          <w:lang w:val="es-MX"/>
        </w:rPr>
        <w:t xml:space="preserve"> los requerimientos realizados corresponden a un trámite especifico</w:t>
      </w:r>
      <w:r w:rsidRPr="003C5388">
        <w:rPr>
          <w:rFonts w:ascii="Palatino Linotype" w:hAnsi="Palatino Linotype" w:cs="Tahoma"/>
          <w:lang w:val="es-MX"/>
        </w:rPr>
        <w:t>, con fundamento en el artículo 186, fracción I, en relación con la fracción I</w:t>
      </w:r>
      <w:r w:rsidR="00DA559F" w:rsidRPr="003C5388">
        <w:rPr>
          <w:rFonts w:ascii="Palatino Linotype" w:hAnsi="Palatino Linotype" w:cs="Tahoma"/>
          <w:lang w:val="es-MX"/>
        </w:rPr>
        <w:t>V</w:t>
      </w:r>
      <w:r w:rsidRPr="003C5388">
        <w:rPr>
          <w:rFonts w:ascii="Palatino Linotype" w:hAnsi="Palatino Linotype" w:cs="Tahoma"/>
          <w:lang w:val="es-MX"/>
        </w:rPr>
        <w:t xml:space="preserve"> del artículo 192 de la Ley de Transparencia y Acceso a la Información Pública del Estado de México y Municipios, este Instituto considera procedente </w:t>
      </w:r>
      <w:r w:rsidRPr="003C5388">
        <w:rPr>
          <w:rFonts w:ascii="Palatino Linotype" w:hAnsi="Palatino Linotype" w:cs="Tahoma"/>
          <w:b/>
          <w:lang w:val="es-MX"/>
        </w:rPr>
        <w:t xml:space="preserve">SOBRESEER </w:t>
      </w:r>
      <w:r w:rsidRPr="003C5388">
        <w:rPr>
          <w:rFonts w:ascii="Palatino Linotype" w:hAnsi="Palatino Linotype" w:cs="Tahoma"/>
          <w:lang w:val="es-MX"/>
        </w:rPr>
        <w:t>el presente recurso de revisión.</w:t>
      </w:r>
      <w:r w:rsidRPr="003C5388">
        <w:rPr>
          <w:rFonts w:ascii="Palatino Linotype" w:hAnsi="Palatino Linotype" w:cs="Tahoma"/>
          <w:b/>
          <w:lang w:val="es-MX"/>
        </w:rPr>
        <w:t xml:space="preserve"> </w:t>
      </w:r>
    </w:p>
    <w:p w14:paraId="4B94FF77" w14:textId="48317E76" w:rsidR="00AC3F44" w:rsidRPr="003C5388" w:rsidRDefault="00AC3F44" w:rsidP="00FF1C38">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3C5388">
        <w:rPr>
          <w:rFonts w:ascii="Palatino Linotype" w:hAnsi="Palatino Linotype" w:cs="Arial"/>
          <w:color w:val="000000"/>
          <w:lang w:val="es-ES_tradnl"/>
        </w:rPr>
        <w:t xml:space="preserve">Por lo anteriormente expuesto y fundado, este </w:t>
      </w:r>
      <w:r w:rsidRPr="003C5388">
        <w:rPr>
          <w:rFonts w:ascii="Palatino Linotype" w:hAnsi="Palatino Linotype" w:cs="Arial"/>
          <w:b/>
          <w:color w:val="000000"/>
          <w:lang w:val="es-ES_tradnl"/>
        </w:rPr>
        <w:t>ÓRGANO GARANTE</w:t>
      </w:r>
      <w:r w:rsidRPr="003C5388">
        <w:rPr>
          <w:rFonts w:ascii="Palatino Linotype" w:hAnsi="Palatino Linotype" w:cs="Arial"/>
          <w:color w:val="000000"/>
          <w:lang w:val="es-ES_tradnl"/>
        </w:rPr>
        <w:t xml:space="preserve"> emite los siguientes: -----------------------------------------------------------------------------------------------</w:t>
      </w:r>
    </w:p>
    <w:p w14:paraId="45E9BD5D" w14:textId="578B6B80" w:rsidR="00AC3F44" w:rsidRPr="003C5388" w:rsidRDefault="007F7B11" w:rsidP="00FF1C38">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49" w:name="_Toc100171635"/>
      <w:r w:rsidRPr="003C5388">
        <w:rPr>
          <w:rFonts w:ascii="Palatino Linotype" w:eastAsiaTheme="majorEastAsia" w:hAnsi="Palatino Linotype" w:cstheme="majorBidi"/>
          <w:b/>
          <w:color w:val="000000" w:themeColor="text1"/>
          <w:lang w:val="es-MX" w:eastAsia="en-US"/>
        </w:rPr>
        <w:t>R E S O L U T I V O S</w:t>
      </w:r>
      <w:bookmarkEnd w:id="37"/>
      <w:bookmarkEnd w:id="38"/>
      <w:bookmarkEnd w:id="39"/>
      <w:bookmarkEnd w:id="40"/>
      <w:bookmarkEnd w:id="49"/>
    </w:p>
    <w:p w14:paraId="33133D55" w14:textId="2B419026" w:rsidR="0083265B" w:rsidRPr="003C5388" w:rsidRDefault="0083265B" w:rsidP="0083265B">
      <w:pPr>
        <w:spacing w:before="240" w:after="240" w:line="360" w:lineRule="auto"/>
        <w:ind w:right="49"/>
        <w:jc w:val="both"/>
        <w:rPr>
          <w:rFonts w:ascii="Palatino Linotype" w:eastAsia="MS Gothic" w:hAnsi="Palatino Linotype"/>
          <w:b/>
          <w:lang w:val="es-MX" w:eastAsia="en-US"/>
        </w:rPr>
      </w:pPr>
      <w:r w:rsidRPr="003C5388">
        <w:rPr>
          <w:rFonts w:ascii="Palatino Linotype" w:eastAsia="MS Gothic" w:hAnsi="Palatino Linotype"/>
          <w:b/>
          <w:lang w:val="es-MX" w:eastAsia="en-US"/>
        </w:rPr>
        <w:t xml:space="preserve">PRIMERO. </w:t>
      </w:r>
      <w:r w:rsidRPr="003C5388">
        <w:rPr>
          <w:rFonts w:ascii="Palatino Linotype" w:eastAsia="MS Gothic" w:hAnsi="Palatino Linotype"/>
          <w:lang w:val="es-MX" w:eastAsia="en-US"/>
        </w:rPr>
        <w:t xml:space="preserve">Se </w:t>
      </w:r>
      <w:r w:rsidRPr="003C5388">
        <w:rPr>
          <w:rFonts w:ascii="Palatino Linotype" w:eastAsia="MS Gothic" w:hAnsi="Palatino Linotype"/>
          <w:b/>
          <w:lang w:val="es-MX" w:eastAsia="en-US"/>
        </w:rPr>
        <w:t>SOBRESEE</w:t>
      </w:r>
      <w:r w:rsidRPr="003C5388">
        <w:rPr>
          <w:rFonts w:ascii="Palatino Linotype" w:eastAsia="MS Gothic" w:hAnsi="Palatino Linotype"/>
          <w:lang w:val="es-MX" w:eastAsia="en-US"/>
        </w:rPr>
        <w:t xml:space="preserve"> el recurso de revisión número </w:t>
      </w:r>
      <w:r w:rsidRPr="003C5388">
        <w:rPr>
          <w:rFonts w:ascii="Palatino Linotype" w:eastAsia="MS Gothic" w:hAnsi="Palatino Linotype"/>
          <w:b/>
          <w:lang w:val="es-MX" w:eastAsia="en-US"/>
        </w:rPr>
        <w:t>01103/INFOEM/IP/RR/2022</w:t>
      </w:r>
      <w:r w:rsidRPr="003C5388">
        <w:rPr>
          <w:rFonts w:ascii="Palatino Linotype" w:eastAsia="MS Gothic" w:hAnsi="Palatino Linotype"/>
          <w:lang w:val="es-MX" w:eastAsia="en-US"/>
        </w:rPr>
        <w:t xml:space="preserve"> en razón de que, una vez admitido apareció una causal de improcedencia que lo dejó sin materia en términos del Considerando </w:t>
      </w:r>
      <w:r w:rsidRPr="003C5388">
        <w:rPr>
          <w:rFonts w:ascii="Palatino Linotype" w:eastAsia="MS Gothic" w:hAnsi="Palatino Linotype"/>
          <w:b/>
          <w:lang w:val="es-MX" w:eastAsia="en-US"/>
        </w:rPr>
        <w:t xml:space="preserve">TERCERO </w:t>
      </w:r>
      <w:r w:rsidRPr="003C5388">
        <w:rPr>
          <w:rFonts w:ascii="Palatino Linotype" w:eastAsia="MS Gothic" w:hAnsi="Palatino Linotype"/>
          <w:lang w:val="es-MX" w:eastAsia="en-US"/>
        </w:rPr>
        <w:t>de la presente resolución.</w:t>
      </w:r>
      <w:r w:rsidRPr="003C5388">
        <w:rPr>
          <w:rFonts w:ascii="Palatino Linotype" w:eastAsia="MS Gothic" w:hAnsi="Palatino Linotype"/>
          <w:b/>
          <w:lang w:val="es-MX" w:eastAsia="en-US"/>
        </w:rPr>
        <w:t xml:space="preserve">    </w:t>
      </w:r>
    </w:p>
    <w:p w14:paraId="0CB15780" w14:textId="7F879806" w:rsidR="0083265B" w:rsidRPr="003C5388" w:rsidRDefault="0083265B" w:rsidP="0083265B">
      <w:pPr>
        <w:spacing w:before="240" w:after="240" w:line="360" w:lineRule="auto"/>
        <w:ind w:right="49"/>
        <w:jc w:val="both"/>
        <w:rPr>
          <w:rFonts w:ascii="Palatino Linotype" w:eastAsia="MS Gothic" w:hAnsi="Palatino Linotype"/>
          <w:b/>
          <w:lang w:val="es-MX" w:eastAsia="en-US"/>
        </w:rPr>
      </w:pPr>
      <w:r w:rsidRPr="003C5388">
        <w:rPr>
          <w:rFonts w:ascii="Palatino Linotype" w:eastAsia="MS Gothic" w:hAnsi="Palatino Linotype"/>
          <w:b/>
          <w:lang w:val="es-MX" w:eastAsia="en-US"/>
        </w:rPr>
        <w:t xml:space="preserve">SEGUNDO. </w:t>
      </w:r>
      <w:r w:rsidRPr="003C5388">
        <w:rPr>
          <w:rFonts w:ascii="Palatino Linotype" w:eastAsia="MS Gothic" w:hAnsi="Palatino Linotype"/>
          <w:lang w:val="es-MX" w:eastAsia="en-US"/>
        </w:rPr>
        <w:t xml:space="preserve">Notifíquese a través del Sistema de Acceso a la Información Mexiquense </w:t>
      </w:r>
      <w:r w:rsidRPr="003C5388">
        <w:rPr>
          <w:rFonts w:ascii="Palatino Linotype" w:eastAsia="MS Gothic" w:hAnsi="Palatino Linotype"/>
          <w:b/>
          <w:lang w:val="es-MX" w:eastAsia="en-US"/>
        </w:rPr>
        <w:t>(SAIMEX)</w:t>
      </w:r>
      <w:r w:rsidRPr="003C5388">
        <w:rPr>
          <w:rFonts w:ascii="Palatino Linotype" w:eastAsia="MS Gothic" w:hAnsi="Palatino Linotype"/>
          <w:lang w:val="es-MX" w:eastAsia="en-US"/>
        </w:rPr>
        <w:t xml:space="preserve"> la presente resolución a la Titular de la Unidad de Transparencia del </w:t>
      </w:r>
      <w:r w:rsidRPr="003C5388">
        <w:rPr>
          <w:rFonts w:ascii="Palatino Linotype" w:eastAsia="MS Gothic" w:hAnsi="Palatino Linotype"/>
          <w:b/>
          <w:lang w:val="es-MX" w:eastAsia="en-US"/>
        </w:rPr>
        <w:t xml:space="preserve">SUJETO OBLIGADO. </w:t>
      </w:r>
    </w:p>
    <w:p w14:paraId="0A7676E9" w14:textId="77777777" w:rsidR="0083265B" w:rsidRPr="003C5388" w:rsidRDefault="0083265B" w:rsidP="0083265B">
      <w:pPr>
        <w:spacing w:before="240" w:after="240" w:line="360" w:lineRule="auto"/>
        <w:ind w:right="49"/>
        <w:jc w:val="both"/>
        <w:rPr>
          <w:rFonts w:ascii="Palatino Linotype" w:eastAsia="MS Gothic" w:hAnsi="Palatino Linotype"/>
          <w:b/>
          <w:lang w:val="es-MX" w:eastAsia="en-US"/>
        </w:rPr>
      </w:pPr>
      <w:r w:rsidRPr="003C5388">
        <w:rPr>
          <w:rFonts w:ascii="Palatino Linotype" w:eastAsia="MS Gothic" w:hAnsi="Palatino Linotype"/>
          <w:b/>
          <w:lang w:val="es-MX" w:eastAsia="en-US"/>
        </w:rPr>
        <w:t xml:space="preserve">TERCERO. </w:t>
      </w:r>
      <w:r w:rsidRPr="003C5388">
        <w:rPr>
          <w:rFonts w:ascii="Palatino Linotype" w:eastAsia="MS Gothic" w:hAnsi="Palatino Linotype"/>
          <w:lang w:val="es-MX" w:eastAsia="en-US"/>
        </w:rPr>
        <w:t xml:space="preserve">Notifíquese al </w:t>
      </w:r>
      <w:r w:rsidRPr="003C5388">
        <w:rPr>
          <w:rFonts w:ascii="Palatino Linotype" w:eastAsia="MS Gothic" w:hAnsi="Palatino Linotype"/>
          <w:b/>
          <w:lang w:val="es-MX" w:eastAsia="en-US"/>
        </w:rPr>
        <w:t>RECURRENTE</w:t>
      </w:r>
      <w:r w:rsidRPr="003C5388">
        <w:rPr>
          <w:rFonts w:ascii="Palatino Linotype" w:eastAsia="MS Gothic" w:hAnsi="Palatino Linotype"/>
          <w:lang w:val="es-MX" w:eastAsia="en-US"/>
        </w:rPr>
        <w:t xml:space="preserve"> a través del Sistema de Acceso a la Información Mexiquense </w:t>
      </w:r>
      <w:r w:rsidRPr="003C5388">
        <w:rPr>
          <w:rFonts w:ascii="Palatino Linotype" w:eastAsia="MS Gothic" w:hAnsi="Palatino Linotype"/>
          <w:b/>
          <w:lang w:val="es-MX" w:eastAsia="en-US"/>
        </w:rPr>
        <w:t>(SAIMEX)</w:t>
      </w:r>
      <w:r w:rsidRPr="003C5388">
        <w:rPr>
          <w:rFonts w:ascii="Palatino Linotype" w:eastAsia="MS Gothic" w:hAnsi="Palatino Linotype"/>
          <w:lang w:val="es-MX" w:eastAsia="en-US"/>
        </w:rPr>
        <w:t xml:space="preserve"> la presente resolución.</w:t>
      </w:r>
    </w:p>
    <w:p w14:paraId="7DBC7EF7" w14:textId="77777777" w:rsidR="0083265B" w:rsidRPr="003C5388" w:rsidRDefault="0083265B" w:rsidP="0083265B">
      <w:pPr>
        <w:spacing w:before="240" w:after="240" w:line="360" w:lineRule="auto"/>
        <w:ind w:right="49"/>
        <w:jc w:val="both"/>
        <w:rPr>
          <w:rFonts w:ascii="Palatino Linotype" w:eastAsia="MS Gothic" w:hAnsi="Palatino Linotype"/>
          <w:b/>
          <w:lang w:val="es-MX" w:eastAsia="en-US"/>
        </w:rPr>
      </w:pPr>
    </w:p>
    <w:p w14:paraId="4B099C0F" w14:textId="230EB1F5" w:rsidR="0083265B" w:rsidRPr="003C5388" w:rsidRDefault="0083265B" w:rsidP="0083265B">
      <w:pPr>
        <w:spacing w:before="240" w:after="240" w:line="360" w:lineRule="auto"/>
        <w:ind w:right="49"/>
        <w:jc w:val="both"/>
        <w:rPr>
          <w:rFonts w:ascii="Palatino Linotype" w:eastAsia="MS Gothic" w:hAnsi="Palatino Linotype"/>
          <w:b/>
          <w:lang w:val="es-MX" w:eastAsia="en-US"/>
        </w:rPr>
      </w:pPr>
      <w:r w:rsidRPr="003C5388">
        <w:rPr>
          <w:rFonts w:ascii="Palatino Linotype" w:eastAsia="MS Gothic" w:hAnsi="Palatino Linotype"/>
          <w:b/>
          <w:lang w:val="es-MX" w:eastAsia="en-US"/>
        </w:rPr>
        <w:lastRenderedPageBreak/>
        <w:t xml:space="preserve">CUARTO. </w:t>
      </w:r>
      <w:r w:rsidRPr="003C5388">
        <w:rPr>
          <w:rFonts w:ascii="Palatino Linotype" w:eastAsia="MS Gothic" w:hAnsi="Palatino Linotype"/>
          <w:lang w:val="es-MX" w:eastAsia="en-US"/>
        </w:rPr>
        <w:t xml:space="preserve">Se hace del conocimiento del </w:t>
      </w:r>
      <w:r w:rsidRPr="003C5388">
        <w:rPr>
          <w:rFonts w:ascii="Palatino Linotype" w:eastAsia="MS Gothic" w:hAnsi="Palatino Linotype"/>
          <w:b/>
          <w:lang w:val="es-MX" w:eastAsia="en-US"/>
        </w:rPr>
        <w:t xml:space="preserve">RECURRENTE </w:t>
      </w:r>
      <w:r w:rsidRPr="003C5388">
        <w:rPr>
          <w:rFonts w:ascii="Palatino Linotype" w:eastAsia="MS Gothic" w:hAnsi="Palatino Linotype"/>
          <w:lang w:val="es-MX"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3C5388">
        <w:rPr>
          <w:rFonts w:ascii="Palatino Linotype" w:eastAsia="MS Gothic" w:hAnsi="Palatino Linotype"/>
          <w:b/>
          <w:lang w:val="es-MX" w:eastAsia="en-US"/>
        </w:rPr>
        <w:t>.</w:t>
      </w:r>
    </w:p>
    <w:p w14:paraId="13396F4D" w14:textId="044973CB" w:rsidR="0083265B" w:rsidRPr="003C5388" w:rsidRDefault="0083265B" w:rsidP="0083265B">
      <w:pPr>
        <w:spacing w:before="240" w:after="240" w:line="360" w:lineRule="auto"/>
        <w:ind w:right="49"/>
        <w:jc w:val="both"/>
        <w:rPr>
          <w:rFonts w:ascii="Palatino Linotype" w:eastAsia="MS Gothic" w:hAnsi="Palatino Linotype"/>
          <w:b/>
          <w:lang w:val="es-MX" w:eastAsia="en-US"/>
        </w:rPr>
      </w:pPr>
      <w:r w:rsidRPr="003C5388">
        <w:rPr>
          <w:rFonts w:ascii="Palatino Linotype" w:eastAsia="MS Gothic" w:hAnsi="Palatino Linotype"/>
          <w:b/>
          <w:lang w:val="es-MX" w:eastAsia="en-US"/>
        </w:rPr>
        <w:t xml:space="preserve">QUINTO. </w:t>
      </w:r>
      <w:r w:rsidRPr="003C5388">
        <w:rPr>
          <w:rFonts w:ascii="Palatino Linotype" w:eastAsia="MS Gothic" w:hAnsi="Palatino Linotype"/>
          <w:lang w:val="es-MX" w:eastAsia="en-U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w:t>
      </w:r>
      <w:r w:rsidRPr="003C5388">
        <w:rPr>
          <w:rFonts w:ascii="Palatino Linotype" w:eastAsia="MS Gothic" w:hAnsi="Palatino Linotype"/>
          <w:b/>
          <w:lang w:val="es-MX" w:eastAsia="en-US"/>
        </w:rPr>
        <w:t xml:space="preserve"> Considerando </w:t>
      </w:r>
      <w:r w:rsidRPr="003C5388">
        <w:rPr>
          <w:rFonts w:ascii="Palatino Linotype" w:eastAsia="MS Gothic" w:hAnsi="Palatino Linotype"/>
          <w:b/>
          <w:lang w:val="es-MX" w:eastAsia="en-US"/>
        </w:rPr>
        <w:br/>
        <w:t>QUINTO.</w:t>
      </w:r>
    </w:p>
    <w:p w14:paraId="4D07FA54" w14:textId="77777777" w:rsidR="003C5388" w:rsidRPr="00624AAD" w:rsidRDefault="003C5388" w:rsidP="003C5388">
      <w:pPr>
        <w:spacing w:before="240" w:after="240" w:line="360" w:lineRule="auto"/>
        <w:ind w:firstLine="1"/>
        <w:jc w:val="both"/>
        <w:rPr>
          <w:rFonts w:ascii="Palatino Linotype" w:hAnsi="Palatino Linotype"/>
        </w:rPr>
      </w:pPr>
      <w:bookmarkStart w:id="50" w:name="_Hlk99014733"/>
      <w:r w:rsidRPr="003C53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bookmarkStart w:id="51" w:name="_GoBack"/>
      <w:bookmarkEnd w:id="51"/>
      <w:r w:rsidRPr="00624AAD">
        <w:rPr>
          <w:rFonts w:ascii="Palatino Linotype" w:hAnsi="Palatino Linotype"/>
        </w:rPr>
        <w:t xml:space="preserve"> </w:t>
      </w:r>
    </w:p>
    <w:bookmarkEnd w:id="50"/>
    <w:p w14:paraId="12BBE650" w14:textId="77777777" w:rsidR="007F7B11" w:rsidRPr="000A2051" w:rsidRDefault="007F7B11" w:rsidP="00FF1C38">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0A2051" w:rsidRDefault="00090DE6" w:rsidP="00FF1C38">
      <w:pPr>
        <w:spacing w:line="360" w:lineRule="auto"/>
        <w:rPr>
          <w:rFonts w:ascii="Palatino Linotype" w:hAnsi="Palatino Linotype"/>
        </w:rPr>
      </w:pPr>
    </w:p>
    <w:sectPr w:rsidR="00090DE6" w:rsidRPr="000A2051"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4B6D0" w14:textId="77777777" w:rsidR="003509D5" w:rsidRDefault="003509D5" w:rsidP="00C80F8C">
      <w:r>
        <w:separator/>
      </w:r>
    </w:p>
  </w:endnote>
  <w:endnote w:type="continuationSeparator" w:id="0">
    <w:p w14:paraId="4B12F808" w14:textId="77777777" w:rsidR="003509D5" w:rsidRDefault="003509D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48B8A33" w:rsidR="00D879AC" w:rsidRPr="00817AAB" w:rsidRDefault="00D879AC"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C5388">
      <w:rPr>
        <w:rFonts w:ascii="Palatino Linotype" w:hAnsi="Palatino Linotype" w:cs="Arial"/>
        <w:b/>
        <w:bCs/>
        <w:noProof/>
      </w:rPr>
      <w:t>24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C5388">
      <w:rPr>
        <w:rFonts w:ascii="Palatino Linotype" w:hAnsi="Palatino Linotype" w:cs="Arial"/>
        <w:b/>
        <w:bCs/>
        <w:noProof/>
      </w:rPr>
      <w:t>29</w:t>
    </w:r>
    <w:r w:rsidRPr="00817AAB">
      <w:rPr>
        <w:rFonts w:ascii="Palatino Linotype" w:hAnsi="Palatino Linotype" w:cs="Arial"/>
        <w:b/>
        <w:bCs/>
      </w:rPr>
      <w:fldChar w:fldCharType="end"/>
    </w:r>
  </w:p>
  <w:p w14:paraId="1192A578" w14:textId="77777777" w:rsidR="00D879AC" w:rsidRDefault="00D879AC" w:rsidP="00935A0D">
    <w:pPr>
      <w:pStyle w:val="Piedepgina"/>
      <w:rPr>
        <w:rFonts w:ascii="Times New Roman" w:hAnsi="Times New Roman" w:cs="Times New Roman"/>
      </w:rPr>
    </w:pPr>
  </w:p>
  <w:p w14:paraId="14A770F8" w14:textId="77777777" w:rsidR="00D879AC" w:rsidRDefault="00D879A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0121BE5" w:rsidR="00D879AC" w:rsidRDefault="00D879A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C538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C5388">
      <w:rPr>
        <w:rFonts w:ascii="Arial" w:hAnsi="Arial" w:cs="Arial"/>
        <w:b/>
        <w:bCs/>
        <w:noProof/>
        <w:sz w:val="20"/>
        <w:szCs w:val="20"/>
      </w:rPr>
      <w:t>29</w:t>
    </w:r>
    <w:r>
      <w:rPr>
        <w:rFonts w:ascii="Arial" w:hAnsi="Arial" w:cs="Arial"/>
        <w:b/>
        <w:bCs/>
        <w:sz w:val="20"/>
        <w:szCs w:val="20"/>
      </w:rPr>
      <w:fldChar w:fldCharType="end"/>
    </w:r>
  </w:p>
  <w:p w14:paraId="5D98ABD5" w14:textId="77777777" w:rsidR="00D879AC" w:rsidRDefault="00D879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CB3B7" w14:textId="77777777" w:rsidR="003509D5" w:rsidRDefault="003509D5" w:rsidP="00C80F8C">
      <w:r>
        <w:separator/>
      </w:r>
    </w:p>
  </w:footnote>
  <w:footnote w:type="continuationSeparator" w:id="0">
    <w:p w14:paraId="65F63BF2" w14:textId="77777777" w:rsidR="003509D5" w:rsidRDefault="003509D5" w:rsidP="00C80F8C">
      <w:r>
        <w:continuationSeparator/>
      </w:r>
    </w:p>
  </w:footnote>
  <w:footnote w:id="1">
    <w:p w14:paraId="570BD258" w14:textId="77777777" w:rsidR="00D879AC" w:rsidRDefault="00D879AC" w:rsidP="00064592">
      <w:pPr>
        <w:pStyle w:val="Textonotapie"/>
      </w:pPr>
      <w:r>
        <w:rPr>
          <w:rStyle w:val="Refdenotaalpie"/>
        </w:rPr>
        <w:footnoteRef/>
      </w:r>
      <w:r>
        <w:t xml:space="preserve"> Convención Americana sobre Derechos Humanos. Artículo 13.</w:t>
      </w:r>
    </w:p>
  </w:footnote>
  <w:footnote w:id="2">
    <w:p w14:paraId="7B9157A0" w14:textId="77777777" w:rsidR="00D879AC" w:rsidRDefault="00D879AC" w:rsidP="00064592">
      <w:pPr>
        <w:pStyle w:val="Textonotapie"/>
      </w:pPr>
      <w:r>
        <w:rPr>
          <w:rStyle w:val="Refdenotaalpie"/>
        </w:rPr>
        <w:footnoteRef/>
      </w:r>
      <w:r>
        <w:t xml:space="preserve"> Constitución Política de los Estados Unidos Mexicanos. Artículo sexto, sección A, fracción I.</w:t>
      </w:r>
    </w:p>
  </w:footnote>
  <w:footnote w:id="3">
    <w:p w14:paraId="11DB9747" w14:textId="77777777" w:rsidR="00D879AC" w:rsidRDefault="00D879AC" w:rsidP="0006459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04745E7" w14:textId="77777777" w:rsidR="00D879AC" w:rsidRDefault="00D879AC" w:rsidP="00064592">
      <w:pPr>
        <w:pStyle w:val="Textonotapie"/>
      </w:pPr>
      <w:r>
        <w:rPr>
          <w:rStyle w:val="Refdenotaalpie"/>
        </w:rPr>
        <w:footnoteRef/>
      </w:r>
      <w:r>
        <w:t xml:space="preserve"> Ibídem. </w:t>
      </w:r>
      <w:proofErr w:type="spellStart"/>
      <w:r>
        <w:t>Parr</w:t>
      </w:r>
      <w:proofErr w:type="spellEnd"/>
      <w:r>
        <w:t>. 87.</w:t>
      </w:r>
    </w:p>
  </w:footnote>
  <w:footnote w:id="5">
    <w:p w14:paraId="5BDDE36E" w14:textId="77777777" w:rsidR="00D879AC" w:rsidRDefault="00D879AC" w:rsidP="002A2F95">
      <w:pPr>
        <w:pStyle w:val="Textonotapie"/>
        <w:rPr>
          <w:lang w:val="es-ES"/>
        </w:rPr>
      </w:pPr>
      <w:r>
        <w:rPr>
          <w:rStyle w:val="Refdenotaalpie"/>
        </w:rPr>
        <w:footnoteRef/>
      </w:r>
      <w:r>
        <w:t xml:space="preserve"> </w:t>
      </w:r>
      <w:r w:rsidRPr="00BF25D8">
        <w:rPr>
          <w:lang w:val="es-ES"/>
        </w:rPr>
        <w:t>Artículo 192. El recurso será sobreseído, en todo o en parte, cuando una vez admitido, se actualicen</w:t>
      </w:r>
      <w:r w:rsidRPr="00BF25D8">
        <w:rPr>
          <w:rFonts w:ascii="Times New Roman" w:eastAsia="Times New Roman" w:hAnsi="Times New Roman" w:cs="Times New Roman"/>
          <w:sz w:val="24"/>
          <w:szCs w:val="24"/>
          <w:lang w:val="es-ES" w:eastAsia="es-ES"/>
        </w:rPr>
        <w:t xml:space="preserve"> </w:t>
      </w:r>
      <w:r w:rsidRPr="00BF25D8">
        <w:rPr>
          <w:lang w:val="es-ES"/>
        </w:rPr>
        <w:t>alguno de los siguientes supuestos:</w:t>
      </w:r>
    </w:p>
    <w:p w14:paraId="6A6ACDD9" w14:textId="77777777" w:rsidR="00D879AC" w:rsidRDefault="00D879AC" w:rsidP="002A2F95">
      <w:pPr>
        <w:pStyle w:val="Textonotapie"/>
        <w:rPr>
          <w:lang w:val="es-ES"/>
        </w:rPr>
      </w:pPr>
    </w:p>
    <w:p w14:paraId="1E67E456" w14:textId="77777777" w:rsidR="00D879AC" w:rsidRDefault="00D879AC" w:rsidP="002A2F95">
      <w:pPr>
        <w:pStyle w:val="Textonotapie"/>
        <w:rPr>
          <w:lang w:val="es-ES"/>
        </w:rPr>
      </w:pPr>
      <w:r>
        <w:rPr>
          <w:lang w:val="es-ES"/>
        </w:rPr>
        <w:t>(…)</w:t>
      </w:r>
    </w:p>
    <w:p w14:paraId="12AF7D4E" w14:textId="77777777" w:rsidR="00D879AC" w:rsidRDefault="00D879AC" w:rsidP="002A2F95">
      <w:pPr>
        <w:pStyle w:val="Textonotapie"/>
        <w:rPr>
          <w:lang w:val="es-ES"/>
        </w:rPr>
      </w:pPr>
      <w:r w:rsidRPr="00BF25D8">
        <w:rPr>
          <w:lang w:val="es-ES"/>
        </w:rPr>
        <w:t>IV. Admitido el recurso de revisión, aparezca alguna causal de improcedencia en los términos de la presente Ley; y</w:t>
      </w:r>
    </w:p>
    <w:p w14:paraId="7166C671" w14:textId="77777777" w:rsidR="00D879AC" w:rsidRPr="00BF25D8" w:rsidRDefault="00D879AC" w:rsidP="002A2F95">
      <w:pPr>
        <w:pStyle w:val="Textonotapie"/>
        <w:rPr>
          <w:lang w:val="es-ES"/>
        </w:rPr>
      </w:pPr>
      <w:r>
        <w:rPr>
          <w:lang w:val="es-ES"/>
        </w:rPr>
        <w:t>(…)</w:t>
      </w:r>
    </w:p>
  </w:footnote>
  <w:footnote w:id="6">
    <w:p w14:paraId="2CF021F5" w14:textId="77777777" w:rsidR="00D879AC" w:rsidRDefault="00D879AC" w:rsidP="00D879AC">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879AC" w14:paraId="6B4E3B81" w14:textId="77777777" w:rsidTr="00B4299A">
      <w:tc>
        <w:tcPr>
          <w:tcW w:w="2701" w:type="dxa"/>
          <w:vAlign w:val="center"/>
          <w:hideMark/>
        </w:tcPr>
        <w:p w14:paraId="0ABBC6C0" w14:textId="1226DAAF" w:rsidR="00D879AC" w:rsidRPr="00B4299A" w:rsidRDefault="00D879AC"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CC1C587" w:rsidR="00D879AC" w:rsidRPr="00B4299A" w:rsidRDefault="00D879AC" w:rsidP="006E011A">
          <w:pPr>
            <w:rPr>
              <w:rFonts w:ascii="Palatino Linotype" w:hAnsi="Palatino Linotype"/>
              <w:b/>
              <w:szCs w:val="22"/>
              <w:lang w:val="es-ES_tradnl"/>
            </w:rPr>
          </w:pPr>
          <w:r w:rsidRPr="00160B22">
            <w:rPr>
              <w:rFonts w:ascii="Palatino Linotype" w:hAnsi="Palatino Linotype"/>
              <w:b/>
              <w:szCs w:val="22"/>
              <w:lang w:val="es-ES_tradnl"/>
            </w:rPr>
            <w:t>01103/INFOEM/IP/RR/2022</w:t>
          </w:r>
        </w:p>
      </w:tc>
    </w:tr>
    <w:tr w:rsidR="00D879AC" w14:paraId="31CB780F" w14:textId="77777777" w:rsidTr="00B4299A">
      <w:trPr>
        <w:trHeight w:val="228"/>
      </w:trPr>
      <w:tc>
        <w:tcPr>
          <w:tcW w:w="2701" w:type="dxa"/>
          <w:vAlign w:val="center"/>
          <w:hideMark/>
        </w:tcPr>
        <w:p w14:paraId="4F49CB4A" w14:textId="6966D32E" w:rsidR="00D879AC" w:rsidRPr="00B4299A" w:rsidRDefault="00D879AC"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06C93DD" w:rsidR="00D879AC" w:rsidRPr="00B4299A" w:rsidRDefault="00D879AC" w:rsidP="00E176F9">
          <w:pPr>
            <w:jc w:val="both"/>
            <w:rPr>
              <w:rFonts w:ascii="Palatino Linotype" w:hAnsi="Palatino Linotype"/>
              <w:b/>
              <w:szCs w:val="22"/>
              <w:lang w:val="es-ES_tradnl"/>
            </w:rPr>
          </w:pPr>
          <w:r>
            <w:rPr>
              <w:rFonts w:ascii="Palatino Linotype" w:hAnsi="Palatino Linotype"/>
              <w:b/>
              <w:szCs w:val="22"/>
              <w:lang w:val="es-ES_tradnl"/>
            </w:rPr>
            <w:t xml:space="preserve">Ayuntamiento de Teoloyucan </w:t>
          </w:r>
        </w:p>
      </w:tc>
    </w:tr>
    <w:tr w:rsidR="00D879AC" w14:paraId="69050F56" w14:textId="77777777" w:rsidTr="00B4299A">
      <w:tc>
        <w:tcPr>
          <w:tcW w:w="2701" w:type="dxa"/>
          <w:vAlign w:val="center"/>
          <w:hideMark/>
        </w:tcPr>
        <w:p w14:paraId="65C9B735" w14:textId="75C78F81" w:rsidR="00D879AC" w:rsidRPr="00B4299A" w:rsidRDefault="00D879AC"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879AC" w:rsidRPr="00B4299A" w:rsidRDefault="00D879AC"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879AC" w:rsidRDefault="00D879A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879AC" w:rsidRDefault="00D879A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879AC" w:rsidRDefault="00D879AC"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879AC" w14:paraId="477E149B" w14:textId="77777777" w:rsidTr="00CB57FD">
      <w:trPr>
        <w:trHeight w:val="277"/>
      </w:trPr>
      <w:tc>
        <w:tcPr>
          <w:tcW w:w="2693" w:type="dxa"/>
          <w:vAlign w:val="center"/>
          <w:hideMark/>
        </w:tcPr>
        <w:p w14:paraId="5C0586E4" w14:textId="77777777" w:rsidR="00D879AC" w:rsidRPr="009B3353" w:rsidRDefault="00D879AC"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B8B50C4" w:rsidR="00D879AC" w:rsidRPr="009B3353" w:rsidRDefault="00D879AC" w:rsidP="00761460">
          <w:pPr>
            <w:rPr>
              <w:rFonts w:ascii="Palatino Linotype" w:hAnsi="Palatino Linotype"/>
              <w:b/>
              <w:szCs w:val="22"/>
              <w:lang w:val="es-ES_tradnl"/>
            </w:rPr>
          </w:pPr>
          <w:r w:rsidRPr="00160B22">
            <w:rPr>
              <w:rFonts w:ascii="Palatino Linotype" w:hAnsi="Palatino Linotype"/>
              <w:b/>
              <w:szCs w:val="22"/>
              <w:lang w:val="es-ES_tradnl"/>
            </w:rPr>
            <w:t>01103/INFOEM/IP/RR/2022</w:t>
          </w:r>
        </w:p>
      </w:tc>
    </w:tr>
    <w:tr w:rsidR="00D879AC" w14:paraId="5B5BE21C" w14:textId="77777777" w:rsidTr="00CB57FD">
      <w:tc>
        <w:tcPr>
          <w:tcW w:w="2693" w:type="dxa"/>
          <w:vAlign w:val="center"/>
          <w:hideMark/>
        </w:tcPr>
        <w:p w14:paraId="4AE96902" w14:textId="4E063913" w:rsidR="00D879AC" w:rsidRPr="009B3353" w:rsidRDefault="00D879AC"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0E0A3AB" w:rsidR="00D879AC" w:rsidRPr="009B3353" w:rsidRDefault="00D879AC"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D879AC" w14:paraId="22601A11" w14:textId="77777777" w:rsidTr="00CB57FD">
      <w:trPr>
        <w:trHeight w:val="228"/>
      </w:trPr>
      <w:tc>
        <w:tcPr>
          <w:tcW w:w="2693" w:type="dxa"/>
          <w:vAlign w:val="center"/>
          <w:hideMark/>
        </w:tcPr>
        <w:p w14:paraId="6EFE221D" w14:textId="49C5F800" w:rsidR="00D879AC" w:rsidRPr="009B3353" w:rsidRDefault="00D879AC"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77DA942" w:rsidR="00D879AC" w:rsidRPr="009B3353" w:rsidRDefault="00D879AC" w:rsidP="007F7B11">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Ayuntamiento de Teoloyucan</w:t>
          </w:r>
        </w:p>
      </w:tc>
    </w:tr>
    <w:tr w:rsidR="00D879AC" w14:paraId="2D6C630E" w14:textId="77777777" w:rsidTr="00CB57FD">
      <w:tc>
        <w:tcPr>
          <w:tcW w:w="2693" w:type="dxa"/>
          <w:vAlign w:val="center"/>
          <w:hideMark/>
        </w:tcPr>
        <w:p w14:paraId="5BD4C6DB" w14:textId="7CF21504" w:rsidR="00D879AC" w:rsidRPr="009B3353" w:rsidRDefault="00D879AC"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879AC" w:rsidRPr="009B3353" w:rsidRDefault="00D879AC"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879AC" w:rsidRDefault="00D879A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29706C3"/>
    <w:multiLevelType w:val="hybridMultilevel"/>
    <w:tmpl w:val="EFF2AA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3">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5475B5"/>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B2423D"/>
    <w:multiLevelType w:val="hybridMultilevel"/>
    <w:tmpl w:val="D354D23E"/>
    <w:lvl w:ilvl="0" w:tplc="252A300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1"/>
  </w:num>
  <w:num w:numId="2">
    <w:abstractNumId w:val="9"/>
  </w:num>
  <w:num w:numId="3">
    <w:abstractNumId w:val="34"/>
  </w:num>
  <w:num w:numId="4">
    <w:abstractNumId w:val="33"/>
  </w:num>
  <w:num w:numId="5">
    <w:abstractNumId w:val="31"/>
  </w:num>
  <w:num w:numId="6">
    <w:abstractNumId w:val="8"/>
  </w:num>
  <w:num w:numId="7">
    <w:abstractNumId w:val="12"/>
  </w:num>
  <w:num w:numId="8">
    <w:abstractNumId w:val="25"/>
  </w:num>
  <w:num w:numId="9">
    <w:abstractNumId w:val="23"/>
  </w:num>
  <w:num w:numId="10">
    <w:abstractNumId w:val="6"/>
  </w:num>
  <w:num w:numId="11">
    <w:abstractNumId w:val="4"/>
  </w:num>
  <w:num w:numId="12">
    <w:abstractNumId w:val="15"/>
  </w:num>
  <w:num w:numId="13">
    <w:abstractNumId w:val="21"/>
  </w:num>
  <w:num w:numId="14">
    <w:abstractNumId w:val="2"/>
  </w:num>
  <w:num w:numId="15">
    <w:abstractNumId w:val="10"/>
  </w:num>
  <w:num w:numId="16">
    <w:abstractNumId w:val="7"/>
  </w:num>
  <w:num w:numId="17">
    <w:abstractNumId w:val="17"/>
  </w:num>
  <w:num w:numId="18">
    <w:abstractNumId w:val="5"/>
  </w:num>
  <w:num w:numId="19">
    <w:abstractNumId w:val="36"/>
  </w:num>
  <w:num w:numId="20">
    <w:abstractNumId w:val="27"/>
  </w:num>
  <w:num w:numId="21">
    <w:abstractNumId w:val="32"/>
  </w:num>
  <w:num w:numId="22">
    <w:abstractNumId w:val="18"/>
  </w:num>
  <w:num w:numId="23">
    <w:abstractNumId w:val="24"/>
  </w:num>
  <w:num w:numId="24">
    <w:abstractNumId w:val="22"/>
  </w:num>
  <w:num w:numId="25">
    <w:abstractNumId w:val="26"/>
  </w:num>
  <w:num w:numId="26">
    <w:abstractNumId w:val="28"/>
  </w:num>
  <w:num w:numId="27">
    <w:abstractNumId w:val="13"/>
  </w:num>
  <w:num w:numId="28">
    <w:abstractNumId w:val="29"/>
  </w:num>
  <w:num w:numId="29">
    <w:abstractNumId w:val="35"/>
  </w:num>
  <w:num w:numId="30">
    <w:abstractNumId w:val="3"/>
  </w:num>
  <w:num w:numId="31">
    <w:abstractNumId w:val="38"/>
  </w:num>
  <w:num w:numId="32">
    <w:abstractNumId w:val="16"/>
  </w:num>
  <w:num w:numId="33">
    <w:abstractNumId w:val="20"/>
  </w:num>
  <w:num w:numId="34">
    <w:abstractNumId w:val="0"/>
  </w:num>
  <w:num w:numId="35">
    <w:abstractNumId w:val="1"/>
  </w:num>
  <w:num w:numId="36">
    <w:abstractNumId w:val="37"/>
  </w:num>
  <w:num w:numId="37">
    <w:abstractNumId w:val="14"/>
  </w:num>
  <w:num w:numId="38">
    <w:abstractNumId w:val="30"/>
  </w:num>
  <w:num w:numId="3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67BD"/>
    <w:rsid w:val="00017BE1"/>
    <w:rsid w:val="00020869"/>
    <w:rsid w:val="00020A18"/>
    <w:rsid w:val="00021E5D"/>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592"/>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051"/>
    <w:rsid w:val="000A261A"/>
    <w:rsid w:val="000A351A"/>
    <w:rsid w:val="000A3A51"/>
    <w:rsid w:val="000A4EC4"/>
    <w:rsid w:val="000A515A"/>
    <w:rsid w:val="000A577A"/>
    <w:rsid w:val="000A5B28"/>
    <w:rsid w:val="000A6205"/>
    <w:rsid w:val="000A63B9"/>
    <w:rsid w:val="000A6651"/>
    <w:rsid w:val="000A6CEB"/>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337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C65"/>
    <w:rsid w:val="00111D7F"/>
    <w:rsid w:val="00112892"/>
    <w:rsid w:val="00112B9F"/>
    <w:rsid w:val="00113C54"/>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B22"/>
    <w:rsid w:val="00160E43"/>
    <w:rsid w:val="00161160"/>
    <w:rsid w:val="00161B66"/>
    <w:rsid w:val="00161FC4"/>
    <w:rsid w:val="00162CA1"/>
    <w:rsid w:val="00163B98"/>
    <w:rsid w:val="00164BD1"/>
    <w:rsid w:val="00165138"/>
    <w:rsid w:val="001654FA"/>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5AFD"/>
    <w:rsid w:val="001F6D50"/>
    <w:rsid w:val="0020054B"/>
    <w:rsid w:val="00201271"/>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37998"/>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2F95"/>
    <w:rsid w:val="002A3A7A"/>
    <w:rsid w:val="002A43B0"/>
    <w:rsid w:val="002A5EA5"/>
    <w:rsid w:val="002A6A41"/>
    <w:rsid w:val="002A6CC7"/>
    <w:rsid w:val="002A75D4"/>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ABA"/>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CBD"/>
    <w:rsid w:val="00345D3E"/>
    <w:rsid w:val="00346090"/>
    <w:rsid w:val="00347274"/>
    <w:rsid w:val="0034736C"/>
    <w:rsid w:val="00347F1F"/>
    <w:rsid w:val="003509D5"/>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5EAA"/>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388"/>
    <w:rsid w:val="003C5460"/>
    <w:rsid w:val="003C55F5"/>
    <w:rsid w:val="003C5A54"/>
    <w:rsid w:val="003C5B34"/>
    <w:rsid w:val="003C5BCA"/>
    <w:rsid w:val="003C689A"/>
    <w:rsid w:val="003C741C"/>
    <w:rsid w:val="003D0889"/>
    <w:rsid w:val="003D1883"/>
    <w:rsid w:val="003D18A4"/>
    <w:rsid w:val="003D1DF9"/>
    <w:rsid w:val="003D1E19"/>
    <w:rsid w:val="003D1ED1"/>
    <w:rsid w:val="003D2138"/>
    <w:rsid w:val="003D25A4"/>
    <w:rsid w:val="003D30A5"/>
    <w:rsid w:val="003D489B"/>
    <w:rsid w:val="003D48A3"/>
    <w:rsid w:val="003D5101"/>
    <w:rsid w:val="003D548E"/>
    <w:rsid w:val="003D61B0"/>
    <w:rsid w:val="003E0A67"/>
    <w:rsid w:val="003E0BFB"/>
    <w:rsid w:val="003E132A"/>
    <w:rsid w:val="003E1576"/>
    <w:rsid w:val="003E2BBF"/>
    <w:rsid w:val="003E504E"/>
    <w:rsid w:val="003E5DB7"/>
    <w:rsid w:val="003E5F18"/>
    <w:rsid w:val="003E6A2E"/>
    <w:rsid w:val="003E6D0E"/>
    <w:rsid w:val="003F09F0"/>
    <w:rsid w:val="003F0CD4"/>
    <w:rsid w:val="003F13CB"/>
    <w:rsid w:val="003F2BA9"/>
    <w:rsid w:val="003F3041"/>
    <w:rsid w:val="003F3A6C"/>
    <w:rsid w:val="003F52C2"/>
    <w:rsid w:val="003F5411"/>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5F9"/>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4274"/>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3AE7"/>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089A"/>
    <w:rsid w:val="005B112F"/>
    <w:rsid w:val="005B1FED"/>
    <w:rsid w:val="005B2F33"/>
    <w:rsid w:val="005B334D"/>
    <w:rsid w:val="005B3671"/>
    <w:rsid w:val="005B3B62"/>
    <w:rsid w:val="005B3D93"/>
    <w:rsid w:val="005B52FE"/>
    <w:rsid w:val="005B6938"/>
    <w:rsid w:val="005B6F32"/>
    <w:rsid w:val="005B7350"/>
    <w:rsid w:val="005C0E6F"/>
    <w:rsid w:val="005C1AA4"/>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C"/>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081"/>
    <w:rsid w:val="00727F24"/>
    <w:rsid w:val="0073002B"/>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52F2"/>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5FB"/>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009"/>
    <w:rsid w:val="00807739"/>
    <w:rsid w:val="0080791A"/>
    <w:rsid w:val="008100C2"/>
    <w:rsid w:val="00810A48"/>
    <w:rsid w:val="00811637"/>
    <w:rsid w:val="00813533"/>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65B"/>
    <w:rsid w:val="0083296F"/>
    <w:rsid w:val="00832DF8"/>
    <w:rsid w:val="008331EF"/>
    <w:rsid w:val="00833271"/>
    <w:rsid w:val="00833584"/>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BC1"/>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0DC"/>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A59"/>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779"/>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AFB"/>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BD5"/>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62F"/>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25D8"/>
    <w:rsid w:val="00BF330A"/>
    <w:rsid w:val="00BF42CF"/>
    <w:rsid w:val="00BF469C"/>
    <w:rsid w:val="00BF685A"/>
    <w:rsid w:val="00BF6B39"/>
    <w:rsid w:val="00C0076A"/>
    <w:rsid w:val="00C010CF"/>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BF5"/>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3C"/>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57C1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6DD"/>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6884"/>
    <w:rsid w:val="00CC77E3"/>
    <w:rsid w:val="00CD0985"/>
    <w:rsid w:val="00CD2AE3"/>
    <w:rsid w:val="00CD3F4F"/>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9AC"/>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59F"/>
    <w:rsid w:val="00DA5781"/>
    <w:rsid w:val="00DA5868"/>
    <w:rsid w:val="00DA63C9"/>
    <w:rsid w:val="00DA6B83"/>
    <w:rsid w:val="00DA6E68"/>
    <w:rsid w:val="00DB00B2"/>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2AAF"/>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034"/>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CFE"/>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0C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E72FB"/>
    <w:rsid w:val="00EF00D9"/>
    <w:rsid w:val="00EF079E"/>
    <w:rsid w:val="00EF07E6"/>
    <w:rsid w:val="00EF0E89"/>
    <w:rsid w:val="00EF157E"/>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ABD"/>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C13"/>
    <w:rsid w:val="00F567A8"/>
    <w:rsid w:val="00F572C0"/>
    <w:rsid w:val="00F574F8"/>
    <w:rsid w:val="00F576E4"/>
    <w:rsid w:val="00F600F2"/>
    <w:rsid w:val="00F6065B"/>
    <w:rsid w:val="00F62E09"/>
    <w:rsid w:val="00F635F7"/>
    <w:rsid w:val="00F63C1F"/>
    <w:rsid w:val="00F6662F"/>
    <w:rsid w:val="00F66E12"/>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1C38"/>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034392">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5629949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676507">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56893.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63F25-19DE-4B3F-8915-18F3AAE7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5672</Words>
  <Characters>31199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2021-10-06T19:46:00Z</cp:lastPrinted>
  <dcterms:created xsi:type="dcterms:W3CDTF">2022-04-19T19:57:00Z</dcterms:created>
  <dcterms:modified xsi:type="dcterms:W3CDTF">2022-04-20T18:21:00Z</dcterms:modified>
</cp:coreProperties>
</file>