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D7CB50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3141B8">
        <w:rPr>
          <w:rFonts w:ascii="Palatino Linotype" w:eastAsia="Palatino Linotype" w:hAnsi="Palatino Linotype" w:cs="Palatino Linotype"/>
          <w:color w:val="000000"/>
          <w:sz w:val="24"/>
          <w:szCs w:val="24"/>
          <w:lang w:val="es-ES_tradnl"/>
        </w:rPr>
        <w:t>veintiuno</w:t>
      </w:r>
      <w:r w:rsidR="00CB2BD2">
        <w:rPr>
          <w:rFonts w:ascii="Palatino Linotype" w:eastAsia="Palatino Linotype" w:hAnsi="Palatino Linotype" w:cs="Palatino Linotype"/>
          <w:color w:val="000000"/>
          <w:sz w:val="24"/>
          <w:szCs w:val="24"/>
          <w:lang w:val="es-ES_tradnl"/>
        </w:rPr>
        <w:t xml:space="preserve"> de junio de dos mil veintidós.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618A5E" w14:textId="582D57CC" w:rsidR="00C00092" w:rsidRPr="00C0009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CB2BD2">
        <w:rPr>
          <w:rFonts w:ascii="Palatino Linotype" w:eastAsia="Palatino Linotype" w:hAnsi="Palatino Linotype" w:cs="Palatino Linotype"/>
          <w:b/>
          <w:color w:val="000000"/>
          <w:sz w:val="24"/>
          <w:szCs w:val="24"/>
          <w:lang w:val="es-ES_tradnl"/>
        </w:rPr>
        <w:t>8775</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C00092">
        <w:rPr>
          <w:rFonts w:ascii="Palatino Linotype" w:eastAsia="Palatino Linotype" w:hAnsi="Palatino Linotype" w:cs="Palatino Linotype"/>
          <w:color w:val="000000"/>
          <w:sz w:val="24"/>
          <w:szCs w:val="24"/>
          <w:lang w:val="es-ES_tradnl"/>
        </w:rPr>
        <w:t xml:space="preserve">un particular, en lo sucesivo </w:t>
      </w:r>
      <w:r w:rsidR="00C00092">
        <w:rPr>
          <w:rFonts w:ascii="Palatino Linotype" w:eastAsia="Palatino Linotype" w:hAnsi="Palatino Linotype" w:cs="Palatino Linotype"/>
          <w:b/>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en contra de la falta de respuesta del </w:t>
      </w:r>
      <w:r w:rsidR="00C00092">
        <w:rPr>
          <w:rFonts w:ascii="Palatino Linotype" w:eastAsia="Palatino Linotype" w:hAnsi="Palatino Linotype" w:cs="Palatino Linotype"/>
          <w:b/>
          <w:color w:val="000000"/>
          <w:sz w:val="24"/>
          <w:szCs w:val="24"/>
          <w:lang w:val="es-ES_tradnl"/>
        </w:rPr>
        <w:t xml:space="preserve">Ayuntamiento de Ixtapaluca, </w:t>
      </w:r>
      <w:r w:rsidR="00C00092">
        <w:rPr>
          <w:rFonts w:ascii="Palatino Linotype" w:eastAsia="Palatino Linotype" w:hAnsi="Palatino Linotype" w:cs="Palatino Linotype"/>
          <w:color w:val="000000"/>
          <w:sz w:val="24"/>
          <w:szCs w:val="24"/>
          <w:lang w:val="es-ES_tradnl"/>
        </w:rPr>
        <w:t xml:space="preserve">en lo subsecuente </w:t>
      </w:r>
      <w:r w:rsidR="00C00092">
        <w:rPr>
          <w:rFonts w:ascii="Palatino Linotype" w:eastAsia="Palatino Linotype" w:hAnsi="Palatino Linotype" w:cs="Palatino Linotype"/>
          <w:b/>
          <w:color w:val="000000"/>
          <w:sz w:val="24"/>
          <w:szCs w:val="24"/>
          <w:lang w:val="es-ES_tradnl"/>
        </w:rPr>
        <w:t xml:space="preserve">El Sujeto Obligado, </w:t>
      </w:r>
      <w:r w:rsidR="00C00092">
        <w:rPr>
          <w:rFonts w:ascii="Palatino Linotype" w:eastAsia="Palatino Linotype" w:hAnsi="Palatino Linotype" w:cs="Palatino Linotype"/>
          <w:color w:val="000000"/>
          <w:sz w:val="24"/>
          <w:szCs w:val="24"/>
          <w:lang w:val="es-ES_tradnl"/>
        </w:rPr>
        <w:t xml:space="preserve">se procede a dictar la presente resolución. </w:t>
      </w:r>
    </w:p>
    <w:p w14:paraId="140386FA" w14:textId="77777777" w:rsidR="00C00092" w:rsidRDefault="00C0009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0DF7788D" w14:textId="26B80638" w:rsidR="00CB2BD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CB2BD2">
        <w:rPr>
          <w:rFonts w:ascii="Palatino Linotype" w:eastAsia="Palatino Linotype" w:hAnsi="Palatino Linotype" w:cs="Palatino Linotype"/>
          <w:color w:val="000000"/>
          <w:sz w:val="24"/>
          <w:szCs w:val="24"/>
          <w:lang w:val="es-ES_tradnl"/>
        </w:rPr>
        <w:t xml:space="preserve">cinco de abril de dos mil veintidós, </w:t>
      </w:r>
      <w:r w:rsidR="00CB2BD2">
        <w:rPr>
          <w:rFonts w:ascii="Palatino Linotype" w:eastAsia="Palatino Linotype" w:hAnsi="Palatino Linotype" w:cs="Palatino Linotype"/>
          <w:b/>
          <w:color w:val="000000"/>
          <w:sz w:val="24"/>
          <w:szCs w:val="24"/>
          <w:lang w:val="es-ES_tradnl"/>
        </w:rPr>
        <w:t xml:space="preserve">El Recurrente </w:t>
      </w:r>
      <w:r w:rsidR="00CB2BD2"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B2BD2">
        <w:rPr>
          <w:rFonts w:ascii="Palatino Linotype" w:eastAsia="Palatino Linotype" w:hAnsi="Palatino Linotype" w:cs="Palatino Linotype"/>
          <w:b/>
          <w:color w:val="000000"/>
          <w:sz w:val="24"/>
          <w:szCs w:val="24"/>
          <w:lang w:val="es-ES_tradnl"/>
        </w:rPr>
        <w:t>E</w:t>
      </w:r>
      <w:r w:rsidR="00CB2BD2" w:rsidRPr="00C00092">
        <w:rPr>
          <w:rFonts w:ascii="Palatino Linotype" w:eastAsia="Palatino Linotype" w:hAnsi="Palatino Linotype" w:cs="Palatino Linotype"/>
          <w:b/>
          <w:color w:val="000000"/>
          <w:sz w:val="24"/>
          <w:szCs w:val="24"/>
          <w:lang w:val="es-ES_tradnl"/>
        </w:rPr>
        <w:t>l Sujeto Obligado,</w:t>
      </w:r>
      <w:r w:rsidR="00CB2BD2"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CB2BD2">
        <w:rPr>
          <w:rFonts w:ascii="Palatino Linotype" w:eastAsia="Palatino Linotype" w:hAnsi="Palatino Linotype" w:cs="Palatino Linotype"/>
          <w:color w:val="000000"/>
          <w:sz w:val="24"/>
          <w:szCs w:val="24"/>
          <w:lang w:val="es-ES_tradnl"/>
        </w:rPr>
        <w:t xml:space="preserve"> </w:t>
      </w:r>
      <w:r w:rsidR="00CB2BD2">
        <w:rPr>
          <w:rFonts w:ascii="Palatino Linotype" w:eastAsia="Palatino Linotype" w:hAnsi="Palatino Linotype" w:cs="Palatino Linotype"/>
          <w:b/>
          <w:bCs/>
          <w:color w:val="000000"/>
          <w:sz w:val="24"/>
          <w:szCs w:val="24"/>
          <w:lang w:val="es-ES_tradnl"/>
        </w:rPr>
        <w:t xml:space="preserve">00115/IXTAPALU/IP/2022, </w:t>
      </w:r>
      <w:r w:rsidR="00CB2BD2">
        <w:rPr>
          <w:rFonts w:ascii="Palatino Linotype" w:eastAsia="Palatino Linotype" w:hAnsi="Palatino Linotype" w:cs="Palatino Linotype"/>
          <w:color w:val="000000"/>
          <w:sz w:val="24"/>
          <w:szCs w:val="24"/>
          <w:lang w:val="es-ES_tradnl"/>
        </w:rPr>
        <w:t>mediante la cual solicitó información en el tenor siguiente:</w:t>
      </w:r>
    </w:p>
    <w:p w14:paraId="7CD358B3" w14:textId="621F231B" w:rsidR="00CB2BD2" w:rsidRPr="00A63D64" w:rsidRDefault="00A63D64" w:rsidP="00A63D64">
      <w:pPr>
        <w:pStyle w:val="INFOEM"/>
        <w:rPr>
          <w:rFonts w:eastAsia="Palatino Linotype" w:cs="Palatino Linotype"/>
          <w:b/>
          <w:bCs/>
          <w:sz w:val="24"/>
          <w:szCs w:val="24"/>
          <w:lang w:val="es-ES_tradnl"/>
        </w:rPr>
      </w:pPr>
      <w:r>
        <w:t xml:space="preserve">“1. ¿Se cuenta con un sistema propio de recaudación? Especificar generalidades del mismo 2. ¿Se cuenta con registros actualizados de predial y </w:t>
      </w:r>
      <w:proofErr w:type="spellStart"/>
      <w:r>
        <w:t>cuando</w:t>
      </w:r>
      <w:proofErr w:type="spellEnd"/>
      <w:r>
        <w:t xml:space="preserve">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w:t>
      </w:r>
      <w:r>
        <w:lastRenderedPageBreak/>
        <w:t>comportamiento de los 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w:t>
      </w:r>
      <w:proofErr w:type="gramStart"/>
      <w:r>
        <w:t>?</w:t>
      </w:r>
      <w:proofErr w:type="gramEnd"/>
      <w:r>
        <w:t xml:space="preserve"> 12. ¿Qué porcentaje de su presupuesto total es destinado al pago de deuda? 13. ¿Cuál es el nivel de deuda, plazos y apalancamiento financiero?” </w:t>
      </w:r>
      <w:r>
        <w:rPr>
          <w:b/>
          <w:bCs/>
        </w:rPr>
        <w:t>(Sic)</w:t>
      </w: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7826FD0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00092" w:rsidRPr="00C00092">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A42D465" w14:textId="77777777" w:rsidR="003A4DB8" w:rsidRDefault="003A4DB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bookmarkStart w:id="0" w:name="_GoBack"/>
      <w:bookmarkEnd w:id="0"/>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1B7B6556" w14:textId="78DDA849" w:rsidR="00A63D64" w:rsidRPr="00A63D64"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fecha </w:t>
      </w:r>
      <w:r w:rsidR="00A63D64">
        <w:rPr>
          <w:rFonts w:ascii="Palatino Linotype" w:eastAsia="Palatino Linotype" w:hAnsi="Palatino Linotype" w:cs="Palatino Linotype"/>
          <w:color w:val="000000"/>
          <w:sz w:val="24"/>
          <w:szCs w:val="24"/>
          <w:lang w:val="es-ES_tradnl"/>
        </w:rPr>
        <w:t xml:space="preserve">veintitrés de mayo de dos mil veintidós, </w:t>
      </w:r>
      <w:r w:rsidR="00A63D64">
        <w:rPr>
          <w:rFonts w:ascii="Palatino Linotype" w:eastAsia="Palatino Linotype" w:hAnsi="Palatino Linotype" w:cs="Palatino Linotype"/>
          <w:b/>
          <w:color w:val="000000"/>
          <w:sz w:val="24"/>
          <w:szCs w:val="24"/>
          <w:lang w:val="es-ES_tradnl"/>
        </w:rPr>
        <w:t xml:space="preserve">El Recurrente </w:t>
      </w:r>
      <w:r w:rsidR="00A63D64">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A63D64">
        <w:rPr>
          <w:rFonts w:ascii="Palatino Linotype" w:eastAsia="Palatino Linotype" w:hAnsi="Palatino Linotype" w:cs="Palatino Linotype"/>
          <w:b/>
          <w:color w:val="000000"/>
          <w:sz w:val="24"/>
          <w:szCs w:val="24"/>
          <w:lang w:val="es-ES_tradnl"/>
        </w:rPr>
        <w:t xml:space="preserve">SAIMEX </w:t>
      </w:r>
      <w:r w:rsidR="00A63D64">
        <w:rPr>
          <w:rFonts w:ascii="Palatino Linotype" w:eastAsia="Palatino Linotype" w:hAnsi="Palatino Linotype" w:cs="Palatino Linotype"/>
          <w:color w:val="000000"/>
          <w:sz w:val="24"/>
          <w:szCs w:val="24"/>
          <w:lang w:val="es-ES_tradnl"/>
        </w:rPr>
        <w:t xml:space="preserve">con el expediente número </w:t>
      </w:r>
      <w:r w:rsidR="00A63D64">
        <w:rPr>
          <w:rFonts w:ascii="Palatino Linotype" w:eastAsia="Palatino Linotype" w:hAnsi="Palatino Linotype" w:cs="Palatino Linotype"/>
          <w:b/>
          <w:bCs/>
          <w:color w:val="000000"/>
          <w:sz w:val="24"/>
          <w:szCs w:val="24"/>
          <w:lang w:val="es-ES_tradnl"/>
        </w:rPr>
        <w:t xml:space="preserve">08775/INFOEM/IP/RR/2022, </w:t>
      </w:r>
      <w:r w:rsidR="00A63D64">
        <w:rPr>
          <w:rFonts w:ascii="Palatino Linotype" w:eastAsia="Palatino Linotype" w:hAnsi="Palatino Linotype" w:cs="Palatino Linotype"/>
          <w:color w:val="000000"/>
          <w:sz w:val="24"/>
          <w:szCs w:val="24"/>
          <w:lang w:val="es-ES_tradnl"/>
        </w:rPr>
        <w:t>manifestando lo siguiente”</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5FEB0D49" w:rsidR="00C00092" w:rsidRPr="00C00092" w:rsidRDefault="00C00092" w:rsidP="00C00092">
      <w:pPr>
        <w:pStyle w:val="INFOEM"/>
        <w:rPr>
          <w:rFonts w:eastAsia="Palatino Linotype" w:cs="Palatino Linotype"/>
          <w:b/>
          <w:sz w:val="24"/>
          <w:szCs w:val="24"/>
          <w:lang w:val="es-ES_tradnl"/>
        </w:rPr>
      </w:pPr>
      <w:r w:rsidRPr="00A63D64">
        <w:t>“</w:t>
      </w:r>
      <w:r w:rsidR="00A63D64" w:rsidRPr="00A63D64">
        <w:t>El H. Ayuntamiento de Ixtapaluca no entregó la información requerida en la solicitud con folio 00115/IXTAPALU/IP/2022</w:t>
      </w:r>
      <w:r w:rsidRPr="00A63D64">
        <w:t>”</w:t>
      </w:r>
      <w:r>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3BAB6964" w:rsidR="00BE7F8D" w:rsidRPr="00C00092" w:rsidRDefault="00C00092" w:rsidP="00C00092">
      <w:pPr>
        <w:pStyle w:val="INFOEM"/>
        <w:rPr>
          <w:rFonts w:eastAsia="Palatino Linotype" w:cs="Palatino Linotype"/>
          <w:b/>
          <w:sz w:val="24"/>
          <w:szCs w:val="24"/>
          <w:lang w:val="es-ES_tradnl"/>
        </w:rPr>
      </w:pPr>
      <w:r w:rsidRPr="00A63D64">
        <w:t>“</w:t>
      </w:r>
      <w:r w:rsidR="00A63D64" w:rsidRPr="00A63D64">
        <w:t xml:space="preserve">Por este medio, presento mi inconformidad en relación a la solicitud con folio 00115/IXTAPALU/IP/2022, en contra del Ayuntamiento de Ixtapaluca. Ello, pues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límite de respuesta 03/05/2022; por ello, conforme a lo que establece el artículo 166 en su párrafo cuarto de la ley anteriormente citada: "Cuando el sujeto obligado no entregue la respuesta a la solicitud dentro del plazo previsto en la Ley, la solicitud se entenderá negada y el solicitante podrá interponer el recurso de revisión previsto en este ordenamiento." Esto, aunado con el artículo 179 en su fracción VII señala como una causa para presentar un recurso de </w:t>
      </w:r>
      <w:r w:rsidR="00A63D64" w:rsidRPr="00A63D64">
        <w:lastRenderedPageBreak/>
        <w:t>revisión la falta en los plazos establecidos por la ley. Lo anterior, a fin de que el Instituto instruya al sujeto obligado a entregar la información solicitada.</w:t>
      </w:r>
      <w:r w:rsidRPr="00A63D64">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74BCA3B4"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 xml:space="preserve">que en fecha </w:t>
      </w:r>
      <w:r w:rsidR="00A63D64">
        <w:rPr>
          <w:rFonts w:ascii="Palatino Linotype" w:eastAsia="Palatino Linotype" w:hAnsi="Palatino Linotype" w:cs="Palatino Linotype"/>
          <w:color w:val="000000"/>
          <w:sz w:val="24"/>
          <w:szCs w:val="24"/>
          <w:lang w:val="es-ES_tradnl"/>
        </w:rPr>
        <w:t>veintisiete de mayo</w:t>
      </w:r>
      <w:r w:rsidR="00C00092">
        <w:rPr>
          <w:rFonts w:ascii="Palatino Linotype" w:eastAsia="Palatino Linotype" w:hAnsi="Palatino Linotype" w:cs="Palatino Linotype"/>
          <w:color w:val="000000"/>
          <w:sz w:val="24"/>
          <w:szCs w:val="24"/>
          <w:lang w:val="es-ES_tradnl"/>
        </w:rPr>
        <w:t xml:space="preserve"> de dos mil veintidós, </w:t>
      </w:r>
      <w:r w:rsidRPr="00883102">
        <w:rPr>
          <w:rFonts w:ascii="Palatino Linotype" w:eastAsia="Palatino Linotype" w:hAnsi="Palatino Linotype" w:cs="Palatino Linotype"/>
          <w:color w:val="000000"/>
          <w:sz w:val="24"/>
          <w:szCs w:val="24"/>
          <w:lang w:val="es-ES_tradnl"/>
        </w:rPr>
        <w:t>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77777777"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F2B84BB" w14:textId="48883089" w:rsidR="00C00092" w:rsidRDefault="00C00092" w:rsidP="00C000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63D64">
        <w:rPr>
          <w:rFonts w:ascii="Palatino Linotype" w:hAnsi="Palatino Linotype" w:cs="Arial"/>
          <w:b/>
          <w:sz w:val="24"/>
          <w:szCs w:val="24"/>
        </w:rPr>
        <w:t>catorce de junio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7C9775C" w14:textId="77777777"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C87F557"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070A2B4D" w14:textId="77777777" w:rsidR="00C00092" w:rsidRDefault="00C00092" w:rsidP="00C0009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C2BD51B"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89B4620"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7DE00E1"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AD4ADFA"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C231B6C"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9DFE2A3"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06705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B108D5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50C788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A79FA4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3484AC59"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0D4B1B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AB29C16" w14:textId="77777777" w:rsidR="00C00092" w:rsidRPr="009B74C2" w:rsidRDefault="00C00092" w:rsidP="00C0009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11AD355" w14:textId="77777777" w:rsidR="00C00092" w:rsidRPr="00187D70" w:rsidRDefault="00C00092" w:rsidP="00C0009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2A2777" w14:textId="77777777" w:rsidR="00C00092" w:rsidRDefault="00C00092" w:rsidP="00C0009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538D3EC" w14:textId="77777777" w:rsidR="00C00092" w:rsidRPr="009B74C2" w:rsidRDefault="00C00092" w:rsidP="00C00092">
      <w:pPr>
        <w:spacing w:before="240" w:line="360" w:lineRule="auto"/>
        <w:ind w:left="851" w:right="851"/>
        <w:jc w:val="both"/>
        <w:rPr>
          <w:rFonts w:ascii="Palatino Linotype" w:hAnsi="Palatino Linotype" w:cs="Arial"/>
          <w:b/>
          <w:i/>
          <w:lang w:val="es-ES" w:eastAsia="es-ES"/>
        </w:rPr>
      </w:pPr>
    </w:p>
    <w:p w14:paraId="502700D1" w14:textId="77777777" w:rsidR="00C00092" w:rsidRDefault="00C00092" w:rsidP="00C0009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hAnsi="Palatino Linotype" w:cs="Times New Roman"/>
          <w:sz w:val="24"/>
          <w:szCs w:val="24"/>
          <w:lang w:val="es-ES" w:eastAsia="es-ES"/>
        </w:rPr>
        <w:lastRenderedPageBreak/>
        <w:t xml:space="preserve">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35723FA"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10BDD53"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36992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9DA15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6436756"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2E03B4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F4E5E45"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C834A3E" w14:textId="77777777" w:rsidR="00C0009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2B92982"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747A3BDC"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0576CBF"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4F39EC0"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DEA8B"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BB923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DE518E8"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F9365A"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7BA6EBC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DAFAC9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77C4C4E"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88426D" w14:textId="77777777" w:rsidR="00C00092" w:rsidRPr="009B74C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4690D43" w14:textId="77777777" w:rsidR="00C00092" w:rsidRDefault="00C00092" w:rsidP="00C00092">
      <w:pPr>
        <w:spacing w:after="0" w:line="360" w:lineRule="auto"/>
        <w:jc w:val="both"/>
        <w:rPr>
          <w:rFonts w:ascii="Palatino Linotype" w:eastAsia="Times New Roman" w:hAnsi="Palatino Linotype" w:cs="Times New Roman"/>
          <w:sz w:val="24"/>
          <w:szCs w:val="24"/>
          <w:lang w:val="es-ES" w:eastAsia="es-ES"/>
        </w:rPr>
      </w:pPr>
    </w:p>
    <w:p w14:paraId="5D2EAFFC"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3223EE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hAnsi="Palatino Linotype" w:cs="Times New Roman"/>
          <w:i/>
          <w:lang w:val="es-ES" w:eastAsia="es-ES"/>
        </w:rPr>
        <w:lastRenderedPageBreak/>
        <w:t>cuyo ejercicio no podrá restringirse ni suspenderse, salvo en los casos y bajo las condiciones que esta Constitución establece.</w:t>
      </w:r>
    </w:p>
    <w:p w14:paraId="33D4BE8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39EE066"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1134CE0"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p>
    <w:p w14:paraId="5C78DA1B" w14:textId="77777777" w:rsidR="00C00092" w:rsidRDefault="00C00092" w:rsidP="00C0009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FAF9BC6"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0EF7E99A"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794070EC" w14:textId="1BC4A5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6EA2DB5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E02DA3" w14:textId="794612C2" w:rsidR="00DE3512" w:rsidRPr="00883102" w:rsidRDefault="00C00092" w:rsidP="00C00092">
      <w:pPr>
        <w:pStyle w:val="INFOEM"/>
        <w:rPr>
          <w:lang w:val="es-ES_tradnl"/>
        </w:rPr>
      </w:pPr>
      <w:r>
        <w:rPr>
          <w:b/>
          <w:lang w:val="es-ES_tradnl"/>
        </w:rPr>
        <w:t>“</w:t>
      </w:r>
      <w:r w:rsidR="00DE3512" w:rsidRPr="00883102">
        <w:rPr>
          <w:b/>
          <w:lang w:val="es-ES_tradnl"/>
        </w:rPr>
        <w:t>Artículo 4.</w:t>
      </w:r>
      <w:r w:rsidR="00DE3512"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D899D0" w14:textId="77777777" w:rsidR="00DE3512" w:rsidRPr="00883102" w:rsidRDefault="00DE3512" w:rsidP="00C00092">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43661" w14:textId="77777777" w:rsidR="00DE3512" w:rsidRPr="00883102" w:rsidRDefault="00DE3512" w:rsidP="00C00092">
      <w:pPr>
        <w:pStyle w:val="INFOEM"/>
        <w:rPr>
          <w:lang w:val="es-ES_tradnl"/>
        </w:rPr>
      </w:pPr>
      <w:r w:rsidRPr="00883102">
        <w:rPr>
          <w:lang w:val="es-ES_tradnl"/>
        </w:rPr>
        <w:lastRenderedPageBreak/>
        <w:t>Los sujetos obligados deben poner en práctica, políticas y programas de acceso a la información que se apeguen a criterios de publicidad, veracidad, oportunidad, precisión y suficiencia en beneficio de los solicitantes.</w:t>
      </w:r>
    </w:p>
    <w:p w14:paraId="79EC60CD" w14:textId="77777777" w:rsidR="00DE3512" w:rsidRPr="00883102" w:rsidRDefault="00DE3512" w:rsidP="00C00092">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51ED37E8" w14:textId="77777777" w:rsidR="00DE3512" w:rsidRPr="00883102" w:rsidRDefault="00DE3512" w:rsidP="00C00092">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C00092">
      <w:pPr>
        <w:pStyle w:val="INFOEM"/>
        <w:rPr>
          <w:lang w:val="es-ES_tradnl"/>
        </w:rPr>
      </w:pPr>
      <w:r w:rsidRPr="00883102">
        <w:rPr>
          <w:lang w:val="es-ES_tradnl"/>
        </w:rPr>
        <w:t>(…)</w:t>
      </w:r>
    </w:p>
    <w:p w14:paraId="0E2F6367" w14:textId="77777777" w:rsidR="00DE3512" w:rsidRPr="00883102" w:rsidRDefault="00DE3512" w:rsidP="00C00092">
      <w:pPr>
        <w:pStyle w:val="INFOEM"/>
        <w:rPr>
          <w:b/>
          <w:lang w:val="es-ES_tradnl"/>
        </w:rPr>
      </w:pPr>
      <w:r w:rsidRPr="00883102">
        <w:rPr>
          <w:b/>
          <w:lang w:val="es-ES_tradnl"/>
        </w:rPr>
        <w:t xml:space="preserve">Artículo 24. </w:t>
      </w:r>
    </w:p>
    <w:p w14:paraId="4B052D26" w14:textId="77777777" w:rsidR="00DE3512" w:rsidRPr="00883102" w:rsidRDefault="00DE3512" w:rsidP="00C00092">
      <w:pPr>
        <w:pStyle w:val="INFOEM"/>
        <w:rPr>
          <w:lang w:val="es-ES_tradnl"/>
        </w:rPr>
      </w:pPr>
      <w:r w:rsidRPr="00883102">
        <w:rPr>
          <w:lang w:val="es-ES_tradnl"/>
        </w:rPr>
        <w:t>(…)</w:t>
      </w:r>
    </w:p>
    <w:p w14:paraId="20A1F6A1" w14:textId="77777777" w:rsidR="00DE3512" w:rsidRPr="00883102" w:rsidRDefault="00DE3512" w:rsidP="00C00092">
      <w:pPr>
        <w:pStyle w:val="INFOEM"/>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C00092">
      <w:pPr>
        <w:pStyle w:val="INFOEM"/>
        <w:rPr>
          <w:lang w:val="es-ES_tradnl"/>
        </w:rPr>
      </w:pPr>
      <w:r w:rsidRPr="00883102">
        <w:rPr>
          <w:lang w:val="es-ES_tradnl"/>
        </w:rPr>
        <w:t>(…)</w:t>
      </w:r>
    </w:p>
    <w:p w14:paraId="3B81CB7D" w14:textId="77777777" w:rsidR="00DE3512" w:rsidRPr="00883102" w:rsidRDefault="00DE3512" w:rsidP="00C00092">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883102">
        <w:rPr>
          <w:lang w:val="es-ES_tradnl"/>
        </w:rPr>
        <w:lastRenderedPageBreak/>
        <w:t>entre aquellos formatos existentes, conforme a las características físicas de la información o del lugar donde se encuentre así lo permita.</w:t>
      </w:r>
    </w:p>
    <w:p w14:paraId="25E3C37E" w14:textId="5F2D7C21" w:rsidR="00DE3512" w:rsidRPr="00C00092" w:rsidRDefault="00DE3512" w:rsidP="00C00092">
      <w:pPr>
        <w:pStyle w:val="INFOEM"/>
        <w:rPr>
          <w:b/>
          <w:lang w:val="es-ES_tradnl"/>
        </w:rPr>
      </w:pPr>
      <w:r w:rsidRPr="00883102">
        <w:rPr>
          <w:lang w:val="es-ES_tradnl"/>
        </w:rPr>
        <w:t>En caso que la información solicitada consista en bases de datos se deberá privilegiar la entrega de la misma en formatos abiertos.</w:t>
      </w:r>
      <w:r w:rsidR="00C00092">
        <w:rPr>
          <w:lang w:val="es-ES_tradnl"/>
        </w:rPr>
        <w:t xml:space="preserve">” </w:t>
      </w:r>
      <w:r w:rsidR="00C00092">
        <w:rPr>
          <w:b/>
          <w:lang w:val="es-ES_tradnl"/>
        </w:rPr>
        <w:t>(Sic)</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A0DCD91" w14:textId="213D811F" w:rsidR="00DE3512" w:rsidRPr="003834CC" w:rsidRDefault="003834CC" w:rsidP="003834CC">
      <w:pPr>
        <w:pStyle w:val="INFOEM"/>
        <w:rPr>
          <w:b/>
          <w:lang w:val="es-ES_tradnl"/>
        </w:rPr>
      </w:pPr>
      <w:r>
        <w:rPr>
          <w:b/>
          <w:lang w:val="es-ES_tradnl"/>
        </w:rPr>
        <w:t>“</w:t>
      </w:r>
      <w:r w:rsidR="00DE3512" w:rsidRPr="00883102">
        <w:rPr>
          <w:b/>
          <w:lang w:val="es-ES_tradnl"/>
        </w:rPr>
        <w:t>Artículo 166.</w:t>
      </w:r>
      <w:r w:rsidR="00DE3512"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3A476EBD" w14:textId="41229539" w:rsidR="00DE3512" w:rsidRPr="00883102" w:rsidRDefault="003834CC" w:rsidP="003834CC">
      <w:pPr>
        <w:pStyle w:val="INFOEM"/>
        <w:rPr>
          <w:lang w:val="es-ES_tradnl"/>
        </w:rPr>
      </w:pPr>
      <w:r>
        <w:rPr>
          <w:b/>
          <w:lang w:val="es-ES_tradnl"/>
        </w:rPr>
        <w:lastRenderedPageBreak/>
        <w:t>“</w:t>
      </w:r>
      <w:r w:rsidR="00DE3512" w:rsidRPr="00883102">
        <w:rPr>
          <w:b/>
          <w:lang w:val="es-ES_tradnl"/>
        </w:rPr>
        <w:t>Artículo 24.</w:t>
      </w:r>
      <w:r w:rsidR="00DE3512"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3834CC">
      <w:pPr>
        <w:pStyle w:val="INFOEM"/>
        <w:rPr>
          <w:lang w:val="es-ES_tradnl"/>
        </w:rPr>
      </w:pPr>
      <w:r w:rsidRPr="00883102">
        <w:rPr>
          <w:lang w:val="es-ES_tradnl"/>
        </w:rPr>
        <w:t>(...)</w:t>
      </w:r>
    </w:p>
    <w:p w14:paraId="24F1254C" w14:textId="77777777" w:rsidR="00DE3512" w:rsidRPr="00883102" w:rsidRDefault="00DE3512" w:rsidP="003834CC">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523090C7" w14:textId="72E3A7C0" w:rsidR="00DE3512" w:rsidRPr="003834CC" w:rsidRDefault="00DE3512" w:rsidP="003834CC">
      <w:pPr>
        <w:pStyle w:val="INFOEM"/>
        <w:rPr>
          <w:b/>
          <w:lang w:val="es-ES_tradnl"/>
        </w:rPr>
      </w:pPr>
      <w:r w:rsidRPr="00883102">
        <w:rPr>
          <w:lang w:val="es-ES_tradnl"/>
        </w:rPr>
        <w:t>(...)</w:t>
      </w:r>
      <w:r w:rsidR="003834CC">
        <w:rPr>
          <w:lang w:val="es-ES_tradnl"/>
        </w:rPr>
        <w:t xml:space="preserve">” </w:t>
      </w:r>
      <w:r w:rsidR="003834CC">
        <w:rPr>
          <w:b/>
          <w:lang w:val="es-ES_tradnl"/>
        </w:rPr>
        <w:t>(Sic)</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43E61194" w:rsidR="00285EA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3834CC">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conocer lo siguiente:</w:t>
      </w:r>
    </w:p>
    <w:p w14:paraId="4A209978"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1. ¿Se cuenta con un sistema propio de recaudación? Especificar generalidades del mismo </w:t>
      </w:r>
    </w:p>
    <w:p w14:paraId="7578EA9D" w14:textId="38F90883"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2. ¿Se cuenta con registros actualizados de predial y </w:t>
      </w:r>
      <w:r w:rsidR="00792827" w:rsidRPr="00025331">
        <w:rPr>
          <w:rFonts w:ascii="Palatino Linotype" w:hAnsi="Palatino Linotype"/>
          <w:color w:val="000000"/>
          <w:sz w:val="24"/>
          <w:szCs w:val="24"/>
        </w:rPr>
        <w:t>cuándo</w:t>
      </w:r>
      <w:r w:rsidRPr="00025331">
        <w:rPr>
          <w:rFonts w:ascii="Palatino Linotype" w:hAnsi="Palatino Linotype"/>
          <w:color w:val="000000"/>
          <w:sz w:val="24"/>
          <w:szCs w:val="24"/>
        </w:rPr>
        <w:t xml:space="preserve"> y cómo se actualizaron? </w:t>
      </w:r>
    </w:p>
    <w:p w14:paraId="776A99AF"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3. ¿Existe un sistema de regulación de establecimientos comerciales? </w:t>
      </w:r>
    </w:p>
    <w:p w14:paraId="66036B6C"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4. ¿Cuál es el comportamiento de la recaudación por impuesto predial del año inmediato anterior en comparación al año previo? ¿Cuál es el porcentaje de personas obligadas al pago de predial que se encuentran al corriente? </w:t>
      </w:r>
    </w:p>
    <w:p w14:paraId="3A71721D"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5. ¿Cuál es el comportamiento de los ingresos por concepto de derechos, productos y aprovechamientos, de los dos ejercicios anteriores? Ultimo año </w:t>
      </w:r>
    </w:p>
    <w:p w14:paraId="30283EDE"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6. ¿Cuál es la proporción de los ingresos propios contra los ingresos totales? </w:t>
      </w:r>
    </w:p>
    <w:p w14:paraId="185A5C1D"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7. ¿Cuál es el comportamiento del ingreso y gasto de un año a otro, sin financiamiento? 8. ¿Cuál fue el comportamiento del ingreso y gasto en relación a la población total del municipio? </w:t>
      </w:r>
    </w:p>
    <w:p w14:paraId="736B9FA9"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lastRenderedPageBreak/>
        <w:t xml:space="preserve">9. ¿Cuál es la proporción entre ingresos propios y gasto corriente? </w:t>
      </w:r>
    </w:p>
    <w:p w14:paraId="5C39696E"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10. ¿Cuál es la proporción entre gasto corriente y gasto total? </w:t>
      </w:r>
    </w:p>
    <w:p w14:paraId="7400FC83"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11. Existe la aplicación eficiente del proceso de administración del patrimonio municipal: recepción, adquisición, enajenación, inventario</w:t>
      </w:r>
      <w:proofErr w:type="gramStart"/>
      <w:r w:rsidRPr="00025331">
        <w:rPr>
          <w:rFonts w:ascii="Palatino Linotype" w:hAnsi="Palatino Linotype"/>
          <w:color w:val="000000"/>
          <w:sz w:val="24"/>
          <w:szCs w:val="24"/>
        </w:rPr>
        <w:t>?</w:t>
      </w:r>
      <w:proofErr w:type="gramEnd"/>
      <w:r w:rsidRPr="00025331">
        <w:rPr>
          <w:rFonts w:ascii="Palatino Linotype" w:hAnsi="Palatino Linotype"/>
          <w:color w:val="000000"/>
          <w:sz w:val="24"/>
          <w:szCs w:val="24"/>
        </w:rPr>
        <w:t xml:space="preserve"> </w:t>
      </w:r>
    </w:p>
    <w:p w14:paraId="20789999" w14:textId="77777777" w:rsidR="00025331" w:rsidRDefault="00025331" w:rsidP="00DE3512">
      <w:pPr>
        <w:pBdr>
          <w:top w:val="nil"/>
          <w:left w:val="nil"/>
          <w:bottom w:val="nil"/>
          <w:right w:val="nil"/>
          <w:between w:val="nil"/>
        </w:pBdr>
        <w:spacing w:after="0" w:line="360" w:lineRule="auto"/>
        <w:jc w:val="both"/>
        <w:rPr>
          <w:rFonts w:ascii="Palatino Linotype" w:hAnsi="Palatino Linotype"/>
          <w:color w:val="000000"/>
          <w:sz w:val="24"/>
          <w:szCs w:val="24"/>
        </w:rPr>
      </w:pPr>
      <w:r w:rsidRPr="00025331">
        <w:rPr>
          <w:rFonts w:ascii="Palatino Linotype" w:hAnsi="Palatino Linotype"/>
          <w:color w:val="000000"/>
          <w:sz w:val="24"/>
          <w:szCs w:val="24"/>
        </w:rPr>
        <w:t xml:space="preserve">12. ¿Qué porcentaje de su presupuesto total es destinado al pago de deuda? </w:t>
      </w:r>
    </w:p>
    <w:p w14:paraId="6C3D217F" w14:textId="64E42BFE" w:rsidR="00025331" w:rsidRPr="00025331" w:rsidRDefault="0002533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25331">
        <w:rPr>
          <w:rFonts w:ascii="Palatino Linotype" w:hAnsi="Palatino Linotype"/>
          <w:color w:val="000000"/>
          <w:sz w:val="24"/>
          <w:szCs w:val="24"/>
        </w:rPr>
        <w:t>13. ¿Cuál es el nivel de deuda, plazos y apalancamiento financiero?</w:t>
      </w:r>
    </w:p>
    <w:p w14:paraId="33BF4053" w14:textId="77777777" w:rsidR="003834CC"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44C85F02" w:rsidR="00285EA0"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w:t>
      </w:r>
      <w:r w:rsidR="00FE6B3A"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00FE6B3A" w:rsidRPr="003834CC">
        <w:rPr>
          <w:rFonts w:ascii="Palatino Linotype" w:eastAsia="Palatino Linotype" w:hAnsi="Palatino Linotype" w:cs="Palatino Linotype"/>
          <w:b/>
          <w:color w:val="000000"/>
          <w:sz w:val="24"/>
          <w:szCs w:val="24"/>
        </w:rPr>
        <w:t>l Sujeto Obligado</w:t>
      </w:r>
      <w:r w:rsidR="00FE6B3A" w:rsidRPr="00A27FD0">
        <w:rPr>
          <w:rFonts w:ascii="Palatino Linotype" w:eastAsia="Palatino Linotype" w:hAnsi="Palatino Linotype" w:cs="Palatino Linotype"/>
          <w:color w:val="000000"/>
          <w:sz w:val="24"/>
          <w:szCs w:val="24"/>
        </w:rPr>
        <w:t xml:space="preserve"> no</w:t>
      </w:r>
      <w:r w:rsidR="00FE6B3A">
        <w:rPr>
          <w:rFonts w:ascii="Palatino Linotype" w:eastAsia="Palatino Linotype" w:hAnsi="Palatino Linotype" w:cs="Palatino Linotype"/>
          <w:color w:val="000000"/>
          <w:sz w:val="24"/>
          <w:szCs w:val="24"/>
        </w:rPr>
        <w:t xml:space="preserve"> atendió la solicitud de mérito, </w:t>
      </w:r>
      <w:r>
        <w:rPr>
          <w:rFonts w:ascii="Palatino Linotype" w:eastAsia="Palatino Linotype" w:hAnsi="Palatino Linotype" w:cs="Palatino Linotype"/>
          <w:color w:val="000000"/>
          <w:sz w:val="24"/>
          <w:szCs w:val="24"/>
        </w:rPr>
        <w:t>el</w:t>
      </w:r>
      <w:r w:rsidR="00FE6B3A">
        <w:rPr>
          <w:rFonts w:ascii="Palatino Linotype" w:eastAsia="Palatino Linotype" w:hAnsi="Palatino Linotype" w:cs="Palatino Linotype"/>
          <w:color w:val="000000"/>
          <w:sz w:val="24"/>
          <w:szCs w:val="24"/>
        </w:rPr>
        <w:t xml:space="preserve"> particular interpuso su medio de impugnación señalando como acto impugnado </w:t>
      </w:r>
      <w:r w:rsidR="00684491">
        <w:rPr>
          <w:rFonts w:ascii="Palatino Linotype" w:eastAsia="Palatino Linotype" w:hAnsi="Palatino Linotype" w:cs="Palatino Linotype"/>
          <w:color w:val="000000"/>
          <w:sz w:val="24"/>
          <w:szCs w:val="24"/>
        </w:rPr>
        <w:t xml:space="preserve">la solicitud </w:t>
      </w:r>
      <w:r w:rsidR="00DC0ED9">
        <w:rPr>
          <w:rFonts w:ascii="Palatino Linotype" w:eastAsia="Palatino Linotype" w:hAnsi="Palatino Linotype" w:cs="Palatino Linotype"/>
          <w:color w:val="000000"/>
          <w:sz w:val="24"/>
          <w:szCs w:val="24"/>
        </w:rPr>
        <w:t>que</w:t>
      </w:r>
      <w:r w:rsidR="00684491">
        <w:rPr>
          <w:rFonts w:ascii="Palatino Linotype" w:eastAsia="Palatino Linotype" w:hAnsi="Palatino Linotype" w:cs="Palatino Linotype"/>
          <w:color w:val="000000"/>
          <w:sz w:val="24"/>
          <w:szCs w:val="24"/>
        </w:rPr>
        <w:t xml:space="preserve"> realizó </w:t>
      </w:r>
      <w:r w:rsidR="00E11301">
        <w:rPr>
          <w:rFonts w:ascii="Palatino Linotype" w:eastAsia="Palatino Linotype" w:hAnsi="Palatino Linotype" w:cs="Palatino Linotype"/>
          <w:color w:val="000000"/>
          <w:sz w:val="24"/>
          <w:szCs w:val="24"/>
        </w:rPr>
        <w:t xml:space="preserve">y </w:t>
      </w:r>
      <w:r w:rsidR="00684491">
        <w:rPr>
          <w:rFonts w:ascii="Palatino Linotype" w:eastAsia="Palatino Linotype" w:hAnsi="Palatino Linotype" w:cs="Palatino Linotype"/>
          <w:color w:val="000000"/>
          <w:sz w:val="24"/>
          <w:szCs w:val="24"/>
        </w:rPr>
        <w:t xml:space="preserve">dando como </w:t>
      </w:r>
      <w:r w:rsidR="00E11301">
        <w:rPr>
          <w:rFonts w:ascii="Palatino Linotype" w:eastAsia="Palatino Linotype" w:hAnsi="Palatino Linotype" w:cs="Palatino Linotype"/>
          <w:color w:val="000000"/>
          <w:sz w:val="24"/>
          <w:szCs w:val="24"/>
        </w:rPr>
        <w:t xml:space="preserve">razones o motivos de inconformidad </w:t>
      </w:r>
      <w:r w:rsidR="00684491">
        <w:rPr>
          <w:rFonts w:ascii="Palatino Linotype" w:eastAsia="Palatino Linotype" w:hAnsi="Palatino Linotype" w:cs="Palatino Linotype"/>
          <w:color w:val="000000"/>
          <w:sz w:val="24"/>
          <w:szCs w:val="24"/>
        </w:rPr>
        <w:t>la falta de respuesta.</w:t>
      </w:r>
    </w:p>
    <w:p w14:paraId="55F1AC43" w14:textId="77777777" w:rsidR="00792827" w:rsidRPr="00883102" w:rsidRDefault="0079282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470891" w14:textId="438DE293"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ese orden de ideas, se tiene que </w:t>
      </w:r>
      <w:r w:rsidR="003834CC">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5F55D976" w14:textId="3C093733" w:rsidR="00DE3512" w:rsidRPr="00883102" w:rsidRDefault="003834CC" w:rsidP="003834CC">
      <w:pPr>
        <w:pStyle w:val="INFOEM"/>
        <w:rPr>
          <w:lang w:val="es-ES_tradnl"/>
        </w:rPr>
      </w:pPr>
      <w:r>
        <w:rPr>
          <w:b/>
          <w:lang w:val="es-ES_tradnl"/>
        </w:rPr>
        <w:lastRenderedPageBreak/>
        <w:t>“</w:t>
      </w:r>
      <w:r w:rsidR="00DE3512" w:rsidRPr="00883102">
        <w:rPr>
          <w:b/>
          <w:lang w:val="es-ES_tradnl"/>
        </w:rPr>
        <w:t>Artículo 179.</w:t>
      </w:r>
      <w:r w:rsidR="00DE3512"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3834CC">
      <w:pPr>
        <w:pStyle w:val="INFOEM"/>
        <w:rPr>
          <w:lang w:val="es-ES_tradnl"/>
        </w:rPr>
      </w:pPr>
      <w:r w:rsidRPr="00883102">
        <w:rPr>
          <w:b/>
          <w:lang w:val="es-ES_tradnl"/>
        </w:rPr>
        <w:t>(…)</w:t>
      </w:r>
    </w:p>
    <w:p w14:paraId="21F74450" w14:textId="77777777" w:rsidR="00DE3512" w:rsidRPr="00883102" w:rsidRDefault="00DE3512" w:rsidP="003834CC">
      <w:pPr>
        <w:pStyle w:val="INFOEM"/>
        <w:rPr>
          <w:b/>
          <w:lang w:val="es-ES_tradnl"/>
        </w:rPr>
      </w:pPr>
      <w:r w:rsidRPr="00883102">
        <w:rPr>
          <w:b/>
          <w:lang w:val="es-ES_tradnl"/>
        </w:rPr>
        <w:t>VII. La falta de respuesta a una solicitud de acceso a la información;</w:t>
      </w:r>
    </w:p>
    <w:p w14:paraId="26047C5E" w14:textId="77777777" w:rsidR="00DE3512" w:rsidRPr="00883102" w:rsidRDefault="00DE3512" w:rsidP="003834CC">
      <w:pPr>
        <w:pStyle w:val="INFOEM"/>
        <w:rPr>
          <w:b/>
          <w:lang w:val="es-ES_tradnl"/>
        </w:rPr>
      </w:pPr>
      <w:r w:rsidRPr="00883102">
        <w:rPr>
          <w:b/>
          <w:lang w:val="es-ES_tradnl"/>
        </w:rPr>
        <w:t>(…)</w:t>
      </w:r>
    </w:p>
    <w:p w14:paraId="1523EAAF" w14:textId="77777777" w:rsidR="00DE3512" w:rsidRPr="00883102" w:rsidRDefault="00DE3512" w:rsidP="003834CC">
      <w:pPr>
        <w:pStyle w:val="INFOEM"/>
        <w:rPr>
          <w:b/>
          <w:lang w:val="es-ES_tradnl"/>
        </w:rPr>
      </w:pPr>
      <w:r w:rsidRPr="00883102">
        <w:rPr>
          <w:b/>
          <w:lang w:val="es-ES_tradnl"/>
        </w:rPr>
        <w:t>XI. La falta de trámite a una solicitud;</w:t>
      </w:r>
    </w:p>
    <w:p w14:paraId="1DEEE875" w14:textId="3EF8E789" w:rsidR="00DE3512" w:rsidRPr="003834CC" w:rsidRDefault="00DE3512" w:rsidP="003834CC">
      <w:pPr>
        <w:pStyle w:val="INFOEM"/>
        <w:rPr>
          <w:b/>
          <w:lang w:val="es-ES_tradnl"/>
        </w:rPr>
      </w:pPr>
      <w:r w:rsidRPr="00883102">
        <w:rPr>
          <w:b/>
          <w:lang w:val="es-ES_tradnl"/>
        </w:rPr>
        <w:t>(…</w:t>
      </w:r>
      <w:r w:rsidRPr="00883102">
        <w:rPr>
          <w:lang w:val="es-ES_tradnl"/>
        </w:rPr>
        <w:t>)</w:t>
      </w:r>
      <w:proofErr w:type="gramStart"/>
      <w:r w:rsidR="003834CC">
        <w:rPr>
          <w:lang w:val="es-ES_tradnl"/>
        </w:rPr>
        <w:t>”</w:t>
      </w:r>
      <w:r w:rsidR="003834CC">
        <w:rPr>
          <w:b/>
          <w:lang w:val="es-ES_tradnl"/>
        </w:rPr>
        <w:t>(</w:t>
      </w:r>
      <w:proofErr w:type="gramEnd"/>
      <w:r w:rsidR="003834CC">
        <w:rPr>
          <w:b/>
          <w:lang w:val="es-ES_tradnl"/>
        </w:rPr>
        <w:t>Sic)</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15BC5D6E"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determinada la vía sobre la que versará el presente asunto y previa revisión </w:t>
      </w:r>
      <w:r w:rsidR="00792827">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expediente electrónico formado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 solicitud de información y </w:t>
      </w:r>
      <w:r w:rsidR="00792827">
        <w:rPr>
          <w:rFonts w:ascii="Palatino Linotype" w:eastAsia="Palatino Linotype" w:hAnsi="Palatino Linotype" w:cs="Palatino Linotype"/>
          <w:color w:val="000000"/>
          <w:sz w:val="24"/>
          <w:szCs w:val="24"/>
          <w:lang w:val="es-ES_tradnl"/>
        </w:rPr>
        <w:t>del</w:t>
      </w:r>
      <w:r w:rsidRPr="00883102">
        <w:rPr>
          <w:rFonts w:ascii="Palatino Linotype" w:eastAsia="Palatino Linotype" w:hAnsi="Palatino Linotype" w:cs="Palatino Linotype"/>
          <w:color w:val="000000"/>
          <w:sz w:val="24"/>
          <w:szCs w:val="24"/>
          <w:lang w:val="es-ES_tradnl"/>
        </w:rPr>
        <w:t xml:space="preserve"> recurso de revisión a que </w:t>
      </w:r>
      <w:r w:rsidR="00792827">
        <w:rPr>
          <w:rFonts w:ascii="Palatino Linotype" w:eastAsia="Palatino Linotype" w:hAnsi="Palatino Linotype" w:cs="Palatino Linotype"/>
          <w:color w:val="000000"/>
          <w:sz w:val="24"/>
          <w:szCs w:val="24"/>
          <w:lang w:val="es-ES_tradnl"/>
        </w:rPr>
        <w:t>dio</w:t>
      </w:r>
      <w:r w:rsidRPr="00883102">
        <w:rPr>
          <w:rFonts w:ascii="Palatino Linotype" w:eastAsia="Palatino Linotype" w:hAnsi="Palatino Linotype" w:cs="Palatino Linotype"/>
          <w:color w:val="000000"/>
          <w:sz w:val="24"/>
          <w:szCs w:val="24"/>
          <w:lang w:val="es-ES_tradnl"/>
        </w:rPr>
        <w:t xml:space="preserve">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3FBFC4AB"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sidR="003834CC">
        <w:rPr>
          <w:rFonts w:ascii="Palatino Linotype" w:eastAsiaTheme="minorHAnsi" w:hAnsi="Palatino Linotype" w:cs="Arial"/>
          <w:sz w:val="24"/>
          <w:szCs w:val="24"/>
          <w:lang w:val="es-ES_tradnl" w:eastAsia="en-US"/>
        </w:rPr>
        <w:t>el</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674C22F2" w14:textId="4456FFDD" w:rsidR="00E6674B" w:rsidRPr="00883102" w:rsidRDefault="003834CC" w:rsidP="003834CC">
      <w:pPr>
        <w:pStyle w:val="INFOEM"/>
        <w:rPr>
          <w:lang w:val="es-ES_tradnl" w:eastAsia="en-US"/>
        </w:rPr>
      </w:pPr>
      <w:r>
        <w:rPr>
          <w:b/>
          <w:lang w:val="es-ES_tradnl" w:eastAsia="en-US"/>
        </w:rPr>
        <w:t>“</w:t>
      </w:r>
      <w:r w:rsidR="00E6674B" w:rsidRPr="00883102">
        <w:rPr>
          <w:b/>
          <w:lang w:val="es-ES_tradnl" w:eastAsia="en-US"/>
        </w:rPr>
        <w:t>Artículo 6o.</w:t>
      </w:r>
      <w:r w:rsidR="00E6674B"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00E6674B" w:rsidRPr="00883102">
        <w:rPr>
          <w:b/>
          <w:lang w:val="es-ES_tradnl" w:eastAsia="en-US"/>
        </w:rPr>
        <w:t>El derecho a la información será garantizado por el Estado.</w:t>
      </w:r>
      <w:r w:rsidR="00E6674B" w:rsidRPr="00883102">
        <w:rPr>
          <w:lang w:val="es-ES_tradnl" w:eastAsia="en-US"/>
        </w:rPr>
        <w:t xml:space="preserve"> </w:t>
      </w:r>
    </w:p>
    <w:p w14:paraId="759FE83A" w14:textId="77777777" w:rsidR="00E6674B" w:rsidRPr="00883102" w:rsidRDefault="00E6674B" w:rsidP="003834CC">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2C783424" w14:textId="77777777" w:rsidR="00E6674B" w:rsidRPr="00883102" w:rsidRDefault="00E6674B" w:rsidP="003834CC">
      <w:pPr>
        <w:pStyle w:val="INFOEM"/>
        <w:rPr>
          <w:lang w:val="es-ES_tradnl" w:eastAsia="en-US"/>
        </w:rPr>
      </w:pPr>
      <w:r w:rsidRPr="00883102">
        <w:rPr>
          <w:lang w:val="es-ES_tradnl" w:eastAsia="en-US"/>
        </w:rPr>
        <w:t>Para efectos de lo dispuesto en el presente artículo se observará lo siguiente:</w:t>
      </w:r>
    </w:p>
    <w:p w14:paraId="1A751D26" w14:textId="77777777" w:rsidR="00E6674B" w:rsidRPr="00883102" w:rsidRDefault="00E6674B" w:rsidP="003834CC">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0FBB9CCF" w14:textId="77777777" w:rsidR="00E6674B" w:rsidRPr="00883102" w:rsidRDefault="00E6674B" w:rsidP="003834CC">
      <w:pPr>
        <w:pStyle w:val="INFOEM"/>
        <w:rPr>
          <w:lang w:val="es-ES_tradnl" w:eastAsia="en-US"/>
        </w:rPr>
      </w:pPr>
      <w:r w:rsidRPr="00883102">
        <w:rPr>
          <w:b/>
          <w:lang w:val="es-ES_tradnl" w:eastAsia="en-US"/>
        </w:rPr>
        <w:lastRenderedPageBreak/>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2B7B6294" w14:textId="77777777" w:rsidR="00E6674B" w:rsidRPr="00883102" w:rsidRDefault="00E6674B" w:rsidP="003834CC">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3834CC">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3834CC">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w:t>
      </w:r>
      <w:r w:rsidRPr="00883102">
        <w:rPr>
          <w:b/>
          <w:lang w:val="es-ES_tradnl" w:eastAsia="en-US"/>
        </w:rPr>
        <w:lastRenderedPageBreak/>
        <w:t xml:space="preserve">ejercicio de los recursos públicos </w:t>
      </w:r>
      <w:r w:rsidRPr="00883102">
        <w:rPr>
          <w:lang w:val="es-ES_tradnl" w:eastAsia="en-US"/>
        </w:rPr>
        <w:t>y los indicadores que permitan rendir cuenta del cumplimiento de sus objetivos y de los resultados obtenidos.</w:t>
      </w:r>
    </w:p>
    <w:p w14:paraId="301B8C9B" w14:textId="77777777" w:rsidR="00E6674B" w:rsidRPr="00883102" w:rsidRDefault="00E6674B" w:rsidP="003834CC">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3834CC">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3834CC">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3834CC">
      <w:pPr>
        <w:pStyle w:val="INFOEM"/>
        <w:rPr>
          <w:lang w:val="es-ES_tradnl" w:eastAsia="en-US"/>
        </w:rPr>
      </w:pPr>
      <w:r w:rsidRPr="00883102">
        <w:rPr>
          <w:lang w:val="es-ES_tradnl" w:eastAsia="en-US"/>
        </w:rPr>
        <w:t>(…)</w:t>
      </w:r>
    </w:p>
    <w:p w14:paraId="252ED9E9" w14:textId="77777777" w:rsidR="00E6674B" w:rsidRPr="00883102" w:rsidRDefault="00E6674B" w:rsidP="003834CC">
      <w:pPr>
        <w:pStyle w:val="INFOEM"/>
        <w:rPr>
          <w:lang w:val="es-ES_tradnl" w:eastAsia="en-US"/>
        </w:rPr>
      </w:pPr>
      <w:r w:rsidRPr="00883102">
        <w:rPr>
          <w:lang w:val="es-ES_tradnl" w:eastAsia="en-US"/>
        </w:rPr>
        <w:t>La ley establecerá aquella información que se considere reservada o confidencial.</w:t>
      </w:r>
    </w:p>
    <w:p w14:paraId="116A8F4C" w14:textId="2CC4916F" w:rsidR="00E6674B" w:rsidRPr="003834CC" w:rsidRDefault="00E6674B" w:rsidP="003834CC">
      <w:pPr>
        <w:pStyle w:val="INFOEM"/>
        <w:rPr>
          <w:b/>
          <w:lang w:val="es-ES_tradnl" w:eastAsia="en-US"/>
        </w:rPr>
      </w:pPr>
      <w:r w:rsidRPr="00883102">
        <w:rPr>
          <w:lang w:val="es-ES_tradnl" w:eastAsia="en-US"/>
        </w:rPr>
        <w:t xml:space="preserve">(…) </w:t>
      </w:r>
      <w:proofErr w:type="gramStart"/>
      <w:r w:rsidR="003834CC">
        <w:rPr>
          <w:lang w:val="es-ES_tradnl" w:eastAsia="en-US"/>
        </w:rPr>
        <w:t xml:space="preserve">“ </w:t>
      </w:r>
      <w:r w:rsidR="003834CC">
        <w:rPr>
          <w:b/>
          <w:lang w:val="es-ES_tradnl" w:eastAsia="en-US"/>
        </w:rPr>
        <w:t>(</w:t>
      </w:r>
      <w:proofErr w:type="gramEnd"/>
      <w:r w:rsidR="003834CC">
        <w:rPr>
          <w:b/>
          <w:lang w:val="es-ES_tradnl" w:eastAsia="en-US"/>
        </w:rPr>
        <w:t>Sic)</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442A16C0" w14:textId="0B5E2FDC"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Artículo 5. (…)</w:t>
      </w:r>
    </w:p>
    <w:p w14:paraId="2656B05A" w14:textId="77777777" w:rsidR="00E6674B" w:rsidRPr="00883102" w:rsidRDefault="00E6674B" w:rsidP="003834CC">
      <w:pPr>
        <w:pStyle w:val="INFOEM"/>
        <w:rPr>
          <w:lang w:val="es-ES_tradnl" w:eastAsia="en-US"/>
        </w:rPr>
      </w:pPr>
      <w:r w:rsidRPr="00883102">
        <w:rPr>
          <w:lang w:val="es-ES_tradnl" w:eastAsia="en-US"/>
        </w:rPr>
        <w:lastRenderedPageBreak/>
        <w:t xml:space="preserve">El derecho a la información será garantizado por el Estado. La ley establecerá las previsiones que permitan asegurar la protección, el respeto y la difusión de este derecho. </w:t>
      </w:r>
    </w:p>
    <w:p w14:paraId="4257D6E7" w14:textId="77777777" w:rsidR="00E6674B" w:rsidRPr="00883102" w:rsidRDefault="00E6674B" w:rsidP="003834CC">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65A9DD" w14:textId="77777777" w:rsidR="00E6674B" w:rsidRPr="00883102" w:rsidRDefault="00E6674B" w:rsidP="003834CC">
      <w:pPr>
        <w:pStyle w:val="INFOEM"/>
        <w:rPr>
          <w:lang w:val="es-ES_tradnl" w:eastAsia="en-US"/>
        </w:rPr>
      </w:pPr>
      <w:r w:rsidRPr="00883102">
        <w:rPr>
          <w:lang w:val="es-ES_tradnl" w:eastAsia="en-US"/>
        </w:rPr>
        <w:t>Este derecho se regirá por los principios y bases siguientes:</w:t>
      </w:r>
    </w:p>
    <w:p w14:paraId="3945F32C" w14:textId="77777777" w:rsidR="00E6674B" w:rsidRPr="00883102" w:rsidRDefault="00E6674B" w:rsidP="003834CC">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3834CC">
      <w:pPr>
        <w:pStyle w:val="INFOEM"/>
        <w:rPr>
          <w:lang w:val="es-ES_tradnl" w:eastAsia="en-US"/>
        </w:rPr>
      </w:pPr>
      <w:r w:rsidRPr="00883102">
        <w:rPr>
          <w:lang w:val="es-ES_tradnl" w:eastAsia="en-U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3834CC">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2E648C8"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3834CC">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3834CC">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4B2CEFD5" w:rsidR="00E6674B" w:rsidRPr="003834CC" w:rsidRDefault="00E6674B" w:rsidP="003834CC">
      <w:pPr>
        <w:pStyle w:val="INFOEM"/>
        <w:rPr>
          <w:rFonts w:asciiTheme="minorHAnsi" w:hAnsiTheme="minorHAnsi"/>
          <w:b/>
          <w:lang w:val="es-ES_tradnl" w:eastAsia="en-US"/>
        </w:rPr>
      </w:pPr>
      <w:r w:rsidRPr="00883102">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sidR="003834CC">
        <w:rPr>
          <w:rFonts w:asciiTheme="minorHAnsi" w:hAnsiTheme="minorHAnsi"/>
          <w:lang w:val="es-ES_tradnl" w:eastAsia="en-US"/>
        </w:rPr>
        <w:t xml:space="preserve">” </w:t>
      </w:r>
      <w:r w:rsidR="003834CC" w:rsidRPr="003834CC">
        <w:rPr>
          <w:b/>
          <w:lang w:val="es-ES_tradnl" w:eastAsia="en-US"/>
        </w:rPr>
        <w:t>(Sic)</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Por su parte, el artículo 53, fracciones II, IV y V de la Ley antes citada establece que las Unidades de Transparencia tienen, entre otras, las funciones de recibir, tramitar y dar </w:t>
      </w:r>
      <w:r w:rsidRPr="00883102">
        <w:rPr>
          <w:rFonts w:ascii="Palatino Linotype" w:eastAsia="Arial Unicode MS" w:hAnsi="Palatino Linotype" w:cs="Arial"/>
          <w:sz w:val="24"/>
          <w:szCs w:val="24"/>
          <w:lang w:val="es-ES_tradnl" w:eastAsia="en-US"/>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t>Así</w:t>
      </w:r>
      <w:r w:rsidR="00E6674B" w:rsidRPr="00883102">
        <w:rPr>
          <w:rFonts w:ascii="Palatino Linotype" w:eastAsiaTheme="minorHAnsi" w:hAnsi="Palatino Linotype" w:cs="Arial"/>
          <w:sz w:val="24"/>
          <w:szCs w:val="24"/>
          <w:lang w:val="es-ES_tradnl" w:eastAsia="en-US"/>
        </w:rPr>
        <w:t xml:space="preserv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w:t>
      </w:r>
      <w:r w:rsidR="00E6674B" w:rsidRPr="00883102">
        <w:rPr>
          <w:rFonts w:ascii="Palatino Linotype" w:eastAsiaTheme="minorHAnsi" w:hAnsi="Palatino Linotype" w:cs="Arial"/>
          <w:sz w:val="24"/>
          <w:szCs w:val="24"/>
          <w:lang w:val="es-ES_tradnl" w:eastAsia="en-US"/>
        </w:rPr>
        <w:lastRenderedPageBreak/>
        <w:t>cuales deberán ser aprobadas por el Comité de Transparencia. Situación que en la especie no aconteció. Sirve de sustento a lo anterior el precepto legal en cita:</w:t>
      </w:r>
    </w:p>
    <w:p w14:paraId="0D8A7B13" w14:textId="504D3216"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6465CF23" w14:textId="1E95F90E" w:rsidR="00E6674B" w:rsidRPr="003834CC" w:rsidRDefault="00E6674B" w:rsidP="003834CC">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3834CC">
        <w:rPr>
          <w:lang w:val="es-ES_tradnl" w:eastAsia="en-US"/>
        </w:rPr>
        <w:t xml:space="preserve">” </w:t>
      </w:r>
      <w:r w:rsidR="003834CC">
        <w:rPr>
          <w:b/>
          <w:lang w:val="es-ES_tradnl" w:eastAsia="en-US"/>
        </w:rPr>
        <w:t>(Sic)</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883102">
        <w:rPr>
          <w:rFonts w:ascii="Palatino Linotype" w:eastAsiaTheme="minorHAnsi" w:hAnsi="Palatino Linotype" w:cstheme="minorBidi"/>
          <w:sz w:val="24"/>
          <w:szCs w:val="24"/>
          <w:lang w:val="es-ES_tradnl" w:eastAsia="en-US"/>
        </w:rPr>
        <w:lastRenderedPageBreak/>
        <w:t>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1"/>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lastRenderedPageBreak/>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883102">
        <w:rPr>
          <w:rFonts w:ascii="Palatino Linotype" w:eastAsiaTheme="minorHAnsi" w:hAnsi="Palatino Linotype" w:cs="Arial"/>
          <w:sz w:val="24"/>
          <w:szCs w:val="24"/>
          <w:lang w:val="es-ES_tradnl"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61A5EE02" w14:textId="790E792C" w:rsidR="00574AA5" w:rsidRPr="003834CC" w:rsidRDefault="003834CC" w:rsidP="003834CC">
      <w:pPr>
        <w:pStyle w:val="INFOEM"/>
        <w:rPr>
          <w:b/>
          <w:lang w:val="es-ES_tradnl" w:eastAsia="en-US"/>
        </w:rPr>
      </w:pPr>
      <w:r w:rsidRPr="003834CC">
        <w:rPr>
          <w:b/>
          <w:lang w:val="es-ES_tradnl" w:eastAsia="en-US"/>
        </w:rPr>
        <w:t>“</w:t>
      </w:r>
      <w:r w:rsidR="00E6674B" w:rsidRPr="003834CC">
        <w:rPr>
          <w:b/>
          <w:lang w:val="es-ES_tradnl" w:eastAsia="en-US"/>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6D818206" w:rsidR="00E6674B" w:rsidRPr="003834CC" w:rsidRDefault="00E6674B" w:rsidP="003834CC">
      <w:pPr>
        <w:pStyle w:val="INFOEM"/>
        <w:rPr>
          <w:b/>
          <w:lang w:val="es-ES_tradnl" w:eastAsia="en-US"/>
        </w:rPr>
      </w:pPr>
      <w:r w:rsidRPr="00883102">
        <w:rPr>
          <w:lang w:val="es-ES_tradnl" w:eastAsia="en-US"/>
        </w:rPr>
        <w:lastRenderedPageBreak/>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eastAsia="en-US"/>
        </w:rPr>
        <w:t>officio</w:t>
      </w:r>
      <w:proofErr w:type="spellEnd"/>
      <w:r w:rsidRPr="00883102">
        <w:rPr>
          <w:lang w:val="es-ES_tradnl" w:eastAsia="en-US"/>
        </w:rPr>
        <w:t>, con el propósito de obtener una versión que sea pública para la parte interesada.</w:t>
      </w:r>
      <w:r w:rsidR="003834CC">
        <w:rPr>
          <w:lang w:val="es-ES_tradnl" w:eastAsia="en-US"/>
        </w:rPr>
        <w:t xml:space="preserve">” </w:t>
      </w:r>
      <w:r w:rsidR="003834CC">
        <w:rPr>
          <w:b/>
          <w:lang w:val="es-ES_tradnl" w:eastAsia="en-US"/>
        </w:rPr>
        <w:t>(Sic)</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83102">
        <w:rPr>
          <w:rFonts w:ascii="Palatino Linotype" w:eastAsiaTheme="minorHAnsi" w:hAnsi="Palatino Linotype" w:cstheme="minorBidi"/>
          <w:sz w:val="24"/>
          <w:szCs w:val="24"/>
          <w:lang w:val="es-ES_tradnl" w:eastAsia="en-US"/>
        </w:rPr>
        <w:lastRenderedPageBreak/>
        <w:t>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w:t>
      </w:r>
      <w:r w:rsidRPr="00883102">
        <w:rPr>
          <w:rFonts w:ascii="Palatino Linotype" w:eastAsiaTheme="minorHAnsi" w:hAnsi="Palatino Linotype" w:cstheme="minorBidi"/>
          <w:sz w:val="24"/>
          <w:szCs w:val="24"/>
          <w:lang w:val="es-ES_tradnl" w:eastAsia="en-US"/>
        </w:rPr>
        <w:lastRenderedPageBreak/>
        <w:t xml:space="preserve">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Pr>
          <w:rFonts w:ascii="Palatino Linotype" w:eastAsia="Palatino Linotype" w:hAnsi="Palatino Linotype" w:cs="Palatino Linotype"/>
          <w:color w:val="000000"/>
          <w:sz w:val="24"/>
          <w:szCs w:val="24"/>
        </w:rPr>
        <w:t>actualizan</w:t>
      </w:r>
      <w:proofErr w:type="gramEnd"/>
      <w:r>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15F1BC3B" w14:textId="3C9CCA9E" w:rsidR="006F759B" w:rsidRPr="009610D3" w:rsidRDefault="003834CC" w:rsidP="003834CC">
      <w:pPr>
        <w:pStyle w:val="INFOEM"/>
      </w:pPr>
      <w:r>
        <w:rPr>
          <w:b/>
        </w:rPr>
        <w:t>“</w:t>
      </w:r>
      <w:r w:rsidR="006F759B" w:rsidRPr="009610D3">
        <w:rPr>
          <w:b/>
        </w:rPr>
        <w:t xml:space="preserve">Artículo 3. </w:t>
      </w:r>
      <w:r w:rsidR="006F759B" w:rsidRPr="009610D3">
        <w:t>Para los efectos de la presente Ley se entenderá por:</w:t>
      </w:r>
    </w:p>
    <w:p w14:paraId="75CEEA03" w14:textId="77777777" w:rsidR="006F759B" w:rsidRPr="009610D3" w:rsidRDefault="006F759B" w:rsidP="003834CC">
      <w:pPr>
        <w:pStyle w:val="INFOEM"/>
      </w:pPr>
      <w:r w:rsidRPr="009610D3">
        <w:t>(…)</w:t>
      </w:r>
    </w:p>
    <w:p w14:paraId="1DF47957" w14:textId="77777777" w:rsidR="006F759B" w:rsidRPr="009610D3" w:rsidRDefault="006F759B" w:rsidP="003834CC">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3834CC">
      <w:pPr>
        <w:pStyle w:val="INFOEM"/>
      </w:pPr>
      <w:r w:rsidRPr="009610D3">
        <w:rPr>
          <w:b/>
          <w:bCs/>
        </w:rPr>
        <w:t>Artículo 128.</w:t>
      </w:r>
      <w:r w:rsidRPr="009610D3">
        <w:t xml:space="preserve"> En los casos en que se niegue el acceso a la información, por actualizarse alguno de los supuestos de clasificación, el Comité de Transparencia deberá confirmar, modificar o revocar la decisión.</w:t>
      </w:r>
    </w:p>
    <w:p w14:paraId="38C672E8" w14:textId="77777777" w:rsidR="006F759B" w:rsidRPr="009610D3" w:rsidRDefault="006F759B" w:rsidP="003834CC">
      <w:pPr>
        <w:pStyle w:val="INFOEM"/>
      </w:pPr>
      <w:r w:rsidRPr="009610D3">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2EFC93C2" w14:textId="77777777" w:rsidR="006F759B" w:rsidRPr="009610D3" w:rsidRDefault="006F759B" w:rsidP="003834CC">
      <w:pPr>
        <w:pStyle w:val="INFOEM"/>
      </w:pPr>
      <w:r w:rsidRPr="009610D3">
        <w:t>Tratándose de aquélla información que actualice los supuestos de clasificación, deberá señalarse el plazo al que estará sujeto la reserva.</w:t>
      </w:r>
    </w:p>
    <w:p w14:paraId="38132B90" w14:textId="77777777" w:rsidR="006F759B" w:rsidRPr="009610D3" w:rsidRDefault="006F759B" w:rsidP="003834CC">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525329C4" w14:textId="77777777" w:rsidR="006F759B" w:rsidRPr="009610D3" w:rsidRDefault="006F759B" w:rsidP="003834CC">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3834CC">
      <w:pPr>
        <w:pStyle w:val="INFOEM"/>
        <w:rPr>
          <w:szCs w:val="22"/>
        </w:rPr>
      </w:pPr>
      <w:r w:rsidRPr="009610D3">
        <w:rPr>
          <w:szCs w:val="22"/>
        </w:rPr>
        <w:t>El riesgo de perjuicio que supondría la divulgación supera el interés público general de que se difunda; y</w:t>
      </w:r>
    </w:p>
    <w:p w14:paraId="5F45A854" w14:textId="500F86B4" w:rsidR="006F759B" w:rsidRPr="003834CC" w:rsidRDefault="006F759B" w:rsidP="003834CC">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sidR="003834CC">
        <w:rPr>
          <w:szCs w:val="22"/>
        </w:rPr>
        <w:t xml:space="preserve">” </w:t>
      </w:r>
      <w:r w:rsidR="003834CC">
        <w:rPr>
          <w:b/>
          <w:szCs w:val="22"/>
        </w:rPr>
        <w:t>(Sic)</w:t>
      </w:r>
    </w:p>
    <w:p w14:paraId="31A3CED4" w14:textId="77777777" w:rsidR="003141B8" w:rsidRDefault="003141B8"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2"/>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en las que, respectivamente, se dispone lo siguiente:</w:t>
      </w:r>
    </w:p>
    <w:p w14:paraId="2828F8C1" w14:textId="1562A263" w:rsidR="006F759B" w:rsidRPr="003834CC" w:rsidRDefault="003834CC" w:rsidP="003834CC">
      <w:pPr>
        <w:pStyle w:val="INFOEM"/>
        <w:rPr>
          <w:b/>
        </w:rPr>
      </w:pPr>
      <w:r>
        <w:rPr>
          <w:b/>
        </w:rPr>
        <w:t>“</w:t>
      </w:r>
      <w:r w:rsidR="006F759B" w:rsidRPr="003834CC">
        <w:rPr>
          <w:b/>
        </w:rPr>
        <w:t>ACCESO A LA INFORMACIÓN. EJERCICIO DEL DERECHO RELATIVO TRATÁNDOSE DE LA CLASIFICADA COMO CONFIDENCIAL, MEDIANTE LA PRUEBA DE DAÑO O DEL INTERÉS PÚBLICO Y ROL DEL JUEZ DE AMPARO PARA FACILITAR LA DEFENSA DE LAS PARTES.</w:t>
      </w:r>
    </w:p>
    <w:p w14:paraId="46DBC0CE" w14:textId="3BE91FF3" w:rsidR="006F759B" w:rsidRPr="003834CC" w:rsidRDefault="006F759B" w:rsidP="003834CC">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rsidR="003834CC">
        <w:t xml:space="preserve">adecuada defensa de las partes" </w:t>
      </w:r>
      <w:r w:rsidR="003834CC">
        <w:rPr>
          <w:b/>
        </w:rPr>
        <w:t>(Sic)</w:t>
      </w:r>
    </w:p>
    <w:p w14:paraId="77807D9E" w14:textId="77777777" w:rsidR="006F759B" w:rsidRPr="00783B44" w:rsidRDefault="006F759B" w:rsidP="003834CC">
      <w:pPr>
        <w:pStyle w:val="INFOEM"/>
      </w:pPr>
    </w:p>
    <w:p w14:paraId="17600DFD" w14:textId="05EE1B0B" w:rsidR="006F759B" w:rsidRPr="003834CC" w:rsidRDefault="003834CC" w:rsidP="003834CC">
      <w:pPr>
        <w:pStyle w:val="INFOEM"/>
        <w:rPr>
          <w:b/>
        </w:rPr>
      </w:pPr>
      <w:r>
        <w:rPr>
          <w:b/>
        </w:rPr>
        <w:t>“</w:t>
      </w:r>
      <w:r w:rsidR="006F759B" w:rsidRPr="003834CC">
        <w:rPr>
          <w:b/>
        </w:rPr>
        <w:t>PRUEBA DE DAÑO EN LA CLASIFICACIÓN DE LA INFORMACIÓN PÚBLICA. SU VALIDEZ NO DEPENDE DE LOS MEDIOS DE PRUEBA QUE EL SUJETO OBLIGADO APORTE.</w:t>
      </w:r>
    </w:p>
    <w:p w14:paraId="5B05527D" w14:textId="6FD07B39" w:rsidR="006F759B" w:rsidRPr="003834CC" w:rsidRDefault="006F759B" w:rsidP="003834CC">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rsidR="003834CC">
        <w:t xml:space="preserve">” </w:t>
      </w:r>
      <w:r w:rsidR="003834CC">
        <w:rPr>
          <w:b/>
        </w:rPr>
        <w:t>(Sic)</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2C1435B7" w14:textId="59E18876" w:rsidR="003834CC" w:rsidRDefault="003834CC" w:rsidP="003834CC">
      <w:pPr>
        <w:pStyle w:val="INFOEM"/>
        <w:rPr>
          <w:b/>
          <w:lang w:val="es-ES_tradnl" w:eastAsia="en-US"/>
        </w:rPr>
      </w:pPr>
      <w:r>
        <w:rPr>
          <w:b/>
          <w:lang w:val="es-ES_tradnl" w:eastAsia="en-US"/>
        </w:rPr>
        <w:t>“</w:t>
      </w:r>
      <w:r w:rsidR="00E6674B" w:rsidRPr="00883102">
        <w:rPr>
          <w:b/>
          <w:lang w:val="es-ES_tradnl" w:eastAsia="en-US"/>
        </w:rPr>
        <w:t xml:space="preserve">INEXISTENCIA DE LA INFORMACIÓN. SUPUESTOS PARA EMITIR LA RESOLUCIÓN DE LA. </w:t>
      </w:r>
    </w:p>
    <w:p w14:paraId="367C1837" w14:textId="054F4958" w:rsidR="00E6674B" w:rsidRPr="003834CC" w:rsidRDefault="00E6674B" w:rsidP="003834CC">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3834CC">
        <w:rPr>
          <w:lang w:val="es-ES_tradnl" w:eastAsia="en-US"/>
        </w:rPr>
        <w:t xml:space="preserve">” </w:t>
      </w:r>
      <w:r w:rsidR="003834CC">
        <w:rPr>
          <w:b/>
          <w:lang w:val="es-ES_tradnl" w:eastAsia="en-US"/>
        </w:rPr>
        <w:t>(Sic)</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8DDB23E"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sidR="003834CC">
        <w:rPr>
          <w:rFonts w:ascii="Palatino Linotype" w:eastAsiaTheme="minorHAnsi" w:hAnsi="Palatino Linotype" w:cs="Arial"/>
          <w:b/>
          <w:sz w:val="24"/>
          <w:szCs w:val="24"/>
          <w:lang w:val="es-ES_tradnl" w:eastAsia="en-US"/>
        </w:rPr>
        <w:t>E</w:t>
      </w:r>
      <w:r w:rsidRPr="003834CC">
        <w:rPr>
          <w:rFonts w:ascii="Palatino Linotype" w:eastAsiaTheme="minorHAnsi" w:hAnsi="Palatino Linotype" w:cs="Arial"/>
          <w:b/>
          <w:sz w:val="24"/>
          <w:szCs w:val="24"/>
          <w:lang w:val="es-ES_tradnl" w:eastAsia="en-US"/>
        </w:rPr>
        <w:t>l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B73CC7A"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AF3B5E">
        <w:rPr>
          <w:rFonts w:ascii="Palatino Linotype" w:eastAsiaTheme="minorHAnsi" w:hAnsi="Palatino Linotype" w:cstheme="minorHAnsi"/>
          <w:sz w:val="24"/>
          <w:szCs w:val="24"/>
          <w:lang w:val="es-ES_tradnl" w:eastAsia="en-US"/>
        </w:rPr>
        <w:t>El</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E1130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1E681885"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30439C">
        <w:rPr>
          <w:rFonts w:ascii="Palatino Linotype" w:eastAsia="Palatino Linotype" w:hAnsi="Palatino Linotype" w:cs="Palatino Linotype"/>
          <w:b/>
          <w:color w:val="000000"/>
          <w:sz w:val="24"/>
          <w:szCs w:val="24"/>
          <w:lang w:val="es-ES_tradnl"/>
        </w:rPr>
        <w:t>00115/IXTAPALU/IP/2022</w:t>
      </w:r>
      <w:r w:rsidR="003834CC">
        <w:rPr>
          <w:rFonts w:ascii="Palatino Linotype" w:eastAsia="Palatino Linotype" w:hAnsi="Palatino Linotype" w:cs="Palatino Linotype"/>
          <w:b/>
          <w:color w:val="000000"/>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E1130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3834CC">
        <w:rPr>
          <w:rFonts w:ascii="Palatino Linotype" w:eastAsiaTheme="minorHAnsi" w:hAnsi="Palatino Linotype" w:cstheme="minorBidi"/>
          <w:b/>
          <w:color w:val="222222"/>
          <w:sz w:val="24"/>
          <w:szCs w:val="24"/>
          <w:lang w:val="es-ES_tradnl"/>
        </w:rPr>
        <w:t>(SAIMEX)</w:t>
      </w:r>
      <w:r w:rsidR="00E6674B" w:rsidRPr="003834CC">
        <w:rPr>
          <w:rFonts w:ascii="Palatino Linotype" w:eastAsiaTheme="minorHAnsi" w:hAnsi="Palatino Linotype" w:cstheme="minorHAnsi"/>
          <w:b/>
          <w:sz w:val="24"/>
          <w:szCs w:val="24"/>
          <w:lang w:val="es-ES_tradnl" w:eastAsia="en-US"/>
        </w:rPr>
        <w:t>,</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127CF2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3834CC">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3834CC">
        <w:rPr>
          <w:rFonts w:ascii="Palatino Linotype" w:eastAsiaTheme="minorHAnsi" w:hAnsi="Palatino Linotype" w:cstheme="minorHAnsi"/>
          <w:b/>
          <w:sz w:val="24"/>
          <w:szCs w:val="24"/>
          <w:lang w:val="es-ES_tradnl" w:eastAsia="en-US"/>
        </w:rPr>
        <w:t>(SAIMEX)</w:t>
      </w:r>
      <w:r w:rsidR="003834CC">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81B3E72"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E1130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11BC72BC"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lastRenderedPageBreak/>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AF3B5E">
        <w:rPr>
          <w:rFonts w:ascii="Palatino Linotype" w:eastAsiaTheme="minorHAnsi" w:hAnsi="Palatino Linotype" w:cstheme="minorHAnsi"/>
          <w:color w:val="222222"/>
          <w:sz w:val="24"/>
          <w:szCs w:val="24"/>
          <w:lang w:val="es-ES_tradnl" w:eastAsia="es-ES_tradnl"/>
        </w:rPr>
        <w:t>del</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EACF497" w14:textId="0A531D9D" w:rsidR="003834CC" w:rsidRDefault="003834CC" w:rsidP="003834CC">
      <w:pPr>
        <w:pStyle w:val="Prrafodelista"/>
        <w:autoSpaceDE w:val="0"/>
        <w:autoSpaceDN w:val="0"/>
        <w:adjustRightInd w:val="0"/>
        <w:spacing w:before="240" w:after="160" w:line="360" w:lineRule="auto"/>
        <w:ind w:left="0"/>
        <w:jc w:val="both"/>
        <w:rPr>
          <w:rFonts w:ascii="Palatino Linotype" w:hAnsi="Palatino Linotype" w:cs="Arial"/>
        </w:rPr>
      </w:pPr>
      <w:bookmarkStart w:id="1" w:name="_heading=h.gjdgxs" w:colFirst="0" w:colLast="0"/>
      <w:bookmarkEnd w:id="1"/>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w:t>
      </w:r>
      <w:r w:rsidR="0030439C">
        <w:rPr>
          <w:rFonts w:ascii="Palatino Linotype" w:hAnsi="Palatino Linotype" w:cs="Arial"/>
        </w:rPr>
        <w:t xml:space="preserve">TERCERA </w:t>
      </w:r>
      <w:r>
        <w:rPr>
          <w:rFonts w:ascii="Palatino Linotype" w:hAnsi="Palatino Linotype" w:cs="Arial"/>
        </w:rPr>
        <w:t xml:space="preserve">SESIÓN ORDINARIA CELEBRADA EL </w:t>
      </w:r>
      <w:r w:rsidR="003141B8">
        <w:rPr>
          <w:rFonts w:ascii="Palatino Linotype" w:hAnsi="Palatino Linotype" w:cs="Arial"/>
        </w:rPr>
        <w:t>VEINTIUNO</w:t>
      </w:r>
      <w:r w:rsidR="00262650">
        <w:rPr>
          <w:rFonts w:ascii="Palatino Linotype" w:hAnsi="Palatino Linotype" w:cs="Arial"/>
        </w:rPr>
        <w:t xml:space="preserve"> </w:t>
      </w:r>
      <w:r>
        <w:rPr>
          <w:rFonts w:ascii="Palatino Linotype" w:hAnsi="Palatino Linotype" w:cs="Arial"/>
        </w:rPr>
        <w:t xml:space="preserve">DE JUNIO </w:t>
      </w:r>
      <w:r w:rsidRPr="00266B85">
        <w:rPr>
          <w:rFonts w:ascii="Palatino Linotype" w:hAnsi="Palatino Linotype" w:cs="Arial"/>
        </w:rPr>
        <w:t>DE DOS MIL VEINTIDÓS, ANTE</w:t>
      </w:r>
      <w:r>
        <w:rPr>
          <w:rFonts w:ascii="Palatino Linotype" w:hAnsi="Palatino Linotype" w:cs="Arial"/>
        </w:rPr>
        <w:t xml:space="preserve"> EL  SECRETARIO TÉCNICO DEL PLENO, ALEXIS TAPIA RAMÍREZ. </w:t>
      </w:r>
    </w:p>
    <w:p w14:paraId="2C301CBF" w14:textId="77777777" w:rsidR="003834CC" w:rsidRDefault="003834CC" w:rsidP="003834CC">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4CCBA7B3" w14:textId="2417C081" w:rsidR="003834CC" w:rsidRDefault="003834CC" w:rsidP="003834CC">
      <w:pPr>
        <w:spacing w:after="0" w:line="360" w:lineRule="auto"/>
        <w:jc w:val="both"/>
        <w:rPr>
          <w:rFonts w:ascii="Palatino Linotype" w:hAnsi="Palatino Linotype" w:cs="Times New Roman"/>
          <w:sz w:val="24"/>
          <w:szCs w:val="24"/>
          <w:lang w:eastAsia="es-ES"/>
        </w:rPr>
      </w:pP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Default="00D718B8" w:rsidP="00663A37">
      <w:pPr>
        <w:rPr>
          <w:rFonts w:ascii="Palatino Linotype" w:hAnsi="Palatino Linotype"/>
          <w:sz w:val="20"/>
          <w:szCs w:val="20"/>
          <w:lang w:val="es-ES_tradnl"/>
        </w:rPr>
      </w:pPr>
    </w:p>
    <w:p w14:paraId="42E11C6D" w14:textId="77777777" w:rsidR="003834CC" w:rsidRDefault="003834CC" w:rsidP="00663A37">
      <w:pPr>
        <w:rPr>
          <w:rFonts w:ascii="Palatino Linotype" w:hAnsi="Palatino Linotype"/>
          <w:sz w:val="20"/>
          <w:szCs w:val="20"/>
          <w:lang w:val="es-ES_tradnl"/>
        </w:rPr>
      </w:pPr>
    </w:p>
    <w:p w14:paraId="510C4C3A" w14:textId="77777777" w:rsidR="003834CC" w:rsidRDefault="003834CC" w:rsidP="00663A37">
      <w:pPr>
        <w:rPr>
          <w:rFonts w:ascii="Palatino Linotype" w:hAnsi="Palatino Linotype"/>
          <w:sz w:val="20"/>
          <w:szCs w:val="20"/>
          <w:lang w:val="es-ES_tradnl"/>
        </w:rPr>
      </w:pPr>
    </w:p>
    <w:p w14:paraId="5FD5239C" w14:textId="77777777" w:rsidR="003834CC" w:rsidRDefault="003834CC" w:rsidP="00663A37">
      <w:pPr>
        <w:rPr>
          <w:rFonts w:ascii="Palatino Linotype" w:hAnsi="Palatino Linotype"/>
          <w:sz w:val="20"/>
          <w:szCs w:val="20"/>
          <w:lang w:val="es-ES_tradnl"/>
        </w:rPr>
      </w:pPr>
    </w:p>
    <w:p w14:paraId="0EC41003" w14:textId="77777777" w:rsidR="003834CC" w:rsidRDefault="003834CC" w:rsidP="00663A37">
      <w:pPr>
        <w:rPr>
          <w:rFonts w:ascii="Palatino Linotype" w:hAnsi="Palatino Linotype"/>
          <w:sz w:val="20"/>
          <w:szCs w:val="20"/>
          <w:lang w:val="es-ES_tradnl"/>
        </w:rPr>
      </w:pPr>
    </w:p>
    <w:p w14:paraId="12A6EBA1" w14:textId="77777777" w:rsidR="003834CC" w:rsidRDefault="003834CC" w:rsidP="00663A37">
      <w:pPr>
        <w:rPr>
          <w:rFonts w:ascii="Palatino Linotype" w:hAnsi="Palatino Linotype"/>
          <w:sz w:val="20"/>
          <w:szCs w:val="20"/>
          <w:lang w:val="es-ES_tradnl"/>
        </w:rPr>
      </w:pPr>
    </w:p>
    <w:p w14:paraId="28AA3D3B" w14:textId="77777777" w:rsidR="003834CC" w:rsidRDefault="003834CC" w:rsidP="00663A37">
      <w:pPr>
        <w:rPr>
          <w:rFonts w:ascii="Palatino Linotype" w:hAnsi="Palatino Linotype"/>
          <w:sz w:val="20"/>
          <w:szCs w:val="20"/>
          <w:lang w:val="es-ES_tradnl"/>
        </w:rPr>
      </w:pPr>
    </w:p>
    <w:p w14:paraId="25FBCDB0" w14:textId="77777777" w:rsidR="003834CC" w:rsidRDefault="003834CC" w:rsidP="00663A37">
      <w:pPr>
        <w:rPr>
          <w:rFonts w:ascii="Palatino Linotype" w:hAnsi="Palatino Linotype"/>
          <w:sz w:val="20"/>
          <w:szCs w:val="20"/>
          <w:lang w:val="es-ES_tradnl"/>
        </w:rPr>
      </w:pPr>
    </w:p>
    <w:p w14:paraId="480E96D4" w14:textId="77777777" w:rsidR="003834CC" w:rsidRDefault="003834CC" w:rsidP="00663A37">
      <w:pPr>
        <w:rPr>
          <w:rFonts w:ascii="Palatino Linotype" w:hAnsi="Palatino Linotype"/>
          <w:sz w:val="20"/>
          <w:szCs w:val="20"/>
          <w:lang w:val="es-ES_tradnl"/>
        </w:rPr>
      </w:pPr>
    </w:p>
    <w:p w14:paraId="72BD1E33" w14:textId="77777777" w:rsidR="003834CC" w:rsidRDefault="003834CC" w:rsidP="00663A37">
      <w:pPr>
        <w:rPr>
          <w:rFonts w:ascii="Palatino Linotype" w:hAnsi="Palatino Linotype"/>
          <w:sz w:val="20"/>
          <w:szCs w:val="20"/>
          <w:lang w:val="es-ES_tradnl"/>
        </w:rPr>
      </w:pPr>
    </w:p>
    <w:p w14:paraId="5C3C8CE7" w14:textId="77777777" w:rsidR="003834CC" w:rsidRDefault="003834CC" w:rsidP="00663A37">
      <w:pPr>
        <w:rPr>
          <w:rFonts w:ascii="Palatino Linotype" w:hAnsi="Palatino Linotype"/>
          <w:sz w:val="20"/>
          <w:szCs w:val="20"/>
          <w:lang w:val="es-ES_tradnl"/>
        </w:rPr>
      </w:pPr>
    </w:p>
    <w:p w14:paraId="19F655DC" w14:textId="77777777" w:rsidR="003834CC" w:rsidRPr="00883102" w:rsidRDefault="003834CC" w:rsidP="00663A37">
      <w:pPr>
        <w:rPr>
          <w:rFonts w:ascii="Palatino Linotype" w:hAnsi="Palatino Linotype"/>
          <w:sz w:val="20"/>
          <w:szCs w:val="20"/>
          <w:lang w:val="es-ES_tradnl"/>
        </w:rPr>
      </w:pPr>
    </w:p>
    <w:sectPr w:rsidR="003834CC"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CF52" w14:textId="77777777" w:rsidR="00464108" w:rsidRDefault="00464108" w:rsidP="00F2498E">
      <w:pPr>
        <w:spacing w:after="0" w:line="240" w:lineRule="auto"/>
      </w:pPr>
      <w:r>
        <w:separator/>
      </w:r>
    </w:p>
  </w:endnote>
  <w:endnote w:type="continuationSeparator" w:id="0">
    <w:p w14:paraId="1839EEC2" w14:textId="77777777" w:rsidR="00464108" w:rsidRDefault="0046410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A4DB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A4DB8">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A4D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A4DB8">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BF00F" w14:textId="77777777" w:rsidR="00464108" w:rsidRDefault="00464108" w:rsidP="00F2498E">
      <w:pPr>
        <w:spacing w:after="0" w:line="240" w:lineRule="auto"/>
      </w:pPr>
      <w:r>
        <w:separator/>
      </w:r>
    </w:p>
  </w:footnote>
  <w:footnote w:type="continuationSeparator" w:id="0">
    <w:p w14:paraId="349AB2EE" w14:textId="77777777" w:rsidR="00464108" w:rsidRDefault="00464108" w:rsidP="00F2498E">
      <w:pPr>
        <w:spacing w:after="0" w:line="240" w:lineRule="auto"/>
      </w:pPr>
      <w:r>
        <w:continuationSeparator/>
      </w:r>
    </w:p>
  </w:footnote>
  <w:footnote w:id="1">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2">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3">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464108">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6EAD241"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CB2BD2">
            <w:rPr>
              <w:rFonts w:ascii="Palatino Linotype" w:hAnsi="Palatino Linotype" w:cs="Arial"/>
              <w:b/>
              <w:bCs/>
              <w:sz w:val="24"/>
              <w:szCs w:val="24"/>
            </w:rPr>
            <w:t>8775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1C08D32"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Ixtapaluca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464108">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BCFEBB5"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CB2BD2">
            <w:rPr>
              <w:rFonts w:ascii="Palatino Linotype" w:hAnsi="Palatino Linotype" w:cs="Arial"/>
              <w:b/>
              <w:bCs/>
              <w:sz w:val="24"/>
              <w:szCs w:val="24"/>
            </w:rPr>
            <w:t>8775</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DFD339C" w:rsidR="00A27FD0" w:rsidRPr="00C50FCD" w:rsidRDefault="00A27FD0" w:rsidP="00C50FCD">
          <w:pPr>
            <w:pStyle w:val="Prrafodelista"/>
            <w:spacing w:after="120"/>
            <w:ind w:left="720" w:right="68"/>
            <w:jc w:val="right"/>
            <w:rPr>
              <w:rFonts w:ascii="Palatino Linotype" w:hAnsi="Palatino Linotype" w:cs="Arial"/>
            </w:rPr>
          </w:pP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96B7459"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Ixtapaluca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464108">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5"/>
  </w:num>
  <w:num w:numId="6">
    <w:abstractNumId w:val="1"/>
  </w:num>
  <w:num w:numId="7">
    <w:abstractNumId w:val="3"/>
  </w:num>
  <w:num w:numId="8">
    <w:abstractNumId w:val="0"/>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5331"/>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2650"/>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439C"/>
    <w:rsid w:val="00310825"/>
    <w:rsid w:val="00312106"/>
    <w:rsid w:val="003126FB"/>
    <w:rsid w:val="003141B8"/>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4DB8"/>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108"/>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827"/>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031"/>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50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3D64"/>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2BD2"/>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35C8A"/>
    <w:rsid w:val="00E41D0D"/>
    <w:rsid w:val="00E44190"/>
    <w:rsid w:val="00E46685"/>
    <w:rsid w:val="00E507BE"/>
    <w:rsid w:val="00E50A06"/>
    <w:rsid w:val="00E51D63"/>
    <w:rsid w:val="00E5265D"/>
    <w:rsid w:val="00E546D8"/>
    <w:rsid w:val="00E55C26"/>
    <w:rsid w:val="00E55EA0"/>
    <w:rsid w:val="00E600CD"/>
    <w:rsid w:val="00E623F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8817-0D26-40B8-88B7-15EA061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9745</Words>
  <Characters>53598</Characters>
  <Application>Microsoft Office Word</Application>
  <DocSecurity>0</DocSecurity>
  <Lines>446</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2019-06-13T15:30:00Z</cp:lastPrinted>
  <dcterms:created xsi:type="dcterms:W3CDTF">2022-06-14T15:55:00Z</dcterms:created>
  <dcterms:modified xsi:type="dcterms:W3CDTF">2022-06-21T23:32:00Z</dcterms:modified>
</cp:coreProperties>
</file>