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CE96" w14:textId="77777777" w:rsidR="00A32F2F" w:rsidRDefault="003A5173">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diez de agosto de dos mil veintidós</w:t>
      </w:r>
      <w:r>
        <w:rPr>
          <w:rFonts w:ascii="Palatino Linotype" w:eastAsia="Palatino Linotype" w:hAnsi="Palatino Linotype" w:cs="Palatino Linotype"/>
        </w:rPr>
        <w:t>.</w:t>
      </w:r>
    </w:p>
    <w:p w14:paraId="5DC252A4" w14:textId="77777777" w:rsidR="00A32F2F" w:rsidRDefault="003A5173">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05279/INFOEM/IP/RR/2022 y 05280/INFOEM/IP/RR/2022 acumulados,</w:t>
      </w:r>
      <w:r>
        <w:rPr>
          <w:rFonts w:ascii="Palatino Linotype" w:eastAsia="Palatino Linotype" w:hAnsi="Palatino Linotype" w:cs="Palatino Linotype"/>
        </w:rPr>
        <w:t xml:space="preserve"> interpuestos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falta de respuestas a las solicitudes de información con número de folio </w:t>
      </w:r>
      <w:r>
        <w:rPr>
          <w:rFonts w:ascii="Palatino Linotype" w:eastAsia="Palatino Linotype" w:hAnsi="Palatino Linotype" w:cs="Palatino Linotype"/>
          <w:b/>
        </w:rPr>
        <w:t xml:space="preserve">00042/TEZOYUCA/IP/2022 y 00041/TEZOYUCA/IP/2022,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Tezoyuca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02E94B0D" w14:textId="77777777" w:rsidR="00A32F2F" w:rsidRDefault="003A5173">
      <w:pPr>
        <w:numPr>
          <w:ilvl w:val="0"/>
          <w:numId w:val="1"/>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4AF0F3A9" w14:textId="77777777" w:rsidR="00A32F2F" w:rsidRDefault="003A5173">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w:t>
      </w:r>
    </w:p>
    <w:tbl>
      <w:tblPr>
        <w:tblStyle w:val="a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890"/>
      </w:tblGrid>
      <w:tr w:rsidR="00A32F2F" w14:paraId="4CF57D07" w14:textId="77777777" w:rsidTr="003A5173">
        <w:trPr>
          <w:trHeight w:val="404"/>
        </w:trPr>
        <w:tc>
          <w:tcPr>
            <w:tcW w:w="2938" w:type="dxa"/>
            <w:shd w:val="clear" w:color="auto" w:fill="002060"/>
          </w:tcPr>
          <w:p w14:paraId="18C06E3F" w14:textId="77777777" w:rsidR="00A32F2F" w:rsidRDefault="003A5173">
            <w:pPr>
              <w:spacing w:before="240" w:after="240"/>
              <w:jc w:val="center"/>
              <w:rPr>
                <w:rFonts w:ascii="Palatino Linotype" w:eastAsia="Palatino Linotype" w:hAnsi="Palatino Linotype" w:cs="Palatino Linotype"/>
                <w:b/>
                <w:color w:val="FFFFFF"/>
                <w:sz w:val="20"/>
                <w:szCs w:val="20"/>
              </w:rPr>
            </w:pPr>
            <w:bookmarkStart w:id="2" w:name="_heading=h.1fob9te" w:colFirst="0" w:colLast="0"/>
            <w:bookmarkEnd w:id="2"/>
            <w:r>
              <w:rPr>
                <w:rFonts w:ascii="Palatino Linotype" w:eastAsia="Palatino Linotype" w:hAnsi="Palatino Linotype" w:cs="Palatino Linotype"/>
                <w:b/>
                <w:color w:val="FFFFFF"/>
                <w:sz w:val="20"/>
                <w:szCs w:val="20"/>
              </w:rPr>
              <w:t>Número de solicitud</w:t>
            </w:r>
          </w:p>
        </w:tc>
        <w:tc>
          <w:tcPr>
            <w:tcW w:w="5890" w:type="dxa"/>
            <w:shd w:val="clear" w:color="auto" w:fill="002060"/>
          </w:tcPr>
          <w:p w14:paraId="295214D2" w14:textId="77777777" w:rsidR="00A32F2F" w:rsidRDefault="003A5173">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Información requerida</w:t>
            </w:r>
          </w:p>
        </w:tc>
      </w:tr>
      <w:tr w:rsidR="00A32F2F" w14:paraId="2C98FE52" w14:textId="77777777">
        <w:trPr>
          <w:trHeight w:val="1434"/>
        </w:trPr>
        <w:tc>
          <w:tcPr>
            <w:tcW w:w="2938" w:type="dxa"/>
          </w:tcPr>
          <w:p w14:paraId="00CA4CFD" w14:textId="77777777" w:rsidR="00A32F2F" w:rsidRDefault="003A5173">
            <w:pPr>
              <w:spacing w:before="240" w:after="240"/>
              <w:jc w:val="center"/>
              <w:rPr>
                <w:rFonts w:ascii="Palatino Linotype" w:eastAsia="Palatino Linotype" w:hAnsi="Palatino Linotype" w:cs="Palatino Linotype"/>
                <w:b/>
                <w:sz w:val="20"/>
                <w:szCs w:val="20"/>
              </w:rPr>
            </w:pPr>
            <w:bookmarkStart w:id="3" w:name="_heading=h.3znysh7" w:colFirst="0" w:colLast="0"/>
            <w:bookmarkEnd w:id="3"/>
            <w:r>
              <w:rPr>
                <w:rFonts w:ascii="Palatino Linotype" w:eastAsia="Palatino Linotype" w:hAnsi="Palatino Linotype" w:cs="Palatino Linotype"/>
                <w:b/>
                <w:sz w:val="20"/>
                <w:szCs w:val="20"/>
              </w:rPr>
              <w:t xml:space="preserve">00042/TEZOYUCA/IP/2022, </w:t>
            </w:r>
            <w:r>
              <w:rPr>
                <w:rFonts w:ascii="Palatino Linotype" w:eastAsia="Palatino Linotype" w:hAnsi="Palatino Linotype" w:cs="Palatino Linotype"/>
                <w:sz w:val="20"/>
                <w:szCs w:val="20"/>
              </w:rPr>
              <w:t xml:space="preserve">correspondiente al Recurso de Revisión </w:t>
            </w:r>
            <w:r>
              <w:rPr>
                <w:rFonts w:ascii="Palatino Linotype" w:eastAsia="Palatino Linotype" w:hAnsi="Palatino Linotype" w:cs="Palatino Linotype"/>
                <w:b/>
                <w:sz w:val="18"/>
                <w:szCs w:val="18"/>
              </w:rPr>
              <w:t>05279/INFOEM/IP/RR/2022</w:t>
            </w:r>
          </w:p>
        </w:tc>
        <w:tc>
          <w:tcPr>
            <w:tcW w:w="5890" w:type="dxa"/>
          </w:tcPr>
          <w:p w14:paraId="6BF83869"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“Solicito los recibos de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de la Primera y Segunda de enero de TODOS los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de confianza y sindicalizados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xml:space="preserve"> como los de lista de raya que presentan en el informe al OSFEM” (Sic)</w:t>
            </w:r>
          </w:p>
        </w:tc>
      </w:tr>
      <w:tr w:rsidR="00A32F2F" w14:paraId="39692AC7" w14:textId="77777777">
        <w:trPr>
          <w:trHeight w:val="718"/>
        </w:trPr>
        <w:tc>
          <w:tcPr>
            <w:tcW w:w="2938" w:type="dxa"/>
          </w:tcPr>
          <w:p w14:paraId="04615DA5" w14:textId="77777777" w:rsidR="00A32F2F" w:rsidRDefault="003A5173">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00041/TEZOYUCA/IP/2022,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05280/INFOEM/IP/RR/2022</w:t>
            </w:r>
          </w:p>
        </w:tc>
        <w:tc>
          <w:tcPr>
            <w:tcW w:w="5890" w:type="dxa"/>
          </w:tcPr>
          <w:p w14:paraId="26522BDB"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“Solicito los recibos de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de la primera y segunda quincena de enero del 2022, del Presidente, sindico y regidores” (Sic)</w:t>
            </w:r>
          </w:p>
        </w:tc>
      </w:tr>
    </w:tbl>
    <w:p w14:paraId="129AF34E"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D74B719" w14:textId="77777777" w:rsidR="00A32F2F" w:rsidRDefault="003A5173">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se observa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fue omiso en otorgar respuestas a ambas solicitudes de información.</w:t>
      </w:r>
      <w:r>
        <w:rPr>
          <w:rFonts w:ascii="Palatino Linotype" w:eastAsia="Palatino Linotype" w:hAnsi="Palatino Linotype" w:cs="Palatino Linotype"/>
          <w:b/>
        </w:rPr>
        <w:t xml:space="preserve"> </w:t>
      </w:r>
    </w:p>
    <w:p w14:paraId="61A12A06"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con </w:t>
      </w:r>
      <w:r>
        <w:rPr>
          <w:rFonts w:ascii="Palatino Linotype" w:eastAsia="Palatino Linotype" w:hAnsi="Palatino Linotype" w:cs="Palatino Linotype"/>
          <w:color w:val="000000"/>
        </w:rPr>
        <w:t xml:space="preserve">la falta de respuestas </w:t>
      </w:r>
      <w:r>
        <w:rPr>
          <w:rFonts w:ascii="Palatino Linotype" w:eastAsia="Palatino Linotype" w:hAnsi="Palatino Linotype" w:cs="Palatino Linotype"/>
        </w:rPr>
        <w:t xml:space="preserve">del Sujeto Obligado, en fecha </w:t>
      </w:r>
      <w:r>
        <w:rPr>
          <w:rFonts w:ascii="Palatino Linotype" w:eastAsia="Palatino Linotype" w:hAnsi="Palatino Linotype" w:cs="Palatino Linotype"/>
          <w:b/>
        </w:rPr>
        <w:t>treinta y uno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los recursos de revisión en los que manifestó lo siguiente:</w:t>
      </w: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2596"/>
      </w:tblGrid>
      <w:tr w:rsidR="00A32F2F" w14:paraId="5AB1B44C" w14:textId="77777777" w:rsidTr="003A5173">
        <w:tc>
          <w:tcPr>
            <w:tcW w:w="2830" w:type="dxa"/>
            <w:shd w:val="clear" w:color="auto" w:fill="002060"/>
          </w:tcPr>
          <w:p w14:paraId="7ED61040" w14:textId="77777777" w:rsidR="00A32F2F" w:rsidRDefault="003A5173">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Recurso de revisión</w:t>
            </w:r>
          </w:p>
        </w:tc>
        <w:tc>
          <w:tcPr>
            <w:tcW w:w="3402" w:type="dxa"/>
            <w:shd w:val="clear" w:color="auto" w:fill="002060"/>
          </w:tcPr>
          <w:p w14:paraId="753A72EA" w14:textId="77777777" w:rsidR="00A32F2F" w:rsidRDefault="003A5173">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Acto impugnado.</w:t>
            </w:r>
          </w:p>
        </w:tc>
        <w:tc>
          <w:tcPr>
            <w:tcW w:w="2596" w:type="dxa"/>
            <w:shd w:val="clear" w:color="auto" w:fill="002060"/>
          </w:tcPr>
          <w:p w14:paraId="5E576B06" w14:textId="77777777" w:rsidR="00A32F2F" w:rsidRDefault="003A5173">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Motivos de inconformidad.</w:t>
            </w:r>
          </w:p>
        </w:tc>
      </w:tr>
      <w:tr w:rsidR="00A32F2F" w14:paraId="57E3F172" w14:textId="77777777">
        <w:tc>
          <w:tcPr>
            <w:tcW w:w="2830" w:type="dxa"/>
          </w:tcPr>
          <w:p w14:paraId="6E5EAFC2" w14:textId="77777777" w:rsidR="00A32F2F" w:rsidRDefault="003A5173">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05279/INFOEM/IP/RR/2022 </w:t>
            </w:r>
          </w:p>
        </w:tc>
        <w:tc>
          <w:tcPr>
            <w:tcW w:w="3402" w:type="dxa"/>
            <w:shd w:val="clear" w:color="auto" w:fill="auto"/>
          </w:tcPr>
          <w:p w14:paraId="418991C0"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“PORQUE EL SUJETO OBLIGADO HACE CASO OMISO A LA SOLICITUD” (Sic)</w:t>
            </w:r>
          </w:p>
        </w:tc>
        <w:tc>
          <w:tcPr>
            <w:tcW w:w="2596" w:type="dxa"/>
            <w:shd w:val="clear" w:color="auto" w:fill="auto"/>
          </w:tcPr>
          <w:p w14:paraId="55A9385B"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“SUJETO OBLIGADO NO CUMPLE CON ENTREGAR LA INFORMACION SOLICITADA” (Sic)</w:t>
            </w:r>
          </w:p>
        </w:tc>
      </w:tr>
      <w:tr w:rsidR="00A32F2F" w14:paraId="091E3010" w14:textId="77777777">
        <w:tc>
          <w:tcPr>
            <w:tcW w:w="2830" w:type="dxa"/>
          </w:tcPr>
          <w:p w14:paraId="5EB27BF4" w14:textId="77777777" w:rsidR="00A32F2F" w:rsidRDefault="003A5173">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05280/INFOEM/IP/RR/2022</w:t>
            </w:r>
          </w:p>
        </w:tc>
        <w:tc>
          <w:tcPr>
            <w:tcW w:w="3402" w:type="dxa"/>
            <w:shd w:val="clear" w:color="auto" w:fill="auto"/>
          </w:tcPr>
          <w:p w14:paraId="004A1BCE"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“PORQUE EL SUJETO OBLIGADO NO ENTREGA LA INFORMACION SOLICITADA” (Sic)</w:t>
            </w:r>
          </w:p>
        </w:tc>
        <w:tc>
          <w:tcPr>
            <w:tcW w:w="2596" w:type="dxa"/>
            <w:shd w:val="clear" w:color="auto" w:fill="auto"/>
          </w:tcPr>
          <w:p w14:paraId="36197159" w14:textId="77777777" w:rsidR="00A32F2F" w:rsidRDefault="003A517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“SUJETO OBLIGADO INCUMPLE CON LA LEY DE TRANSPARENCIA Y ACCESO A LA INFORMACION AL NO ENTREGAR LA INFORMACION” (Sic)</w:t>
            </w:r>
          </w:p>
        </w:tc>
      </w:tr>
    </w:tbl>
    <w:p w14:paraId="662697AC"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32F2F" w14:paraId="0969E10E" w14:textId="77777777" w:rsidTr="00370003">
        <w:trPr>
          <w:trHeight w:val="785"/>
        </w:trPr>
        <w:tc>
          <w:tcPr>
            <w:tcW w:w="4414" w:type="dxa"/>
            <w:shd w:val="clear" w:color="auto" w:fill="002060"/>
          </w:tcPr>
          <w:p w14:paraId="719594B9" w14:textId="77777777" w:rsidR="00A32F2F" w:rsidRDefault="003A5173">
            <w:pPr>
              <w:spacing w:before="240" w:after="240" w:line="360" w:lineRule="auto"/>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Recurso de Revisión</w:t>
            </w:r>
          </w:p>
        </w:tc>
        <w:tc>
          <w:tcPr>
            <w:tcW w:w="4414" w:type="dxa"/>
            <w:shd w:val="clear" w:color="auto" w:fill="002060"/>
          </w:tcPr>
          <w:p w14:paraId="127764FC" w14:textId="77777777" w:rsidR="00A32F2F" w:rsidRDefault="003A5173">
            <w:pPr>
              <w:spacing w:before="240" w:after="240" w:line="360" w:lineRule="auto"/>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Comisionada/o</w:t>
            </w:r>
          </w:p>
        </w:tc>
      </w:tr>
      <w:tr w:rsidR="00A32F2F" w14:paraId="1370FE55" w14:textId="77777777">
        <w:tc>
          <w:tcPr>
            <w:tcW w:w="4414" w:type="dxa"/>
          </w:tcPr>
          <w:p w14:paraId="3DEB90D5" w14:textId="77777777" w:rsidR="00A32F2F" w:rsidRDefault="003A5173">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05279/INFOEM/IP/RR/2022  </w:t>
            </w:r>
          </w:p>
        </w:tc>
        <w:tc>
          <w:tcPr>
            <w:tcW w:w="4414" w:type="dxa"/>
          </w:tcPr>
          <w:p w14:paraId="111FFE71" w14:textId="77777777" w:rsidR="00A32F2F" w:rsidRDefault="003A5173">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A32F2F" w14:paraId="280F693E" w14:textId="77777777">
        <w:tc>
          <w:tcPr>
            <w:tcW w:w="4414" w:type="dxa"/>
          </w:tcPr>
          <w:p w14:paraId="70D9CF14" w14:textId="77777777" w:rsidR="00A32F2F" w:rsidRDefault="003A5173">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05280/INFOEM/IP/RR/2022</w:t>
            </w:r>
          </w:p>
        </w:tc>
        <w:tc>
          <w:tcPr>
            <w:tcW w:w="4414" w:type="dxa"/>
          </w:tcPr>
          <w:p w14:paraId="6EEA280D" w14:textId="77777777" w:rsidR="00A32F2F" w:rsidRDefault="003A5173">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Presidente José Martínez Vilchis</w:t>
            </w:r>
          </w:p>
        </w:tc>
      </w:tr>
    </w:tbl>
    <w:p w14:paraId="7245465D"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Admisiones.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cinco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w:t>
      </w:r>
      <w:r>
        <w:rPr>
          <w:rFonts w:ascii="Palatino Linotype" w:eastAsia="Palatino Linotype" w:hAnsi="Palatino Linotype" w:cs="Palatino Linotype"/>
          <w:b/>
          <w:color w:val="000000"/>
        </w:rPr>
        <w:t>abril de dos mil veintidós</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66A94BA1"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Cuarta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 xml:space="preserve">veinte de </w:t>
      </w:r>
      <w:r>
        <w:rPr>
          <w:rFonts w:ascii="Palatino Linotype" w:eastAsia="Palatino Linotype" w:hAnsi="Palatino Linotype" w:cs="Palatino Linotype"/>
          <w:b/>
          <w:color w:val="000000"/>
        </w:rPr>
        <w:t>abril de dos mil veintidós</w:t>
      </w:r>
      <w:r>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w:t>
      </w:r>
    </w:p>
    <w:p w14:paraId="07C7446C" w14:textId="77777777" w:rsidR="00A32F2F" w:rsidRDefault="003A5173">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lastRenderedPageBreak/>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sus informes justificados en fechas </w:t>
      </w:r>
      <w:r>
        <w:rPr>
          <w:rFonts w:ascii="Palatino Linotype" w:eastAsia="Palatino Linotype" w:hAnsi="Palatino Linotype" w:cs="Palatino Linotype"/>
          <w:b/>
        </w:rPr>
        <w:t>tres y treinta de junio de dos mil veintidós</w:t>
      </w:r>
      <w:r>
        <w:rPr>
          <w:rFonts w:ascii="Palatino Linotype" w:eastAsia="Palatino Linotype" w:hAnsi="Palatino Linotype" w:cs="Palatino Linotype"/>
        </w:rPr>
        <w:t xml:space="preserve">, adjuntando para tal efecto los siguientes archivos electrónicos:  </w:t>
      </w:r>
    </w:p>
    <w:p w14:paraId="02988A0D" w14:textId="77777777" w:rsidR="00A32F2F" w:rsidRDefault="003A5173">
      <w:pPr>
        <w:spacing w:before="240" w:after="240" w:line="36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sz w:val="22"/>
          <w:szCs w:val="22"/>
        </w:rPr>
        <w:t xml:space="preserve">Recurso de Revisión 05279/INFOEM/IP/RR/2022:  </w:t>
      </w:r>
    </w:p>
    <w:p w14:paraId="30F4CBA5" w14:textId="77777777" w:rsidR="00A32F2F" w:rsidRDefault="003A517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“Enero_Censurado.pdf”: </w:t>
      </w:r>
      <w:r>
        <w:rPr>
          <w:rFonts w:ascii="Palatino Linotype" w:eastAsia="Palatino Linotype" w:hAnsi="Palatino Linotype" w:cs="Palatino Linotype"/>
          <w:sz w:val="22"/>
          <w:szCs w:val="22"/>
        </w:rPr>
        <w:t xml:space="preserve">Documento electrónico de ochenta y cuatro fojas en el que se advierten recibos de nómina de diversos servidores públicos, correspondientes a la primera y segunda quincena de enero de dos mil veintidós, es de resaltar que este documento no se hizo del conocimiento del particular en virtud de que en la foja 35 se localiza el nombre de un elemento operativo de seguridad pública. </w:t>
      </w:r>
    </w:p>
    <w:p w14:paraId="3A355841" w14:textId="77777777" w:rsidR="00A32F2F" w:rsidRDefault="003A5173">
      <w:pPr>
        <w:spacing w:before="240" w:after="240" w:line="360" w:lineRule="auto"/>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05280/INFOEM/IP/RR/2022:  </w:t>
      </w:r>
    </w:p>
    <w:p w14:paraId="2B8781E4" w14:textId="77777777" w:rsidR="00A32F2F" w:rsidRDefault="003A517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“Escaneo0014_Censurado.pdf”y “Escaneo0014_Censurado.pdf”: </w:t>
      </w:r>
      <w:r>
        <w:rPr>
          <w:rFonts w:ascii="Palatino Linotype" w:eastAsia="Palatino Linotype" w:hAnsi="Palatino Linotype" w:cs="Palatino Linotype"/>
          <w:sz w:val="22"/>
          <w:szCs w:val="22"/>
        </w:rPr>
        <w:t>Ambos archivos cuentan con el mismo contenido, seis fojas en el que se advierten los recibos de nómina del presidente municipal, síndico y regidores, en versión pública, correspondientes a la primera y segunda quincena de enero de dos mil veintidós.</w:t>
      </w:r>
    </w:p>
    <w:p w14:paraId="088EDE39" w14:textId="77777777" w:rsidR="00A32F2F" w:rsidRDefault="003A517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Es de señalar que esta documentación se puso a la vista del particular mediante acuerdo emitido por la Comisionada Ponente en fecha </w:t>
      </w:r>
      <w:r>
        <w:rPr>
          <w:rFonts w:ascii="Palatino Linotype" w:eastAsia="Palatino Linotype" w:hAnsi="Palatino Linotype" w:cs="Palatino Linotype"/>
          <w:b/>
        </w:rPr>
        <w:t>dos de agosto de dos mil veintidós.</w:t>
      </w:r>
    </w:p>
    <w:p w14:paraId="6BEFF4BD" w14:textId="77777777" w:rsidR="00A32F2F" w:rsidRDefault="003A51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75D6F5A" wp14:editId="26857623">
            <wp:extent cx="5610225" cy="2543175"/>
            <wp:effectExtent l="0" t="0" r="0" b="0"/>
            <wp:docPr id="3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0225" cy="2543175"/>
                    </a:xfrm>
                    <a:prstGeom prst="rect">
                      <a:avLst/>
                    </a:prstGeom>
                    <a:ln/>
                  </pic:spPr>
                </pic:pic>
              </a:graphicData>
            </a:graphic>
          </wp:inline>
        </w:drawing>
      </w:r>
    </w:p>
    <w:p w14:paraId="6F8CF42A"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Ampliaciones de plazo. </w:t>
      </w:r>
      <w:r>
        <w:rPr>
          <w:rFonts w:ascii="Palatino Linotype" w:eastAsia="Palatino Linotype" w:hAnsi="Palatino Linotype" w:cs="Palatino Linotype"/>
        </w:rPr>
        <w:t>En fecha</w:t>
      </w:r>
      <w:r>
        <w:rPr>
          <w:rFonts w:ascii="Palatino Linotype" w:eastAsia="Palatino Linotype" w:hAnsi="Palatino Linotype" w:cs="Palatino Linotype"/>
          <w:color w:val="FF0000"/>
        </w:rPr>
        <w:t xml:space="preserve"> </w:t>
      </w:r>
      <w:r w:rsidRPr="00370003">
        <w:rPr>
          <w:rFonts w:ascii="Palatino Linotype" w:eastAsia="Palatino Linotype" w:hAnsi="Palatino Linotype" w:cs="Palatino Linotype"/>
          <w:b/>
          <w:color w:val="000000"/>
        </w:rPr>
        <w:t>cuatro</w:t>
      </w:r>
      <w:r w:rsidRPr="00370003">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agosto de dos mil veintidós</w:t>
      </w:r>
      <w:r>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0D7FD2B1"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BC28546"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7FB860"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D13515"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EE4A5B"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52A77C45" w14:textId="77777777" w:rsidR="00A32F2F" w:rsidRDefault="003A5173">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E573C9A" w14:textId="77777777" w:rsidR="00A32F2F" w:rsidRDefault="003A5173">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73BCE278" w14:textId="77777777" w:rsidR="00A32F2F" w:rsidRDefault="003A5173">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3048FF9E" w14:textId="77777777" w:rsidR="00A32F2F" w:rsidRDefault="003A5173">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B832B22"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1AB647"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5CFB69C"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9D390B"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A22195"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4EF08A7"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12BB900"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564EFAA" w14:textId="77777777" w:rsidR="00A32F2F" w:rsidRDefault="003A5173">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Cierres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w:t>
      </w:r>
      <w:r>
        <w:rPr>
          <w:rFonts w:ascii="Palatino Linotype" w:eastAsia="Palatino Linotype" w:hAnsi="Palatino Linotype" w:cs="Palatino Linotype"/>
        </w:rPr>
        <w:lastRenderedPageBreak/>
        <w:t xml:space="preserve">correspondientes con fundamento en el artículo 185 fracción VI de la Ley de Transparencia y Acceso a la Información Pública del Estado de México y Municipios, el día </w:t>
      </w:r>
      <w:r w:rsidR="00370003">
        <w:rPr>
          <w:rFonts w:ascii="Palatino Linotype" w:eastAsia="Palatino Linotype" w:hAnsi="Palatino Linotype" w:cs="Palatino Linotype"/>
          <w:b/>
          <w:color w:val="000000"/>
        </w:rPr>
        <w:t>nueve</w:t>
      </w:r>
      <w:r>
        <w:rPr>
          <w:rFonts w:ascii="Palatino Linotype" w:eastAsia="Palatino Linotype" w:hAnsi="Palatino Linotype" w:cs="Palatino Linotype"/>
          <w:b/>
          <w:color w:val="000000"/>
        </w:rPr>
        <w:t xml:space="preserve"> de agosto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3C4B5594"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w:t>
      </w:r>
      <w:r>
        <w:rPr>
          <w:rFonts w:ascii="Palatino Linotype" w:eastAsia="Palatino Linotype" w:hAnsi="Palatino Linotype" w:cs="Palatino Linotype"/>
          <w:color w:val="000000"/>
        </w:rPr>
        <w:t xml:space="preserve">fueron debidamente sustanciados los expedientes electrónicos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14:paraId="311EDC51" w14:textId="77777777" w:rsidR="00A32F2F" w:rsidRDefault="003A5173">
      <w:pP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07F6E932" w14:textId="77777777" w:rsidR="00A32F2F" w:rsidRDefault="003A5173">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w:t>
      </w:r>
      <w:r>
        <w:rPr>
          <w:rFonts w:ascii="Palatino Linotype" w:eastAsia="Palatino Linotype" w:hAnsi="Palatino Linotype" w:cs="Palatino Linotype"/>
        </w:rPr>
        <w:t xml:space="preserve">los presentes recursos de revisión interpuestos </w:t>
      </w:r>
      <w:r>
        <w:rPr>
          <w:rFonts w:ascii="Palatino Linotype" w:eastAsia="Palatino Linotype" w:hAnsi="Palatino Linotype" w:cs="Palatino Linotype"/>
          <w:highlight w:val="white"/>
        </w:rPr>
        <w:t xml:space="preserve">por </w:t>
      </w:r>
      <w:r>
        <w:rPr>
          <w:rFonts w:ascii="Palatino Linotype" w:eastAsia="Palatino Linotype" w:hAnsi="Palatino Linotype" w:cs="Palatino Linotype"/>
          <w:b/>
          <w:highlight w:val="white"/>
        </w:rPr>
        <w:t>el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65CC782"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w:t>
      </w:r>
      <w:r>
        <w:rPr>
          <w:rFonts w:ascii="Palatino Linotype" w:eastAsia="Palatino Linotype" w:hAnsi="Palatino Linotype" w:cs="Palatino Linotype"/>
        </w:rPr>
        <w:lastRenderedPageBreak/>
        <w:t xml:space="preserve">describe el mecanismo de procedencia de los recursos de revisión, como se dispone en los artículos 163 y 166, del tenor literal siguiente: </w:t>
      </w:r>
    </w:p>
    <w:p w14:paraId="505E7D60"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3FC99B9"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14:paraId="1CA243D9"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14:paraId="1811960E"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75B64FBB"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6E1D9F0F"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016BF279" w14:textId="77777777" w:rsidR="00A32F2F" w:rsidRDefault="003A517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su parte, el artículo 178 del citado ordenamiento, establece:</w:t>
      </w:r>
    </w:p>
    <w:p w14:paraId="2541AE5A" w14:textId="77777777" w:rsidR="00A32F2F" w:rsidRDefault="003A5173">
      <w:pPr>
        <w:ind w:left="567"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Pr>
          <w:rFonts w:ascii="Palatino Linotype" w:eastAsia="Palatino Linotype" w:hAnsi="Palatino Linotype" w:cs="Palatino Linotype"/>
          <w:i/>
          <w:sz w:val="22"/>
          <w:szCs w:val="22"/>
        </w:rPr>
        <w:lastRenderedPageBreak/>
        <w:t>dentro de los quince días hábiles, siguientes a la fecha de la notificación de la respuesta</w:t>
      </w:r>
      <w:r>
        <w:rPr>
          <w:rFonts w:ascii="Palatino Linotype" w:eastAsia="Palatino Linotype" w:hAnsi="Palatino Linotype" w:cs="Palatino Linotype"/>
          <w:b/>
          <w:i/>
          <w:sz w:val="22"/>
          <w:szCs w:val="22"/>
        </w:rPr>
        <w:t>.”</w:t>
      </w:r>
    </w:p>
    <w:p w14:paraId="63CA747B"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68E38A74"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C437EB8"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w:t>
      </w:r>
      <w:r>
        <w:rPr>
          <w:rFonts w:ascii="Palatino Linotype" w:eastAsia="Palatino Linotype" w:hAnsi="Palatino Linotype" w:cs="Palatino Linotype"/>
        </w:rPr>
        <w:lastRenderedPageBreak/>
        <w:t xml:space="preserve">de máxima publicidad deberá dar entrada al estudio del fondo del recurso interpuesto en dichos casos y no optar por el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xml:space="preserve"> del mismo.</w:t>
      </w:r>
    </w:p>
    <w:p w14:paraId="44615F57" w14:textId="77777777" w:rsidR="00A32F2F" w:rsidRDefault="003A517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6693683E"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14:paraId="4012F1FB" w14:textId="77777777" w:rsidR="00A32F2F" w:rsidRDefault="003A517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no señaló nombre con el cual desee ser </w:t>
      </w:r>
      <w:r>
        <w:rPr>
          <w:rFonts w:ascii="Palatino Linotype" w:eastAsia="Palatino Linotype" w:hAnsi="Palatino Linotype" w:cs="Palatino Linotype"/>
          <w:color w:val="000000"/>
        </w:rPr>
        <w:lastRenderedPageBreak/>
        <w:t>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1DA13C2" w14:textId="77777777" w:rsidR="00A32F2F" w:rsidRDefault="003A517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634D0B2"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correo electrónico.</w:t>
      </w:r>
    </w:p>
    <w:p w14:paraId="033700A1"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antes de entrar al estudio de la presente resolución es preciso determinar si resulta procedente la interposición de los recursos de revisión, toda vez que se actualizan la hipótesis prevista en el artículo 179, fracción VII de la ley de la materia, que a la letra dice:</w:t>
      </w:r>
    </w:p>
    <w:p w14:paraId="701FCA4C" w14:textId="77777777" w:rsidR="00A32F2F" w:rsidRDefault="003A517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EA0AD17" w14:textId="77777777" w:rsidR="00A32F2F" w:rsidRDefault="003A5173">
      <w:pPr>
        <w:ind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451D0FEA"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La falta de respuesta a una solicitud de acceso a la información;</w:t>
      </w:r>
    </w:p>
    <w:p w14:paraId="06F86591" w14:textId="77777777" w:rsidR="00A32F2F" w:rsidRDefault="003A5173">
      <w:pPr>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(Sic) (Énfasis añadido)</w:t>
      </w:r>
    </w:p>
    <w:p w14:paraId="025D3230"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precepto legal citado, establece como supuesto de procedencia de los recursos de revisión, en aquellos casos en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este asunto se actualiza la hipótesis jurídica citada, en atención 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combate falta de trámite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dicha circunstancia.</w:t>
      </w:r>
    </w:p>
    <w:p w14:paraId="4C5B0BFE" w14:textId="77777777" w:rsidR="00A32F2F" w:rsidRDefault="003A5173">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verificar si son procedentes los agravios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a fin de determinar si se violenta en perjuicio de éste, el derecho de acceso a la información previsto en la Constitución Política de los Estados Unidos Mexicanos y en la Constitución Política del Estado Libre y Soberano de México.</w:t>
      </w:r>
    </w:p>
    <w:p w14:paraId="5BE7DDB9" w14:textId="77777777" w:rsidR="00A32F2F" w:rsidRDefault="003A517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931F9DE" w14:textId="77777777" w:rsidR="00A32F2F" w:rsidRDefault="003A517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w:t>
      </w:r>
      <w:r>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3D4B968F" w14:textId="77777777" w:rsidR="00A32F2F" w:rsidRDefault="003A5173">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7DBCEC8" w14:textId="77777777" w:rsidR="00A32F2F" w:rsidRDefault="003A517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6989889" w14:textId="77777777" w:rsidR="00A32F2F" w:rsidRDefault="003A5173">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209D5C" w14:textId="77777777" w:rsidR="00A32F2F" w:rsidRDefault="003A5173">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94180E2" w14:textId="77777777" w:rsidR="00A32F2F" w:rsidRDefault="003A5173">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FA02E5"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024DC5CA"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7CA98B81" w14:textId="77777777" w:rsidR="00A32F2F" w:rsidRDefault="003A5173">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F59CBC1"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2EA6749"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5890986"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53F47C1"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7B07B14" w14:textId="77777777" w:rsidR="00A32F2F" w:rsidRDefault="003A5173">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86E5814"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5C35B860" w14:textId="77777777" w:rsidR="00A32F2F" w:rsidRDefault="003A5173">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EF3529" w14:textId="77777777" w:rsidR="00A32F2F" w:rsidRDefault="003A5173">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D72A27" w14:textId="77777777" w:rsidR="00A32F2F" w:rsidRDefault="003A5173">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B790638"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CF042F9" w14:textId="77777777" w:rsidR="00A32F2F" w:rsidRDefault="003A5173">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8461FE0" w14:textId="77777777" w:rsidR="00A32F2F" w:rsidRDefault="003A5173">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541B0E9" w14:textId="77777777" w:rsidR="00A32F2F" w:rsidRDefault="003A517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242CC100" w14:textId="77777777" w:rsidR="00A32F2F" w:rsidRDefault="003A517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63F4D51F" w14:textId="77777777" w:rsidR="00A32F2F" w:rsidRDefault="003A517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42A0E1F9" w14:textId="77777777" w:rsidR="00A32F2F" w:rsidRDefault="003A517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sz w:val="22"/>
          <w:szCs w:val="22"/>
        </w:rPr>
        <w:lastRenderedPageBreak/>
        <w:t>necesidad de elaborar documentos ad hoc para atender las solicitudes de información."(Sic)</w:t>
      </w:r>
    </w:p>
    <w:p w14:paraId="3109F3E3" w14:textId="77777777" w:rsidR="00A32F2F" w:rsidRDefault="003A517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DE0A8D" w14:textId="77777777" w:rsidR="00A32F2F" w:rsidRDefault="003A51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47C12E"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5CAC226" w14:textId="77777777" w:rsidR="00A32F2F" w:rsidRDefault="003A517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E870DBD" w14:textId="77777777" w:rsidR="00A32F2F" w:rsidRDefault="003A517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26CEA6" w14:textId="77777777" w:rsidR="00A32F2F" w:rsidRDefault="003A517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01D2789F"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6A15BA" w14:textId="77777777" w:rsidR="00A32F2F" w:rsidRDefault="003A517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3AD02942" w14:textId="77777777" w:rsidR="00A32F2F" w:rsidRDefault="003A517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CBABA7" w14:textId="77777777" w:rsidR="00A32F2F" w:rsidRDefault="003A517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46850055" w14:textId="77777777" w:rsidR="00A32F2F" w:rsidRDefault="003A5173">
      <w:pPr>
        <w:numPr>
          <w:ilvl w:val="0"/>
          <w:numId w:val="10"/>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776A8E79" w14:textId="77777777" w:rsidR="00A32F2F" w:rsidRDefault="003A5173">
      <w:pPr>
        <w:numPr>
          <w:ilvl w:val="0"/>
          <w:numId w:val="10"/>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DE8B0BE" w14:textId="77777777" w:rsidR="00A32F2F" w:rsidRDefault="003A5173">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2D13B5E"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5FDF76E3"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1AE0D87B" w14:textId="77777777" w:rsidR="00A32F2F" w:rsidRDefault="003A5173">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recibos de nómina de la Primera y Segunda de enero de todos los servidores públicos de confianza y sindicalizados así como los de lista de raya que presentan en el informe al OSFEM.</w:t>
      </w:r>
    </w:p>
    <w:p w14:paraId="3EDD9D62" w14:textId="77777777" w:rsidR="00A32F2F" w:rsidRDefault="003A5173">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recibos de nómina de la primera y segunda quincena de enero del 2022, del Presidente, síndico y regidores.</w:t>
      </w:r>
    </w:p>
    <w:p w14:paraId="56EB8301" w14:textId="77777777" w:rsidR="00A32F2F" w:rsidRDefault="003A517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emitir respuestas, por lo que el particular interpuso los recursos de revisión que nos ocupan, inconformándose medularmente por la falta de respuesta a sus solicitudes de información. </w:t>
      </w:r>
    </w:p>
    <w:p w14:paraId="240DA55E"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mediante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siguientes archivos electrónicos: </w:t>
      </w:r>
    </w:p>
    <w:p w14:paraId="3A8DBF1F" w14:textId="77777777" w:rsidR="00A32F2F" w:rsidRDefault="003A5173">
      <w:pPr>
        <w:spacing w:before="240" w:after="240" w:line="360" w:lineRule="auto"/>
        <w:ind w:left="567"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sz w:val="22"/>
          <w:szCs w:val="22"/>
        </w:rPr>
        <w:t xml:space="preserve">Recurso de Revisión 05279/INFOEM/IP/RR/2022:  </w:t>
      </w:r>
    </w:p>
    <w:p w14:paraId="6AE9D609" w14:textId="77777777" w:rsidR="00A32F2F" w:rsidRDefault="003A517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“Enero_Censurado.pdf”: </w:t>
      </w:r>
      <w:r>
        <w:rPr>
          <w:rFonts w:ascii="Palatino Linotype" w:eastAsia="Palatino Linotype" w:hAnsi="Palatino Linotype" w:cs="Palatino Linotype"/>
          <w:sz w:val="22"/>
          <w:szCs w:val="22"/>
        </w:rPr>
        <w:t xml:space="preserve">Documento electrónico de ochenta y cuatro fojas en el que se advierten recibos de nómina de diversos servidores públicos, correspondientes a la primera y segunda quincena de enero de dos mil veintidós, es de resaltar que este documento no se hizo del conocimiento del particular en virtud de que en la foja 35 se localiza el nombre de un elemento operativo de seguridad pública. </w:t>
      </w:r>
    </w:p>
    <w:p w14:paraId="27C505F1" w14:textId="77777777" w:rsidR="00A32F2F" w:rsidRDefault="003A5173">
      <w:pPr>
        <w:spacing w:before="240" w:after="240" w:line="360"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05280/INFOEM/IP/RR/2022:  </w:t>
      </w:r>
    </w:p>
    <w:p w14:paraId="4C81ACF7" w14:textId="77777777" w:rsidR="00A32F2F" w:rsidRDefault="003A517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“Escaneo0014_Censurado.pdf”y “Escaneo0014_Censurado.pdf”: </w:t>
      </w:r>
      <w:r>
        <w:rPr>
          <w:rFonts w:ascii="Palatino Linotype" w:eastAsia="Palatino Linotype" w:hAnsi="Palatino Linotype" w:cs="Palatino Linotype"/>
          <w:sz w:val="22"/>
          <w:szCs w:val="22"/>
        </w:rPr>
        <w:t>Ambos archivos cuentan con el mismo contenido, seis fojas en el que se advierten los recibos de nómina del presidente municipal, síndico y regidores, en versión pública,  correspondientes a la primera y segunda quincena de enero de dos mil veintidós.</w:t>
      </w:r>
    </w:p>
    <w:p w14:paraId="25D56556"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procede al análisis de la información remitida mediante informe justificado: </w:t>
      </w:r>
    </w:p>
    <w:p w14:paraId="069D5369" w14:textId="77777777" w:rsidR="00A32F2F" w:rsidRDefault="003A5173">
      <w:pPr>
        <w:spacing w:before="240" w:after="240" w:line="360" w:lineRule="auto"/>
        <w:ind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sz w:val="22"/>
          <w:szCs w:val="22"/>
        </w:rPr>
        <w:t xml:space="preserve">Recurso de Revisión 05279/INFOEM/IP/RR/2022:  </w:t>
      </w:r>
    </w:p>
    <w:p w14:paraId="5C959B57" w14:textId="77777777" w:rsidR="00A32F2F" w:rsidRDefault="003A51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un documento que se compone de ochenta y cuatro fojas en el que se advierten recibos de nómina de diversos servidores públicos, correspondientes a la primera y segunda quincena de enero de dos mil veintidós, en versión pública, esto es, testando, como se verá a continuación, el concepto de las deducciones en su totalidad, código QR, clave ISSEMYM y CURP, sin embargo, este documento no se hizo del conocimiento del particular en virtud de que en la foja 35 se localiza el nombre de un elemento operativo de seguridad pública, el cual </w:t>
      </w:r>
      <w:r w:rsidRPr="00370003">
        <w:rPr>
          <w:rFonts w:ascii="Palatino Linotype" w:eastAsia="Palatino Linotype" w:hAnsi="Palatino Linotype" w:cs="Palatino Linotype"/>
        </w:rPr>
        <w:t>se considera como información reservada</w:t>
      </w:r>
      <w:r>
        <w:rPr>
          <w:rFonts w:ascii="Palatino Linotype" w:eastAsia="Palatino Linotype" w:hAnsi="Palatino Linotype" w:cs="Palatino Linotype"/>
        </w:rPr>
        <w:t xml:space="preserve"> y por lo tanto,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clasificarlo en los términos previstos por el Considerando Quinto de la presente resolución, el cual deberá observar en estricto sentido. </w:t>
      </w:r>
    </w:p>
    <w:p w14:paraId="72753B49" w14:textId="77777777" w:rsidR="00A32F2F" w:rsidRDefault="003A5173">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911D728" wp14:editId="6C780D71">
            <wp:extent cx="5610225" cy="2343150"/>
            <wp:effectExtent l="0" t="0" r="0" b="0"/>
            <wp:docPr id="3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0225" cy="2343150"/>
                    </a:xfrm>
                    <a:prstGeom prst="rect">
                      <a:avLst/>
                    </a:prstGeom>
                    <a:ln/>
                  </pic:spPr>
                </pic:pic>
              </a:graphicData>
            </a:graphic>
          </wp:inline>
        </w:drawing>
      </w:r>
    </w:p>
    <w:p w14:paraId="167041D4" w14:textId="77777777" w:rsidR="00A32F2F" w:rsidRDefault="003A5173">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Continuando con el análisis de la información, conviene mencionar que de la revisión practicada a esta documentación por este Organismo Garante, no se advierten los recibos de aquellos servidores públicos que se encuentren en lista de raya ni obra algún pronunciamiento al respecto, por lo que se tiene que </w:t>
      </w:r>
      <w:r>
        <w:rPr>
          <w:rFonts w:ascii="Palatino Linotype" w:eastAsia="Palatino Linotype" w:hAnsi="Palatino Linotype" w:cs="Palatino Linotype"/>
          <w:color w:val="000000"/>
        </w:rPr>
        <w:t>su respuesta careció 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6B9A217A" w14:textId="77777777" w:rsidR="00A32F2F" w:rsidRDefault="003A5173">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xml:space="preserve">. Por lo </w:t>
      </w:r>
      <w:r>
        <w:rPr>
          <w:rFonts w:ascii="Palatino Linotype" w:eastAsia="Palatino Linotype" w:hAnsi="Palatino Linotype" w:cs="Palatino Linotype"/>
          <w:i/>
          <w:color w:val="000000"/>
        </w:rPr>
        <w:lastRenderedPageBreak/>
        <w:t>anterior, los sujetos obligados cumplirán con los principios de congruencia y exhaustividad, cuando las respuestas que emitan guarden una relación lógica con lo solicitado y atiendan de manera puntual y expresa, cada uno de los contenidos de información.”</w:t>
      </w:r>
    </w:p>
    <w:p w14:paraId="13033FC2" w14:textId="77777777" w:rsidR="00A32F2F" w:rsidRDefault="003A5173">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14:paraId="7EB1A175" w14:textId="77777777" w:rsidR="00A32F2F" w:rsidRDefault="003A5173">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rPr>
        <w:t>Por lo que es procedente ordenar una búsqueda exhaustiva y razonable para localizar los recibos generados en la primera y segunda quincena de enero de dos mil veintidós, correspondientes a los servidores públicos que se encuentran en el supuesto de lista de raya, no obstante, de encontrarse en la circunstancia fáctica en la que no se hubiera generado esta información bastará con el sólo pronunciamiento del Sujeto Obligado de manera fundada y motivada en términos del segundo párrafo del  artículo 19 de la Ley de Transparencia local, para dar por satisfecho el derecho de acceso a la información.</w:t>
      </w:r>
    </w:p>
    <w:p w14:paraId="7F8BF73E" w14:textId="77777777" w:rsidR="00A32F2F" w:rsidRDefault="003A5173">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05280/INFOEM/IP/RR/2022:  </w:t>
      </w:r>
    </w:p>
    <w:p w14:paraId="3798FB89" w14:textId="77777777" w:rsidR="00A32F2F" w:rsidRDefault="003A51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atender la presente solicitud de información, en informe justificado, el Sujeto Obligado remitió los archivos electrónicos </w:t>
      </w:r>
      <w:r>
        <w:rPr>
          <w:rFonts w:ascii="Palatino Linotype" w:eastAsia="Palatino Linotype" w:hAnsi="Palatino Linotype" w:cs="Palatino Linotype"/>
          <w:b/>
          <w:i/>
          <w:sz w:val="22"/>
          <w:szCs w:val="22"/>
        </w:rPr>
        <w:t xml:space="preserve">“Escaneo0014_Censurado.pdf”y “Escaneo0014_Censurado.pdf”, </w:t>
      </w:r>
      <w:r>
        <w:rPr>
          <w:rFonts w:ascii="Palatino Linotype" w:eastAsia="Palatino Linotype" w:hAnsi="Palatino Linotype" w:cs="Palatino Linotype"/>
        </w:rPr>
        <w:t>en ambos archivos se aprecia el mismo contenido, seis fojas en el que se advierten los recibos de nómina del presidente municipal, síndico y regidores, en versión pública, esto es, testando el concepto de las deducciones en su totalidad, código QR, clave ISSEMYM y CURP, correspondientes a la primera y segunda quincena de enero de dos mil veintidós.</w:t>
      </w:r>
    </w:p>
    <w:p w14:paraId="02F693E9" w14:textId="77777777" w:rsidR="00A32F2F" w:rsidRDefault="003A5173">
      <w:pPr>
        <w:spacing w:before="240" w:after="240"/>
        <w:ind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54A8A82D" wp14:editId="6548B790">
            <wp:extent cx="5610225" cy="4886325"/>
            <wp:effectExtent l="0" t="0" r="0" b="0"/>
            <wp:docPr id="3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0225" cy="4886325"/>
                    </a:xfrm>
                    <a:prstGeom prst="rect">
                      <a:avLst/>
                    </a:prstGeom>
                    <a:ln/>
                  </pic:spPr>
                </pic:pic>
              </a:graphicData>
            </a:graphic>
          </wp:inline>
        </w:drawing>
      </w:r>
    </w:p>
    <w:p w14:paraId="4894FCA7" w14:textId="77777777" w:rsidR="00A32F2F" w:rsidRDefault="00A32F2F">
      <w:pPr>
        <w:spacing w:line="360" w:lineRule="auto"/>
        <w:jc w:val="both"/>
        <w:rPr>
          <w:rFonts w:ascii="Palatino Linotype" w:eastAsia="Palatino Linotype" w:hAnsi="Palatino Linotype" w:cs="Palatino Linotype"/>
          <w:highlight w:val="green"/>
        </w:rPr>
      </w:pPr>
    </w:p>
    <w:p w14:paraId="16AD768D"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analizado con antelación, se colige que si bien es cierto, los recibos de nómina corresponden a la temporalidad referida, no menos cierto es que del análisis a la versión pública remitida, se advierte en un primer momento que se testaron en su totalidad los conceptos de las deducciones, sin embargo, resulta importante mencionar que el artículo 84 de la Ley del Trabajo de los Servidores Públicos del Estado y Municipios, prevé una serie de retenciones, descuentos o deducciones al salario de los servidores públicos, de las cuales destacan aquellos gravámenes </w:t>
      </w:r>
      <w:r>
        <w:rPr>
          <w:rFonts w:ascii="Palatino Linotype" w:eastAsia="Palatino Linotype" w:hAnsi="Palatino Linotype" w:cs="Palatino Linotype"/>
        </w:rPr>
        <w:lastRenderedPageBreak/>
        <w:t>fiscales relacionados con el sueldo, así como los descuentos ordenados por el Instituto de Seguridad Social del Estado de México y Municipios, con motivo de cuotas y obligaciones contraídas con éste por los servidores públicos, los cuales revisten interés público y por tanto no es procedente su clasificación total, sin embargo, existen deducciones que únicamente inciden en la vida privada de los servidores públicos, por lo que el Sujeto Obligado deberá observar en estricto sentido el Considerando Quinto de la presente resolución para observar de manera específica aquellas retenciones que no abonen a la transparencia y posteriormente clasificar esta información como confidencial.</w:t>
      </w:r>
    </w:p>
    <w:p w14:paraId="17A9CE93" w14:textId="77777777" w:rsidR="00A32F2F" w:rsidRDefault="00A32F2F">
      <w:pPr>
        <w:spacing w:line="360" w:lineRule="auto"/>
        <w:jc w:val="both"/>
        <w:rPr>
          <w:rFonts w:ascii="Calibri" w:eastAsia="Calibri" w:hAnsi="Calibri" w:cs="Calibri"/>
          <w:highlight w:val="yellow"/>
        </w:rPr>
      </w:pPr>
    </w:p>
    <w:p w14:paraId="68669E96"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Continuando con el análisis, se advierte que en ambos recursos la  versión pública no fue acompañada del acuerdo de comité de transparencia en el que se funde y motive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tanto, es necesario que se acompañe el acuerdo del Comité de Transparencia en donde se apruebe la versión pública de la nómina alusiva, ya que en caso contrario se considera que es un documento ilegible e ilegal, esto en razón de que los artículos 12</w:t>
      </w:r>
      <w:r>
        <w:rPr>
          <w:vertAlign w:val="superscript"/>
        </w:rPr>
        <w:footnoteReference w:id="3"/>
      </w:r>
      <w:r>
        <w:rPr>
          <w:rFonts w:ascii="Palatino Linotype" w:eastAsia="Palatino Linotype" w:hAnsi="Palatino Linotype" w:cs="Palatino Linotype"/>
        </w:rPr>
        <w:t xml:space="preserve"> y 23 fracción, IV</w:t>
      </w:r>
      <w:r>
        <w:rPr>
          <w:vertAlign w:val="superscript"/>
        </w:rPr>
        <w:footnoteReference w:id="4"/>
      </w:r>
      <w:r>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w:t>
      </w:r>
      <w:r>
        <w:rPr>
          <w:rFonts w:ascii="Palatino Linotype" w:eastAsia="Palatino Linotype" w:hAnsi="Palatino Linotype" w:cs="Palatino Linotype"/>
        </w:rPr>
        <w:lastRenderedPageBreak/>
        <w:t>administren, manejen, procesen, archiven o conserven; así como proteger los datos personales que obren en su poder.</w:t>
      </w:r>
    </w:p>
    <w:p w14:paraId="43DEE1BE"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Aunque, existen excepciones al derecho de acceso a la información conforme a lo establecido en los artículos 3, fracciones XX, XXI, XXXIV y XLV, 91, 122, 135, 140, 141 y 142 de la repetitiva Ley de Transparencia, los cuales establecen lo siguiente:</w:t>
      </w:r>
    </w:p>
    <w:p w14:paraId="58871C86" w14:textId="77777777" w:rsidR="00A32F2F" w:rsidRDefault="00A32F2F">
      <w:pPr>
        <w:tabs>
          <w:tab w:val="left" w:pos="709"/>
        </w:tabs>
        <w:ind w:left="567" w:right="567"/>
        <w:jc w:val="both"/>
        <w:rPr>
          <w:rFonts w:ascii="Palatino Linotype" w:eastAsia="Palatino Linotype" w:hAnsi="Palatino Linotype" w:cs="Palatino Linotype"/>
          <w:i/>
          <w:sz w:val="22"/>
          <w:szCs w:val="22"/>
        </w:rPr>
      </w:pPr>
    </w:p>
    <w:p w14:paraId="525E2D1A"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01F511EB"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31BD252F"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485A7D"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C432CB"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BDD773B"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33D1F8"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610B187E"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1B78E37"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9D791CB"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E011354"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A4F74B9"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53DDD0A"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1557777" w14:textId="77777777" w:rsidR="00A32F2F" w:rsidRDefault="003A5173">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36D4D7DD"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E6A05A4"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4671B93"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299BCAD"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EE836BA" w14:textId="77777777" w:rsidR="00A32F2F" w:rsidRDefault="003A5173">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6D885D67"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23741E79"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38C1CAB8"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7D8AC89C"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14:paraId="503F0BB9"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DB18636"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E767C77"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291B992" w14:textId="77777777" w:rsidR="00A32F2F" w:rsidRDefault="003A5173">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B88F5CD" w14:textId="77777777" w:rsidR="00A32F2F" w:rsidRDefault="00A32F2F">
      <w:pPr>
        <w:tabs>
          <w:tab w:val="left" w:pos="709"/>
        </w:tabs>
        <w:ind w:left="567" w:right="567"/>
        <w:jc w:val="both"/>
        <w:rPr>
          <w:rFonts w:ascii="Palatino Linotype" w:eastAsia="Palatino Linotype" w:hAnsi="Palatino Linotype" w:cs="Palatino Linotype"/>
          <w:i/>
          <w:sz w:val="22"/>
          <w:szCs w:val="22"/>
        </w:rPr>
      </w:pPr>
    </w:p>
    <w:p w14:paraId="204A7232"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630BAEE5" w14:textId="77777777" w:rsidR="00A32F2F" w:rsidRDefault="00A32F2F">
      <w:pPr>
        <w:spacing w:line="360" w:lineRule="auto"/>
        <w:ind w:right="49"/>
        <w:jc w:val="both"/>
        <w:rPr>
          <w:rFonts w:ascii="Palatino Linotype" w:eastAsia="Palatino Linotype" w:hAnsi="Palatino Linotype" w:cs="Palatino Linotype"/>
        </w:rPr>
      </w:pPr>
    </w:p>
    <w:p w14:paraId="52417303"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3E6228A" w14:textId="77777777" w:rsidR="00A32F2F" w:rsidRDefault="00A32F2F">
      <w:pPr>
        <w:spacing w:line="360" w:lineRule="auto"/>
        <w:jc w:val="both"/>
        <w:rPr>
          <w:rFonts w:ascii="Palatino Linotype" w:eastAsia="Palatino Linotype" w:hAnsi="Palatino Linotype" w:cs="Palatino Linotype"/>
        </w:rPr>
      </w:pPr>
    </w:p>
    <w:p w14:paraId="1EC7E9EB"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665916B" w14:textId="77777777" w:rsidR="00A32F2F" w:rsidRDefault="00A32F2F">
      <w:pPr>
        <w:spacing w:line="360" w:lineRule="auto"/>
        <w:jc w:val="both"/>
        <w:rPr>
          <w:rFonts w:ascii="Palatino Linotype" w:eastAsia="Palatino Linotype" w:hAnsi="Palatino Linotype" w:cs="Palatino Linotype"/>
        </w:rPr>
      </w:pPr>
    </w:p>
    <w:p w14:paraId="3188A6CA" w14:textId="77777777" w:rsidR="00A32F2F" w:rsidRDefault="003A51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2736308" w14:textId="77777777" w:rsidR="00A32F2F" w:rsidRDefault="003A51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7FAB06F7" w14:textId="77777777" w:rsidR="00A32F2F" w:rsidRDefault="003A5173">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5F37227F" w14:textId="77777777" w:rsidR="00A32F2F" w:rsidRDefault="003A51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b) Modificar la clasificación y otorgar total o parcialmente el acceso a la información; y c) Revocar la clasificación y conceder el acceso a la información.</w:t>
      </w:r>
    </w:p>
    <w:p w14:paraId="61334A36" w14:textId="77777777" w:rsidR="00A32F2F" w:rsidRDefault="003A51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7B2DEED" w14:textId="77777777" w:rsidR="00A32F2F" w:rsidRDefault="003A51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741ECD63" w14:textId="77777777" w:rsidR="00A32F2F" w:rsidRDefault="00A32F2F">
      <w:pPr>
        <w:spacing w:line="360" w:lineRule="auto"/>
        <w:jc w:val="both"/>
        <w:rPr>
          <w:rFonts w:ascii="Palatino Linotype" w:eastAsia="Palatino Linotype" w:hAnsi="Palatino Linotype" w:cs="Palatino Linotype"/>
        </w:rPr>
      </w:pPr>
    </w:p>
    <w:p w14:paraId="5CBA3E02"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Hechas estas precisiones,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los tres rubros de la nómina alusiva, siendo incongruente y creando con ello una incertidumbre jurídica, por no sustentar la versión pública de los datos señalados, contraviniendo lo establecido por el artículo 9, fracción I</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VI, VIII y 11 párrafo primero</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de la ley de la Materia.</w:t>
      </w:r>
    </w:p>
    <w:p w14:paraId="6FE9B40E" w14:textId="77777777" w:rsidR="00A32F2F" w:rsidRDefault="00A32F2F">
      <w:pPr>
        <w:spacing w:line="360" w:lineRule="auto"/>
        <w:ind w:right="49"/>
        <w:jc w:val="both"/>
        <w:rPr>
          <w:rFonts w:ascii="Palatino Linotype" w:eastAsia="Palatino Linotype" w:hAnsi="Palatino Linotype" w:cs="Palatino Linotype"/>
        </w:rPr>
      </w:pPr>
    </w:p>
    <w:p w14:paraId="73AD7B6A" w14:textId="77777777" w:rsidR="00A32F2F" w:rsidRDefault="003A517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tampoco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hubiese expresado el artículo, fracción, inciso o </w:t>
      </w:r>
      <w:proofErr w:type="spellStart"/>
      <w:r>
        <w:rPr>
          <w:rFonts w:ascii="Palatino Linotype" w:eastAsia="Palatino Linotype" w:hAnsi="Palatino Linotype" w:cs="Palatino Linotype"/>
        </w:rPr>
        <w:t>subinciso</w:t>
      </w:r>
      <w:proofErr w:type="spellEnd"/>
      <w:r>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Pr>
          <w:rFonts w:ascii="Palatino Linotype" w:eastAsia="Palatino Linotype" w:hAnsi="Palatino Linotype" w:cs="Palatino Linotype"/>
          <w:color w:val="222222"/>
        </w:rPr>
        <w:t xml:space="preserve">carece de fundamentación y motivación, consistentes en la </w:t>
      </w:r>
      <w:r>
        <w:rPr>
          <w:rFonts w:ascii="Palatino Linotype" w:eastAsia="Palatino Linotype" w:hAnsi="Palatino Linotype" w:cs="Palatino Linotype"/>
        </w:rPr>
        <w:t xml:space="preserve">obligación que </w:t>
      </w:r>
      <w:r>
        <w:rPr>
          <w:rFonts w:ascii="Palatino Linotype" w:eastAsia="Palatino Linotype" w:hAnsi="Palatino Linotype" w:cs="Palatino Linotype"/>
        </w:rPr>
        <w:lastRenderedPageBreak/>
        <w:t>tiene todo ente público de expresar los preceptos jurídicos aplicables al asunto motivo del acto y las razones o argumentos de su actuar.</w:t>
      </w:r>
    </w:p>
    <w:p w14:paraId="616474F0"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65E6F686" w14:textId="77777777" w:rsidR="00A32F2F" w:rsidRDefault="00A32F2F">
      <w:pPr>
        <w:jc w:val="both"/>
        <w:rPr>
          <w:rFonts w:ascii="Palatino Linotype" w:eastAsia="Palatino Linotype" w:hAnsi="Palatino Linotype" w:cs="Palatino Linotype"/>
        </w:rPr>
      </w:pPr>
    </w:p>
    <w:p w14:paraId="688C5CA0" w14:textId="77777777" w:rsidR="00A32F2F" w:rsidRDefault="003A5173">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sz w:val="22"/>
          <w:szCs w:val="22"/>
        </w:rPr>
        <w:t>.</w:t>
      </w:r>
    </w:p>
    <w:p w14:paraId="6BCA602E" w14:textId="77777777" w:rsidR="00A32F2F" w:rsidRDefault="003A5173">
      <w:pPr>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…”(Sic)</w:t>
      </w:r>
    </w:p>
    <w:p w14:paraId="4DD8C0CB" w14:textId="77777777" w:rsidR="00A32F2F" w:rsidRDefault="00A32F2F">
      <w:pPr>
        <w:ind w:left="851" w:right="850"/>
        <w:jc w:val="both"/>
        <w:rPr>
          <w:rFonts w:ascii="Palatino Linotype" w:eastAsia="Palatino Linotype" w:hAnsi="Palatino Linotype" w:cs="Palatino Linotype"/>
          <w:i/>
          <w:sz w:val="22"/>
          <w:szCs w:val="22"/>
        </w:rPr>
      </w:pPr>
    </w:p>
    <w:p w14:paraId="0F68FDCC"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Pr>
          <w:rFonts w:ascii="Palatino Linotype" w:eastAsia="Palatino Linotype" w:hAnsi="Palatino Linotype" w:cs="Palatino Linotype"/>
          <w:color w:val="222222"/>
        </w:rPr>
        <w:t>expresan</w:t>
      </w:r>
      <w:r>
        <w:rPr>
          <w:rFonts w:ascii="Palatino Linotype" w:eastAsia="Palatino Linotype" w:hAnsi="Palatino Linotype" w:cs="Palatino Linotype"/>
        </w:rPr>
        <w:t xml:space="preserve"> las razones, motivos o circunstancias que tomó en cuenta la autoridad para adecuar el hecho a los fundamentos de derecho.</w:t>
      </w:r>
    </w:p>
    <w:p w14:paraId="49DD2A9D" w14:textId="77777777" w:rsidR="00A32F2F" w:rsidRDefault="00A32F2F">
      <w:pPr>
        <w:spacing w:line="360" w:lineRule="auto"/>
        <w:ind w:right="-518"/>
        <w:jc w:val="both"/>
        <w:rPr>
          <w:rFonts w:ascii="Palatino Linotype" w:eastAsia="Palatino Linotype" w:hAnsi="Palatino Linotype" w:cs="Palatino Linotype"/>
        </w:rPr>
      </w:pPr>
    </w:p>
    <w:p w14:paraId="44B8A905"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Más aún, a través de diversa jurisprudencia dictada por el </w:t>
      </w:r>
      <w:r>
        <w:rPr>
          <w:rFonts w:ascii="Palatino Linotype" w:eastAsia="Palatino Linotype" w:hAnsi="Palatino Linotype" w:cs="Palatino Linotype"/>
          <w:color w:val="222222"/>
        </w:rPr>
        <w:t>Poder</w:t>
      </w:r>
      <w:r>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14:paraId="7B38F270" w14:textId="77777777" w:rsidR="00A32F2F" w:rsidRDefault="00A32F2F">
      <w:pPr>
        <w:ind w:right="-518"/>
        <w:jc w:val="both"/>
        <w:rPr>
          <w:rFonts w:ascii="Palatino Linotype" w:eastAsia="Palatino Linotype" w:hAnsi="Palatino Linotype" w:cs="Palatino Linotype"/>
        </w:rPr>
      </w:pPr>
    </w:p>
    <w:p w14:paraId="52B9B9C8" w14:textId="77777777" w:rsidR="00A32F2F" w:rsidRDefault="003A517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El contenido formal de la garantía de legalidad prevista en el artículo 16 constitucional relativa a la fundamentación</w:t>
      </w:r>
      <w:r>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w:t>
      </w:r>
      <w:r>
        <w:rPr>
          <w:rFonts w:ascii="Palatino Linotype" w:eastAsia="Palatino Linotype" w:hAnsi="Palatino Linotype" w:cs="Palatino Linotype"/>
          <w:b/>
          <w:i/>
          <w:sz w:val="22"/>
          <w:szCs w:val="22"/>
        </w:rPr>
        <w:lastRenderedPageBreak/>
        <w:t>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14:paraId="3A191AAD" w14:textId="77777777" w:rsidR="00A32F2F" w:rsidRDefault="00A32F2F">
      <w:pPr>
        <w:ind w:left="851" w:right="899"/>
        <w:jc w:val="both"/>
        <w:rPr>
          <w:rFonts w:ascii="Palatino Linotype" w:eastAsia="Palatino Linotype" w:hAnsi="Palatino Linotype" w:cs="Palatino Linotype"/>
          <w:i/>
          <w:sz w:val="22"/>
          <w:szCs w:val="22"/>
        </w:rPr>
      </w:pPr>
    </w:p>
    <w:p w14:paraId="702143B3" w14:textId="77777777" w:rsidR="00A32F2F" w:rsidRDefault="003A517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72F1699" w14:textId="77777777" w:rsidR="00A32F2F" w:rsidRDefault="00A32F2F">
      <w:pPr>
        <w:ind w:right="-518"/>
        <w:jc w:val="both"/>
        <w:rPr>
          <w:rFonts w:ascii="Palatino Linotype" w:eastAsia="Palatino Linotype" w:hAnsi="Palatino Linotype" w:cs="Palatino Linotype"/>
        </w:rPr>
      </w:pPr>
    </w:p>
    <w:p w14:paraId="7482CD10"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5901C4B7" w14:textId="77777777" w:rsidR="00A32F2F" w:rsidRDefault="003A5173">
      <w:pPr>
        <w:shd w:val="clear" w:color="auto" w:fill="FFFFFF"/>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proofErr w:type="spellStart"/>
      <w:r>
        <w:rPr>
          <w:rFonts w:ascii="Palatino Linotype" w:eastAsia="Palatino Linotype" w:hAnsi="Palatino Linotype" w:cs="Palatino Linotype"/>
        </w:rPr>
        <w:t>actualiza</w:t>
      </w:r>
      <w:proofErr w:type="spellEnd"/>
      <w:r>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33E47B85" w14:textId="77777777" w:rsidR="00A32F2F" w:rsidRDefault="00A32F2F">
      <w:pPr>
        <w:shd w:val="clear" w:color="auto" w:fill="FFFFFF"/>
        <w:spacing w:line="360" w:lineRule="auto"/>
        <w:jc w:val="both"/>
        <w:rPr>
          <w:b/>
        </w:rPr>
      </w:pPr>
    </w:p>
    <w:p w14:paraId="5F636B64"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i/>
          <w:sz w:val="22"/>
          <w:szCs w:val="22"/>
        </w:rPr>
        <w:t xml:space="preserve"> previstos en esta Ley </w:t>
      </w:r>
      <w:r>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Pr>
          <w:rFonts w:ascii="Palatino Linotype" w:eastAsia="Palatino Linotype" w:hAnsi="Palatino Linotype" w:cs="Palatino Linotype"/>
          <w:i/>
          <w:sz w:val="22"/>
          <w:szCs w:val="22"/>
        </w:rPr>
        <w:t>, de conformidad con lo previsto en la presente Ley.</w:t>
      </w:r>
    </w:p>
    <w:p w14:paraId="041BBF83" w14:textId="77777777" w:rsidR="00A32F2F" w:rsidRDefault="00A32F2F">
      <w:pPr>
        <w:shd w:val="clear" w:color="auto" w:fill="FFFFFF"/>
        <w:ind w:left="851" w:right="851"/>
        <w:jc w:val="both"/>
        <w:rPr>
          <w:rFonts w:ascii="Palatino Linotype" w:eastAsia="Palatino Linotype" w:hAnsi="Palatino Linotype" w:cs="Palatino Linotype"/>
          <w:b/>
          <w:i/>
          <w:sz w:val="22"/>
          <w:szCs w:val="22"/>
        </w:rPr>
      </w:pPr>
    </w:p>
    <w:p w14:paraId="378EB272"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clasificación de la información se llevará a cabo</w:t>
      </w:r>
      <w:r>
        <w:rPr>
          <w:rFonts w:ascii="Palatino Linotype" w:eastAsia="Palatino Linotype" w:hAnsi="Palatino Linotype" w:cs="Palatino Linotype"/>
          <w:i/>
          <w:sz w:val="22"/>
          <w:szCs w:val="22"/>
        </w:rPr>
        <w:t xml:space="preserve"> en el momento en que:</w:t>
      </w:r>
    </w:p>
    <w:p w14:paraId="78609F8B"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reciba una solicitud de acceso a la información</w:t>
      </w:r>
      <w:r>
        <w:rPr>
          <w:rFonts w:ascii="Palatino Linotype" w:eastAsia="Palatino Linotype" w:hAnsi="Palatino Linotype" w:cs="Palatino Linotype"/>
          <w:i/>
          <w:sz w:val="22"/>
          <w:szCs w:val="22"/>
        </w:rPr>
        <w:t>;</w:t>
      </w:r>
    </w:p>
    <w:p w14:paraId="2DD5996C"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66B9CDF"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96E12A5" w14:textId="77777777" w:rsidR="00A32F2F" w:rsidRDefault="00A32F2F">
      <w:pPr>
        <w:shd w:val="clear" w:color="auto" w:fill="FFFFFF"/>
        <w:ind w:left="851" w:right="851"/>
        <w:jc w:val="both"/>
        <w:rPr>
          <w:rFonts w:ascii="Palatino Linotype" w:eastAsia="Palatino Linotype" w:hAnsi="Palatino Linotype" w:cs="Palatino Linotype"/>
          <w:i/>
          <w:sz w:val="22"/>
          <w:szCs w:val="22"/>
        </w:rPr>
      </w:pPr>
    </w:p>
    <w:p w14:paraId="2ECE12B1" w14:textId="77777777" w:rsidR="00A32F2F" w:rsidRDefault="003A5173">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32AFE678" w14:textId="77777777" w:rsidR="00A32F2F" w:rsidRDefault="00A32F2F">
      <w:pPr>
        <w:shd w:val="clear" w:color="auto" w:fill="FFFFFF"/>
        <w:ind w:left="851" w:right="851"/>
        <w:jc w:val="both"/>
        <w:rPr>
          <w:rFonts w:ascii="Palatino Linotype" w:eastAsia="Palatino Linotype" w:hAnsi="Palatino Linotype" w:cs="Palatino Linotype"/>
          <w:i/>
          <w:sz w:val="22"/>
          <w:szCs w:val="22"/>
        </w:rPr>
      </w:pPr>
    </w:p>
    <w:p w14:paraId="21295F17"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4B31B27F" w14:textId="77777777" w:rsidR="00A32F2F" w:rsidRDefault="00A32F2F">
      <w:pPr>
        <w:ind w:left="851" w:right="851"/>
        <w:jc w:val="both"/>
        <w:rPr>
          <w:rFonts w:ascii="Palatino Linotype" w:eastAsia="Palatino Linotype" w:hAnsi="Palatino Linotype" w:cs="Palatino Linotype"/>
          <w:i/>
          <w:sz w:val="22"/>
          <w:szCs w:val="22"/>
        </w:rPr>
      </w:pPr>
    </w:p>
    <w:p w14:paraId="4C99945E"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ningún caso se podrán clasificar documentos antes de que se genere la información</w:t>
      </w:r>
      <w:r>
        <w:rPr>
          <w:rFonts w:ascii="Palatino Linotype" w:eastAsia="Palatino Linotype" w:hAnsi="Palatino Linotype" w:cs="Palatino Linotype"/>
          <w:i/>
          <w:sz w:val="22"/>
          <w:szCs w:val="22"/>
        </w:rPr>
        <w:t>.</w:t>
      </w:r>
    </w:p>
    <w:p w14:paraId="3ADDB902" w14:textId="77777777" w:rsidR="00A32F2F" w:rsidRDefault="00A32F2F">
      <w:pPr>
        <w:ind w:left="851" w:right="851"/>
        <w:jc w:val="both"/>
        <w:rPr>
          <w:rFonts w:ascii="Palatino Linotype" w:eastAsia="Palatino Linotype" w:hAnsi="Palatino Linotype" w:cs="Palatino Linotype"/>
          <w:i/>
          <w:sz w:val="22"/>
          <w:szCs w:val="22"/>
        </w:rPr>
      </w:pPr>
    </w:p>
    <w:p w14:paraId="670F59EA"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52F95E31" w14:textId="77777777" w:rsidR="00A32F2F" w:rsidRDefault="00A32F2F">
      <w:pPr>
        <w:ind w:left="851" w:right="851"/>
        <w:jc w:val="both"/>
        <w:rPr>
          <w:rFonts w:ascii="Palatino Linotype" w:eastAsia="Palatino Linotype" w:hAnsi="Palatino Linotype" w:cs="Palatino Linotype"/>
          <w:b/>
          <w:i/>
          <w:sz w:val="22"/>
          <w:szCs w:val="22"/>
        </w:rPr>
      </w:pPr>
    </w:p>
    <w:p w14:paraId="439F6521"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4F768F8" w14:textId="77777777" w:rsidR="00A32F2F" w:rsidRDefault="00A32F2F">
      <w:pPr>
        <w:ind w:left="851" w:right="851"/>
        <w:jc w:val="both"/>
        <w:rPr>
          <w:rFonts w:ascii="Palatino Linotype" w:eastAsia="Palatino Linotype" w:hAnsi="Palatino Linotype" w:cs="Palatino Linotype"/>
          <w:i/>
          <w:sz w:val="22"/>
          <w:szCs w:val="22"/>
        </w:rPr>
      </w:pPr>
    </w:p>
    <w:p w14:paraId="3282E4F6"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296764D" w14:textId="77777777" w:rsidR="00A32F2F" w:rsidRDefault="00A32F2F">
      <w:pPr>
        <w:ind w:left="851" w:right="851"/>
        <w:jc w:val="both"/>
        <w:rPr>
          <w:rFonts w:ascii="Palatino Linotype" w:eastAsia="Palatino Linotype" w:hAnsi="Palatino Linotype" w:cs="Palatino Linotype"/>
          <w:i/>
          <w:sz w:val="22"/>
          <w:szCs w:val="22"/>
        </w:rPr>
      </w:pPr>
    </w:p>
    <w:p w14:paraId="41454602"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normatividad se aprecia que l</w:t>
      </w:r>
      <w:r>
        <w:rPr>
          <w:rFonts w:ascii="Palatino Linotype" w:eastAsia="Palatino Linotype" w:hAnsi="Palatino Linotype" w:cs="Palatino Linotype"/>
          <w:b/>
        </w:rPr>
        <w:t xml:space="preserve">a </w:t>
      </w:r>
      <w:r>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Pr>
          <w:rFonts w:ascii="Palatino Linotype" w:eastAsia="Palatino Linotype" w:hAnsi="Palatino Linotype" w:cs="Palatino Linotype"/>
          <w:i/>
        </w:rPr>
        <w:t>se reciba una solicitud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i/>
        </w:rPr>
        <w:t>determine mediante resolución de autoridad competente; o</w:t>
      </w:r>
      <w:r>
        <w:rPr>
          <w:rFonts w:ascii="Palatino Linotype" w:eastAsia="Palatino Linotype" w:hAnsi="Palatino Linotype" w:cs="Palatino Linotype"/>
        </w:rPr>
        <w:t xml:space="preserve"> </w:t>
      </w:r>
      <w:r>
        <w:rPr>
          <w:rFonts w:ascii="Palatino Linotype" w:eastAsia="Palatino Linotype" w:hAnsi="Palatino Linotype" w:cs="Palatino Linotype"/>
          <w:i/>
        </w:rPr>
        <w:t>generen versiones públicas para dar cumplimiento a las obligaciones de transparencia,</w:t>
      </w:r>
      <w:r>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99B92FF" w14:textId="77777777" w:rsidR="00A32F2F" w:rsidRDefault="003A5173">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la naturaleza de la información requerida 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062F311" w14:textId="77777777" w:rsidR="00A32F2F" w:rsidRDefault="00A32F2F">
      <w:pPr>
        <w:spacing w:line="360" w:lineRule="auto"/>
        <w:jc w:val="both"/>
        <w:rPr>
          <w:rFonts w:ascii="Palatino Linotype" w:eastAsia="Palatino Linotype" w:hAnsi="Palatino Linotype" w:cs="Palatino Linotype"/>
        </w:rPr>
      </w:pPr>
    </w:p>
    <w:p w14:paraId="6F139004"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C88D62D" w14:textId="77777777" w:rsidR="00A32F2F" w:rsidRDefault="00A32F2F">
      <w:pPr>
        <w:spacing w:line="360" w:lineRule="auto"/>
        <w:jc w:val="both"/>
        <w:rPr>
          <w:rFonts w:ascii="Palatino Linotype" w:eastAsia="Palatino Linotype" w:hAnsi="Palatino Linotype" w:cs="Palatino Linotype"/>
        </w:rPr>
      </w:pPr>
    </w:p>
    <w:p w14:paraId="088D53CB"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0D44540" w14:textId="77777777" w:rsidR="00A32F2F" w:rsidRDefault="00A32F2F">
      <w:pPr>
        <w:spacing w:line="360" w:lineRule="auto"/>
        <w:jc w:val="both"/>
        <w:rPr>
          <w:rFonts w:ascii="Palatino Linotype" w:eastAsia="Palatino Linotype" w:hAnsi="Palatino Linotype" w:cs="Palatino Linotype"/>
        </w:rPr>
      </w:pPr>
    </w:p>
    <w:p w14:paraId="5A716C0F"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C4B640C"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034A1015"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i/>
          <w:sz w:val="22"/>
          <w:szCs w:val="22"/>
          <w:u w:val="single"/>
        </w:rPr>
        <w:t>Recibos de pagos</w:t>
      </w:r>
      <w:r>
        <w:rPr>
          <w:rFonts w:ascii="Palatino Linotype" w:eastAsia="Palatino Linotype" w:hAnsi="Palatino Linotype" w:cs="Palatino Linotype"/>
          <w:i/>
          <w:sz w:val="22"/>
          <w:szCs w:val="22"/>
        </w:rPr>
        <w:t xml:space="preserve"> de salarios o las constancias documentales del pago de salario cuando sea por depósito o mediante información electrónica;</w:t>
      </w:r>
    </w:p>
    <w:p w14:paraId="4B57A270"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Controles de asistencia o la información magnética o electrónica de asistencia de los servidores públicos;</w:t>
      </w:r>
    </w:p>
    <w:p w14:paraId="7BFF6DFD"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112B88CF"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señalen las leyes.</w:t>
      </w:r>
    </w:p>
    <w:p w14:paraId="4E2C3774"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1583735" w14:textId="77777777" w:rsidR="00A32F2F" w:rsidRDefault="00A32F2F">
      <w:pPr>
        <w:spacing w:line="360" w:lineRule="auto"/>
        <w:jc w:val="both"/>
        <w:rPr>
          <w:rFonts w:ascii="Palatino Linotype" w:eastAsia="Palatino Linotype" w:hAnsi="Palatino Linotype" w:cs="Palatino Linotype"/>
          <w:sz w:val="22"/>
          <w:szCs w:val="22"/>
        </w:rPr>
      </w:pPr>
    </w:p>
    <w:p w14:paraId="004AAC79"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anterior precepto legal, se advierte que toda institución o dependencia pública del Estado de México debe conservar las constancias documentales del pago de </w:t>
      </w:r>
      <w:r>
        <w:rPr>
          <w:rFonts w:ascii="Palatino Linotype" w:eastAsia="Palatino Linotype" w:hAnsi="Palatino Linotype" w:cs="Palatino Linotype"/>
        </w:rPr>
        <w:lastRenderedPageBreak/>
        <w:t>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4BC7449F" w14:textId="77777777" w:rsidR="00A32F2F" w:rsidRDefault="00A32F2F">
      <w:pPr>
        <w:tabs>
          <w:tab w:val="right" w:pos="8505"/>
        </w:tabs>
        <w:spacing w:after="240" w:line="360" w:lineRule="auto"/>
        <w:jc w:val="both"/>
        <w:rPr>
          <w:rFonts w:ascii="Palatino Linotype" w:eastAsia="Palatino Linotype" w:hAnsi="Palatino Linotype" w:cs="Palatino Linotype"/>
        </w:rPr>
      </w:pPr>
    </w:p>
    <w:p w14:paraId="36A0571D" w14:textId="77777777" w:rsidR="00A32F2F" w:rsidRDefault="003A5173">
      <w:pPr>
        <w:tabs>
          <w:tab w:val="right" w:pos="8505"/>
        </w:tabs>
        <w:spacing w:after="240" w:line="360" w:lineRule="auto"/>
        <w:jc w:val="both"/>
      </w:pPr>
      <w:r>
        <w:rPr>
          <w:rFonts w:ascii="Palatino Linotype" w:eastAsia="Palatino Linotype" w:hAnsi="Palatino Linotype" w:cs="Palatino Linotype"/>
        </w:rPr>
        <w:t xml:space="preserve">En este sentido, cabe referir que la Ley de Fiscalización Superior del Estado de México,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son considerados como entes fiscalizables, como así lo señala el artículo 4 fracción II de la Ley de Fiscalización Superior del Estado de México, el cual refiere lo siguiente:</w:t>
      </w:r>
    </w:p>
    <w:p w14:paraId="403AC31C" w14:textId="77777777" w:rsidR="00A32F2F" w:rsidRDefault="003A5173">
      <w:pPr>
        <w:spacing w:before="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295BDF44" w14:textId="77777777" w:rsidR="00A32F2F" w:rsidRDefault="003A5173">
      <w:pPr>
        <w:numPr>
          <w:ilvl w:val="0"/>
          <w:numId w:val="9"/>
        </w:numPr>
        <w:spacing w:before="240" w:after="160" w:line="276" w:lineRule="auto"/>
        <w:ind w:left="567" w:right="851"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 (Sic)</w:t>
      </w:r>
    </w:p>
    <w:p w14:paraId="4491023A" w14:textId="77777777" w:rsidR="00A32F2F" w:rsidRDefault="00A32F2F">
      <w:pPr>
        <w:spacing w:before="240"/>
        <w:ind w:left="851" w:right="851"/>
        <w:jc w:val="both"/>
        <w:rPr>
          <w:b/>
        </w:rPr>
      </w:pPr>
    </w:p>
    <w:p w14:paraId="0A0F52B3"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ordenamiento legal referido señala en su artículo 8, fracción XI, lo siguiente: </w:t>
      </w:r>
    </w:p>
    <w:p w14:paraId="08E45886" w14:textId="77777777" w:rsidR="00A32F2F" w:rsidRDefault="003A5173">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3B24C8B3"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D344177" w14:textId="77777777" w:rsidR="00A32F2F" w:rsidRDefault="003A517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Sic)</w:t>
      </w:r>
    </w:p>
    <w:p w14:paraId="28C01BD1" w14:textId="77777777" w:rsidR="00A32F2F" w:rsidRDefault="00A32F2F">
      <w:pPr>
        <w:ind w:left="851" w:right="851"/>
        <w:jc w:val="both"/>
        <w:rPr>
          <w:rFonts w:ascii="Palatino Linotype" w:eastAsia="Palatino Linotype" w:hAnsi="Palatino Linotype" w:cs="Palatino Linotype"/>
          <w:b/>
          <w:i/>
        </w:rPr>
      </w:pPr>
    </w:p>
    <w:p w14:paraId="6CF7F37F"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el Órgano Superior de Fiscalización del Estado de México en cumplimiento a la disposición jurídica previamente señalada y en ejercicio de sus atribuciones emitió los Lineamientos para la Integración y Entrega del Informe </w:t>
      </w:r>
      <w:r>
        <w:rPr>
          <w:rFonts w:ascii="Palatino Linotype" w:eastAsia="Palatino Linotype" w:hAnsi="Palatino Linotype" w:cs="Palatino Linotype"/>
        </w:rPr>
        <w:lastRenderedPageBreak/>
        <w:t xml:space="preserve">Trimestral Municipal 2022, en los que se ubica el módulo cuatro relativo a la información de la nómina, como se advierte en las siguientes imágenes. </w:t>
      </w:r>
    </w:p>
    <w:p w14:paraId="7F452F6B" w14:textId="77777777" w:rsidR="00A32F2F" w:rsidRDefault="003A5173">
      <w:pPr>
        <w:spacing w:line="360" w:lineRule="auto"/>
        <w:jc w:val="both"/>
      </w:pPr>
      <w:r>
        <w:rPr>
          <w:noProof/>
          <w:lang w:val="es-MX" w:eastAsia="es-MX"/>
        </w:rPr>
        <w:drawing>
          <wp:inline distT="0" distB="0" distL="0" distR="0" wp14:anchorId="31B6FAC3" wp14:editId="53BED073">
            <wp:extent cx="5441950" cy="3568700"/>
            <wp:effectExtent l="0" t="0" r="0" b="0"/>
            <wp:docPr id="3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3986" t="26966" r="3141" b="13257"/>
                    <a:stretch>
                      <a:fillRect/>
                    </a:stretch>
                  </pic:blipFill>
                  <pic:spPr>
                    <a:xfrm>
                      <a:off x="0" y="0"/>
                      <a:ext cx="5441950" cy="35687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14:anchorId="5A4F9BCD" wp14:editId="3B18E103">
                <wp:simplePos x="0" y="0"/>
                <wp:positionH relativeFrom="column">
                  <wp:posOffset>-50799</wp:posOffset>
                </wp:positionH>
                <wp:positionV relativeFrom="paragraph">
                  <wp:posOffset>2616200</wp:posOffset>
                </wp:positionV>
                <wp:extent cx="5575300" cy="971550"/>
                <wp:effectExtent l="0" t="0" r="0" b="0"/>
                <wp:wrapNone/>
                <wp:docPr id="304" name="Rectángulo 304"/>
                <wp:cNvGraphicFramePr/>
                <a:graphic xmlns:a="http://schemas.openxmlformats.org/drawingml/2006/main">
                  <a:graphicData uri="http://schemas.microsoft.com/office/word/2010/wordprocessingShape">
                    <wps:wsp>
                      <wps:cNvSpPr/>
                      <wps:spPr>
                        <a:xfrm>
                          <a:off x="2634550" y="3370425"/>
                          <a:ext cx="5422900" cy="819150"/>
                        </a:xfrm>
                        <a:prstGeom prst="rect">
                          <a:avLst/>
                        </a:prstGeom>
                        <a:noFill/>
                        <a:ln w="38100" cap="flat" cmpd="sng">
                          <a:solidFill>
                            <a:srgbClr val="FF0000"/>
                          </a:solidFill>
                          <a:prstDash val="solid"/>
                          <a:miter lim="800000"/>
                          <a:headEnd type="none" w="sm" len="sm"/>
                          <a:tailEnd type="none" w="sm" len="sm"/>
                        </a:ln>
                      </wps:spPr>
                      <wps:txbx>
                        <w:txbxContent>
                          <w:p w14:paraId="13323AE5" w14:textId="77777777" w:rsidR="00A32F2F" w:rsidRDefault="00A32F2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2616200</wp:posOffset>
                </wp:positionV>
                <wp:extent cx="5575300" cy="971550"/>
                <wp:effectExtent b="0" l="0" r="0" t="0"/>
                <wp:wrapNone/>
                <wp:docPr id="30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575300" cy="971550"/>
                        </a:xfrm>
                        <a:prstGeom prst="rect"/>
                        <a:ln/>
                      </pic:spPr>
                    </pic:pic>
                  </a:graphicData>
                </a:graphic>
              </wp:anchor>
            </w:drawing>
          </mc:Fallback>
        </mc:AlternateContent>
      </w:r>
    </w:p>
    <w:p w14:paraId="1C390573" w14:textId="77777777" w:rsidR="00A32F2F" w:rsidRDefault="003A5173">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447D0C40" wp14:editId="0C4BDD21">
            <wp:extent cx="5020357" cy="3315150"/>
            <wp:effectExtent l="0" t="0" r="0" b="0"/>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2361" t="20325" r="3937" b="4205"/>
                    <a:stretch>
                      <a:fillRect/>
                    </a:stretch>
                  </pic:blipFill>
                  <pic:spPr>
                    <a:xfrm>
                      <a:off x="0" y="0"/>
                      <a:ext cx="5020357" cy="3315150"/>
                    </a:xfrm>
                    <a:prstGeom prst="rect">
                      <a:avLst/>
                    </a:prstGeom>
                    <a:ln/>
                  </pic:spPr>
                </pic:pic>
              </a:graphicData>
            </a:graphic>
          </wp:inline>
        </w:drawing>
      </w:r>
    </w:p>
    <w:p w14:paraId="5292BDB4" w14:textId="77777777" w:rsidR="00A32F2F" w:rsidRDefault="003A517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556EE15A" wp14:editId="19C81389">
            <wp:extent cx="5191125" cy="2914650"/>
            <wp:effectExtent l="0" t="0" r="0" b="0"/>
            <wp:docPr id="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6206" t="14489" r="18081"/>
                    <a:stretch>
                      <a:fillRect/>
                    </a:stretch>
                  </pic:blipFill>
                  <pic:spPr>
                    <a:xfrm>
                      <a:off x="0" y="0"/>
                      <a:ext cx="5191125" cy="2914650"/>
                    </a:xfrm>
                    <a:prstGeom prst="rect">
                      <a:avLst/>
                    </a:prstGeom>
                    <a:ln/>
                  </pic:spPr>
                </pic:pic>
              </a:graphicData>
            </a:graphic>
          </wp:inline>
        </w:drawing>
      </w:r>
    </w:p>
    <w:p w14:paraId="628493AE" w14:textId="77777777" w:rsidR="00A32F2F" w:rsidRDefault="003A5173">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2BA24071" wp14:editId="0A8F0872">
            <wp:extent cx="5435600" cy="4070350"/>
            <wp:effectExtent l="0" t="0" r="0" b="0"/>
            <wp:docPr id="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7792" t="16704" r="16949" b="2191"/>
                    <a:stretch>
                      <a:fillRect/>
                    </a:stretch>
                  </pic:blipFill>
                  <pic:spPr>
                    <a:xfrm>
                      <a:off x="0" y="0"/>
                      <a:ext cx="5435600" cy="4070350"/>
                    </a:xfrm>
                    <a:prstGeom prst="rect">
                      <a:avLst/>
                    </a:prstGeom>
                    <a:ln/>
                  </pic:spPr>
                </pic:pic>
              </a:graphicData>
            </a:graphic>
          </wp:inline>
        </w:drawing>
      </w:r>
    </w:p>
    <w:p w14:paraId="13226CA1" w14:textId="77777777" w:rsidR="00A32F2F" w:rsidRDefault="003A517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2C43A547" wp14:editId="3A28608C">
            <wp:extent cx="5435600" cy="3073400"/>
            <wp:effectExtent l="0" t="0" r="0" b="0"/>
            <wp:docPr id="3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3222" t="23949" r="22605" b="9436"/>
                    <a:stretch>
                      <a:fillRect/>
                    </a:stretch>
                  </pic:blipFill>
                  <pic:spPr>
                    <a:xfrm>
                      <a:off x="0" y="0"/>
                      <a:ext cx="5435600" cy="3073400"/>
                    </a:xfrm>
                    <a:prstGeom prst="rect">
                      <a:avLst/>
                    </a:prstGeom>
                    <a:ln/>
                  </pic:spPr>
                </pic:pic>
              </a:graphicData>
            </a:graphic>
          </wp:inline>
        </w:drawing>
      </w:r>
    </w:p>
    <w:p w14:paraId="2AAE1DFA"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imagen antes referida,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genera los Comprobantes Fiscales Digitales por Internet por concepto de Nómina o comúnmente conocido por </w:t>
      </w:r>
      <w:r>
        <w:rPr>
          <w:rFonts w:ascii="Palatino Linotype" w:eastAsia="Palatino Linotype" w:hAnsi="Palatino Linotype" w:cs="Palatino Linotype"/>
          <w:b/>
        </w:rPr>
        <w:t>Recibos de Nómina</w:t>
      </w:r>
      <w:r>
        <w:rPr>
          <w:rFonts w:ascii="Palatino Linotype" w:eastAsia="Palatino Linotype" w:hAnsi="Palatino Linotype" w:cs="Palatino Linotype"/>
        </w:rPr>
        <w:t xml:space="preserve">, los cuales ya se encuentran digitalizados; ya que, de acuerdo a lo establecido en los lineamientos, se entregan al Órgano Superior de Fiscalización en formato PDF. </w:t>
      </w:r>
    </w:p>
    <w:p w14:paraId="74C0D037" w14:textId="77777777" w:rsidR="00A32F2F" w:rsidRDefault="003A5173">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bajo los argumentos expuestos, se tiene en que el </w:t>
      </w:r>
      <w:r>
        <w:rPr>
          <w:rFonts w:ascii="Palatino Linotype" w:eastAsia="Palatino Linotype" w:hAnsi="Palatino Linotype" w:cs="Palatino Linotype"/>
          <w:b/>
        </w:rPr>
        <w:t xml:space="preserve">Sujeto Obligado es competente para conocer de la información </w:t>
      </w:r>
      <w:r>
        <w:rPr>
          <w:rFonts w:ascii="Palatino Linotype" w:eastAsia="Palatino Linotype" w:hAnsi="Palatino Linotype" w:cs="Palatino Linotype"/>
        </w:rPr>
        <w:t>requerida, misma que se puede poner a disposición de los particulares en versión pública.</w:t>
      </w:r>
    </w:p>
    <w:p w14:paraId="2400CA5D" w14:textId="77777777" w:rsidR="00A32F2F" w:rsidRDefault="00A32F2F">
      <w:pPr>
        <w:spacing w:line="360" w:lineRule="auto"/>
        <w:ind w:right="-91"/>
        <w:jc w:val="both"/>
        <w:rPr>
          <w:rFonts w:ascii="Palatino Linotype" w:eastAsia="Palatino Linotype" w:hAnsi="Palatino Linotype" w:cs="Palatino Linotype"/>
        </w:rPr>
      </w:pPr>
    </w:p>
    <w:p w14:paraId="4D601957" w14:textId="77777777" w:rsidR="00A32F2F" w:rsidRDefault="003A5173">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Lo anterior en virtud de que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AB90A59" w14:textId="77777777" w:rsidR="00A32F2F" w:rsidRDefault="00A32F2F">
      <w:pPr>
        <w:spacing w:line="360" w:lineRule="auto"/>
        <w:ind w:right="-91"/>
        <w:jc w:val="both"/>
        <w:rPr>
          <w:rFonts w:ascii="Palatino Linotype" w:eastAsia="Palatino Linotype" w:hAnsi="Palatino Linotype" w:cs="Palatino Linotype"/>
        </w:rPr>
      </w:pPr>
    </w:p>
    <w:p w14:paraId="27CF002E" w14:textId="77777777" w:rsidR="00A32F2F" w:rsidRDefault="003A5173">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w:t>
      </w:r>
      <w:r>
        <w:rPr>
          <w:rFonts w:ascii="Palatino Linotype" w:eastAsia="Palatino Linotype" w:hAnsi="Palatino Linotype" w:cs="Palatino Linotype"/>
          <w:i/>
          <w:sz w:val="22"/>
          <w:szCs w:val="22"/>
        </w:rPr>
        <w:lastRenderedPageBreak/>
        <w:t xml:space="preserve">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4B46A453"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701AE628"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FC7CD9" w14:textId="77777777" w:rsidR="00A32F2F" w:rsidRDefault="003A5173">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3B4E7576"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BFD0788" w14:textId="77777777" w:rsidR="00A32F2F" w:rsidRDefault="003A5173">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516DA2D" w14:textId="77777777" w:rsidR="00A32F2F" w:rsidRDefault="003A517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14:paraId="18BCCE29" w14:textId="77777777" w:rsidR="00A32F2F" w:rsidRDefault="00A32F2F">
      <w:pPr>
        <w:spacing w:line="360" w:lineRule="auto"/>
        <w:jc w:val="both"/>
        <w:rPr>
          <w:rFonts w:ascii="Palatino Linotype" w:eastAsia="Palatino Linotype" w:hAnsi="Palatino Linotype" w:cs="Palatino Linotype"/>
        </w:rPr>
      </w:pPr>
    </w:p>
    <w:p w14:paraId="1E3DBE42"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41B8A8C4" w14:textId="77777777" w:rsidR="00A32F2F" w:rsidRDefault="003A5173">
      <w:pPr>
        <w:spacing w:line="276" w:lineRule="auto"/>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14:paraId="642F4948" w14:textId="77777777" w:rsidR="00A32F2F" w:rsidRDefault="003A5173">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14:paraId="051B4672" w14:textId="77777777" w:rsidR="00A32F2F" w:rsidRDefault="003A5173">
      <w:pPr>
        <w:spacing w:line="276" w:lineRule="auto"/>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Pr>
          <w:rFonts w:ascii="Palatino Linotype" w:eastAsia="Palatino Linotype" w:hAnsi="Palatino Linotype" w:cs="Palatino Linotype"/>
          <w:i/>
          <w:sz w:val="22"/>
          <w:szCs w:val="22"/>
        </w:rPr>
        <w:lastRenderedPageBreak/>
        <w:t xml:space="preserve">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14:paraId="026A3D7D" w14:textId="77777777" w:rsidR="00A32F2F" w:rsidRDefault="00A32F2F">
      <w:pPr>
        <w:spacing w:line="276" w:lineRule="auto"/>
        <w:ind w:left="851" w:right="851"/>
        <w:jc w:val="both"/>
        <w:rPr>
          <w:rFonts w:ascii="Palatino Linotype" w:eastAsia="Palatino Linotype" w:hAnsi="Palatino Linotype" w:cs="Palatino Linotype"/>
          <w:i/>
          <w:sz w:val="22"/>
          <w:szCs w:val="22"/>
        </w:rPr>
      </w:pPr>
    </w:p>
    <w:p w14:paraId="40C58F1F" w14:textId="77777777" w:rsidR="00A32F2F" w:rsidRDefault="003A5173">
      <w:pPr>
        <w:spacing w:line="276" w:lineRule="auto"/>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76106044" w14:textId="77777777" w:rsidR="00A32F2F" w:rsidRDefault="003A5173">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14:paraId="6D4A16E6" w14:textId="77777777" w:rsidR="00A32F2F" w:rsidRDefault="003A5173">
      <w:pPr>
        <w:spacing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14:paraId="4E5D5BAE" w14:textId="77777777" w:rsidR="00A32F2F" w:rsidRDefault="00A32F2F">
      <w:pPr>
        <w:spacing w:line="276" w:lineRule="auto"/>
        <w:jc w:val="both"/>
        <w:rPr>
          <w:rFonts w:ascii="Palatino Linotype" w:eastAsia="Palatino Linotype" w:hAnsi="Palatino Linotype" w:cs="Palatino Linotype"/>
          <w:sz w:val="22"/>
          <w:szCs w:val="22"/>
        </w:rPr>
      </w:pPr>
    </w:p>
    <w:p w14:paraId="6E93123A"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artículo 70 de la Ley General de Transparencia y Acceso a la Información Pública dispone lo siguiente: </w:t>
      </w:r>
    </w:p>
    <w:p w14:paraId="1B2F2A1E" w14:textId="77777777" w:rsidR="00A32F2F" w:rsidRDefault="00A32F2F">
      <w:pPr>
        <w:spacing w:line="360" w:lineRule="auto"/>
        <w:jc w:val="both"/>
        <w:rPr>
          <w:rFonts w:ascii="Palatino Linotype" w:eastAsia="Palatino Linotype" w:hAnsi="Palatino Linotype" w:cs="Palatino Linotype"/>
        </w:rPr>
      </w:pPr>
    </w:p>
    <w:p w14:paraId="7B6F7BDD"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7EEFCB9C"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0632977"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73A9592" w14:textId="77777777" w:rsidR="00A32F2F" w:rsidRDefault="00A32F2F">
      <w:pPr>
        <w:spacing w:line="360" w:lineRule="auto"/>
        <w:jc w:val="both"/>
      </w:pPr>
    </w:p>
    <w:p w14:paraId="6D88C59F"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33125ED2"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CC7415"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8E22A4" w14:textId="77777777" w:rsidR="00A32F2F" w:rsidRDefault="003A5173">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FD3E5B0" w14:textId="77777777" w:rsidR="00A32F2F" w:rsidRDefault="00A32F2F">
      <w:pPr>
        <w:spacing w:line="360" w:lineRule="auto"/>
        <w:jc w:val="both"/>
      </w:pPr>
    </w:p>
    <w:p w14:paraId="5F1F714B"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544A3AB6" w14:textId="77777777" w:rsidR="00A32F2F" w:rsidRDefault="00A32F2F">
      <w:pPr>
        <w:spacing w:line="360" w:lineRule="auto"/>
        <w:jc w:val="both"/>
        <w:rPr>
          <w:rFonts w:ascii="Palatino Linotype" w:eastAsia="Palatino Linotype" w:hAnsi="Palatino Linotype" w:cs="Palatino Linotype"/>
        </w:rPr>
      </w:pPr>
    </w:p>
    <w:p w14:paraId="3EBB4A9C" w14:textId="77777777" w:rsidR="00A32F2F" w:rsidRDefault="003A517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por cuanto hace a la lista de raya, el “Glosario de Términos para el Proceso de Planeación, Programación, Presupuestación y Evaluación en la Administración Pública”, elaborado por el Grupo de Trabajo de Sistemas de Información Financiera, </w:t>
      </w:r>
      <w:r>
        <w:rPr>
          <w:rFonts w:ascii="Palatino Linotype" w:eastAsia="Palatino Linotype" w:hAnsi="Palatino Linotype" w:cs="Palatino Linotype"/>
        </w:rPr>
        <w:lastRenderedPageBreak/>
        <w:t>Contable y Presupuestal de la Comisión Permanente de Funcionarios Fiscales del Instituto para el Desarrollo Técnico de las Haciendas Públicas (INDETEC), señalan la siguiente definición del término en referencia:</w:t>
      </w:r>
    </w:p>
    <w:p w14:paraId="322A0B21" w14:textId="77777777" w:rsidR="00A32F2F" w:rsidRDefault="003A5173">
      <w:pPr>
        <w:spacing w:before="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PERSONAL DE LISTA DE RAYA. </w:t>
      </w:r>
      <w:r>
        <w:rPr>
          <w:rFonts w:ascii="Palatino Linotype" w:eastAsia="Palatino Linotype" w:hAnsi="Palatino Linotype" w:cs="Palatino Linotype"/>
          <w:i/>
          <w:sz w:val="22"/>
          <w:szCs w:val="22"/>
        </w:rPr>
        <w:t>Lo integran los trabajadores temporales cuya relación laboral se formaliza por su inclusión en nómina o documentos denominados “Lista de Raya” y que, por lo tanto, carecen de nombramiento.” (Sic)</w:t>
      </w:r>
    </w:p>
    <w:p w14:paraId="11F9BD45" w14:textId="77777777" w:rsidR="00A32F2F" w:rsidRDefault="00A32F2F">
      <w:pPr>
        <w:spacing w:before="120"/>
        <w:ind w:left="851" w:right="902"/>
        <w:jc w:val="both"/>
        <w:rPr>
          <w:rFonts w:ascii="Palatino Linotype" w:eastAsia="Palatino Linotype" w:hAnsi="Palatino Linotype" w:cs="Palatino Linotype"/>
          <w:b/>
          <w:i/>
          <w:sz w:val="22"/>
          <w:szCs w:val="22"/>
        </w:rPr>
      </w:pPr>
    </w:p>
    <w:p w14:paraId="34DEB019"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5E16731E" w14:textId="77777777" w:rsidR="00A32F2F" w:rsidRDefault="00A32F2F">
      <w:pPr>
        <w:ind w:left="851" w:right="851"/>
        <w:jc w:val="both"/>
        <w:rPr>
          <w:rFonts w:ascii="Palatino Linotype" w:eastAsia="Palatino Linotype" w:hAnsi="Palatino Linotype" w:cs="Palatino Linotype"/>
          <w:i/>
        </w:rPr>
      </w:pPr>
    </w:p>
    <w:p w14:paraId="1E4B1D0B"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14:paraId="42A5EBFD" w14:textId="77777777" w:rsidR="00A32F2F" w:rsidRDefault="00A32F2F">
      <w:pPr>
        <w:ind w:left="851" w:right="851"/>
        <w:jc w:val="both"/>
        <w:rPr>
          <w:rFonts w:ascii="Palatino Linotype" w:eastAsia="Palatino Linotype" w:hAnsi="Palatino Linotype" w:cs="Palatino Linotype"/>
          <w:i/>
          <w:sz w:val="22"/>
          <w:szCs w:val="22"/>
        </w:rPr>
      </w:pPr>
    </w:p>
    <w:p w14:paraId="725B1D34"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14:paraId="2C7C3AFE"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4EFF9B7"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14:paraId="754BBA58"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concluye que el personal de lista de raya y por honorarios se integra por los trabajadores temporales que no forman parte de la nómina, al respecto el máximo tribunal jurisdiccional del país ha precisado que </w:t>
      </w:r>
      <w:r>
        <w:rPr>
          <w:rFonts w:ascii="Palatino Linotype" w:eastAsia="Palatino Linotype" w:hAnsi="Palatino Linotype" w:cs="Palatino Linotype"/>
          <w:color w:val="000000"/>
        </w:rPr>
        <w:t xml:space="preserve">la incorporación de un trabajador a las listas de raya implica una temporalidad en la relación laboral, ya sea por obra o tiempo determinado, lapso en el cual, si bien está amparado por </w:t>
      </w:r>
      <w:r>
        <w:rPr>
          <w:rFonts w:ascii="Palatino Linotype" w:eastAsia="Palatino Linotype" w:hAnsi="Palatino Linotype" w:cs="Palatino Linotype"/>
          <w:color w:val="000000"/>
        </w:rPr>
        <w:lastRenderedPageBreak/>
        <w:t>los beneficios que le conceda la ley, una vez concluido dicho periodo termina la relación de trabajo sin responsabilidad para el patrón</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color w:val="000000"/>
        </w:rPr>
        <w:t>.</w:t>
      </w:r>
    </w:p>
    <w:p w14:paraId="7538AC24" w14:textId="77777777" w:rsidR="00A32F2F" w:rsidRDefault="003A517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los servidores públicos de confianza, sindicalizados, por honorarios, generales y de lista raya, constituyen el número de trabajadores que perciben una remuneración por los servicios que estos le prestan al patrón, con las percepciones brutas, deducciones y el neto a recibir, delimitándose su diferencia por las funciones que realizan o bien por que la prestación del trabajo personal y/o subordinado cuando es por tiempo determinado o indeterminado como acontece con el personal de lista de raya y por honorarios.</w:t>
      </w:r>
    </w:p>
    <w:p w14:paraId="1A30C9C1" w14:textId="77777777" w:rsidR="00A32F2F" w:rsidRDefault="003A5173">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14:paraId="5CB8C183" w14:textId="77777777" w:rsidR="00A32F2F" w:rsidRDefault="00A32F2F">
      <w:pPr>
        <w:ind w:left="851" w:right="851"/>
        <w:jc w:val="both"/>
        <w:rPr>
          <w:rFonts w:ascii="Palatino Linotype" w:eastAsia="Palatino Linotype" w:hAnsi="Palatino Linotype" w:cs="Palatino Linotype"/>
          <w:i/>
          <w:sz w:val="22"/>
          <w:szCs w:val="22"/>
        </w:rPr>
      </w:pPr>
    </w:p>
    <w:p w14:paraId="36E4949C"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7A25EC3A" w14:textId="77777777" w:rsidR="00A32F2F" w:rsidRDefault="003A517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Iguales consecuencias se generarán para todos los servidores públicos, cuando la relación de trabajo se formalice mediante un contrato </w:t>
      </w:r>
      <w:r>
        <w:rPr>
          <w:rFonts w:ascii="Palatino Linotype" w:eastAsia="Palatino Linotype" w:hAnsi="Palatino Linotype" w:cs="Palatino Linotype"/>
          <w:b/>
          <w:i/>
          <w:sz w:val="22"/>
          <w:szCs w:val="22"/>
        </w:rPr>
        <w:t>o por encontrarse en lista de raya.</w:t>
      </w:r>
      <w:r>
        <w:rPr>
          <w:rFonts w:ascii="Palatino Linotype" w:eastAsia="Palatino Linotype" w:hAnsi="Palatino Linotype" w:cs="Palatino Linotype"/>
          <w:i/>
          <w:sz w:val="22"/>
          <w:szCs w:val="22"/>
        </w:rPr>
        <w:t>”(Sic)</w:t>
      </w:r>
    </w:p>
    <w:p w14:paraId="1BE458D2" w14:textId="77777777" w:rsidR="00A32F2F" w:rsidRDefault="00A32F2F">
      <w:pPr>
        <w:ind w:right="851"/>
        <w:jc w:val="both"/>
        <w:rPr>
          <w:rFonts w:ascii="Palatino Linotype" w:eastAsia="Palatino Linotype" w:hAnsi="Palatino Linotype" w:cs="Palatino Linotype"/>
          <w:i/>
          <w:sz w:val="22"/>
          <w:szCs w:val="22"/>
        </w:rPr>
      </w:pPr>
    </w:p>
    <w:p w14:paraId="22302B8F"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advierte que la relación laboral entre un servidor público y el Estado se formaliza mediante nombramiento, contrato, formato único de movimientos de personal o por encontrarse en lista de raya.</w:t>
      </w:r>
    </w:p>
    <w:p w14:paraId="2D03DA6D" w14:textId="77777777" w:rsidR="00A32F2F" w:rsidRDefault="003A51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07DF5A66" w14:textId="77777777" w:rsidR="00A32F2F" w:rsidRDefault="003A5173">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14:paraId="1E9BA385" w14:textId="77777777" w:rsidR="00A32F2F" w:rsidRDefault="003A5173">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DCDC17" w14:textId="77777777" w:rsidR="00A32F2F" w:rsidRDefault="003A5173">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14:paraId="5AF42FBA" w14:textId="77777777" w:rsidR="00A32F2F" w:rsidRDefault="003A5173">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D7D673" w14:textId="77777777" w:rsidR="00A32F2F" w:rsidRDefault="003A5173">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74AD87D" w14:textId="77777777" w:rsidR="00A32F2F" w:rsidRDefault="003A5173">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D5FFDAB" w14:textId="77777777" w:rsidR="00A32F2F" w:rsidRDefault="00A32F2F">
      <w:pPr>
        <w:tabs>
          <w:tab w:val="left" w:pos="9072"/>
        </w:tabs>
        <w:ind w:left="851" w:right="851"/>
        <w:jc w:val="both"/>
        <w:rPr>
          <w:rFonts w:ascii="Palatino Linotype" w:eastAsia="Palatino Linotype" w:hAnsi="Palatino Linotype" w:cs="Palatino Linotype"/>
          <w:i/>
          <w:sz w:val="22"/>
          <w:szCs w:val="22"/>
        </w:rPr>
      </w:pPr>
    </w:p>
    <w:p w14:paraId="06933CD3" w14:textId="77777777" w:rsidR="00A32F2F" w:rsidRDefault="003A517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9912ADD" w14:textId="77777777" w:rsidR="00A32F2F" w:rsidRDefault="00A32F2F">
      <w:pPr>
        <w:spacing w:line="360" w:lineRule="auto"/>
        <w:ind w:right="51"/>
        <w:jc w:val="both"/>
        <w:rPr>
          <w:rFonts w:ascii="Palatino Linotype" w:eastAsia="Palatino Linotype" w:hAnsi="Palatino Linotype" w:cs="Palatino Linotype"/>
        </w:rPr>
      </w:pPr>
    </w:p>
    <w:p w14:paraId="312653AD"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ya se analizó anteriormente, esta información pudiera ser generada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al momento de integrar el módulo cuatro del informe trimestral que remite al OSFEM para su respectiva revisión y fiscalización, sin embargo, de ser el caso en el que no se haya generado la información relativa a la Lista de Raya, se reitera que bastará con el sólo pronunciamiento del Sujeto Obligado de manera fundada y motivada en términos del segundo párrafo del  artículo 19 de la Ley de Transparencia local, para dar por satisfecho el derecho de acceso a la información.</w:t>
      </w:r>
    </w:p>
    <w:p w14:paraId="2664E333" w14:textId="77777777" w:rsidR="00A32F2F" w:rsidRDefault="00A32F2F">
      <w:pPr>
        <w:spacing w:line="360" w:lineRule="auto"/>
        <w:jc w:val="both"/>
        <w:rPr>
          <w:rFonts w:ascii="Palatino Linotype" w:eastAsia="Palatino Linotype" w:hAnsi="Palatino Linotype" w:cs="Palatino Linotype"/>
        </w:rPr>
      </w:pPr>
    </w:p>
    <w:p w14:paraId="076CDCB8"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se concluye que si bien es cierto,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intentó subsanar la deficiencia de respuestas en los medios de impugnación citados al rubro, del análisis efectuado se advierte que las versiones públicas de los recibos de  nómina no cumplen con los requisitos señalados por la Ley de Transparencia vigente en la entidad; razón por la cual es dable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los recibos de nómina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de todos los servidores públicos de confianza y sindicalizados, así como los de lista de raya, así como los del Presidente, síndico y regidores, correspondientes a la primera y segunda quincena de enero de dos mil veintidós, en una correcta versión pública, tal como se detallará en el considerando quinto.</w:t>
      </w:r>
    </w:p>
    <w:p w14:paraId="765C335E" w14:textId="77777777" w:rsidR="00A32F2F" w:rsidRDefault="003A5173">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ya se mencionó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w:t>
      </w:r>
      <w:r>
        <w:rPr>
          <w:rFonts w:ascii="Palatino Linotype" w:eastAsia="Palatino Linotype" w:hAnsi="Palatino Linotype" w:cs="Palatino Linotype"/>
          <w:color w:val="000000"/>
        </w:rPr>
        <w:t xml:space="preserve">proporcionar las respuestas </w:t>
      </w:r>
      <w:r>
        <w:rPr>
          <w:rFonts w:ascii="Palatino Linotype" w:eastAsia="Palatino Linotype" w:hAnsi="Palatino Linotype" w:cs="Palatino Linotype"/>
        </w:rPr>
        <w:t xml:space="preserve">a sus solicitudes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xml:space="preserve">, para que resuelva lo conducente y determine </w:t>
      </w:r>
      <w:r>
        <w:rPr>
          <w:rFonts w:ascii="Palatino Linotype" w:eastAsia="Palatino Linotype" w:hAnsi="Palatino Linotype" w:cs="Palatino Linotype"/>
        </w:rPr>
        <w:lastRenderedPageBreak/>
        <w:t>en su caso el grado de responsabilidad en el incumplimiento de las obligaciones establecidas en la misma, en términos del artículo 190 de la Ley de Transparencia y Acceso a la Información Pública del Estado de México y Municipios.</w:t>
      </w:r>
    </w:p>
    <w:p w14:paraId="4A2B83A6" w14:textId="77777777" w:rsidR="00A32F2F" w:rsidRDefault="00A32F2F">
      <w:pPr>
        <w:spacing w:line="360" w:lineRule="auto"/>
        <w:jc w:val="both"/>
        <w:rPr>
          <w:rFonts w:ascii="Palatino Linotype" w:eastAsia="Palatino Linotype" w:hAnsi="Palatino Linotype" w:cs="Palatino Linotype"/>
        </w:rPr>
      </w:pPr>
    </w:p>
    <w:p w14:paraId="026663BB"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 C</w:t>
      </w:r>
      <w:r>
        <w:rPr>
          <w:rFonts w:ascii="Palatino Linotype" w:eastAsia="Palatino Linotype" w:hAnsi="Palatino Linotype" w:cs="Palatino Linotype"/>
        </w:rPr>
        <w:t>omo fue debidamente apuntado, el</w:t>
      </w:r>
      <w:r>
        <w:rPr>
          <w:rFonts w:ascii="Palatino Linotype" w:eastAsia="Palatino Linotype" w:hAnsi="Palatino Linotype" w:cs="Palatino Linotype"/>
          <w:b/>
        </w:rPr>
        <w:t> Sujeto Obligado</w:t>
      </w:r>
      <w:r>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2D0CAA0B" w14:textId="77777777" w:rsidR="00A32F2F" w:rsidRDefault="00A32F2F">
      <w:pPr>
        <w:spacing w:line="360" w:lineRule="auto"/>
        <w:jc w:val="both"/>
        <w:rPr>
          <w:rFonts w:ascii="Palatino Linotype" w:eastAsia="Palatino Linotype" w:hAnsi="Palatino Linotype" w:cs="Palatino Linotype"/>
        </w:rPr>
      </w:pPr>
    </w:p>
    <w:p w14:paraId="59E428CF" w14:textId="77777777" w:rsidR="00A32F2F" w:rsidRDefault="003A5173">
      <w:pPr>
        <w:shd w:val="clear" w:color="auto" w:fill="FFFFFF"/>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20FE829D" w14:textId="77777777" w:rsidR="00A32F2F" w:rsidRDefault="00A32F2F">
      <w:pPr>
        <w:shd w:val="clear" w:color="auto" w:fill="FFFFFF"/>
        <w:spacing w:line="360" w:lineRule="auto"/>
        <w:ind w:right="51"/>
        <w:jc w:val="both"/>
        <w:rPr>
          <w:rFonts w:ascii="Palatino Linotype" w:eastAsia="Palatino Linotype" w:hAnsi="Palatino Linotype" w:cs="Palatino Linotype"/>
        </w:rPr>
      </w:pPr>
    </w:p>
    <w:p w14:paraId="5EE58CB6" w14:textId="77777777" w:rsidR="00A32F2F" w:rsidRDefault="003A517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7540D7E" w14:textId="77777777" w:rsidR="00A32F2F" w:rsidRDefault="00A32F2F">
      <w:pPr>
        <w:shd w:val="clear" w:color="auto" w:fill="FFFFFF"/>
        <w:spacing w:line="360" w:lineRule="auto"/>
        <w:ind w:right="51"/>
        <w:jc w:val="both"/>
        <w:rPr>
          <w:rFonts w:ascii="Palatino Linotype" w:eastAsia="Palatino Linotype" w:hAnsi="Palatino Linotype" w:cs="Palatino Linotype"/>
        </w:rPr>
      </w:pPr>
    </w:p>
    <w:p w14:paraId="5E965969" w14:textId="77777777" w:rsidR="00A32F2F" w:rsidRDefault="003A517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48F10BA7" w14:textId="77777777" w:rsidR="00A32F2F" w:rsidRDefault="00A32F2F">
      <w:pPr>
        <w:shd w:val="clear" w:color="auto" w:fill="FFFFFF"/>
        <w:spacing w:line="360" w:lineRule="auto"/>
        <w:ind w:right="51"/>
        <w:jc w:val="both"/>
        <w:rPr>
          <w:rFonts w:ascii="Palatino Linotype" w:eastAsia="Palatino Linotype" w:hAnsi="Palatino Linotype" w:cs="Palatino Linotype"/>
        </w:rPr>
      </w:pPr>
    </w:p>
    <w:p w14:paraId="6258DED5" w14:textId="77777777" w:rsidR="00A32F2F" w:rsidRDefault="003A5173">
      <w:pPr>
        <w:spacing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14:paraId="06697111"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16234AEE"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62FE5750"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2688382"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E89FE34" w14:textId="77777777" w:rsidR="00A32F2F" w:rsidRDefault="00A32F2F">
      <w:pPr>
        <w:spacing w:line="276" w:lineRule="auto"/>
        <w:ind w:left="993" w:right="1041"/>
        <w:jc w:val="both"/>
        <w:rPr>
          <w:rFonts w:ascii="Palatino Linotype" w:eastAsia="Palatino Linotype" w:hAnsi="Palatino Linotype" w:cs="Palatino Linotype"/>
          <w:i/>
          <w:sz w:val="22"/>
          <w:szCs w:val="22"/>
        </w:rPr>
      </w:pPr>
    </w:p>
    <w:p w14:paraId="5EE9BA8D"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7A68CC3" w14:textId="77777777" w:rsidR="00A32F2F" w:rsidRDefault="00A32F2F">
      <w:pPr>
        <w:spacing w:line="360" w:lineRule="auto"/>
        <w:ind w:left="993" w:right="1041"/>
        <w:jc w:val="both"/>
        <w:rPr>
          <w:rFonts w:ascii="Palatino Linotype" w:eastAsia="Palatino Linotype" w:hAnsi="Palatino Linotype" w:cs="Palatino Linotype"/>
          <w:i/>
          <w:sz w:val="22"/>
          <w:szCs w:val="22"/>
        </w:rPr>
      </w:pPr>
    </w:p>
    <w:p w14:paraId="5B72F100"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639476DF"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A13C1A"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318B8B49"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516B4131"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AB0CE31" w14:textId="77777777" w:rsidR="00A32F2F" w:rsidRDefault="00A32F2F">
      <w:pPr>
        <w:spacing w:line="276" w:lineRule="auto"/>
        <w:ind w:left="993" w:right="1041"/>
        <w:jc w:val="both"/>
        <w:rPr>
          <w:rFonts w:ascii="Palatino Linotype" w:eastAsia="Palatino Linotype" w:hAnsi="Palatino Linotype" w:cs="Palatino Linotype"/>
          <w:i/>
          <w:sz w:val="22"/>
          <w:szCs w:val="22"/>
        </w:rPr>
      </w:pPr>
    </w:p>
    <w:p w14:paraId="0BE2FC08" w14:textId="77777777" w:rsidR="00A32F2F" w:rsidRDefault="003A5173">
      <w:pPr>
        <w:spacing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EB644C" w14:textId="77777777" w:rsidR="00A32F2F" w:rsidRDefault="00A32F2F">
      <w:pPr>
        <w:spacing w:line="276" w:lineRule="auto"/>
        <w:ind w:left="993" w:right="1041"/>
        <w:jc w:val="both"/>
        <w:rPr>
          <w:rFonts w:ascii="Palatino Linotype" w:eastAsia="Palatino Linotype" w:hAnsi="Palatino Linotype" w:cs="Palatino Linotype"/>
          <w:b/>
          <w:i/>
          <w:sz w:val="22"/>
          <w:szCs w:val="22"/>
        </w:rPr>
      </w:pPr>
    </w:p>
    <w:p w14:paraId="6A738396"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C8BF25F"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FDE2165"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7B3F556"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DD7AF51" w14:textId="77777777" w:rsidR="00A32F2F" w:rsidRDefault="00A32F2F">
      <w:pPr>
        <w:spacing w:line="360" w:lineRule="auto"/>
        <w:ind w:left="993" w:right="1041"/>
        <w:jc w:val="both"/>
        <w:rPr>
          <w:rFonts w:ascii="Palatino Linotype" w:eastAsia="Palatino Linotype" w:hAnsi="Palatino Linotype" w:cs="Palatino Linotype"/>
          <w:i/>
          <w:sz w:val="22"/>
          <w:szCs w:val="22"/>
        </w:rPr>
      </w:pPr>
    </w:p>
    <w:p w14:paraId="066DB6C8" w14:textId="77777777" w:rsidR="00A32F2F" w:rsidRDefault="003A517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w:t>
      </w:r>
      <w:r>
        <w:rPr>
          <w:rFonts w:ascii="Palatino Linotype" w:eastAsia="Palatino Linotype" w:hAnsi="Palatino Linotype" w:cs="Palatino Linotype"/>
        </w:rPr>
        <w:lastRenderedPageBreak/>
        <w:t>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A09CFFA" w14:textId="77777777" w:rsidR="00A32F2F" w:rsidRDefault="00A32F2F">
      <w:pPr>
        <w:spacing w:line="360" w:lineRule="auto"/>
        <w:ind w:right="51"/>
        <w:jc w:val="both"/>
        <w:rPr>
          <w:rFonts w:ascii="Palatino Linotype" w:eastAsia="Palatino Linotype" w:hAnsi="Palatino Linotype" w:cs="Palatino Linotype"/>
        </w:rPr>
      </w:pPr>
    </w:p>
    <w:p w14:paraId="257C81F0" w14:textId="77777777" w:rsidR="00A32F2F" w:rsidRDefault="003A5173">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4919F0B" w14:textId="77777777" w:rsidR="00A32F2F" w:rsidRDefault="00A32F2F">
      <w:pPr>
        <w:spacing w:line="360" w:lineRule="auto"/>
        <w:ind w:right="50"/>
        <w:jc w:val="both"/>
        <w:rPr>
          <w:rFonts w:ascii="Palatino Linotype" w:eastAsia="Palatino Linotype" w:hAnsi="Palatino Linotype" w:cs="Palatino Linotype"/>
        </w:rPr>
      </w:pPr>
    </w:p>
    <w:p w14:paraId="518F2E14" w14:textId="77777777" w:rsidR="00A32F2F" w:rsidRDefault="003A517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CE7A13C" w14:textId="77777777" w:rsidR="00A32F2F" w:rsidRDefault="00A32F2F">
      <w:pPr>
        <w:spacing w:line="360" w:lineRule="auto"/>
        <w:ind w:right="51"/>
        <w:jc w:val="both"/>
        <w:rPr>
          <w:rFonts w:ascii="Palatino Linotype" w:eastAsia="Palatino Linotype" w:hAnsi="Palatino Linotype" w:cs="Palatino Linotype"/>
        </w:rPr>
      </w:pPr>
    </w:p>
    <w:p w14:paraId="5D21712F"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66FFF19D"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03E4F033"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00DF980B"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1CD8845D"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395A9743" w14:textId="77777777" w:rsidR="00A32F2F" w:rsidRDefault="003A5173">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6369C283" w14:textId="77777777" w:rsidR="00A32F2F" w:rsidRDefault="00A32F2F">
      <w:pPr>
        <w:spacing w:line="360" w:lineRule="auto"/>
        <w:ind w:left="992" w:right="1043"/>
        <w:jc w:val="both"/>
        <w:rPr>
          <w:rFonts w:ascii="Palatino Linotype" w:eastAsia="Palatino Linotype" w:hAnsi="Palatino Linotype" w:cs="Palatino Linotype"/>
          <w:i/>
          <w:sz w:val="22"/>
          <w:szCs w:val="22"/>
        </w:rPr>
      </w:pPr>
    </w:p>
    <w:p w14:paraId="6B580397"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A8E9631" w14:textId="77777777" w:rsidR="00A32F2F" w:rsidRDefault="00A32F2F">
      <w:pPr>
        <w:spacing w:line="360" w:lineRule="auto"/>
        <w:jc w:val="both"/>
        <w:rPr>
          <w:rFonts w:ascii="Palatino Linotype" w:eastAsia="Palatino Linotype" w:hAnsi="Palatino Linotype" w:cs="Palatino Linotype"/>
        </w:rPr>
      </w:pPr>
    </w:p>
    <w:p w14:paraId="3B24A3A7"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7A70CF2" w14:textId="77777777" w:rsidR="00A32F2F" w:rsidRDefault="00A32F2F">
      <w:pPr>
        <w:spacing w:line="360" w:lineRule="auto"/>
        <w:jc w:val="both"/>
        <w:rPr>
          <w:rFonts w:ascii="Palatino Linotype" w:eastAsia="Palatino Linotype" w:hAnsi="Palatino Linotype" w:cs="Palatino Linotype"/>
          <w:sz w:val="22"/>
          <w:szCs w:val="22"/>
        </w:rPr>
      </w:pPr>
    </w:p>
    <w:p w14:paraId="2EA85A22" w14:textId="77777777" w:rsidR="00A32F2F" w:rsidRDefault="003A5173">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B96A95D" w14:textId="77777777" w:rsidR="00A32F2F" w:rsidRDefault="00A32F2F">
      <w:pPr>
        <w:spacing w:line="360" w:lineRule="auto"/>
        <w:ind w:left="993" w:right="1041"/>
        <w:jc w:val="both"/>
        <w:rPr>
          <w:rFonts w:ascii="Palatino Linotype" w:eastAsia="Palatino Linotype" w:hAnsi="Palatino Linotype" w:cs="Palatino Linotype"/>
          <w:i/>
          <w:sz w:val="22"/>
          <w:szCs w:val="22"/>
        </w:rPr>
      </w:pPr>
    </w:p>
    <w:p w14:paraId="2DEC148D"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w:t>
      </w:r>
      <w:r>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4DD2ECD" w14:textId="77777777" w:rsidR="00A32F2F" w:rsidRDefault="00A32F2F">
      <w:pPr>
        <w:spacing w:line="360" w:lineRule="auto"/>
        <w:ind w:right="49"/>
        <w:jc w:val="both"/>
        <w:rPr>
          <w:rFonts w:ascii="Palatino Linotype" w:eastAsia="Palatino Linotype" w:hAnsi="Palatino Linotype" w:cs="Palatino Linotype"/>
        </w:rPr>
      </w:pPr>
    </w:p>
    <w:p w14:paraId="4459568C"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325A1E2A" w14:textId="77777777" w:rsidR="00A32F2F" w:rsidRDefault="00A32F2F">
      <w:pPr>
        <w:spacing w:line="360" w:lineRule="auto"/>
        <w:ind w:right="49"/>
        <w:jc w:val="both"/>
        <w:rPr>
          <w:rFonts w:ascii="Palatino Linotype" w:eastAsia="Palatino Linotype" w:hAnsi="Palatino Linotype" w:cs="Palatino Linotype"/>
        </w:rPr>
      </w:pPr>
    </w:p>
    <w:p w14:paraId="4643FAEA"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rPr>
        <w:lastRenderedPageBreak/>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38FDABB0" w14:textId="77777777" w:rsidR="00A32F2F" w:rsidRDefault="00A32F2F">
      <w:pPr>
        <w:spacing w:line="360" w:lineRule="auto"/>
        <w:jc w:val="both"/>
        <w:rPr>
          <w:rFonts w:ascii="Palatino Linotype" w:eastAsia="Palatino Linotype" w:hAnsi="Palatino Linotype" w:cs="Palatino Linotype"/>
        </w:rPr>
      </w:pPr>
    </w:p>
    <w:p w14:paraId="76B0601E"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7644F4A" w14:textId="77777777" w:rsidR="00A32F2F" w:rsidRDefault="00A32F2F">
      <w:pPr>
        <w:spacing w:line="360" w:lineRule="auto"/>
        <w:jc w:val="both"/>
        <w:rPr>
          <w:rFonts w:ascii="Palatino Linotype" w:eastAsia="Palatino Linotype" w:hAnsi="Palatino Linotype" w:cs="Palatino Linotype"/>
        </w:rPr>
      </w:pPr>
    </w:p>
    <w:p w14:paraId="0E42B569"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14:paraId="3036235C" w14:textId="77777777" w:rsidR="00A32F2F" w:rsidRDefault="00A32F2F">
      <w:pPr>
        <w:spacing w:line="360" w:lineRule="auto"/>
        <w:ind w:left="851" w:right="900"/>
        <w:jc w:val="both"/>
        <w:rPr>
          <w:rFonts w:ascii="Palatino Linotype" w:eastAsia="Palatino Linotype" w:hAnsi="Palatino Linotype" w:cs="Palatino Linotype"/>
          <w:b/>
          <w:i/>
          <w:sz w:val="22"/>
          <w:szCs w:val="22"/>
        </w:rPr>
      </w:pPr>
    </w:p>
    <w:p w14:paraId="27F74C53" w14:textId="77777777" w:rsidR="00A32F2F" w:rsidRDefault="003A5173">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537E611" w14:textId="77777777" w:rsidR="00A32F2F" w:rsidRDefault="00A32F2F">
      <w:pPr>
        <w:spacing w:line="360" w:lineRule="auto"/>
        <w:jc w:val="both"/>
        <w:rPr>
          <w:rFonts w:ascii="Palatino Linotype" w:eastAsia="Palatino Linotype" w:hAnsi="Palatino Linotype" w:cs="Palatino Linotype"/>
          <w:sz w:val="22"/>
          <w:szCs w:val="22"/>
        </w:rPr>
      </w:pPr>
    </w:p>
    <w:p w14:paraId="5C81F2D1"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04D1133" w14:textId="77777777" w:rsidR="00A32F2F" w:rsidRDefault="00A32F2F">
      <w:pPr>
        <w:spacing w:line="360" w:lineRule="auto"/>
        <w:jc w:val="both"/>
        <w:rPr>
          <w:rFonts w:ascii="Palatino Linotype" w:eastAsia="Palatino Linotype" w:hAnsi="Palatino Linotype" w:cs="Palatino Linotype"/>
        </w:rPr>
      </w:pPr>
    </w:p>
    <w:p w14:paraId="279979C4"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5E11C6F" w14:textId="77777777" w:rsidR="00A32F2F" w:rsidRDefault="00A32F2F">
      <w:pPr>
        <w:spacing w:line="360" w:lineRule="auto"/>
        <w:jc w:val="both"/>
        <w:rPr>
          <w:rFonts w:ascii="Palatino Linotype" w:eastAsia="Palatino Linotype" w:hAnsi="Palatino Linotype" w:cs="Palatino Linotype"/>
        </w:rPr>
      </w:pPr>
    </w:p>
    <w:p w14:paraId="680CBA72"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14:paraId="4B598560" w14:textId="77777777" w:rsidR="00A32F2F" w:rsidRDefault="00A32F2F">
      <w:pPr>
        <w:spacing w:line="360" w:lineRule="auto"/>
        <w:ind w:left="851" w:right="851"/>
        <w:jc w:val="both"/>
        <w:rPr>
          <w:rFonts w:ascii="Palatino Linotype" w:eastAsia="Palatino Linotype" w:hAnsi="Palatino Linotype" w:cs="Palatino Linotype"/>
          <w:b/>
          <w:i/>
          <w:sz w:val="22"/>
          <w:szCs w:val="22"/>
        </w:rPr>
      </w:pPr>
    </w:p>
    <w:p w14:paraId="445E852C" w14:textId="77777777" w:rsidR="00A32F2F" w:rsidRDefault="003A5173">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927C5E4" w14:textId="77777777" w:rsidR="00A32F2F" w:rsidRDefault="00A32F2F">
      <w:pPr>
        <w:spacing w:line="360" w:lineRule="auto"/>
        <w:jc w:val="both"/>
        <w:rPr>
          <w:rFonts w:ascii="Palatino Linotype" w:eastAsia="Palatino Linotype" w:hAnsi="Palatino Linotype" w:cs="Palatino Linotype"/>
          <w:sz w:val="22"/>
          <w:szCs w:val="22"/>
        </w:rPr>
      </w:pPr>
    </w:p>
    <w:p w14:paraId="05DFC507"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 xml:space="preserve">Clave de cualquier tipo de seguridad social (ISSEMyM, u otros), </w:t>
      </w:r>
      <w:r>
        <w:rPr>
          <w:rFonts w:ascii="Palatino Linotype" w:eastAsia="Palatino Linotype" w:hAnsi="Palatino Linotype" w:cs="Palatino Linotype"/>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w:t>
      </w:r>
      <w:r>
        <w:rPr>
          <w:rFonts w:ascii="Palatino Linotype" w:eastAsia="Palatino Linotype" w:hAnsi="Palatino Linotype" w:cs="Palatino Linotype"/>
        </w:rPr>
        <w:lastRenderedPageBreak/>
        <w:t>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4964122" w14:textId="77777777" w:rsidR="00A32F2F" w:rsidRDefault="00A32F2F">
      <w:pPr>
        <w:spacing w:line="360" w:lineRule="auto"/>
        <w:jc w:val="both"/>
        <w:rPr>
          <w:rFonts w:ascii="Palatino Linotype" w:eastAsia="Palatino Linotype" w:hAnsi="Palatino Linotype" w:cs="Palatino Linotype"/>
        </w:rPr>
      </w:pPr>
    </w:p>
    <w:p w14:paraId="434D99E8" w14:textId="77777777" w:rsidR="00A32F2F" w:rsidRDefault="003A5173">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13162A22" w14:textId="77777777" w:rsidR="00A32F2F" w:rsidRDefault="00A32F2F">
      <w:pPr>
        <w:spacing w:line="360" w:lineRule="auto"/>
        <w:jc w:val="both"/>
        <w:rPr>
          <w:rFonts w:ascii="Palatino Linotype" w:eastAsia="Palatino Linotype" w:hAnsi="Palatino Linotype" w:cs="Palatino Linotype"/>
        </w:rPr>
      </w:pPr>
    </w:p>
    <w:p w14:paraId="545B0D74"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41FF056" w14:textId="77777777" w:rsidR="00A32F2F" w:rsidRDefault="00A32F2F">
      <w:pPr>
        <w:spacing w:line="360" w:lineRule="auto"/>
        <w:jc w:val="both"/>
        <w:rPr>
          <w:rFonts w:ascii="Palatino Linotype" w:eastAsia="Palatino Linotype" w:hAnsi="Palatino Linotype" w:cs="Palatino Linotype"/>
          <w:sz w:val="22"/>
          <w:szCs w:val="22"/>
        </w:rPr>
      </w:pPr>
    </w:p>
    <w:p w14:paraId="1853DAE0"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4008FBA" w14:textId="77777777" w:rsidR="00A32F2F" w:rsidRDefault="00A32F2F">
      <w:pPr>
        <w:spacing w:line="360" w:lineRule="auto"/>
        <w:jc w:val="both"/>
        <w:rPr>
          <w:rFonts w:ascii="Palatino Linotype" w:eastAsia="Palatino Linotype" w:hAnsi="Palatino Linotype" w:cs="Palatino Linotype"/>
        </w:rPr>
      </w:pPr>
    </w:p>
    <w:p w14:paraId="0496AFEF"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3E823BD" w14:textId="77777777" w:rsidR="00A32F2F" w:rsidRDefault="00A32F2F">
      <w:pPr>
        <w:spacing w:line="360" w:lineRule="auto"/>
        <w:jc w:val="both"/>
        <w:rPr>
          <w:rFonts w:ascii="Calibri" w:eastAsia="Calibri" w:hAnsi="Calibri" w:cs="Calibri"/>
        </w:rPr>
      </w:pPr>
    </w:p>
    <w:p w14:paraId="1BAFE12E" w14:textId="77777777" w:rsidR="00A32F2F" w:rsidRDefault="003A5173">
      <w:pPr>
        <w:spacing w:line="360" w:lineRule="auto"/>
        <w:jc w:val="both"/>
        <w:rPr>
          <w:rFonts w:ascii="Calibri" w:eastAsia="Calibri" w:hAnsi="Calibri" w:cs="Calibri"/>
          <w:color w:val="FF0000"/>
        </w:rPr>
      </w:pPr>
      <w:r>
        <w:rPr>
          <w:rFonts w:ascii="Palatino Linotype" w:eastAsia="Palatino Linotype" w:hAnsi="Palatino Linotype" w:cs="Palatino Linotype"/>
        </w:rPr>
        <w:t xml:space="preserve">Por su parte, el artículo 84 de la Ley del Trabajo de los Servidores Públicos del Estado y Municipios, señala: </w:t>
      </w:r>
    </w:p>
    <w:p w14:paraId="455E5B2E"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ARTICULO 84. Sólo podrán hacerse retenciones, descuentos o deducciones al sueldo de los servidores públicos por concepto de:</w:t>
      </w:r>
    </w:p>
    <w:p w14:paraId="4FDCD9C3"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t>I. Gravámenes fiscales relacionados con el sueldo;</w:t>
      </w:r>
    </w:p>
    <w:p w14:paraId="669AF6D0"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b/>
          <w:i/>
          <w:color w:val="000000"/>
          <w:sz w:val="22"/>
          <w:szCs w:val="22"/>
        </w:rPr>
        <w:t>II. Deudas contraídas con las instituciones públicas o dependencias</w:t>
      </w:r>
      <w:r>
        <w:rPr>
          <w:rFonts w:ascii="Palatino Linotype" w:eastAsia="Palatino Linotype" w:hAnsi="Palatino Linotype" w:cs="Palatino Linotype"/>
          <w:i/>
          <w:color w:val="000000"/>
          <w:sz w:val="22"/>
          <w:szCs w:val="22"/>
        </w:rPr>
        <w:t xml:space="preserve"> por concepto de anticipos de sueldo, pagos hechos con exceso, errores o pérdidas debidamente comprobados;</w:t>
      </w:r>
    </w:p>
    <w:p w14:paraId="61FB75C2"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b/>
          <w:i/>
          <w:color w:val="000000"/>
          <w:sz w:val="22"/>
          <w:szCs w:val="22"/>
        </w:rPr>
        <w:t>III. Cuotas sindicales</w:t>
      </w:r>
      <w:r>
        <w:rPr>
          <w:rFonts w:ascii="Palatino Linotype" w:eastAsia="Palatino Linotype" w:hAnsi="Palatino Linotype" w:cs="Palatino Linotype"/>
          <w:i/>
          <w:color w:val="000000"/>
          <w:sz w:val="22"/>
          <w:szCs w:val="22"/>
        </w:rPr>
        <w:t>;</w:t>
      </w:r>
    </w:p>
    <w:p w14:paraId="06E17869"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t>IV. Cuotas de aportación a fondos para la constitución de cooperativas y de cajas de ahorro, siempre que el servidor público hubiese manifestado previamente, de manera expresa, su conformidad;</w:t>
      </w:r>
    </w:p>
    <w:p w14:paraId="12D4FAF6"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lastRenderedPageBreak/>
        <w:t>V. Descuentos ordenados por el Instituto de Seguridad Social del Estado de México y Municipios, con motivo de cuotas y obligaciones contraídas con éste por los servidores públicos;</w:t>
      </w:r>
    </w:p>
    <w:p w14:paraId="0FAC664B"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b/>
          <w:i/>
          <w:color w:val="000000"/>
          <w:sz w:val="22"/>
          <w:szCs w:val="22"/>
        </w:rPr>
        <w:t>VI. Obligaciones a cargo del servidor público con las que haya consentido</w:t>
      </w:r>
      <w:r>
        <w:rPr>
          <w:rFonts w:ascii="Palatino Linotype" w:eastAsia="Palatino Linotype" w:hAnsi="Palatino Linotype" w:cs="Palatino Linotype"/>
          <w:i/>
          <w:color w:val="000000"/>
          <w:sz w:val="22"/>
          <w:szCs w:val="22"/>
        </w:rPr>
        <w:t>, derivadas de la adquisición o del uso de habitaciones consideradas como de interés social;</w:t>
      </w:r>
    </w:p>
    <w:p w14:paraId="63DD0431"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t>VII. Faltas de puntualidad o de asistencia injustificadas;</w:t>
      </w:r>
    </w:p>
    <w:p w14:paraId="30F6A770"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b/>
          <w:i/>
          <w:color w:val="000000"/>
          <w:sz w:val="22"/>
          <w:szCs w:val="22"/>
        </w:rPr>
        <w:t>VIII. Pensiones alimenticias ordenadas por la autoridad judicial;</w:t>
      </w:r>
      <w:r>
        <w:rPr>
          <w:rFonts w:ascii="Palatino Linotype" w:eastAsia="Palatino Linotype" w:hAnsi="Palatino Linotype" w:cs="Palatino Linotype"/>
          <w:i/>
          <w:color w:val="000000"/>
          <w:sz w:val="22"/>
          <w:szCs w:val="22"/>
        </w:rPr>
        <w:t xml:space="preserve"> o</w:t>
      </w:r>
    </w:p>
    <w:p w14:paraId="01825326"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b/>
          <w:i/>
          <w:color w:val="000000"/>
          <w:sz w:val="22"/>
          <w:szCs w:val="22"/>
        </w:rPr>
        <w:t>IX. Cualquier otro convenido con instituciones de servicios y aceptado por el servidor público.</w:t>
      </w:r>
    </w:p>
    <w:p w14:paraId="7FBC9C03" w14:textId="77777777" w:rsidR="00A32F2F" w:rsidRDefault="003A5173">
      <w:pPr>
        <w:spacing w:line="276" w:lineRule="auto"/>
        <w:ind w:left="851" w:right="902"/>
        <w:jc w:val="both"/>
        <w:rPr>
          <w:rFonts w:ascii="Calibri" w:eastAsia="Calibri" w:hAnsi="Calibri" w:cs="Calibri"/>
          <w:color w:val="000000"/>
          <w:sz w:val="22"/>
          <w:szCs w:val="22"/>
        </w:rPr>
      </w:pPr>
      <w:r>
        <w:rPr>
          <w:rFonts w:ascii="Palatino Linotype" w:eastAsia="Palatino Linotype" w:hAnsi="Palatino Linotype" w:cs="Palatino Linotype"/>
          <w:i/>
          <w:color w:val="000000"/>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1BA1CAD" w14:textId="77777777" w:rsidR="00A32F2F" w:rsidRDefault="003A5173">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5BEAC1FB" w14:textId="77777777" w:rsidR="00A32F2F" w:rsidRDefault="00A32F2F">
      <w:pPr>
        <w:spacing w:line="276" w:lineRule="auto"/>
        <w:ind w:left="851" w:right="902"/>
        <w:jc w:val="both"/>
        <w:rPr>
          <w:rFonts w:ascii="Calibri" w:eastAsia="Calibri" w:hAnsi="Calibri" w:cs="Calibri"/>
          <w:color w:val="000000"/>
          <w:sz w:val="22"/>
          <w:szCs w:val="22"/>
        </w:rPr>
      </w:pPr>
    </w:p>
    <w:p w14:paraId="5820AFAC"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79004321" w14:textId="77777777" w:rsidR="00A32F2F" w:rsidRDefault="00A32F2F">
      <w:pPr>
        <w:spacing w:line="360" w:lineRule="auto"/>
        <w:jc w:val="both"/>
        <w:rPr>
          <w:rFonts w:ascii="Calibri" w:eastAsia="Calibri" w:hAnsi="Calibri" w:cs="Calibri"/>
        </w:rPr>
      </w:pPr>
    </w:p>
    <w:p w14:paraId="1A1C4D8A"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w:t>
      </w:r>
      <w:r>
        <w:rPr>
          <w:rFonts w:ascii="Palatino Linotype" w:eastAsia="Palatino Linotype" w:hAnsi="Palatino Linotype" w:cs="Palatino Linotype"/>
        </w:rPr>
        <w:lastRenderedPageBreak/>
        <w:t>persona ajena a su titular, sobre todo cuando traiga implícita que se ponga en riesgo la vida o integridad de una persona.</w:t>
      </w:r>
    </w:p>
    <w:p w14:paraId="4AD7670C" w14:textId="77777777" w:rsidR="00A32F2F" w:rsidRDefault="00A32F2F">
      <w:pPr>
        <w:spacing w:line="360" w:lineRule="auto"/>
        <w:jc w:val="both"/>
        <w:rPr>
          <w:rFonts w:ascii="Palatino Linotype" w:eastAsia="Palatino Linotype" w:hAnsi="Palatino Linotype" w:cs="Palatino Linotype"/>
        </w:rPr>
      </w:pPr>
    </w:p>
    <w:p w14:paraId="44990EE0"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sz w:val="20"/>
          <w:szCs w:val="20"/>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14:paraId="3EDC8735" w14:textId="77777777" w:rsidR="00A32F2F" w:rsidRDefault="00A32F2F">
      <w:pPr>
        <w:spacing w:line="360" w:lineRule="auto"/>
        <w:jc w:val="both"/>
        <w:rPr>
          <w:rFonts w:ascii="Palatino Linotype" w:eastAsia="Palatino Linotype" w:hAnsi="Palatino Linotype" w:cs="Palatino Linotype"/>
        </w:rPr>
      </w:pPr>
    </w:p>
    <w:p w14:paraId="2D3BE24F" w14:textId="77777777" w:rsidR="00A32F2F" w:rsidRDefault="003A5173">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6D65B34F" w14:textId="77777777" w:rsidR="00A32F2F" w:rsidRDefault="00A32F2F">
      <w:pPr>
        <w:spacing w:line="276" w:lineRule="auto"/>
        <w:ind w:left="851" w:right="851"/>
        <w:jc w:val="both"/>
        <w:rPr>
          <w:rFonts w:ascii="Palatino Linotype" w:eastAsia="Palatino Linotype" w:hAnsi="Palatino Linotype" w:cs="Palatino Linotype"/>
          <w:i/>
          <w:sz w:val="22"/>
          <w:szCs w:val="22"/>
        </w:rPr>
      </w:pPr>
    </w:p>
    <w:p w14:paraId="719CC9E5" w14:textId="77777777" w:rsidR="00A32F2F" w:rsidRDefault="003A5173">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6FA3B1F" w14:textId="77777777" w:rsidR="00A32F2F" w:rsidRDefault="00A32F2F">
      <w:pPr>
        <w:spacing w:line="360" w:lineRule="auto"/>
        <w:ind w:left="851" w:right="851"/>
        <w:jc w:val="both"/>
        <w:rPr>
          <w:rFonts w:ascii="Palatino Linotype" w:eastAsia="Palatino Linotype" w:hAnsi="Palatino Linotype" w:cs="Palatino Linotype"/>
          <w:i/>
          <w:sz w:val="22"/>
          <w:szCs w:val="22"/>
        </w:rPr>
      </w:pPr>
    </w:p>
    <w:p w14:paraId="68BAE183" w14:textId="77777777" w:rsidR="00A32F2F" w:rsidRDefault="003A5173">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646A42D8" w14:textId="77777777" w:rsidR="00A32F2F" w:rsidRDefault="00A32F2F">
      <w:pPr>
        <w:shd w:val="clear" w:color="auto" w:fill="FFFFFF"/>
        <w:spacing w:line="360" w:lineRule="auto"/>
        <w:ind w:left="567" w:right="567"/>
        <w:jc w:val="both"/>
        <w:rPr>
          <w:rFonts w:ascii="Palatino Linotype" w:eastAsia="Palatino Linotype" w:hAnsi="Palatino Linotype" w:cs="Palatino Linotype"/>
          <w:sz w:val="22"/>
          <w:szCs w:val="22"/>
        </w:rPr>
      </w:pPr>
    </w:p>
    <w:p w14:paraId="5B9333A8" w14:textId="77777777" w:rsidR="00A32F2F" w:rsidRDefault="003A5173">
      <w:pPr>
        <w:shd w:val="clear" w:color="auto" w:fill="FFFFFF"/>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3931900B" w14:textId="77777777" w:rsidR="00A32F2F" w:rsidRDefault="00A32F2F">
      <w:pPr>
        <w:spacing w:after="160" w:line="360" w:lineRule="auto"/>
        <w:jc w:val="both"/>
        <w:rPr>
          <w:rFonts w:ascii="Palatino Linotype" w:eastAsia="Palatino Linotype" w:hAnsi="Palatino Linotype" w:cs="Palatino Linotype"/>
          <w:sz w:val="22"/>
          <w:szCs w:val="22"/>
        </w:rPr>
      </w:pPr>
    </w:p>
    <w:p w14:paraId="3D6FD1EF" w14:textId="77777777" w:rsidR="00A32F2F" w:rsidRDefault="003A5173">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5D592CC" w14:textId="77777777" w:rsidR="00A32F2F" w:rsidRDefault="00A32F2F">
      <w:pPr>
        <w:spacing w:line="360" w:lineRule="auto"/>
        <w:ind w:right="-91"/>
        <w:jc w:val="both"/>
        <w:rPr>
          <w:rFonts w:ascii="Palatino Linotype" w:eastAsia="Palatino Linotype" w:hAnsi="Palatino Linotype" w:cs="Palatino Linotype"/>
        </w:rPr>
      </w:pPr>
    </w:p>
    <w:p w14:paraId="6D6D4ED5" w14:textId="77777777" w:rsidR="00A32F2F" w:rsidRDefault="003A5173">
      <w:pPr>
        <w:spacing w:line="360" w:lineRule="auto"/>
        <w:ind w:right="-91"/>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 xml:space="preserve">QR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 xml:space="preserve"> (Quick Response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w:t>
      </w:r>
      <w:r>
        <w:rPr>
          <w:rFonts w:ascii="Palatino Linotype" w:eastAsia="Palatino Linotype" w:hAnsi="Palatino Linotype" w:cs="Palatino Linotype"/>
        </w:rPr>
        <w:lastRenderedPageBreak/>
        <w:t xml:space="preserve">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14:paraId="15764076" w14:textId="77777777" w:rsidR="00A32F2F" w:rsidRDefault="00A32F2F">
      <w:pPr>
        <w:spacing w:line="360" w:lineRule="auto"/>
        <w:ind w:right="-91"/>
        <w:jc w:val="both"/>
        <w:rPr>
          <w:rFonts w:ascii="Palatino Linotype" w:eastAsia="Palatino Linotype" w:hAnsi="Palatino Linotype" w:cs="Palatino Linotype"/>
        </w:rPr>
      </w:pPr>
    </w:p>
    <w:p w14:paraId="7493A4BD" w14:textId="77777777" w:rsidR="00A32F2F" w:rsidRDefault="003A5173">
      <w:pPr>
        <w:spacing w:after="8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5F23D780" w14:textId="77777777" w:rsidR="00A32F2F" w:rsidRDefault="00A32F2F">
      <w:pPr>
        <w:spacing w:after="80" w:line="360" w:lineRule="auto"/>
        <w:ind w:right="-91"/>
        <w:jc w:val="both"/>
        <w:rPr>
          <w:rFonts w:ascii="Palatino Linotype" w:eastAsia="Palatino Linotype" w:hAnsi="Palatino Linotype" w:cs="Palatino Linotype"/>
        </w:rPr>
      </w:pPr>
    </w:p>
    <w:p w14:paraId="7D0F389E" w14:textId="77777777" w:rsidR="00A32F2F" w:rsidRDefault="003A5173">
      <w:pPr>
        <w:shd w:val="clear" w:color="auto" w:fill="FFFFFF"/>
        <w:spacing w:before="80" w:after="240" w:line="360" w:lineRule="auto"/>
        <w:jc w:val="both"/>
        <w:rPr>
          <w:rFonts w:ascii="Calibri" w:eastAsia="Calibri" w:hAnsi="Calibri" w:cs="Calibri"/>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BFBED8C" w14:textId="77777777" w:rsidR="00A32F2F" w:rsidRDefault="003A5173">
      <w:pPr>
        <w:shd w:val="clear" w:color="auto" w:fill="FFFFFF"/>
        <w:spacing w:before="240" w:line="276" w:lineRule="auto"/>
        <w:ind w:left="567" w:right="900"/>
        <w:jc w:val="both"/>
        <w:rPr>
          <w:rFonts w:ascii="Calibri" w:eastAsia="Calibri" w:hAnsi="Calibri" w:cs="Calibri"/>
          <w:color w:val="2222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xml:space="preserve">, en términos de lo establecido en el artículo 18, fracción II de la Ley Federal de Transparencia y Acceso a la Información Pública Gubernamental, en virtud de que a través de la misma es </w:t>
      </w:r>
      <w:r>
        <w:rPr>
          <w:rFonts w:ascii="Palatino Linotype" w:eastAsia="Palatino Linotype" w:hAnsi="Palatino Linotype" w:cs="Palatino Linotype"/>
          <w:i/>
          <w:color w:val="222222"/>
        </w:rPr>
        <w:t>posible conocer información personal de su titular.” (Sic)</w:t>
      </w:r>
    </w:p>
    <w:p w14:paraId="1AD50049" w14:textId="77777777" w:rsidR="00A32F2F" w:rsidRDefault="00A32F2F">
      <w:pPr>
        <w:spacing w:line="360" w:lineRule="auto"/>
        <w:ind w:right="-93"/>
        <w:jc w:val="both"/>
        <w:rPr>
          <w:rFonts w:ascii="Palatino Linotype" w:eastAsia="Palatino Linotype" w:hAnsi="Palatino Linotype" w:cs="Palatino Linotype"/>
        </w:rPr>
      </w:pPr>
    </w:p>
    <w:p w14:paraId="78789DA0" w14:textId="77777777" w:rsidR="00A32F2F" w:rsidRDefault="003A517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4643EA4D" w14:textId="77777777" w:rsidR="00A32F2F" w:rsidRDefault="00A32F2F">
      <w:pPr>
        <w:spacing w:line="360" w:lineRule="auto"/>
        <w:ind w:right="-93"/>
        <w:jc w:val="both"/>
        <w:rPr>
          <w:rFonts w:ascii="Palatino Linotype" w:eastAsia="Palatino Linotype" w:hAnsi="Palatino Linotype" w:cs="Palatino Linotype"/>
        </w:rPr>
      </w:pPr>
    </w:p>
    <w:p w14:paraId="36806A75" w14:textId="77777777" w:rsidR="00A32F2F" w:rsidRDefault="003A517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7780E637" w14:textId="77777777" w:rsidR="00A32F2F" w:rsidRDefault="00A32F2F">
      <w:pPr>
        <w:spacing w:line="360" w:lineRule="auto"/>
        <w:ind w:right="-93"/>
        <w:jc w:val="both"/>
        <w:rPr>
          <w:rFonts w:ascii="Palatino Linotype" w:eastAsia="Palatino Linotype" w:hAnsi="Palatino Linotype" w:cs="Palatino Linotype"/>
        </w:rPr>
      </w:pPr>
    </w:p>
    <w:p w14:paraId="270CB269" w14:textId="77777777" w:rsidR="00A32F2F" w:rsidRDefault="003A517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D252550" w14:textId="77777777" w:rsidR="00A32F2F" w:rsidRDefault="00A32F2F">
      <w:pPr>
        <w:spacing w:line="360" w:lineRule="auto"/>
        <w:ind w:right="-93"/>
        <w:jc w:val="both"/>
        <w:rPr>
          <w:rFonts w:ascii="Palatino Linotype" w:eastAsia="Palatino Linotype" w:hAnsi="Palatino Linotype" w:cs="Palatino Linotype"/>
        </w:rPr>
      </w:pPr>
    </w:p>
    <w:p w14:paraId="05152643" w14:textId="77777777" w:rsidR="00A32F2F" w:rsidRDefault="003A517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176994A9" w14:textId="77777777" w:rsidR="00A32F2F" w:rsidRDefault="00A32F2F">
      <w:pPr>
        <w:spacing w:after="160" w:line="276" w:lineRule="auto"/>
        <w:ind w:right="-93"/>
        <w:jc w:val="both"/>
        <w:rPr>
          <w:rFonts w:ascii="Palatino Linotype" w:eastAsia="Palatino Linotype" w:hAnsi="Palatino Linotype" w:cs="Palatino Linotype"/>
          <w:sz w:val="22"/>
          <w:szCs w:val="22"/>
        </w:rPr>
      </w:pPr>
    </w:p>
    <w:p w14:paraId="4878D356" w14:textId="77777777" w:rsidR="00A32F2F" w:rsidRDefault="003A5173">
      <w:pPr>
        <w:spacing w:line="276"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FIRMA Y RÚBRICA DE SERVIDORES PÚBLICOS.</w:t>
      </w:r>
      <w:r>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w:t>
      </w:r>
      <w:r>
        <w:rPr>
          <w:rFonts w:ascii="Palatino Linotype" w:eastAsia="Palatino Linotype" w:hAnsi="Palatino Linotype" w:cs="Palatino Linotype"/>
          <w:i/>
          <w:sz w:val="22"/>
          <w:szCs w:val="22"/>
        </w:rPr>
        <w:lastRenderedPageBreak/>
        <w:t>conferidas, la firma o rúbrica mediante la cual se valida dicho acto es pública.”</w:t>
      </w:r>
    </w:p>
    <w:p w14:paraId="5E507011" w14:textId="77777777" w:rsidR="00A32F2F" w:rsidRDefault="00A32F2F">
      <w:pPr>
        <w:spacing w:line="360" w:lineRule="auto"/>
        <w:jc w:val="both"/>
        <w:rPr>
          <w:rFonts w:ascii="Palatino Linotype" w:eastAsia="Palatino Linotype" w:hAnsi="Palatino Linotype" w:cs="Palatino Linotype"/>
        </w:rPr>
      </w:pPr>
    </w:p>
    <w:p w14:paraId="4EE8369C" w14:textId="77777777" w:rsidR="00A32F2F" w:rsidRDefault="003A5173">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highlight w:val="white"/>
        </w:rPr>
        <w:t>.</w:t>
      </w:r>
    </w:p>
    <w:p w14:paraId="3D83D0DE" w14:textId="77777777" w:rsidR="00A32F2F" w:rsidRDefault="00A32F2F">
      <w:pPr>
        <w:spacing w:line="360" w:lineRule="auto"/>
        <w:jc w:val="both"/>
        <w:rPr>
          <w:rFonts w:ascii="Palatino Linotype" w:eastAsia="Palatino Linotype" w:hAnsi="Palatino Linotype" w:cs="Palatino Linotype"/>
        </w:rPr>
      </w:pPr>
    </w:p>
    <w:p w14:paraId="04F0B875"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14:paraId="21E111E2" w14:textId="77777777" w:rsidR="00A32F2F" w:rsidRDefault="00A32F2F">
      <w:pPr>
        <w:shd w:val="clear" w:color="auto" w:fill="FFFFFF"/>
        <w:spacing w:line="360" w:lineRule="auto"/>
        <w:ind w:right="51"/>
        <w:jc w:val="both"/>
        <w:rPr>
          <w:rFonts w:ascii="Palatino Linotype" w:eastAsia="Palatino Linotype" w:hAnsi="Palatino Linotype" w:cs="Palatino Linotype"/>
        </w:rPr>
      </w:pPr>
    </w:p>
    <w:p w14:paraId="5277D97A" w14:textId="77777777" w:rsidR="00A32F2F" w:rsidRDefault="003A517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Pr>
          <w:rFonts w:ascii="Palatino Linotype" w:eastAsia="Palatino Linotype" w:hAnsi="Palatino Linotype" w:cs="Palatino Linotype"/>
        </w:rPr>
        <w:lastRenderedPageBreak/>
        <w:t>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p>
    <w:p w14:paraId="5ADEF702" w14:textId="77777777" w:rsidR="00A32F2F" w:rsidRDefault="00A32F2F">
      <w:pPr>
        <w:spacing w:line="360" w:lineRule="auto"/>
        <w:jc w:val="both"/>
        <w:rPr>
          <w:rFonts w:ascii="Palatino Linotype" w:eastAsia="Palatino Linotype" w:hAnsi="Palatino Linotype" w:cs="Palatino Linotype"/>
        </w:rPr>
      </w:pPr>
    </w:p>
    <w:p w14:paraId="36B6F1D3"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23680D49" w14:textId="77777777" w:rsidR="00A32F2F" w:rsidRDefault="00A32F2F">
      <w:pPr>
        <w:spacing w:line="360" w:lineRule="auto"/>
        <w:jc w:val="both"/>
        <w:rPr>
          <w:rFonts w:ascii="Palatino Linotype" w:eastAsia="Palatino Linotype" w:hAnsi="Palatino Linotype" w:cs="Palatino Linotype"/>
        </w:rPr>
      </w:pPr>
    </w:p>
    <w:p w14:paraId="69D276FE"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2BE76F" w14:textId="77777777" w:rsidR="00A32F2F" w:rsidRDefault="00A32F2F">
      <w:pPr>
        <w:spacing w:line="360" w:lineRule="auto"/>
        <w:jc w:val="both"/>
        <w:rPr>
          <w:rFonts w:ascii="Palatino Linotype" w:eastAsia="Palatino Linotype" w:hAnsi="Palatino Linotype" w:cs="Palatino Linotype"/>
        </w:rPr>
      </w:pPr>
    </w:p>
    <w:p w14:paraId="115A5C27"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28DFAF1" w14:textId="77777777" w:rsidR="00A32F2F" w:rsidRDefault="00A32F2F">
      <w:pPr>
        <w:spacing w:line="360" w:lineRule="auto"/>
        <w:jc w:val="both"/>
        <w:rPr>
          <w:rFonts w:ascii="Palatino Linotype" w:eastAsia="Palatino Linotype" w:hAnsi="Palatino Linotype" w:cs="Palatino Linotype"/>
        </w:rPr>
      </w:pPr>
    </w:p>
    <w:p w14:paraId="2BE0C0ED" w14:textId="77777777" w:rsidR="00A32F2F" w:rsidRDefault="003A5173">
      <w:pPr>
        <w:spacing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w:t>
      </w:r>
      <w:r>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856019D" w14:textId="77777777" w:rsidR="00A32F2F" w:rsidRDefault="003A517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14:paraId="4688C2BF" w14:textId="77777777" w:rsidR="00A32F2F" w:rsidRDefault="003A517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07A3E3A5" w14:textId="77777777" w:rsidR="00A32F2F" w:rsidRDefault="003A517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3560E4A5" w14:textId="77777777" w:rsidR="00A32F2F" w:rsidRDefault="003A517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61304E27" w14:textId="77777777" w:rsidR="00A32F2F" w:rsidRDefault="003A517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533218F" w14:textId="77777777" w:rsidR="00A32F2F" w:rsidRDefault="003A5173">
      <w:pPr>
        <w:spacing w:before="120" w:line="360"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659B3A4C" w14:textId="77777777" w:rsidR="003A5173" w:rsidRDefault="003A5173">
      <w:pPr>
        <w:spacing w:before="120" w:line="360" w:lineRule="auto"/>
        <w:ind w:left="851" w:right="902"/>
        <w:jc w:val="both"/>
        <w:rPr>
          <w:rFonts w:ascii="Palatino Linotype" w:eastAsia="Palatino Linotype" w:hAnsi="Palatino Linotype" w:cs="Palatino Linotype"/>
          <w:i/>
          <w:sz w:val="22"/>
          <w:szCs w:val="22"/>
        </w:rPr>
      </w:pPr>
    </w:p>
    <w:p w14:paraId="0F185D2A"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b/>
          <w:color w:val="222222"/>
          <w:u w:val="single"/>
        </w:rPr>
        <w:t>Por otro lado, derivado de la información que se ordena entregar pudiera existir información de la Dirección de Seguridad Pública del Ayuntamiento</w:t>
      </w:r>
      <w:r w:rsidRPr="00370003">
        <w:rPr>
          <w:rFonts w:ascii="Palatino Linotype" w:eastAsia="Palatino Linotype" w:hAnsi="Palatino Linotype" w:cs="Palatino Linotype"/>
          <w:color w:val="222222"/>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w:t>
      </w:r>
      <w:r w:rsidRPr="00370003">
        <w:rPr>
          <w:rFonts w:ascii="Palatino Linotype" w:eastAsia="Palatino Linotype" w:hAnsi="Palatino Linotype" w:cs="Palatino Linotype"/>
          <w:color w:val="222222"/>
        </w:rPr>
        <w:lastRenderedPageBreak/>
        <w:t xml:space="preserve">hacerla efectiva, lo cual permite a esta Ponencia proteger los datos de los servidores públicos que integran dicha Dirección sólo por cuanto hace al nombre dejando intocable el dato de percepciones que por su naturaleza conciernen a la ciudadanía por referirse a recursos de carácter público; circunstancia que en nada afecta al derecho tutelado por este </w:t>
      </w:r>
      <w:r w:rsidR="009434CB" w:rsidRPr="00370003">
        <w:rPr>
          <w:rFonts w:ascii="Palatino Linotype" w:eastAsia="Palatino Linotype" w:hAnsi="Palatino Linotype" w:cs="Palatino Linotype"/>
          <w:color w:val="222222"/>
        </w:rPr>
        <w:t>Organismo</w:t>
      </w:r>
      <w:r w:rsidRPr="00370003">
        <w:rPr>
          <w:rFonts w:ascii="Palatino Linotype" w:eastAsia="Palatino Linotype" w:hAnsi="Palatino Linotype" w:cs="Palatino Linotype"/>
          <w:color w:val="222222"/>
        </w:rPr>
        <w:t xml:space="preserve">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34BAC8C9" w14:textId="77777777" w:rsidR="003A5173" w:rsidRPr="00370003" w:rsidRDefault="003A5173" w:rsidP="003A5173">
      <w:pPr>
        <w:shd w:val="clear" w:color="auto" w:fill="FFFFFF"/>
        <w:spacing w:line="360" w:lineRule="auto"/>
        <w:jc w:val="both"/>
        <w:rPr>
          <w:color w:val="222222"/>
        </w:rPr>
      </w:pPr>
    </w:p>
    <w:p w14:paraId="7CB58728"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B0EF5F3" w14:textId="77777777" w:rsidR="003A5173" w:rsidRPr="00370003" w:rsidRDefault="003A5173" w:rsidP="003A5173">
      <w:pPr>
        <w:shd w:val="clear" w:color="auto" w:fill="FFFFFF"/>
        <w:spacing w:line="360" w:lineRule="auto"/>
        <w:jc w:val="both"/>
        <w:rPr>
          <w:color w:val="222222"/>
        </w:rPr>
      </w:pPr>
    </w:p>
    <w:p w14:paraId="67FE652F"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Al respecto, este Instituto advierte lo siguiente:</w:t>
      </w:r>
    </w:p>
    <w:p w14:paraId="257CAA39" w14:textId="77777777" w:rsidR="003A5173" w:rsidRPr="00370003" w:rsidRDefault="003A5173" w:rsidP="003A5173">
      <w:pPr>
        <w:shd w:val="clear" w:color="auto" w:fill="FFFFFF"/>
        <w:spacing w:line="360" w:lineRule="auto"/>
        <w:jc w:val="both"/>
        <w:rPr>
          <w:color w:val="222222"/>
        </w:rPr>
      </w:pPr>
    </w:p>
    <w:p w14:paraId="3A9B00A2" w14:textId="77777777" w:rsidR="003A5173" w:rsidRPr="00370003" w:rsidRDefault="003A5173" w:rsidP="003A5173">
      <w:pPr>
        <w:shd w:val="clear" w:color="auto" w:fill="FFFFFF"/>
        <w:spacing w:line="360" w:lineRule="auto"/>
        <w:ind w:left="567" w:right="850"/>
        <w:jc w:val="both"/>
        <w:rPr>
          <w:rFonts w:ascii="Arial" w:eastAsia="Arial" w:hAnsi="Arial" w:cs="Arial"/>
          <w:color w:val="222222"/>
        </w:rPr>
      </w:pPr>
      <w:r w:rsidRPr="00370003">
        <w:rPr>
          <w:rFonts w:ascii="Palatino Linotype" w:eastAsia="Palatino Linotype" w:hAnsi="Palatino Linotype" w:cs="Palatino Linotype"/>
          <w:color w:val="222222"/>
        </w:rPr>
        <w:t>•</w:t>
      </w:r>
      <w:r w:rsidRPr="00370003">
        <w:rPr>
          <w:color w:val="222222"/>
        </w:rPr>
        <w:t>        </w:t>
      </w:r>
      <w:r w:rsidRPr="00370003">
        <w:rPr>
          <w:rFonts w:ascii="Palatino Linotype" w:eastAsia="Palatino Linotype" w:hAnsi="Palatino Linotype" w:cs="Palatino Linotype"/>
          <w:color w:val="222222"/>
        </w:rPr>
        <w:t xml:space="preserve">Que toda vez que se trata de dar a conocer los nombres de los integrantes de los cuerpos de seguridad pública, es procedente la clasificación de la información como reservada, en el entendido de que </w:t>
      </w:r>
      <w:r w:rsidRPr="00370003">
        <w:rPr>
          <w:rFonts w:ascii="Palatino Linotype" w:eastAsia="Palatino Linotype" w:hAnsi="Palatino Linotype" w:cs="Palatino Linotype"/>
          <w:color w:val="222222"/>
        </w:rPr>
        <w:lastRenderedPageBreak/>
        <w:t>se pone en riesgo su vida, salud y seguridad, dado que los hace identificables.</w:t>
      </w:r>
    </w:p>
    <w:p w14:paraId="67741BF8" w14:textId="77777777" w:rsidR="003A5173" w:rsidRPr="00370003" w:rsidRDefault="003A5173" w:rsidP="003A5173">
      <w:pPr>
        <w:shd w:val="clear" w:color="auto" w:fill="FFFFFF"/>
        <w:spacing w:line="360" w:lineRule="auto"/>
        <w:ind w:left="567" w:right="850"/>
        <w:jc w:val="both"/>
        <w:rPr>
          <w:rFonts w:ascii="Arial" w:eastAsia="Arial" w:hAnsi="Arial" w:cs="Arial"/>
          <w:color w:val="222222"/>
        </w:rPr>
      </w:pPr>
      <w:r w:rsidRPr="00370003">
        <w:rPr>
          <w:rFonts w:ascii="Palatino Linotype" w:eastAsia="Palatino Linotype" w:hAnsi="Palatino Linotype" w:cs="Palatino Linotype"/>
          <w:color w:val="222222"/>
        </w:rPr>
        <w:t>•</w:t>
      </w:r>
      <w:r w:rsidRPr="00370003">
        <w:rPr>
          <w:color w:val="222222"/>
        </w:rPr>
        <w:t>        </w:t>
      </w:r>
      <w:r w:rsidRPr="00370003">
        <w:rPr>
          <w:rFonts w:ascii="Palatino Linotype" w:eastAsia="Palatino Linotype" w:hAnsi="Palatino Linotype" w:cs="Palatino Linotype"/>
          <w:color w:val="222222"/>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6C61E01E" w14:textId="77777777" w:rsidR="003A5173" w:rsidRPr="00370003" w:rsidRDefault="003A5173" w:rsidP="003A5173">
      <w:pPr>
        <w:shd w:val="clear" w:color="auto" w:fill="FFFFFF"/>
        <w:spacing w:line="360" w:lineRule="auto"/>
        <w:ind w:left="567" w:right="850"/>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w:t>
      </w:r>
      <w:r w:rsidRPr="00370003">
        <w:rPr>
          <w:color w:val="222222"/>
        </w:rPr>
        <w:t>        </w:t>
      </w:r>
      <w:r w:rsidRPr="00370003">
        <w:rPr>
          <w:rFonts w:ascii="Palatino Linotype" w:eastAsia="Palatino Linotype" w:hAnsi="Palatino Linotype" w:cs="Palatino Linotype"/>
          <w:color w:val="222222"/>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01DFD5BD" w14:textId="77777777" w:rsidR="003A5173" w:rsidRPr="00370003" w:rsidRDefault="003A5173" w:rsidP="003A5173">
      <w:pPr>
        <w:shd w:val="clear" w:color="auto" w:fill="FFFFFF"/>
        <w:spacing w:line="360" w:lineRule="auto"/>
        <w:ind w:left="567" w:right="850"/>
        <w:jc w:val="both"/>
        <w:rPr>
          <w:rFonts w:ascii="Arial" w:eastAsia="Arial" w:hAnsi="Arial" w:cs="Arial"/>
          <w:color w:val="222222"/>
        </w:rPr>
      </w:pPr>
    </w:p>
    <w:p w14:paraId="03176A70"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En ese entendido, la leyenda de clasificación que se genere deberá establecer ambos supuestos de clasificación: reserva y confidencialidad, en congruencia con los requisitos establecidos en los lineamientos citados.</w:t>
      </w:r>
    </w:p>
    <w:p w14:paraId="345AF5B3" w14:textId="77777777" w:rsidR="003A5173" w:rsidRPr="00370003" w:rsidRDefault="003A5173" w:rsidP="003A5173">
      <w:pPr>
        <w:shd w:val="clear" w:color="auto" w:fill="FFFFFF"/>
        <w:spacing w:line="360" w:lineRule="auto"/>
        <w:jc w:val="both"/>
        <w:rPr>
          <w:color w:val="222222"/>
        </w:rPr>
      </w:pPr>
    </w:p>
    <w:p w14:paraId="2090A88B"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sidRPr="00370003">
        <w:rPr>
          <w:rFonts w:ascii="Palatino Linotype" w:eastAsia="Palatino Linotype" w:hAnsi="Palatino Linotype" w:cs="Palatino Linotype"/>
          <w:b/>
          <w:color w:val="222222"/>
          <w:u w:val="single"/>
        </w:rPr>
        <w:t>ponga en riesgo la vida</w:t>
      </w:r>
      <w:r w:rsidRPr="00370003">
        <w:rPr>
          <w:rFonts w:ascii="Palatino Linotype" w:eastAsia="Palatino Linotype" w:hAnsi="Palatino Linotype" w:cs="Palatino Linotype"/>
          <w:color w:val="222222"/>
        </w:rPr>
        <w:t xml:space="preserve">, la seguridad, cause perjuicio a las actividades de prevención del delito, procuración y administración de justicia, de </w:t>
      </w:r>
      <w:r w:rsidRPr="00370003">
        <w:rPr>
          <w:rFonts w:ascii="Palatino Linotype" w:eastAsia="Palatino Linotype" w:hAnsi="Palatino Linotype" w:cs="Palatino Linotype"/>
          <w:color w:val="222222"/>
        </w:rPr>
        <w:lastRenderedPageBreak/>
        <w:t>readaptación social, o bien el daño que pueda producirse con la publicación de la información sea mayor que el interés público de conocerla. Sirve de apoyo a lo anterior los artículos de referencia que a continuación se señalan:</w:t>
      </w:r>
    </w:p>
    <w:p w14:paraId="689EAA7F" w14:textId="77777777" w:rsidR="003A5173" w:rsidRPr="00370003" w:rsidRDefault="003A5173" w:rsidP="003A5173">
      <w:pPr>
        <w:shd w:val="clear" w:color="auto" w:fill="FFFFFF"/>
        <w:spacing w:line="360" w:lineRule="auto"/>
        <w:jc w:val="both"/>
        <w:rPr>
          <w:color w:val="222222"/>
        </w:rPr>
      </w:pPr>
    </w:p>
    <w:p w14:paraId="29FFA759" w14:textId="77777777" w:rsidR="003A5173" w:rsidRPr="00370003" w:rsidRDefault="003A5173" w:rsidP="003A5173">
      <w:pPr>
        <w:shd w:val="clear" w:color="auto" w:fill="FFFFFF"/>
        <w:spacing w:line="360" w:lineRule="auto"/>
        <w:ind w:left="851" w:right="709"/>
        <w:jc w:val="both"/>
        <w:rPr>
          <w:color w:val="222222"/>
          <w:sz w:val="22"/>
          <w:szCs w:val="22"/>
        </w:rPr>
      </w:pPr>
      <w:r w:rsidRPr="00370003">
        <w:rPr>
          <w:rFonts w:ascii="Palatino Linotype" w:eastAsia="Palatino Linotype" w:hAnsi="Palatino Linotype" w:cs="Palatino Linotype"/>
          <w:i/>
          <w:color w:val="222222"/>
          <w:sz w:val="22"/>
          <w:szCs w:val="22"/>
        </w:rPr>
        <w:t>“</w:t>
      </w:r>
      <w:r w:rsidRPr="00370003">
        <w:rPr>
          <w:rFonts w:ascii="Palatino Linotype" w:eastAsia="Palatino Linotype" w:hAnsi="Palatino Linotype" w:cs="Palatino Linotype"/>
          <w:b/>
          <w:i/>
          <w:color w:val="222222"/>
          <w:sz w:val="22"/>
          <w:szCs w:val="22"/>
        </w:rPr>
        <w:t>Artículo 91.</w:t>
      </w:r>
      <w:r w:rsidRPr="00370003">
        <w:rPr>
          <w:rFonts w:ascii="Palatino Linotype" w:eastAsia="Palatino Linotype" w:hAnsi="Palatino Linotype" w:cs="Palatino Linotype"/>
          <w:i/>
          <w:color w:val="222222"/>
          <w:sz w:val="22"/>
          <w:szCs w:val="22"/>
        </w:rPr>
        <w:t> El acceso a la información pública será restringido excepcionalmente, cuando ésta sea clasificada como reservada o confidencial.</w:t>
      </w:r>
    </w:p>
    <w:p w14:paraId="4FC3D9AC" w14:textId="77777777" w:rsidR="003A5173" w:rsidRPr="00370003" w:rsidRDefault="003A5173" w:rsidP="003A5173">
      <w:pPr>
        <w:shd w:val="clear" w:color="auto" w:fill="FFFFFF"/>
        <w:spacing w:line="360" w:lineRule="auto"/>
        <w:ind w:left="851" w:right="709"/>
        <w:jc w:val="both"/>
        <w:rPr>
          <w:color w:val="222222"/>
          <w:sz w:val="22"/>
          <w:szCs w:val="22"/>
        </w:rPr>
      </w:pPr>
      <w:r w:rsidRPr="00370003">
        <w:rPr>
          <w:rFonts w:ascii="Palatino Linotype" w:eastAsia="Palatino Linotype" w:hAnsi="Palatino Linotype" w:cs="Palatino Linotype"/>
          <w:b/>
          <w:i/>
          <w:color w:val="222222"/>
          <w:sz w:val="22"/>
          <w:szCs w:val="22"/>
        </w:rPr>
        <w:t>Artículo 140. </w:t>
      </w:r>
      <w:r w:rsidRPr="00370003">
        <w:rPr>
          <w:rFonts w:ascii="Palatino Linotype" w:eastAsia="Palatino Linotype" w:hAnsi="Palatino Linotype" w:cs="Palatino Linotype"/>
          <w:i/>
          <w:color w:val="222222"/>
          <w:sz w:val="22"/>
          <w:szCs w:val="22"/>
        </w:rPr>
        <w:t>El acceso a la información pública será restringido excepcionalmente, cuando por razones de interés público, ésta sea clasificada como reservada, conforme a los criterios siguientes:</w:t>
      </w:r>
    </w:p>
    <w:p w14:paraId="27827B3F" w14:textId="77777777" w:rsidR="003A5173" w:rsidRPr="00370003" w:rsidRDefault="003A5173" w:rsidP="003A5173">
      <w:pPr>
        <w:shd w:val="clear" w:color="auto" w:fill="FFFFFF"/>
        <w:spacing w:line="360" w:lineRule="auto"/>
        <w:ind w:left="851" w:right="709"/>
        <w:jc w:val="both"/>
        <w:rPr>
          <w:color w:val="222222"/>
          <w:sz w:val="22"/>
          <w:szCs w:val="22"/>
        </w:rPr>
      </w:pPr>
      <w:r w:rsidRPr="00370003">
        <w:rPr>
          <w:rFonts w:ascii="Palatino Linotype" w:eastAsia="Palatino Linotype" w:hAnsi="Palatino Linotype" w:cs="Palatino Linotype"/>
          <w:i/>
          <w:color w:val="222222"/>
          <w:sz w:val="22"/>
          <w:szCs w:val="22"/>
        </w:rPr>
        <w:t>…</w:t>
      </w:r>
    </w:p>
    <w:p w14:paraId="53BED89B" w14:textId="77777777" w:rsidR="003A5173" w:rsidRPr="00370003" w:rsidRDefault="003A5173" w:rsidP="003A5173">
      <w:pPr>
        <w:shd w:val="clear" w:color="auto" w:fill="FFFFFF"/>
        <w:spacing w:line="360" w:lineRule="auto"/>
        <w:ind w:left="851" w:right="709"/>
        <w:jc w:val="both"/>
        <w:rPr>
          <w:rFonts w:ascii="Palatino Linotype" w:eastAsia="Palatino Linotype" w:hAnsi="Palatino Linotype" w:cs="Palatino Linotype"/>
          <w:i/>
          <w:color w:val="222222"/>
        </w:rPr>
      </w:pPr>
      <w:r w:rsidRPr="00370003">
        <w:rPr>
          <w:rFonts w:ascii="Palatino Linotype" w:eastAsia="Palatino Linotype" w:hAnsi="Palatino Linotype" w:cs="Palatino Linotype"/>
          <w:b/>
          <w:i/>
          <w:color w:val="222222"/>
          <w:sz w:val="22"/>
          <w:szCs w:val="22"/>
        </w:rPr>
        <w:t>IV.</w:t>
      </w:r>
      <w:r w:rsidRPr="00370003">
        <w:rPr>
          <w:rFonts w:ascii="Palatino Linotype" w:eastAsia="Palatino Linotype" w:hAnsi="Palatino Linotype" w:cs="Palatino Linotype"/>
          <w:i/>
          <w:color w:val="222222"/>
        </w:rPr>
        <w:t xml:space="preserve"> Ponga en riesgo la vida, la seguridad o la salud de una persona física;…” (Sic)</w:t>
      </w:r>
    </w:p>
    <w:p w14:paraId="5B889F67" w14:textId="77777777" w:rsidR="003A5173" w:rsidRPr="00370003" w:rsidRDefault="003A5173" w:rsidP="003A5173">
      <w:pPr>
        <w:ind w:left="851"/>
      </w:pPr>
    </w:p>
    <w:p w14:paraId="23581E3E" w14:textId="77777777" w:rsidR="003A5173" w:rsidRPr="00370003" w:rsidRDefault="003A5173" w:rsidP="003A5173">
      <w:pPr>
        <w:shd w:val="clear" w:color="auto" w:fill="FFFFFF"/>
        <w:spacing w:line="360" w:lineRule="auto"/>
        <w:ind w:right="51"/>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068CF29D" w14:textId="77777777" w:rsidR="003A5173" w:rsidRPr="00370003" w:rsidRDefault="003A5173" w:rsidP="003A5173">
      <w:pPr>
        <w:shd w:val="clear" w:color="auto" w:fill="FFFFFF"/>
        <w:spacing w:line="360" w:lineRule="auto"/>
        <w:ind w:right="51"/>
        <w:jc w:val="both"/>
        <w:rPr>
          <w:color w:val="222222"/>
        </w:rPr>
      </w:pPr>
    </w:p>
    <w:p w14:paraId="68442C73" w14:textId="77777777" w:rsidR="003A5173" w:rsidRPr="0037000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Sirven de sustento a lo anterior las tesis jurisprudenciales emitidas por la Suprema corte de Justicia de la Nación, que son del literal siguiente:</w:t>
      </w:r>
    </w:p>
    <w:p w14:paraId="1A6A398E" w14:textId="77777777" w:rsidR="003A5173" w:rsidRPr="00370003" w:rsidRDefault="003A5173" w:rsidP="003A5173">
      <w:pPr>
        <w:shd w:val="clear" w:color="auto" w:fill="FFFFFF"/>
        <w:spacing w:line="360" w:lineRule="auto"/>
        <w:jc w:val="both"/>
        <w:rPr>
          <w:color w:val="222222"/>
        </w:rPr>
      </w:pPr>
    </w:p>
    <w:p w14:paraId="782EC723" w14:textId="77777777" w:rsidR="003A5173" w:rsidRPr="00370003" w:rsidRDefault="003A5173" w:rsidP="003A5173">
      <w:pPr>
        <w:shd w:val="clear" w:color="auto" w:fill="FFFFFF"/>
        <w:spacing w:line="360" w:lineRule="auto"/>
        <w:ind w:left="567" w:right="850"/>
        <w:jc w:val="both"/>
        <w:rPr>
          <w:color w:val="222222"/>
          <w:sz w:val="22"/>
          <w:szCs w:val="22"/>
        </w:rPr>
      </w:pPr>
      <w:r w:rsidRPr="00370003">
        <w:rPr>
          <w:rFonts w:ascii="Palatino Linotype" w:eastAsia="Palatino Linotype" w:hAnsi="Palatino Linotype" w:cs="Palatino Linotype"/>
          <w:b/>
          <w:i/>
          <w:color w:val="222222"/>
          <w:sz w:val="22"/>
          <w:szCs w:val="22"/>
        </w:rPr>
        <w:t xml:space="preserve">“DERECHO A LA INFORMACIÓN. SU EJERCICIO SE ENCUENTRA LIMITADO TANTO POR LOS INTERESES NACIONALES Y DE LA </w:t>
      </w:r>
      <w:r w:rsidRPr="00370003">
        <w:rPr>
          <w:rFonts w:ascii="Palatino Linotype" w:eastAsia="Palatino Linotype" w:hAnsi="Palatino Linotype" w:cs="Palatino Linotype"/>
          <w:b/>
          <w:i/>
          <w:color w:val="222222"/>
          <w:sz w:val="22"/>
          <w:szCs w:val="22"/>
        </w:rPr>
        <w:lastRenderedPageBreak/>
        <w:t>SOCIEDAD, COMO POR LOS DERECHOS DE TERCEROS. </w:t>
      </w:r>
      <w:r w:rsidRPr="00370003">
        <w:rPr>
          <w:rFonts w:ascii="Palatino Linotype" w:eastAsia="Palatino Linotype" w:hAnsi="Palatino Linotype" w:cs="Palatino Linotype"/>
          <w:i/>
          <w:color w:val="222222"/>
          <w:sz w:val="22"/>
          <w:szCs w:val="22"/>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70003">
        <w:rPr>
          <w:rFonts w:ascii="Palatino Linotype" w:eastAsia="Palatino Linotype" w:hAnsi="Palatino Linotype" w:cs="Palatino Linotype"/>
          <w:b/>
          <w:i/>
          <w:color w:val="222222"/>
          <w:sz w:val="22"/>
          <w:szCs w:val="22"/>
        </w:rPr>
        <w:t>restringen el acceso a la información en esta materia, en razón de que su conocimiento público puede generar daños a los intereses nacionales y, por el otro, sancionan la inobservancia de esa reserva;</w:t>
      </w:r>
      <w:r w:rsidRPr="00370003">
        <w:rPr>
          <w:rFonts w:ascii="Palatino Linotype" w:eastAsia="Palatino Linotype" w:hAnsi="Palatino Linotype" w:cs="Palatino Linotype"/>
          <w:i/>
          <w:color w:val="222222"/>
          <w:sz w:val="22"/>
          <w:szCs w:val="22"/>
        </w:rPr>
        <w:t> por lo que hace al interés social, se cuenta con normas que tienden a proteger la averiguación de los delitos, la salud y la moral públicas, </w:t>
      </w:r>
      <w:r w:rsidRPr="00370003">
        <w:rPr>
          <w:rFonts w:ascii="Palatino Linotype" w:eastAsia="Palatino Linotype" w:hAnsi="Palatino Linotype" w:cs="Palatino Linotype"/>
          <w:b/>
          <w:i/>
          <w:color w:val="222222"/>
          <w:sz w:val="22"/>
          <w:szCs w:val="22"/>
        </w:rPr>
        <w:t>mientras que por lo que respecta a la protección de la persona existen normas que protegen el derecho a la vida o a la privacidad de los gobernados.</w:t>
      </w:r>
      <w:r w:rsidRPr="00370003">
        <w:rPr>
          <w:rFonts w:ascii="Palatino Linotype" w:eastAsia="Palatino Linotype" w:hAnsi="Palatino Linotype" w:cs="Palatino Linotype"/>
          <w:i/>
          <w:color w:val="222222"/>
          <w:sz w:val="22"/>
          <w:szCs w:val="22"/>
        </w:rPr>
        <w:t>”</w:t>
      </w:r>
    </w:p>
    <w:p w14:paraId="359A7FA7" w14:textId="77777777" w:rsidR="003A5173" w:rsidRPr="00370003" w:rsidRDefault="003A5173" w:rsidP="003A5173">
      <w:pPr>
        <w:shd w:val="clear" w:color="auto" w:fill="FFFFFF"/>
        <w:spacing w:line="360" w:lineRule="auto"/>
        <w:ind w:left="851" w:right="760"/>
        <w:jc w:val="both"/>
        <w:rPr>
          <w:color w:val="222222"/>
          <w:sz w:val="22"/>
          <w:szCs w:val="22"/>
        </w:rPr>
      </w:pPr>
    </w:p>
    <w:p w14:paraId="031FFFEA" w14:textId="77777777" w:rsidR="003A5173" w:rsidRPr="00370003" w:rsidRDefault="003A5173" w:rsidP="003A5173">
      <w:pPr>
        <w:shd w:val="clear" w:color="auto" w:fill="FFFFFF"/>
        <w:spacing w:line="360" w:lineRule="auto"/>
        <w:ind w:left="567" w:right="850"/>
        <w:jc w:val="both"/>
        <w:rPr>
          <w:rFonts w:ascii="Palatino Linotype" w:eastAsia="Palatino Linotype" w:hAnsi="Palatino Linotype" w:cs="Palatino Linotype"/>
          <w:i/>
          <w:color w:val="222222"/>
          <w:sz w:val="22"/>
          <w:szCs w:val="22"/>
        </w:rPr>
      </w:pPr>
      <w:r w:rsidRPr="00370003">
        <w:rPr>
          <w:rFonts w:ascii="Palatino Linotype" w:eastAsia="Palatino Linotype" w:hAnsi="Palatino Linotype" w:cs="Palatino Linotype"/>
          <w:b/>
          <w:i/>
          <w:color w:val="222222"/>
          <w:sz w:val="22"/>
          <w:szCs w:val="22"/>
        </w:rPr>
        <w:t>“TRANSPARENCIA Y ACCESO A LA INFORMACIÓN PÚBLICA GUBERNAMENTAL. EL ARTÍCULO 14, FRACCIÓN I, DE LA LEY FEDERAL RELATIVA, NO VIOLA LA GARANTÍA DE ACCESO A LA INFORMACIÓN.</w:t>
      </w:r>
      <w:r w:rsidRPr="00370003">
        <w:rPr>
          <w:rFonts w:ascii="Palatino Linotype" w:eastAsia="Palatino Linotype" w:hAnsi="Palatino Linotype" w:cs="Palatino Linotype"/>
          <w:i/>
          <w:color w:val="222222"/>
          <w:sz w:val="22"/>
          <w:szCs w:val="22"/>
        </w:rPr>
        <w:t xml:space="preserve"> El Tribunal en Pleno de la Suprema Corte de Justicia de la Nación en la tesis P. LX/2000 de rubro: "DERECHO A LA INFORMACIÓN. SU </w:t>
      </w:r>
      <w:r w:rsidRPr="00370003">
        <w:rPr>
          <w:rFonts w:ascii="Palatino Linotype" w:eastAsia="Palatino Linotype" w:hAnsi="Palatino Linotype" w:cs="Palatino Linotype"/>
          <w:i/>
          <w:color w:val="222222"/>
          <w:sz w:val="22"/>
          <w:szCs w:val="22"/>
        </w:rPr>
        <w:lastRenderedPageBreak/>
        <w:t>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70003">
        <w:rPr>
          <w:rFonts w:ascii="Palatino Linotype" w:eastAsia="Palatino Linotype" w:hAnsi="Palatino Linotype" w:cs="Palatino Linotype"/>
          <w:b/>
          <w:i/>
          <w:color w:val="222222"/>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70003">
        <w:rPr>
          <w:rFonts w:ascii="Palatino Linotype" w:eastAsia="Palatino Linotype" w:hAnsi="Palatino Linotype" w:cs="Palatino Linotype"/>
          <w:i/>
          <w:color w:val="222222"/>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DA96A1A" w14:textId="77777777" w:rsidR="003A5173" w:rsidRPr="00370003" w:rsidRDefault="003A5173" w:rsidP="003A5173">
      <w:pPr>
        <w:shd w:val="clear" w:color="auto" w:fill="FFFFFF"/>
        <w:spacing w:line="360" w:lineRule="auto"/>
        <w:ind w:left="567" w:right="850"/>
        <w:jc w:val="both"/>
        <w:rPr>
          <w:color w:val="222222"/>
        </w:rPr>
      </w:pPr>
    </w:p>
    <w:p w14:paraId="67586D31" w14:textId="77777777" w:rsidR="003A5173" w:rsidRPr="00370003" w:rsidRDefault="003A5173" w:rsidP="003A5173">
      <w:pPr>
        <w:spacing w:line="360" w:lineRule="auto"/>
        <w:jc w:val="both"/>
        <w:rPr>
          <w:rFonts w:ascii="Palatino Linotype" w:eastAsia="Palatino Linotype" w:hAnsi="Palatino Linotype" w:cs="Palatino Linotype"/>
        </w:rPr>
      </w:pPr>
      <w:r w:rsidRPr="00370003">
        <w:rPr>
          <w:rFonts w:ascii="Palatino Linotype" w:eastAsia="Palatino Linotype" w:hAnsi="Palatino Linotype" w:cs="Palatino Linotype"/>
          <w:color w:val="222222"/>
        </w:rPr>
        <w:t xml:space="preserve">Asimismo, </w:t>
      </w:r>
      <w:r w:rsidRPr="00370003">
        <w:rPr>
          <w:rFonts w:ascii="Palatino Linotype" w:eastAsia="Palatino Linotype" w:hAnsi="Palatino Linotype" w:cs="Palatino Linotype"/>
        </w:rPr>
        <w:t>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4661EA69" w14:textId="77777777" w:rsidR="003A5173" w:rsidRPr="00370003" w:rsidRDefault="003A5173" w:rsidP="003A5173">
      <w:pPr>
        <w:spacing w:line="360" w:lineRule="auto"/>
        <w:jc w:val="both"/>
        <w:rPr>
          <w:rFonts w:ascii="Palatino Linotype" w:eastAsia="Palatino Linotype" w:hAnsi="Palatino Linotype" w:cs="Palatino Linotype"/>
          <w:i/>
          <w:sz w:val="22"/>
          <w:szCs w:val="22"/>
        </w:rPr>
      </w:pPr>
    </w:p>
    <w:p w14:paraId="356A906B" w14:textId="77777777" w:rsidR="003A5173" w:rsidRPr="00370003" w:rsidRDefault="003A5173" w:rsidP="003A5173">
      <w:pPr>
        <w:tabs>
          <w:tab w:val="left" w:pos="4962"/>
        </w:tabs>
        <w:spacing w:line="360" w:lineRule="auto"/>
        <w:ind w:left="567" w:right="567"/>
        <w:jc w:val="both"/>
        <w:rPr>
          <w:rFonts w:ascii="Palatino Linotype" w:eastAsia="Palatino Linotype" w:hAnsi="Palatino Linotype" w:cs="Palatino Linotype"/>
          <w:i/>
          <w:sz w:val="22"/>
          <w:szCs w:val="22"/>
        </w:rPr>
      </w:pPr>
      <w:r w:rsidRPr="00370003">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370003">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4331D48" w14:textId="77777777" w:rsidR="003A5173" w:rsidRPr="00370003" w:rsidRDefault="003A5173" w:rsidP="003A5173">
      <w:pPr>
        <w:spacing w:line="360" w:lineRule="auto"/>
        <w:jc w:val="both"/>
        <w:rPr>
          <w:rFonts w:ascii="Palatino Linotype" w:eastAsia="Palatino Linotype" w:hAnsi="Palatino Linotype" w:cs="Palatino Linotype"/>
          <w:sz w:val="22"/>
          <w:szCs w:val="22"/>
        </w:rPr>
      </w:pPr>
    </w:p>
    <w:p w14:paraId="47F726C7" w14:textId="77777777" w:rsidR="003A5173" w:rsidRPr="00370003" w:rsidRDefault="003A5173" w:rsidP="003A5173">
      <w:pPr>
        <w:spacing w:line="360" w:lineRule="auto"/>
        <w:jc w:val="both"/>
        <w:rPr>
          <w:rFonts w:ascii="Palatino Linotype" w:eastAsia="Palatino Linotype" w:hAnsi="Palatino Linotype" w:cs="Palatino Linotype"/>
        </w:rPr>
      </w:pPr>
      <w:r w:rsidRPr="00370003">
        <w:rPr>
          <w:rFonts w:ascii="Palatino Linotype" w:eastAsia="Palatino Linotype" w:hAnsi="Palatino Linotype" w:cs="Palatino Linotype"/>
        </w:rPr>
        <w:t xml:space="preserve">De dicho criterio, se desprende que existen funciones a cargo de servidores públicos, tendientes a garantizar de manera directa la seguridad pública, a través de acciones preventivas y correctivas, encaminadas a combatir a la delincuencia en sus </w:t>
      </w:r>
      <w:r w:rsidRPr="00370003">
        <w:rPr>
          <w:rFonts w:ascii="Palatino Linotype" w:eastAsia="Palatino Linotype" w:hAnsi="Palatino Linotype" w:cs="Palatino Linotype"/>
        </w:rPr>
        <w:lastRenderedPageBreak/>
        <w:t>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F976F0A" w14:textId="77777777" w:rsidR="003A5173" w:rsidRPr="00370003" w:rsidRDefault="003A5173" w:rsidP="003A5173">
      <w:pPr>
        <w:spacing w:line="360" w:lineRule="auto"/>
        <w:jc w:val="both"/>
        <w:rPr>
          <w:rFonts w:ascii="Palatino Linotype" w:eastAsia="Palatino Linotype" w:hAnsi="Palatino Linotype" w:cs="Palatino Linotype"/>
        </w:rPr>
      </w:pPr>
    </w:p>
    <w:p w14:paraId="1F8BCF2A" w14:textId="77777777" w:rsidR="003A5173" w:rsidRPr="00370003" w:rsidRDefault="003A5173" w:rsidP="003A5173">
      <w:pPr>
        <w:spacing w:line="360" w:lineRule="auto"/>
        <w:jc w:val="both"/>
        <w:rPr>
          <w:rFonts w:ascii="Palatino Linotype" w:eastAsia="Palatino Linotype" w:hAnsi="Palatino Linotype" w:cs="Palatino Linotype"/>
        </w:rPr>
      </w:pPr>
      <w:r w:rsidRPr="00370003">
        <w:rPr>
          <w:rFonts w:ascii="Palatino Linotype" w:eastAsia="Palatino Linotype" w:hAnsi="Palatino Linotype" w:cs="Palatino Linotype"/>
        </w:rPr>
        <w:t xml:space="preserve">En ese orden de ideas, si bien por regla general los nombres de los trabajadores gubernamentales son información pública de oficio, existe una excepción relativa a </w:t>
      </w:r>
      <w:r w:rsidRPr="00370003">
        <w:rPr>
          <w:rFonts w:ascii="Palatino Linotype" w:eastAsia="Palatino Linotype" w:hAnsi="Palatino Linotype" w:cs="Palatino Linotype"/>
          <w:b/>
        </w:rPr>
        <w:t>aquellos que realicen actividades operativas en materia de seguridad,</w:t>
      </w:r>
      <w:r w:rsidRPr="00370003">
        <w:rPr>
          <w:rFonts w:ascii="Palatino Linotype" w:eastAsia="Palatino Linotype" w:hAnsi="Palatino Linotype" w:cs="Palatino Linotype"/>
        </w:rPr>
        <w:t xml:space="preserve"> como es el caso de los elementos operativos y la policía municipal.</w:t>
      </w:r>
    </w:p>
    <w:p w14:paraId="519753E6" w14:textId="77777777" w:rsidR="003A5173" w:rsidRPr="00370003" w:rsidRDefault="003A5173" w:rsidP="003A5173">
      <w:pPr>
        <w:spacing w:line="360" w:lineRule="auto"/>
        <w:jc w:val="both"/>
        <w:rPr>
          <w:rFonts w:ascii="Palatino Linotype" w:eastAsia="Palatino Linotype" w:hAnsi="Palatino Linotype" w:cs="Palatino Linotype"/>
        </w:rPr>
      </w:pPr>
    </w:p>
    <w:p w14:paraId="357A8FFF" w14:textId="77777777" w:rsidR="003A5173" w:rsidRPr="003A5173" w:rsidRDefault="003A5173" w:rsidP="003A5173">
      <w:pPr>
        <w:shd w:val="clear" w:color="auto" w:fill="FFFFFF"/>
        <w:spacing w:line="360" w:lineRule="auto"/>
        <w:jc w:val="both"/>
        <w:rPr>
          <w:rFonts w:ascii="Palatino Linotype" w:eastAsia="Palatino Linotype" w:hAnsi="Palatino Linotype" w:cs="Palatino Linotype"/>
          <w:color w:val="222222"/>
        </w:rPr>
      </w:pPr>
      <w:r w:rsidRPr="00370003">
        <w:rPr>
          <w:rFonts w:ascii="Palatino Linotype" w:eastAsia="Palatino Linotype" w:hAnsi="Palatino Linotype" w:cs="Palatino Linotype"/>
          <w:color w:val="222222"/>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70003">
        <w:rPr>
          <w:rFonts w:ascii="Palatino Linotype" w:eastAsia="Palatino Linotype" w:hAnsi="Palatino Linotype" w:cs="Palatino Linotype"/>
          <w:b/>
          <w:color w:val="222222"/>
          <w:u w:val="single"/>
        </w:rPr>
        <w:t>razones, motivos o circunstancias especiales</w:t>
      </w:r>
      <w:r w:rsidRPr="00370003">
        <w:rPr>
          <w:rFonts w:ascii="Palatino Linotype" w:eastAsia="Palatino Linotype" w:hAnsi="Palatino Linotype" w:cs="Palatino Linotype"/>
          <w:color w:val="222222"/>
        </w:rPr>
        <w:t> </w:t>
      </w:r>
      <w:r w:rsidRPr="00370003">
        <w:rPr>
          <w:rFonts w:ascii="Palatino Linotype" w:eastAsia="Palatino Linotype" w:hAnsi="Palatino Linotype" w:cs="Palatino Linotype"/>
          <w:b/>
          <w:color w:val="222222"/>
          <w:u w:val="single"/>
        </w:rPr>
        <w:t>que lo llevaron a concluir que el caso concreto, se ajustó a los supuestos previstos en la normatividad legal invocada como fundamento, para dichos efectos, debe proceder a su vez a realizar una prueba de daño</w:t>
      </w:r>
      <w:r w:rsidRPr="00370003">
        <w:rPr>
          <w:rFonts w:ascii="Palatino Linotype" w:eastAsia="Palatino Linotype" w:hAnsi="Palatino Linotype" w:cs="Palatino Linotype"/>
          <w:color w:val="222222"/>
        </w:rPr>
        <w:t xml:space="preserve">, en la que se justificaran las razones, motivos y circunstancias que avalen que la divulgación de la información representa un riesgo real, demostrable e identificable de perjuicio significativo al </w:t>
      </w:r>
      <w:r w:rsidRPr="00370003">
        <w:rPr>
          <w:rFonts w:ascii="Palatino Linotype" w:eastAsia="Palatino Linotype" w:hAnsi="Palatino Linotype" w:cs="Palatino Linotype"/>
          <w:color w:val="222222"/>
        </w:rPr>
        <w:lastRenderedPageBreak/>
        <w:t>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9F303A0" w14:textId="77777777" w:rsidR="00A32F2F" w:rsidRDefault="00A32F2F">
      <w:pPr>
        <w:spacing w:line="360" w:lineRule="auto"/>
        <w:jc w:val="both"/>
        <w:rPr>
          <w:rFonts w:ascii="Palatino Linotype" w:eastAsia="Palatino Linotype" w:hAnsi="Palatino Linotype" w:cs="Palatino Linotype"/>
        </w:rPr>
      </w:pPr>
    </w:p>
    <w:p w14:paraId="3ADEF0BC" w14:textId="77777777" w:rsidR="00A32F2F" w:rsidRDefault="003A51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w:t>
      </w:r>
      <w:r>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C62D72" w14:textId="77777777" w:rsidR="00A32F2F" w:rsidRDefault="00A32F2F">
      <w:pPr>
        <w:spacing w:line="360" w:lineRule="auto"/>
        <w:jc w:val="both"/>
        <w:rPr>
          <w:rFonts w:ascii="Palatino Linotype" w:eastAsia="Palatino Linotype" w:hAnsi="Palatino Linotype" w:cs="Palatino Linotype"/>
        </w:rPr>
      </w:pPr>
    </w:p>
    <w:p w14:paraId="6ECA3D63" w14:textId="77777777" w:rsidR="00A32F2F" w:rsidRDefault="003A517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2"/>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A32F2F" w14:paraId="43EFDF57" w14:textId="77777777">
        <w:tc>
          <w:tcPr>
            <w:tcW w:w="4414" w:type="dxa"/>
            <w:gridSpan w:val="2"/>
          </w:tcPr>
          <w:p w14:paraId="5FA1EA09" w14:textId="77777777" w:rsidR="00A32F2F" w:rsidRDefault="003A5173">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619C4AD6" w14:textId="77777777" w:rsidR="00A32F2F" w:rsidRDefault="003A5173">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A32F2F" w14:paraId="7448A4C5" w14:textId="77777777">
        <w:tc>
          <w:tcPr>
            <w:tcW w:w="846" w:type="dxa"/>
          </w:tcPr>
          <w:p w14:paraId="6457E026" w14:textId="77777777" w:rsidR="00A32F2F" w:rsidRDefault="003A5173">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14:paraId="1A3EFFF4" w14:textId="77777777" w:rsidR="00A32F2F" w:rsidRDefault="003A5173">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DEDE790" w14:textId="77777777" w:rsidR="00A32F2F" w:rsidRDefault="003A5173">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2AD97ACC" w14:textId="77777777" w:rsidR="00A32F2F" w:rsidRDefault="003A5173">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A32F2F" w14:paraId="12101C8F" w14:textId="77777777">
        <w:tc>
          <w:tcPr>
            <w:tcW w:w="8828" w:type="dxa"/>
            <w:gridSpan w:val="4"/>
          </w:tcPr>
          <w:p w14:paraId="21E61068" w14:textId="77777777" w:rsidR="00A32F2F" w:rsidRDefault="003A5173">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A32F2F" w14:paraId="473F4EFD" w14:textId="77777777">
        <w:tc>
          <w:tcPr>
            <w:tcW w:w="846" w:type="dxa"/>
          </w:tcPr>
          <w:p w14:paraId="0F2444F6"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14:paraId="7D764EE1"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EBD12D0"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76877FD0"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32F2F" w14:paraId="047C47EB" w14:textId="77777777">
        <w:tc>
          <w:tcPr>
            <w:tcW w:w="846" w:type="dxa"/>
          </w:tcPr>
          <w:p w14:paraId="62C626A3"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14:paraId="66C5162D"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31F0A9D2"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8AF9F39"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A32F2F" w14:paraId="51B12091" w14:textId="77777777">
        <w:tc>
          <w:tcPr>
            <w:tcW w:w="846" w:type="dxa"/>
          </w:tcPr>
          <w:p w14:paraId="2EDFBFBD"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Información reservada</w:t>
            </w:r>
          </w:p>
        </w:tc>
        <w:tc>
          <w:tcPr>
            <w:tcW w:w="3568" w:type="dxa"/>
          </w:tcPr>
          <w:p w14:paraId="58CB866F"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2F122D3"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47D1AB9A"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A32F2F" w14:paraId="66BB6663" w14:textId="77777777">
        <w:tc>
          <w:tcPr>
            <w:tcW w:w="846" w:type="dxa"/>
          </w:tcPr>
          <w:p w14:paraId="133B2A8D"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5FDC2ED3"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CFD390F"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982B736"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32F2F" w14:paraId="20B01DE7" w14:textId="77777777">
        <w:tc>
          <w:tcPr>
            <w:tcW w:w="846" w:type="dxa"/>
          </w:tcPr>
          <w:p w14:paraId="3E53C0A7"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14:paraId="2E129498"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9DB6177"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036C855"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32F2F" w14:paraId="08AEAC55" w14:textId="77777777">
        <w:tc>
          <w:tcPr>
            <w:tcW w:w="846" w:type="dxa"/>
          </w:tcPr>
          <w:p w14:paraId="1F77E32A"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14:paraId="5552773B"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7B4FC62"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55430F4C"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32F2F" w14:paraId="43DB639E" w14:textId="77777777">
        <w:tc>
          <w:tcPr>
            <w:tcW w:w="846" w:type="dxa"/>
          </w:tcPr>
          <w:p w14:paraId="3015E490"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52EE3E2E"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8D44AB2"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23425C4B"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A32F2F" w14:paraId="4B06B3AB" w14:textId="77777777">
        <w:tc>
          <w:tcPr>
            <w:tcW w:w="846" w:type="dxa"/>
          </w:tcPr>
          <w:p w14:paraId="52896AFB"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568" w:type="dxa"/>
          </w:tcPr>
          <w:p w14:paraId="7CD9FD11"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51CE65DE"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626D6AD"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32F2F" w14:paraId="5B2D9904" w14:textId="77777777">
        <w:tc>
          <w:tcPr>
            <w:tcW w:w="846" w:type="dxa"/>
          </w:tcPr>
          <w:p w14:paraId="5B2774AC"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14:paraId="13B3C440"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727C95F3"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30918F27"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A32F2F" w14:paraId="2383C8B8" w14:textId="77777777">
        <w:tc>
          <w:tcPr>
            <w:tcW w:w="846" w:type="dxa"/>
          </w:tcPr>
          <w:p w14:paraId="7F542416"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568" w:type="dxa"/>
          </w:tcPr>
          <w:p w14:paraId="59F966F0"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4FEEE445"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AB8182A"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A32F2F" w14:paraId="4824EAAC" w14:textId="77777777">
        <w:tc>
          <w:tcPr>
            <w:tcW w:w="846" w:type="dxa"/>
          </w:tcPr>
          <w:p w14:paraId="11B7FCEF" w14:textId="77777777" w:rsidR="00A32F2F" w:rsidRDefault="00A32F2F">
            <w:pPr>
              <w:spacing w:after="160" w:line="259" w:lineRule="auto"/>
              <w:jc w:val="both"/>
              <w:rPr>
                <w:rFonts w:ascii="Palatino Linotype" w:eastAsia="Palatino Linotype" w:hAnsi="Palatino Linotype" w:cs="Palatino Linotype"/>
                <w:sz w:val="12"/>
                <w:szCs w:val="12"/>
              </w:rPr>
            </w:pPr>
          </w:p>
        </w:tc>
        <w:tc>
          <w:tcPr>
            <w:tcW w:w="3568" w:type="dxa"/>
          </w:tcPr>
          <w:p w14:paraId="5A6F183E" w14:textId="77777777" w:rsidR="00A32F2F" w:rsidRDefault="00A32F2F">
            <w:pPr>
              <w:spacing w:after="160" w:line="259" w:lineRule="auto"/>
              <w:jc w:val="both"/>
              <w:rPr>
                <w:rFonts w:ascii="Palatino Linotype" w:eastAsia="Palatino Linotype" w:hAnsi="Palatino Linotype" w:cs="Palatino Linotype"/>
                <w:sz w:val="12"/>
                <w:szCs w:val="12"/>
              </w:rPr>
            </w:pPr>
          </w:p>
        </w:tc>
        <w:tc>
          <w:tcPr>
            <w:tcW w:w="968" w:type="dxa"/>
          </w:tcPr>
          <w:p w14:paraId="7301DDEF"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9AC0ABE"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A32F2F" w14:paraId="60476653" w14:textId="77777777">
        <w:tc>
          <w:tcPr>
            <w:tcW w:w="846" w:type="dxa"/>
          </w:tcPr>
          <w:p w14:paraId="4B4BA58C" w14:textId="77777777" w:rsidR="00A32F2F" w:rsidRDefault="00A32F2F">
            <w:pPr>
              <w:spacing w:after="160" w:line="259" w:lineRule="auto"/>
              <w:jc w:val="both"/>
              <w:rPr>
                <w:rFonts w:ascii="Palatino Linotype" w:eastAsia="Palatino Linotype" w:hAnsi="Palatino Linotype" w:cs="Palatino Linotype"/>
                <w:sz w:val="12"/>
                <w:szCs w:val="12"/>
              </w:rPr>
            </w:pPr>
          </w:p>
        </w:tc>
        <w:tc>
          <w:tcPr>
            <w:tcW w:w="3568" w:type="dxa"/>
          </w:tcPr>
          <w:p w14:paraId="301AB644" w14:textId="77777777" w:rsidR="00A32F2F" w:rsidRDefault="00A32F2F">
            <w:pPr>
              <w:spacing w:after="160" w:line="259" w:lineRule="auto"/>
              <w:jc w:val="both"/>
              <w:rPr>
                <w:rFonts w:ascii="Palatino Linotype" w:eastAsia="Palatino Linotype" w:hAnsi="Palatino Linotype" w:cs="Palatino Linotype"/>
                <w:sz w:val="12"/>
                <w:szCs w:val="12"/>
              </w:rPr>
            </w:pPr>
          </w:p>
        </w:tc>
        <w:tc>
          <w:tcPr>
            <w:tcW w:w="968" w:type="dxa"/>
          </w:tcPr>
          <w:p w14:paraId="0BCF1058" w14:textId="77777777" w:rsidR="00A32F2F" w:rsidRDefault="003A5173">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21B2B7F1" w14:textId="77777777" w:rsidR="00A32F2F" w:rsidRDefault="003A5173">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2E2D6CD3"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FB498FF" w14:textId="77777777" w:rsidR="00A32F2F" w:rsidRDefault="003A5173">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III. R E S U E L V E:</w:t>
      </w:r>
    </w:p>
    <w:p w14:paraId="6E5E26E8"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w:t>
      </w:r>
      <w:r>
        <w:rPr>
          <w:rFonts w:ascii="Palatino Linotype" w:eastAsia="Palatino Linotype" w:hAnsi="Palatino Linotype" w:cs="Palatino Linotype"/>
          <w:b/>
          <w:color w:val="000000"/>
        </w:rPr>
        <w:t>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05279/INFOEM/IP/RR/2022 y 05280/INFOEM/IP/RR/2022 acumulados</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w:t>
      </w:r>
    </w:p>
    <w:p w14:paraId="2D077BEE" w14:textId="77777777" w:rsidR="00A32F2F" w:rsidRDefault="003A5173">
      <w:pPr>
        <w:spacing w:before="240" w:after="240" w:line="360" w:lineRule="auto"/>
        <w:ind w:right="49"/>
        <w:jc w:val="both"/>
        <w:rPr>
          <w:rFonts w:ascii="Palatino Linotype" w:eastAsia="Palatino Linotype" w:hAnsi="Palatino Linotype" w:cs="Palatino Linotype"/>
        </w:rPr>
      </w:pPr>
      <w:bookmarkStart w:id="6" w:name="_heading=h.1t3h5sf" w:colFirst="0" w:colLast="0"/>
      <w:bookmarkEnd w:id="6"/>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atienda las solicitudes de información número</w:t>
      </w:r>
      <w:r>
        <w:t xml:space="preserve"> </w:t>
      </w:r>
      <w:r>
        <w:rPr>
          <w:rFonts w:ascii="Palatino Linotype" w:eastAsia="Palatino Linotype" w:hAnsi="Palatino Linotype" w:cs="Palatino Linotype"/>
          <w:b/>
        </w:rPr>
        <w:t>00042/TEZOYUCA/IP/2022 y 00041/TEZOYUCA/IP/2022</w:t>
      </w:r>
      <w:r>
        <w:rPr>
          <w:rFonts w:ascii="Palatino Linotype" w:eastAsia="Palatino Linotype" w:hAnsi="Palatino Linotype" w:cs="Palatino Linotype"/>
        </w:rPr>
        <w:t xml:space="preserve">, en términos de </w:t>
      </w:r>
      <w:r>
        <w:rPr>
          <w:rFonts w:ascii="Palatino Linotype" w:eastAsia="Palatino Linotype" w:hAnsi="Palatino Linotype" w:cs="Palatino Linotype"/>
          <w:b/>
        </w:rPr>
        <w:t>los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y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Pr>
          <w:rFonts w:ascii="Palatino Linotype" w:eastAsia="Palatino Linotype" w:hAnsi="Palatino Linotype" w:cs="Palatino Linotype"/>
          <w:b/>
        </w:rPr>
        <w:t>en una correcta</w:t>
      </w:r>
      <w:r>
        <w:rPr>
          <w:rFonts w:ascii="Palatino Linotype" w:eastAsia="Palatino Linotype" w:hAnsi="Palatino Linotype" w:cs="Palatino Linotype"/>
        </w:rPr>
        <w:t xml:space="preserve"> </w:t>
      </w:r>
      <w:r>
        <w:rPr>
          <w:rFonts w:ascii="Palatino Linotype" w:eastAsia="Palatino Linotype" w:hAnsi="Palatino Linotype" w:cs="Palatino Linotype"/>
          <w:b/>
        </w:rPr>
        <w:t>versión pública</w:t>
      </w:r>
      <w:r>
        <w:rPr>
          <w:rFonts w:ascii="Palatino Linotype" w:eastAsia="Palatino Linotype" w:hAnsi="Palatino Linotype" w:cs="Palatino Linotype"/>
        </w:rPr>
        <w:t>,</w:t>
      </w:r>
      <w:r>
        <w:rPr>
          <w:rFonts w:ascii="Palatino Linotype" w:eastAsia="Palatino Linotype" w:hAnsi="Palatino Linotype" w:cs="Palatino Linotype"/>
          <w:b/>
        </w:rPr>
        <w:t xml:space="preserve"> de lo siguiente</w:t>
      </w:r>
      <w:r>
        <w:rPr>
          <w:rFonts w:ascii="Palatino Linotype" w:eastAsia="Palatino Linotype" w:hAnsi="Palatino Linotype" w:cs="Palatino Linotype"/>
        </w:rPr>
        <w:t>:</w:t>
      </w:r>
    </w:p>
    <w:p w14:paraId="132A37CC" w14:textId="77777777" w:rsidR="00A32F2F" w:rsidRDefault="003A5173">
      <w:pPr>
        <w:numPr>
          <w:ilvl w:val="0"/>
          <w:numId w:val="8"/>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Recibos de nómina generados en la primera y segunda quincena de enero de dos mil veintidós de todos los servidores públicos de confianza y sindicalizados, así como los de lista de raya. </w:t>
      </w:r>
    </w:p>
    <w:p w14:paraId="55AB5AE2" w14:textId="77777777" w:rsidR="00A32F2F" w:rsidRDefault="003A5173">
      <w:pPr>
        <w:numPr>
          <w:ilvl w:val="0"/>
          <w:numId w:val="8"/>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Recibos de nómina de la primera y segunda quincena de enero del 2022, del Presidente, síndico y regidores.</w:t>
      </w:r>
    </w:p>
    <w:p w14:paraId="29CA7EC6" w14:textId="77777777" w:rsidR="00A32F2F" w:rsidRDefault="003A5173">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86E3045" w14:textId="77777777" w:rsidR="00A32F2F" w:rsidRDefault="00A32F2F">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p>
    <w:p w14:paraId="163EA5B4" w14:textId="77777777" w:rsidR="00A32F2F" w:rsidRDefault="003A5173">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En el supuesto de que no se haya generado la información relativa a la Lista de Raya,</w:t>
      </w:r>
      <w:r>
        <w:rPr>
          <w:rFonts w:ascii="Palatino Linotype" w:eastAsia="Palatino Linotype" w:hAnsi="Palatino Linotype" w:cs="Palatino Linotype"/>
          <w:i/>
          <w:color w:val="FF0000"/>
          <w:sz w:val="22"/>
          <w:szCs w:val="22"/>
        </w:rPr>
        <w:t xml:space="preserve"> </w:t>
      </w:r>
      <w:r>
        <w:rPr>
          <w:rFonts w:ascii="Palatino Linotype" w:eastAsia="Palatino Linotype" w:hAnsi="Palatino Linotype" w:cs="Palatino Linotype"/>
          <w:i/>
          <w:sz w:val="22"/>
          <w:szCs w:val="22"/>
        </w:rPr>
        <w:t xml:space="preserve">bastará con el sólo pronunciamiento del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de manera fundada y motivada en términos del segundo párrafo del  artículo 19 de la Ley de Transparencia local, para dar por satisfecho el derecho de acceso a la información</w:t>
      </w:r>
      <w:r>
        <w:rPr>
          <w:rFonts w:ascii="Palatino Linotype" w:eastAsia="Palatino Linotype" w:hAnsi="Palatino Linotype" w:cs="Palatino Linotype"/>
          <w:b/>
          <w:i/>
          <w:sz w:val="22"/>
          <w:szCs w:val="22"/>
        </w:rPr>
        <w:t>.</w:t>
      </w:r>
    </w:p>
    <w:p w14:paraId="7C67ADAC" w14:textId="77777777" w:rsidR="00A32F2F" w:rsidRDefault="00A32F2F">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p>
    <w:p w14:paraId="307EA409" w14:textId="77777777" w:rsidR="00A32F2F" w:rsidRDefault="003A5173">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0567AD30"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6BBB96" w14:textId="77777777" w:rsidR="00A32F2F" w:rsidRDefault="003A51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1086FB0" w14:textId="77777777" w:rsidR="00A32F2F" w:rsidRDefault="003A517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BB19910" w14:textId="77777777" w:rsidR="00A32F2F" w:rsidRDefault="003A517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Séptimo. Gírese </w:t>
      </w:r>
      <w:r>
        <w:rPr>
          <w:rFonts w:ascii="Palatino Linotype" w:eastAsia="Palatino Linotype" w:hAnsi="Palatino Linotype" w:cs="Palatino Linotype"/>
        </w:rPr>
        <w:t xml:space="preserve">oficio al </w:t>
      </w:r>
      <w:r>
        <w:rPr>
          <w:rFonts w:ascii="Palatino Linotype" w:eastAsia="Palatino Linotype" w:hAnsi="Palatino Linotype" w:cs="Palatino Linotype"/>
          <w:b/>
        </w:rPr>
        <w:t>Contralor Interno y Órgano de Control y Vigilancia</w:t>
      </w:r>
      <w:r>
        <w:rPr>
          <w:rFonts w:ascii="Palatino Linotype" w:eastAsia="Palatino Linotype" w:hAnsi="Palatino Linotype" w:cs="Palatino Linotype"/>
        </w:rPr>
        <w:t xml:space="preserve"> de este Instituto para hacer de su conocimiento la presente resolución, a fin de que en </w:t>
      </w:r>
      <w:r>
        <w:rPr>
          <w:rFonts w:ascii="Palatino Linotype" w:eastAsia="Palatino Linotype" w:hAnsi="Palatino Linotype" w:cs="Palatino Linotype"/>
        </w:rPr>
        <w:lastRenderedPageBreak/>
        <w:t xml:space="preserve">ejercicio de sus atribuciones y de conformidad con el artículo 190, de la Ley de Transparencia y Acceso a la Información Pública del Estado de México y Municipios, determine lo conducente, en términos de lo señalado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14:paraId="6749EAC1" w14:textId="77777777" w:rsidR="00A32F2F" w:rsidRDefault="003A517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Octavo. </w:t>
      </w:r>
      <w:r>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Pr>
          <w:rFonts w:ascii="Palatino Linotype" w:eastAsia="Palatino Linotype" w:hAnsi="Palatino Linotype" w:cs="Palatino Linotype"/>
          <w:b/>
        </w:rPr>
        <w:t xml:space="preserve">  </w:t>
      </w:r>
    </w:p>
    <w:p w14:paraId="19BFD657" w14:textId="066D9917" w:rsidR="00A32F2F" w:rsidRDefault="00370003">
      <w:pPr>
        <w:spacing w:before="240" w:after="240" w:line="360" w:lineRule="auto"/>
        <w:jc w:val="both"/>
        <w:rPr>
          <w:rFonts w:ascii="Palatino Linotype" w:eastAsia="Palatino Linotype" w:hAnsi="Palatino Linotype" w:cs="Palatino Linotype"/>
        </w:rPr>
        <w:sectPr w:rsidR="00A32F2F">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bookmarkStart w:id="7" w:name="_heading=h.3dy6vkm" w:colFirst="0" w:colLast="0"/>
      <w:bookmarkEnd w:id="7"/>
      <w:r>
        <w:rPr>
          <w:rFonts w:ascii="Palatino Linotype" w:eastAsia="Palatino Linotype" w:hAnsi="Palatino Linotype" w:cs="Palatino Linotype"/>
        </w:rPr>
        <w:t>ASÍ LO RESUELVE, POR MAYORÍA</w:t>
      </w:r>
      <w:r w:rsidR="003A5173">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eastAsia="Palatino Linotype" w:hAnsi="Palatino Linotype" w:cs="Palatino Linotype"/>
        </w:rPr>
        <w:t xml:space="preserve"> (EMITIENDO VOTO PARTICULAR)</w:t>
      </w:r>
      <w:r w:rsidR="003A5173">
        <w:rPr>
          <w:rFonts w:ascii="Palatino Linotype" w:eastAsia="Palatino Linotype" w:hAnsi="Palatino Linotype" w:cs="Palatino Linotype"/>
        </w:rPr>
        <w:t>; MARÍA DEL ROSARIO MEJÍA AYALA, SHARON CRISTINA MORALES MARTÍNEZ</w:t>
      </w:r>
      <w:r>
        <w:rPr>
          <w:rFonts w:ascii="Palatino Linotype" w:eastAsia="Palatino Linotype" w:hAnsi="Palatino Linotype" w:cs="Palatino Linotype"/>
        </w:rPr>
        <w:t xml:space="preserve"> (EMITIENDO VOTO DISIDENTE)</w:t>
      </w:r>
      <w:r w:rsidR="003A5173">
        <w:rPr>
          <w:rFonts w:ascii="Palatino Linotype" w:eastAsia="Palatino Linotype" w:hAnsi="Palatino Linotype" w:cs="Palatino Linotype"/>
        </w:rPr>
        <w:t>, LUIS GUSTAVO PARRA NORIEGA</w:t>
      </w:r>
      <w:r>
        <w:rPr>
          <w:rFonts w:ascii="Palatino Linotype" w:eastAsia="Palatino Linotype" w:hAnsi="Palatino Linotype" w:cs="Palatino Linotype"/>
        </w:rPr>
        <w:t xml:space="preserve"> (EMITIENDO VOTO PARTICULAR)</w:t>
      </w:r>
      <w:r w:rsidR="003A5173">
        <w:rPr>
          <w:rFonts w:ascii="Palatino Linotype" w:eastAsia="Palatino Linotype" w:hAnsi="Palatino Linotype" w:cs="Palatino Linotype"/>
        </w:rPr>
        <w:t xml:space="preserve"> Y GUADALUPE RAMÍREZ PEÑA; EN LA VIGÉSIMA OCTAVA SESIÓN ORDINARIA CELEBRADA EL DIEZ DE AGOSTO DE DOS MIL VEINTIDÓS, ANTE EL SECRETARIO TÉCNICO DEL PLENO, ALEXIS TAPIA RAMÍREZ.</w:t>
      </w:r>
    </w:p>
    <w:p w14:paraId="6F8E947B" w14:textId="77777777" w:rsidR="00A32F2F" w:rsidRDefault="00A32F2F">
      <w:pPr>
        <w:spacing w:before="240" w:after="240"/>
      </w:pPr>
    </w:p>
    <w:p w14:paraId="4BE31A75" w14:textId="77777777" w:rsidR="00A32F2F" w:rsidRDefault="00A32F2F">
      <w:pPr>
        <w:spacing w:before="240" w:after="240"/>
      </w:pPr>
    </w:p>
    <w:p w14:paraId="627AEA5F" w14:textId="77777777" w:rsidR="00A32F2F" w:rsidRDefault="00A32F2F">
      <w:pPr>
        <w:spacing w:before="240" w:after="240"/>
      </w:pPr>
    </w:p>
    <w:p w14:paraId="207E1F9F" w14:textId="77777777" w:rsidR="00A32F2F" w:rsidRDefault="00A32F2F">
      <w:pPr>
        <w:spacing w:before="240" w:after="240"/>
      </w:pPr>
    </w:p>
    <w:p w14:paraId="218FD9D3" w14:textId="77777777" w:rsidR="00A32F2F" w:rsidRDefault="00A32F2F">
      <w:pPr>
        <w:spacing w:before="240" w:after="240"/>
      </w:pPr>
    </w:p>
    <w:p w14:paraId="26A43CEF" w14:textId="77777777" w:rsidR="00A32F2F" w:rsidRDefault="00A32F2F">
      <w:pPr>
        <w:spacing w:before="240" w:after="240"/>
      </w:pPr>
    </w:p>
    <w:p w14:paraId="05C26908" w14:textId="77777777" w:rsidR="00A32F2F" w:rsidRDefault="00A32F2F">
      <w:pPr>
        <w:spacing w:before="240" w:after="240"/>
      </w:pPr>
    </w:p>
    <w:p w14:paraId="0E4400F8" w14:textId="77777777" w:rsidR="00A32F2F" w:rsidRDefault="00A32F2F">
      <w:pPr>
        <w:spacing w:before="240" w:after="240"/>
      </w:pPr>
    </w:p>
    <w:p w14:paraId="61E5F23F" w14:textId="77777777" w:rsidR="00A32F2F" w:rsidRDefault="00A32F2F">
      <w:pPr>
        <w:spacing w:before="240" w:after="240"/>
      </w:pPr>
    </w:p>
    <w:p w14:paraId="4D8B5804" w14:textId="77777777" w:rsidR="00A32F2F" w:rsidRDefault="00A32F2F">
      <w:pPr>
        <w:spacing w:before="240" w:after="240"/>
      </w:pPr>
    </w:p>
    <w:p w14:paraId="75BC7854" w14:textId="77777777" w:rsidR="00A32F2F" w:rsidRDefault="00A32F2F">
      <w:pPr>
        <w:spacing w:before="240" w:after="240"/>
      </w:pPr>
    </w:p>
    <w:p w14:paraId="5A61176A" w14:textId="77777777" w:rsidR="00A32F2F" w:rsidRDefault="00A32F2F">
      <w:pPr>
        <w:spacing w:before="240" w:after="240"/>
        <w:jc w:val="right"/>
      </w:pPr>
    </w:p>
    <w:p w14:paraId="59CC22BC" w14:textId="77777777" w:rsidR="00A32F2F" w:rsidRDefault="00A32F2F">
      <w:pPr>
        <w:spacing w:before="240" w:after="240"/>
        <w:jc w:val="right"/>
      </w:pPr>
    </w:p>
    <w:sectPr w:rsidR="00A32F2F">
      <w:head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7E4A7" w14:textId="77777777" w:rsidR="008F337B" w:rsidRDefault="008F337B">
      <w:r>
        <w:separator/>
      </w:r>
    </w:p>
  </w:endnote>
  <w:endnote w:type="continuationSeparator" w:id="0">
    <w:p w14:paraId="6343E3C3" w14:textId="77777777" w:rsidR="008F337B" w:rsidRDefault="008F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116A" w14:textId="77777777" w:rsidR="00A32F2F" w:rsidRDefault="003A517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70003">
      <w:rPr>
        <w:rFonts w:ascii="Arial" w:eastAsia="Arial" w:hAnsi="Arial" w:cs="Arial"/>
        <w:b/>
        <w:noProof/>
        <w:color w:val="000000"/>
        <w:sz w:val="20"/>
        <w:szCs w:val="20"/>
      </w:rPr>
      <w:t>79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70003">
      <w:rPr>
        <w:rFonts w:ascii="Arial" w:eastAsia="Arial" w:hAnsi="Arial" w:cs="Arial"/>
        <w:b/>
        <w:noProof/>
        <w:color w:val="000000"/>
        <w:sz w:val="20"/>
        <w:szCs w:val="20"/>
      </w:rPr>
      <w:t>80</w:t>
    </w:r>
    <w:r>
      <w:rPr>
        <w:rFonts w:ascii="Arial" w:eastAsia="Arial" w:hAnsi="Arial" w:cs="Arial"/>
        <w:b/>
        <w:color w:val="000000"/>
        <w:sz w:val="20"/>
        <w:szCs w:val="20"/>
      </w:rPr>
      <w:fldChar w:fldCharType="end"/>
    </w:r>
  </w:p>
  <w:p w14:paraId="785BFD6D" w14:textId="77777777" w:rsidR="00A32F2F" w:rsidRDefault="00A32F2F">
    <w:pPr>
      <w:pBdr>
        <w:top w:val="nil"/>
        <w:left w:val="nil"/>
        <w:bottom w:val="nil"/>
        <w:right w:val="nil"/>
        <w:between w:val="nil"/>
      </w:pBdr>
      <w:tabs>
        <w:tab w:val="center" w:pos="4252"/>
        <w:tab w:val="right" w:pos="8504"/>
      </w:tabs>
      <w:rPr>
        <w:color w:val="000000"/>
      </w:rPr>
    </w:pPr>
  </w:p>
  <w:p w14:paraId="7C162A57" w14:textId="77777777" w:rsidR="00A32F2F" w:rsidRDefault="00A32F2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D03F" w14:textId="77777777" w:rsidR="00A32F2F" w:rsidRDefault="003A517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7000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70003">
      <w:rPr>
        <w:rFonts w:ascii="Arial" w:eastAsia="Arial" w:hAnsi="Arial" w:cs="Arial"/>
        <w:b/>
        <w:noProof/>
        <w:color w:val="000000"/>
        <w:sz w:val="20"/>
        <w:szCs w:val="20"/>
      </w:rPr>
      <w:t>80</w:t>
    </w:r>
    <w:r>
      <w:rPr>
        <w:rFonts w:ascii="Arial" w:eastAsia="Arial" w:hAnsi="Arial" w:cs="Arial"/>
        <w:b/>
        <w:color w:val="000000"/>
        <w:sz w:val="20"/>
        <w:szCs w:val="20"/>
      </w:rPr>
      <w:fldChar w:fldCharType="end"/>
    </w:r>
  </w:p>
  <w:p w14:paraId="2605001E" w14:textId="77777777" w:rsidR="00A32F2F" w:rsidRDefault="00A32F2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44C5" w14:textId="77777777" w:rsidR="00A32F2F" w:rsidRDefault="00A32F2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C5D62" w14:textId="77777777" w:rsidR="008F337B" w:rsidRDefault="008F337B">
      <w:r>
        <w:separator/>
      </w:r>
    </w:p>
  </w:footnote>
  <w:footnote w:type="continuationSeparator" w:id="0">
    <w:p w14:paraId="6A1471D5" w14:textId="77777777" w:rsidR="008F337B" w:rsidRDefault="008F337B">
      <w:r>
        <w:continuationSeparator/>
      </w:r>
    </w:p>
  </w:footnote>
  <w:footnote w:id="1">
    <w:p w14:paraId="43FCA292" w14:textId="77777777" w:rsidR="00A32F2F" w:rsidRDefault="003A517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DF5843E"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DF2A1E" w14:textId="77777777" w:rsidR="00A32F2F" w:rsidRDefault="003A5173">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325FBACF" w14:textId="77777777" w:rsidR="00A32F2F" w:rsidRDefault="003A5173">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1D8E5EFC" w14:textId="77777777" w:rsidR="00A32F2F" w:rsidRDefault="003A5173">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79DE9D78" w14:textId="77777777" w:rsidR="00A32F2F" w:rsidRDefault="003A5173">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5">
    <w:p w14:paraId="6C4C0013"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3AABBFEE"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69EEDE02"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0BC7D6AF"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6">
    <w:p w14:paraId="0C83B6E4" w14:textId="77777777" w:rsidR="00A32F2F" w:rsidRDefault="003A51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 w:id="7">
    <w:p w14:paraId="340C0EF6" w14:textId="77777777" w:rsidR="00A32F2F" w:rsidRDefault="003A5173">
      <w:pPr>
        <w:pBdr>
          <w:top w:val="nil"/>
          <w:left w:val="nil"/>
          <w:bottom w:val="nil"/>
          <w:right w:val="nil"/>
          <w:between w:val="nil"/>
        </w:pBdr>
        <w:jc w:val="both"/>
        <w:rPr>
          <w:rFonts w:ascii="Cambria" w:eastAsia="Cambria" w:hAnsi="Cambria" w:cs="Cambria"/>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“L</w:t>
      </w:r>
      <w:r>
        <w:rPr>
          <w:rFonts w:ascii="Palatino Linotype" w:eastAsia="Palatino Linotype" w:hAnsi="Palatino Linotype" w:cs="Palatino Linotype"/>
          <w:b/>
          <w:color w:val="000000"/>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Pr>
          <w:rFonts w:ascii="Palatino Linotype" w:eastAsia="Palatino Linotype" w:hAnsi="Palatino Linotype" w:cs="Palatino Linotype"/>
          <w:color w:val="000000"/>
          <w:sz w:val="16"/>
          <w:szCs w:val="16"/>
        </w:rPr>
        <w:t>; sin embargo, como en todo caso, es la situación específica la que orienta la naturaleza de los servicios prestados si un trabajador incluido en una lista de raya demanda su recategorización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recategorización.”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37C6" w14:textId="77777777" w:rsidR="00A32F2F" w:rsidRDefault="003A517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717F0A3" wp14:editId="7C778A62">
          <wp:simplePos x="0" y="0"/>
          <wp:positionH relativeFrom="column">
            <wp:posOffset>-1066796</wp:posOffset>
          </wp:positionH>
          <wp:positionV relativeFrom="paragraph">
            <wp:posOffset>-307971</wp:posOffset>
          </wp:positionV>
          <wp:extent cx="7635163" cy="9944100"/>
          <wp:effectExtent l="0" t="0" r="0" b="0"/>
          <wp:wrapNone/>
          <wp:docPr id="30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4"/>
      <w:tblW w:w="5528" w:type="dxa"/>
      <w:tblInd w:w="3261" w:type="dxa"/>
      <w:tblLayout w:type="fixed"/>
      <w:tblLook w:val="0400" w:firstRow="0" w:lastRow="0" w:firstColumn="0" w:lastColumn="0" w:noHBand="0" w:noVBand="1"/>
    </w:tblPr>
    <w:tblGrid>
      <w:gridCol w:w="2552"/>
      <w:gridCol w:w="2976"/>
    </w:tblGrid>
    <w:tr w:rsidR="00A32F2F" w14:paraId="2ED6B374" w14:textId="77777777">
      <w:tc>
        <w:tcPr>
          <w:tcW w:w="2552" w:type="dxa"/>
          <w:vAlign w:val="center"/>
        </w:tcPr>
        <w:p w14:paraId="151D5709"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21A0BF46" w14:textId="77777777" w:rsidR="00A32F2F" w:rsidRDefault="003A5173">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05279/INFOEM/IP/RR/2022  y acumulado</w:t>
          </w:r>
        </w:p>
      </w:tc>
    </w:tr>
    <w:tr w:rsidR="00A32F2F" w14:paraId="18A344A6" w14:textId="77777777">
      <w:trPr>
        <w:trHeight w:val="228"/>
      </w:trPr>
      <w:tc>
        <w:tcPr>
          <w:tcW w:w="2552" w:type="dxa"/>
          <w:vAlign w:val="center"/>
        </w:tcPr>
        <w:p w14:paraId="7DAF2681"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43651A00" w14:textId="77777777" w:rsidR="00A32F2F" w:rsidRDefault="003A5173">
          <w:pPr>
            <w:ind w:right="-398"/>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Tezoyuca</w:t>
          </w:r>
        </w:p>
      </w:tc>
    </w:tr>
    <w:tr w:rsidR="00A32F2F" w14:paraId="3E349B56" w14:textId="77777777">
      <w:tc>
        <w:tcPr>
          <w:tcW w:w="2552" w:type="dxa"/>
          <w:vAlign w:val="center"/>
        </w:tcPr>
        <w:p w14:paraId="4A8D5531"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B0A1E2E" w14:textId="77777777" w:rsidR="00A32F2F" w:rsidRDefault="003A5173">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337F6CE" w14:textId="77777777" w:rsidR="00A32F2F" w:rsidRDefault="003A517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087E" w14:textId="77777777" w:rsidR="00A32F2F" w:rsidRDefault="003A517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104C465" wp14:editId="7EEF14A7">
          <wp:simplePos x="0" y="0"/>
          <wp:positionH relativeFrom="column">
            <wp:posOffset>-1080131</wp:posOffset>
          </wp:positionH>
          <wp:positionV relativeFrom="paragraph">
            <wp:posOffset>-450844</wp:posOffset>
          </wp:positionV>
          <wp:extent cx="7635240" cy="9942830"/>
          <wp:effectExtent l="0" t="0" r="0" b="0"/>
          <wp:wrapNone/>
          <wp:docPr id="30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f3"/>
      <w:tblW w:w="6238" w:type="dxa"/>
      <w:tblInd w:w="3119" w:type="dxa"/>
      <w:tblLayout w:type="fixed"/>
      <w:tblLook w:val="0400" w:firstRow="0" w:lastRow="0" w:firstColumn="0" w:lastColumn="0" w:noHBand="0" w:noVBand="1"/>
    </w:tblPr>
    <w:tblGrid>
      <w:gridCol w:w="2551"/>
      <w:gridCol w:w="3687"/>
    </w:tblGrid>
    <w:tr w:rsidR="00A32F2F" w14:paraId="1A329409" w14:textId="77777777">
      <w:tc>
        <w:tcPr>
          <w:tcW w:w="2551" w:type="dxa"/>
          <w:vAlign w:val="center"/>
        </w:tcPr>
        <w:p w14:paraId="5AD1C9F9"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3D3E4D91" w14:textId="77777777" w:rsidR="00A32F2F" w:rsidRDefault="003A5173">
          <w:pPr>
            <w:ind w:right="737"/>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05279/INFOEM/IP/RR/2022 y acumulado</w:t>
          </w:r>
        </w:p>
      </w:tc>
    </w:tr>
    <w:tr w:rsidR="00A32F2F" w14:paraId="4A7460D2" w14:textId="77777777">
      <w:tc>
        <w:tcPr>
          <w:tcW w:w="2551" w:type="dxa"/>
          <w:vAlign w:val="center"/>
        </w:tcPr>
        <w:p w14:paraId="2165E760" w14:textId="77777777" w:rsidR="00A32F2F" w:rsidRDefault="003A5173">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5D6A1A00" w14:textId="77777777" w:rsidR="00A32F2F" w:rsidRDefault="00A32F2F">
          <w:pPr>
            <w:jc w:val="both"/>
            <w:rPr>
              <w:rFonts w:ascii="Palatino Linotype" w:eastAsia="Palatino Linotype" w:hAnsi="Palatino Linotype" w:cs="Palatino Linotype"/>
              <w:b/>
              <w:sz w:val="21"/>
              <w:szCs w:val="21"/>
            </w:rPr>
          </w:pPr>
        </w:p>
      </w:tc>
    </w:tr>
    <w:tr w:rsidR="00A32F2F" w14:paraId="575F67A6" w14:textId="77777777">
      <w:trPr>
        <w:trHeight w:val="228"/>
      </w:trPr>
      <w:tc>
        <w:tcPr>
          <w:tcW w:w="2551" w:type="dxa"/>
          <w:vAlign w:val="center"/>
        </w:tcPr>
        <w:p w14:paraId="6DB32490"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0C8EA512" w14:textId="77777777" w:rsidR="00A32F2F" w:rsidRDefault="003A5173">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Tezoyuca</w:t>
          </w:r>
        </w:p>
      </w:tc>
    </w:tr>
    <w:tr w:rsidR="00A32F2F" w14:paraId="4B7E9BB2" w14:textId="77777777">
      <w:tc>
        <w:tcPr>
          <w:tcW w:w="2551" w:type="dxa"/>
          <w:vAlign w:val="center"/>
        </w:tcPr>
        <w:p w14:paraId="0218296B"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3F9A6BD" w14:textId="77777777" w:rsidR="00A32F2F" w:rsidRDefault="003A5173">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327CFF5" w14:textId="77777777" w:rsidR="00A32F2F" w:rsidRDefault="00A32F2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C219" w14:textId="77777777" w:rsidR="00A32F2F" w:rsidRDefault="00A32F2F">
    <w:pPr>
      <w:widowControl w:val="0"/>
      <w:pBdr>
        <w:top w:val="nil"/>
        <w:left w:val="nil"/>
        <w:bottom w:val="nil"/>
        <w:right w:val="nil"/>
        <w:between w:val="nil"/>
      </w:pBdr>
      <w:spacing w:line="276" w:lineRule="auto"/>
      <w:rPr>
        <w:rFonts w:ascii="Calibri" w:eastAsia="Calibri" w:hAnsi="Calibri" w:cs="Calibri"/>
        <w:color w:val="000000"/>
      </w:rPr>
    </w:pPr>
  </w:p>
  <w:tbl>
    <w:tblPr>
      <w:tblStyle w:val="aff5"/>
      <w:tblW w:w="5528" w:type="dxa"/>
      <w:tblInd w:w="3261" w:type="dxa"/>
      <w:tblLayout w:type="fixed"/>
      <w:tblLook w:val="0400" w:firstRow="0" w:lastRow="0" w:firstColumn="0" w:lastColumn="0" w:noHBand="0" w:noVBand="1"/>
    </w:tblPr>
    <w:tblGrid>
      <w:gridCol w:w="2552"/>
      <w:gridCol w:w="2976"/>
    </w:tblGrid>
    <w:tr w:rsidR="00A32F2F" w14:paraId="317D2441" w14:textId="77777777">
      <w:tc>
        <w:tcPr>
          <w:tcW w:w="2552" w:type="dxa"/>
          <w:vAlign w:val="center"/>
        </w:tcPr>
        <w:p w14:paraId="28C1FA32"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34A82416" w14:textId="77777777" w:rsidR="00A32F2F" w:rsidRDefault="003A5173">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06499/INFOEM/IP/RR/2021 y acumulado</w:t>
          </w:r>
        </w:p>
      </w:tc>
    </w:tr>
    <w:tr w:rsidR="00A32F2F" w14:paraId="13828A5E" w14:textId="77777777">
      <w:trPr>
        <w:trHeight w:val="228"/>
      </w:trPr>
      <w:tc>
        <w:tcPr>
          <w:tcW w:w="2552" w:type="dxa"/>
          <w:vAlign w:val="center"/>
        </w:tcPr>
        <w:p w14:paraId="28E4974C"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648D1599" w14:textId="77777777" w:rsidR="00A32F2F" w:rsidRDefault="003A5173">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Nezahualcóyotl</w:t>
          </w:r>
        </w:p>
      </w:tc>
    </w:tr>
    <w:tr w:rsidR="00A32F2F" w14:paraId="105B9191" w14:textId="77777777">
      <w:tc>
        <w:tcPr>
          <w:tcW w:w="2552" w:type="dxa"/>
          <w:vAlign w:val="center"/>
        </w:tcPr>
        <w:p w14:paraId="1202EE53" w14:textId="77777777" w:rsidR="00A32F2F" w:rsidRDefault="003A517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157DA625" w14:textId="77777777" w:rsidR="00A32F2F" w:rsidRDefault="003A5173">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23EC1D07" w14:textId="77777777" w:rsidR="00A32F2F" w:rsidRDefault="003A517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0288" behindDoc="1" locked="0" layoutInCell="1" hidden="0" allowOverlap="1" wp14:anchorId="34F85330" wp14:editId="359C307B">
          <wp:simplePos x="0" y="0"/>
          <wp:positionH relativeFrom="column">
            <wp:posOffset>0</wp:posOffset>
          </wp:positionH>
          <wp:positionV relativeFrom="paragraph">
            <wp:posOffset>-1249675</wp:posOffset>
          </wp:positionV>
          <wp:extent cx="7635163" cy="9944100"/>
          <wp:effectExtent l="0" t="0" r="0" b="0"/>
          <wp:wrapNone/>
          <wp:docPr id="30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00C3" w14:textId="77777777" w:rsidR="00A32F2F" w:rsidRDefault="00A32F2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699106F" w14:textId="77777777" w:rsidR="00A32F2F" w:rsidRDefault="00A32F2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C164FE"/>
    <w:multiLevelType w:val="multilevel"/>
    <w:tmpl w:val="694C24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9C010B"/>
    <w:multiLevelType w:val="multilevel"/>
    <w:tmpl w:val="6D5E1E56"/>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0057749"/>
    <w:multiLevelType w:val="multilevel"/>
    <w:tmpl w:val="E38C1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DC7CC0"/>
    <w:multiLevelType w:val="multilevel"/>
    <w:tmpl w:val="391E805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C996E79"/>
    <w:multiLevelType w:val="multilevel"/>
    <w:tmpl w:val="E31AD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6BA17BD"/>
    <w:multiLevelType w:val="multilevel"/>
    <w:tmpl w:val="DC7E61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23391"/>
    <w:multiLevelType w:val="multilevel"/>
    <w:tmpl w:val="1BBC790E"/>
    <w:lvl w:ilvl="0">
      <w:start w:val="1"/>
      <w:numFmt w:val="lowerLetter"/>
      <w:lvlText w:val="%1)"/>
      <w:lvlJc w:val="left"/>
      <w:pPr>
        <w:ind w:left="1287" w:hanging="360"/>
      </w:pPr>
      <w:rPr>
        <w:rFonts w:ascii="Palatino Linotype" w:eastAsia="Palatino Linotype" w:hAnsi="Palatino Linotype" w:cs="Palatino Linotyp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55BE26BD"/>
    <w:multiLevelType w:val="multilevel"/>
    <w:tmpl w:val="D1BA8A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560F3CC7"/>
    <w:multiLevelType w:val="multilevel"/>
    <w:tmpl w:val="CDF84B9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6"/>
  </w:num>
  <w:num w:numId="2">
    <w:abstractNumId w:val="2"/>
  </w:num>
  <w:num w:numId="3">
    <w:abstractNumId w:val="0"/>
  </w:num>
  <w:num w:numId="4">
    <w:abstractNumId w:val="8"/>
  </w:num>
  <w:num w:numId="5">
    <w:abstractNumId w:val="3"/>
  </w:num>
  <w:num w:numId="6">
    <w:abstractNumId w:val="5"/>
  </w:num>
  <w:num w:numId="7">
    <w:abstractNumId w:val="1"/>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F2F"/>
    <w:rsid w:val="002620C9"/>
    <w:rsid w:val="00370003"/>
    <w:rsid w:val="00380560"/>
    <w:rsid w:val="003A5173"/>
    <w:rsid w:val="005E4B55"/>
    <w:rsid w:val="008F337B"/>
    <w:rsid w:val="009434CB"/>
    <w:rsid w:val="00980991"/>
    <w:rsid w:val="00A32F2F"/>
    <w:rsid w:val="00C41F81"/>
    <w:rsid w:val="00EB11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F252"/>
  <w15:docId w15:val="{1E105A19-B67B-4AFB-9753-C75292C3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95C"/>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3"/>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dof.gob.mx/nota_detalle.php?codigo=5492254&amp;fecha=28/07/20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Jfbhr6OXKkY1bUFcqUDWOFQXVQ==">AMUW2mVI45U50ZFf2CqPzRWYoVemvFPUS7WiSxlu+hienVED/zzE8DCy/vQGKnK6BfNdFydgaQckBHYK7SbM+vLcP5asFH/Xe+nliCQoHfukryJAoSAGn215aKqMzjyUm6jJwh6vA+2cd4J+ADY+M7IxLB5GvmKouSXnE4aqLC2LuvGGdn8Phl7cTOXySZSV3GmiRpZ01KeEuMX9I08MMAQbrCz3/tq4YaFU3gATvPP/RWLa3Z4REDY=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19384</Words>
  <Characters>106615</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User 425</cp:lastModifiedBy>
  <cp:revision>5</cp:revision>
  <cp:lastPrinted>2022-08-12T19:08:00Z</cp:lastPrinted>
  <dcterms:created xsi:type="dcterms:W3CDTF">2022-08-11T00:38:00Z</dcterms:created>
  <dcterms:modified xsi:type="dcterms:W3CDTF">2022-08-12T19:09:00Z</dcterms:modified>
</cp:coreProperties>
</file>