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a veintiuno uno de septiembre de dos mil veintidós.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formado con motivo del recurso de revisión </w:t>
      </w:r>
      <w:r w:rsidDel="00000000" w:rsidR="00000000" w:rsidRPr="00000000">
        <w:rPr>
          <w:rFonts w:ascii="Palatino Linotype" w:cs="Palatino Linotype" w:eastAsia="Palatino Linotype" w:hAnsi="Palatino Linotype"/>
          <w:b w:val="1"/>
          <w:rtl w:val="0"/>
        </w:rPr>
        <w:t xml:space="preserve">06769/INFOEM/IP/RR/2022</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XXXX XXXXXX XXXXXX XXXXXXXX</w:t>
      </w:r>
      <w:r w:rsidDel="00000000" w:rsidR="00000000" w:rsidRPr="00000000">
        <w:rPr>
          <w:rFonts w:ascii="Palatino Linotype" w:cs="Palatino Linotype" w:eastAsia="Palatino Linotype" w:hAnsi="Palatino Linotype"/>
          <w:rtl w:val="0"/>
        </w:rPr>
        <w:t xml:space="preserve">, en lo sucesivo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contra de la respuesta a su solicitud por parte del </w:t>
      </w:r>
      <w:r w:rsidDel="00000000" w:rsidR="00000000" w:rsidRPr="00000000">
        <w:rPr>
          <w:rFonts w:ascii="Palatino Linotype" w:cs="Palatino Linotype" w:eastAsia="Palatino Linotype" w:hAnsi="Palatino Linotype"/>
          <w:b w:val="1"/>
          <w:rtl w:val="0"/>
        </w:rPr>
        <w:t xml:space="preserve">Ayuntamiento de Toluca, </w:t>
      </w:r>
      <w:r w:rsidDel="00000000" w:rsidR="00000000" w:rsidRPr="00000000">
        <w:rPr>
          <w:rFonts w:ascii="Palatino Linotype" w:cs="Palatino Linotype" w:eastAsia="Palatino Linotype" w:hAnsi="Palatino Linotype"/>
          <w:rtl w:val="0"/>
        </w:rPr>
        <w:t xml:space="preserve">en lo sucesivo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rtl w:val="0"/>
        </w:rPr>
        <w:t xml:space="preserve"> Con fecha </w:t>
      </w:r>
      <w:r w:rsidDel="00000000" w:rsidR="00000000" w:rsidRPr="00000000">
        <w:rPr>
          <w:rFonts w:ascii="Palatino Linotype" w:cs="Palatino Linotype" w:eastAsia="Palatino Linotype" w:hAnsi="Palatino Linotype"/>
          <w:b w:val="1"/>
          <w:rtl w:val="0"/>
        </w:rPr>
        <w:t xml:space="preserve">treinta de marzo de dos mil veintidós,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rtl w:val="0"/>
        </w:rPr>
        <w:t xml:space="preserve"> 00876/TOLUCA/IP/2022, </w:t>
      </w:r>
      <w:r w:rsidDel="00000000" w:rsidR="00000000" w:rsidRPr="00000000">
        <w:rPr>
          <w:rFonts w:ascii="Palatino Linotype" w:cs="Palatino Linotype" w:eastAsia="Palatino Linotype" w:hAnsi="Palatino Linotype"/>
          <w:rtl w:val="0"/>
        </w:rPr>
        <w:t xml:space="preserve">mediante la cual requirió la información siguiente: </w:t>
      </w:r>
    </w:p>
    <w:p w:rsidR="00000000" w:rsidDel="00000000" w:rsidP="00000000" w:rsidRDefault="00000000" w:rsidRPr="00000000" w14:paraId="00000005">
      <w:pPr>
        <w:spacing w:after="240" w:before="240" w:lineRule="auto"/>
        <w:ind w:left="851" w:right="902" w:firstLine="0"/>
        <w:jc w:val="both"/>
        <w:rPr>
          <w:rFonts w:ascii="Palatino Linotype" w:cs="Palatino Linotype" w:eastAsia="Palatino Linotype" w:hAnsi="Palatino Linotype"/>
          <w:b w:val="1"/>
          <w:i w:val="1"/>
          <w:sz w:val="22"/>
          <w:szCs w:val="22"/>
        </w:rPr>
      </w:pPr>
      <w:bookmarkStart w:colFirst="0" w:colLast="0" w:name="_heading=h.gjdgxs" w:id="0"/>
      <w:bookmarkEnd w:id="0"/>
      <w:r w:rsidDel="00000000" w:rsidR="00000000" w:rsidRPr="00000000">
        <w:rPr>
          <w:rFonts w:ascii="Palatino Linotype" w:cs="Palatino Linotype" w:eastAsia="Palatino Linotype" w:hAnsi="Palatino Linotype"/>
          <w:i w:val="1"/>
          <w:sz w:val="22"/>
          <w:szCs w:val="22"/>
          <w:rtl w:val="0"/>
        </w:rPr>
        <w:t xml:space="preserve">“Solicito se me informe a través de este conducto y </w:t>
      </w:r>
      <w:r w:rsidDel="00000000" w:rsidR="00000000" w:rsidRPr="00000000">
        <w:rPr>
          <w:rFonts w:ascii="Palatino Linotype" w:cs="Palatino Linotype" w:eastAsia="Palatino Linotype" w:hAnsi="Palatino Linotype"/>
          <w:i w:val="1"/>
          <w:sz w:val="22"/>
          <w:szCs w:val="22"/>
          <w:u w:val="single"/>
          <w:rtl w:val="0"/>
        </w:rPr>
        <w:t xml:space="preserve">mediante </w:t>
      </w:r>
      <w:r w:rsidDel="00000000" w:rsidR="00000000" w:rsidRPr="00000000">
        <w:rPr>
          <w:rFonts w:ascii="Palatino Linotype" w:cs="Palatino Linotype" w:eastAsia="Palatino Linotype" w:hAnsi="Palatino Linotype"/>
          <w:b w:val="1"/>
          <w:i w:val="1"/>
          <w:sz w:val="22"/>
          <w:szCs w:val="22"/>
          <w:u w:val="single"/>
          <w:rtl w:val="0"/>
        </w:rPr>
        <w:t xml:space="preserve">documentación probatoria</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ya sea el caso en versión pública el estado actual del procedimiento sobre el pago de mi finiquito correspondiente al período que desempeñe en ese Ayuntamiento con fecha de ingreso 17/06/2019 al 30/05/2020 […], adscrito a la Coordinación de Apoyo Técnico de la Dirección General de Administración.” (sic) </w:t>
      </w:r>
      <w:r w:rsidDel="00000000" w:rsidR="00000000" w:rsidRPr="00000000">
        <w:rPr>
          <w:rtl w:val="0"/>
        </w:rPr>
      </w:r>
    </w:p>
    <w:p w:rsidR="00000000" w:rsidDel="00000000" w:rsidP="00000000" w:rsidRDefault="00000000" w:rsidRPr="00000000" w14:paraId="00000006">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adjuntó no adjuntó archivos.</w:t>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Modalidad de Entrega:</w:t>
      </w:r>
      <w:r w:rsidDel="00000000" w:rsidR="00000000" w:rsidRPr="00000000">
        <w:rPr>
          <w:rFonts w:ascii="Palatino Linotype" w:cs="Palatino Linotype" w:eastAsia="Palatino Linotype" w:hAnsi="Palatino Linotype"/>
          <w:rtl w:val="0"/>
        </w:rPr>
        <w:t xml:space="preserve">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Con fecha</w:t>
      </w:r>
      <w:r w:rsidDel="00000000" w:rsidR="00000000" w:rsidRPr="00000000">
        <w:rPr>
          <w:rFonts w:ascii="Palatino Linotype" w:cs="Palatino Linotype" w:eastAsia="Palatino Linotype" w:hAnsi="Palatino Linotype"/>
          <w:b w:val="1"/>
          <w:rtl w:val="0"/>
        </w:rPr>
        <w:t xml:space="preserve"> veintisiete de abril de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envió su respuesta a la solicitud de acceso a la información a través de SAIMEX, sustancialmente en los términos siguientes:   </w:t>
      </w:r>
      <w:r w:rsidDel="00000000" w:rsidR="00000000" w:rsidRPr="00000000">
        <w:rPr>
          <w:rtl w:val="0"/>
        </w:rPr>
      </w:r>
    </w:p>
    <w:p w:rsidR="00000000" w:rsidDel="00000000" w:rsidP="00000000" w:rsidRDefault="00000000" w:rsidRPr="00000000" w14:paraId="00000009">
      <w:pPr>
        <w:spacing w:after="240" w:before="240" w:lineRule="auto"/>
        <w:ind w:left="851" w:right="902"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“…En atención a la solicitud de información número 00876/TOLUCA/IP/2022, me permito adjuntar al presente la respuesta correspondiente...” (sic)</w:t>
      </w:r>
      <w:r w:rsidDel="00000000" w:rsidR="00000000" w:rsidRPr="00000000">
        <w:rPr>
          <w:rtl w:val="0"/>
        </w:rPr>
      </w:r>
    </w:p>
    <w:p w:rsidR="00000000" w:rsidDel="00000000" w:rsidP="00000000" w:rsidRDefault="00000000" w:rsidRPr="00000000" w14:paraId="0000000A">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adjuntó el archivo “</w:t>
      </w:r>
      <w:r w:rsidDel="00000000" w:rsidR="00000000" w:rsidRPr="00000000">
        <w:rPr>
          <w:rFonts w:ascii="Palatino Linotype" w:cs="Palatino Linotype" w:eastAsia="Palatino Linotype" w:hAnsi="Palatino Linotype"/>
          <w:i w:val="1"/>
          <w:rtl w:val="0"/>
        </w:rPr>
        <w:t xml:space="preserve">876.pdf</w:t>
      </w:r>
      <w:r w:rsidDel="00000000" w:rsidR="00000000" w:rsidRPr="00000000">
        <w:rPr>
          <w:rFonts w:ascii="Palatino Linotype" w:cs="Palatino Linotype" w:eastAsia="Palatino Linotype" w:hAnsi="Palatino Linotype"/>
          <w:rtl w:val="0"/>
        </w:rPr>
        <w:t xml:space="preserve">”, que contiene el escrito de fecha veintisiete de abril de dos mil veintidós, signado por la Titular de la Unidad de Transparencia, mediante el cual hace del conocimiento de la persona solicitante, en lo medular, que el Tesorero Municipal informó que la Dirección de Egresos a su cargo, indicó que se encuentra en proceso de revisión la documentación soporte del pago solicitado, asimismo, que se están realizando las gestiones necesarias para contar con flujo de efectivo y estar en posibilidades de programación de pago. </w:t>
      </w:r>
    </w:p>
    <w:p w:rsidR="00000000" w:rsidDel="00000000" w:rsidP="00000000" w:rsidRDefault="00000000" w:rsidRPr="00000000" w14:paraId="0000000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Interposición del recurso de revisión. </w:t>
      </w:r>
      <w:r w:rsidDel="00000000" w:rsidR="00000000" w:rsidRPr="00000000">
        <w:rPr>
          <w:rFonts w:ascii="Palatino Linotype" w:cs="Palatino Linotype" w:eastAsia="Palatino Linotype" w:hAnsi="Palatino Linotype"/>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veintiocho de abril de dos mil veintidós,</w:t>
      </w:r>
      <w:r w:rsidDel="00000000" w:rsidR="00000000" w:rsidRPr="00000000">
        <w:rPr>
          <w:rFonts w:ascii="Palatino Linotype" w:cs="Palatino Linotype" w:eastAsia="Palatino Linotype" w:hAnsi="Palatino Linotype"/>
          <w:rtl w:val="0"/>
        </w:rPr>
        <w:t xml:space="preserv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el recurso de revisión a través de </w:t>
      </w:r>
      <w:r w:rsidDel="00000000" w:rsidR="00000000" w:rsidRPr="00000000">
        <w:rPr>
          <w:rFonts w:ascii="Palatino Linotype" w:cs="Palatino Linotype" w:eastAsia="Palatino Linotype" w:hAnsi="Palatino Linotype"/>
          <w:b w:val="1"/>
          <w:rtl w:val="0"/>
        </w:rPr>
        <w:t xml:space="preserve">SAIMEX, </w:t>
      </w:r>
      <w:r w:rsidDel="00000000" w:rsidR="00000000" w:rsidRPr="00000000">
        <w:rPr>
          <w:rFonts w:ascii="Palatino Linotype" w:cs="Palatino Linotype" w:eastAsia="Palatino Linotype" w:hAnsi="Palatino Linotype"/>
          <w:rtl w:val="0"/>
        </w:rPr>
        <w:t xml:space="preserve">en donde se manifestó de la siguiente manera:</w:t>
      </w:r>
    </w:p>
    <w:p w:rsidR="00000000" w:rsidDel="00000000" w:rsidP="00000000" w:rsidRDefault="00000000" w:rsidRPr="00000000" w14:paraId="0000000C">
      <w:pPr>
        <w:tabs>
          <w:tab w:val="left" w:pos="2745"/>
        </w:tabs>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Acto impugnado: </w:t>
      </w:r>
    </w:p>
    <w:p w:rsidR="00000000" w:rsidDel="00000000" w:rsidP="00000000" w:rsidRDefault="00000000" w:rsidRPr="00000000" w14:paraId="0000000D">
      <w:pPr>
        <w:tabs>
          <w:tab w:val="left"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“Falta de documentación probatoria a la que hace mención el sujeto obligado en su respuesta de solicitud de información.” (sic)</w:t>
      </w:r>
    </w:p>
    <w:p w:rsidR="00000000" w:rsidDel="00000000" w:rsidP="00000000" w:rsidRDefault="00000000" w:rsidRPr="00000000" w14:paraId="0000000E">
      <w:pPr>
        <w:spacing w:line="360" w:lineRule="auto"/>
        <w:jc w:val="both"/>
        <w:rPr>
          <w:rFonts w:ascii="Palatino Linotype" w:cs="Palatino Linotype" w:eastAsia="Palatino Linotype" w:hAnsi="Palatino Linotype"/>
        </w:rPr>
      </w:pPr>
      <w:bookmarkStart w:colFirst="0" w:colLast="0" w:name="_heading=h.30j0zll" w:id="1"/>
      <w:bookmarkEnd w:id="1"/>
      <w:r w:rsidDel="00000000" w:rsidR="00000000" w:rsidRPr="00000000">
        <w:rPr>
          <w:rFonts w:ascii="Palatino Linotype" w:cs="Palatino Linotype" w:eastAsia="Palatino Linotype" w:hAnsi="Palatino Linotype"/>
          <w:b w:val="1"/>
          <w:rtl w:val="0"/>
        </w:rPr>
        <w:t xml:space="preserve">Y Razones o motivos de inconformidad</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0F">
      <w:pPr>
        <w:tabs>
          <w:tab w:val="left" w:pos="2745"/>
        </w:tabs>
        <w:spacing w:after="240" w:before="240"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“Derivado de la repuesta proporcionada por el sujeto obligado se desprende de la misma que no adjuntó o proporciono documentación probatoria a la que se le solicitó desde un inicio en la solicitud de información a través del SAIMEX, por lo anterior, mediante este recurso solicito sea proporcionada la documentación probatoria a la que hace mención el sujeto obligado.” (sic)</w:t>
      </w:r>
    </w:p>
    <w:p w:rsidR="00000000" w:rsidDel="00000000" w:rsidP="00000000" w:rsidRDefault="00000000" w:rsidRPr="00000000" w14:paraId="00000010">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Anexos: </w:t>
      </w:r>
      <w:r w:rsidDel="00000000" w:rsidR="00000000" w:rsidRPr="00000000">
        <w:rPr>
          <w:rFonts w:ascii="Palatino Linotype" w:cs="Palatino Linotype" w:eastAsia="Palatino Linotype" w:hAnsi="Palatino Linotype"/>
          <w:rtl w:val="0"/>
        </w:rPr>
        <w:t xml:space="preserve">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no adjuntó archivos. </w:t>
      </w:r>
    </w:p>
    <w:p w:rsidR="00000000" w:rsidDel="00000000" w:rsidP="00000000" w:rsidRDefault="00000000" w:rsidRPr="00000000" w14:paraId="00000011">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rtl w:val="0"/>
        </w:rPr>
        <w:t xml:space="preserve">Guadalupe Ramírez Peña, </w:t>
      </w:r>
      <w:r w:rsidDel="00000000" w:rsidR="00000000" w:rsidRPr="00000000">
        <w:rPr>
          <w:rFonts w:ascii="Palatino Linotype" w:cs="Palatino Linotype" w:eastAsia="Palatino Linotype" w:hAnsi="Palatino Linotype"/>
          <w:rtl w:val="0"/>
        </w:rPr>
        <w:t xml:space="preserve">a efecto de que analizara sobre su admisión o su desechamiento.</w:t>
      </w:r>
    </w:p>
    <w:p w:rsidR="00000000" w:rsidDel="00000000" w:rsidP="00000000" w:rsidRDefault="00000000" w:rsidRPr="00000000" w14:paraId="0000001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6. Admisión del Recurso de revisión.</w:t>
      </w:r>
      <w:r w:rsidDel="00000000" w:rsidR="00000000" w:rsidRPr="00000000">
        <w:rPr>
          <w:rFonts w:ascii="Palatino Linotype" w:cs="Palatino Linotype" w:eastAsia="Palatino Linotype" w:hAnsi="Palatino Linotype"/>
          <w:rtl w:val="0"/>
        </w:rPr>
        <w:t xml:space="preserve"> Con fecha</w:t>
      </w:r>
      <w:r w:rsidDel="00000000" w:rsidR="00000000" w:rsidRPr="00000000">
        <w:rPr>
          <w:rFonts w:ascii="Palatino Linotype" w:cs="Palatino Linotype" w:eastAsia="Palatino Linotype" w:hAnsi="Palatino Linotype"/>
          <w:b w:val="1"/>
          <w:rtl w:val="0"/>
        </w:rPr>
        <w:t xml:space="preserve"> tres de mayo de dos mil veintidós, </w:t>
      </w:r>
      <w:r w:rsidDel="00000000" w:rsidR="00000000" w:rsidRPr="00000000">
        <w:rPr>
          <w:rFonts w:ascii="Palatino Linotype" w:cs="Palatino Linotype" w:eastAsia="Palatino Linotype" w:hAnsi="Palatino Linotype"/>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presentara su informe justificado.</w:t>
      </w:r>
    </w:p>
    <w:p w:rsidR="00000000" w:rsidDel="00000000" w:rsidP="00000000" w:rsidRDefault="00000000" w:rsidRPr="00000000" w14:paraId="00000013">
      <w:pPr>
        <w:spacing w:after="240" w:before="240" w:line="360" w:lineRule="auto"/>
        <w:jc w:val="both"/>
        <w:rPr>
          <w:rFonts w:ascii="Palatino Linotype" w:cs="Palatino Linotype" w:eastAsia="Palatino Linotype" w:hAnsi="Palatino Linotype"/>
        </w:rPr>
      </w:pPr>
      <w:bookmarkStart w:colFirst="0" w:colLast="0" w:name="_heading=h.2s8eyo1" w:id="2"/>
      <w:bookmarkEnd w:id="2"/>
      <w:r w:rsidDel="00000000" w:rsidR="00000000" w:rsidRPr="00000000">
        <w:rPr>
          <w:rFonts w:ascii="Palatino Linotype" w:cs="Palatino Linotype" w:eastAsia="Palatino Linotype" w:hAnsi="Palatino Linotype"/>
          <w:b w:val="1"/>
          <w:rtl w:val="0"/>
        </w:rPr>
        <w:t xml:space="preserve">7. Manifestaciones</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trece de mayo de dos mil veintidós, </w:t>
      </w:r>
      <w:r w:rsidDel="00000000" w:rsidR="00000000" w:rsidRPr="00000000">
        <w:rPr>
          <w:rFonts w:ascii="Palatino Linotype" w:cs="Palatino Linotype" w:eastAsia="Palatino Linotype" w:hAnsi="Palatino Linotype"/>
          <w:rtl w:val="0"/>
        </w:rPr>
        <w:t xml:space="preserve">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a través del SAIMEX, su informe justificado, mediante el cual, con relación a los motivos de inconformidad aducidos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Titular de la Unidad de Transparencia ratificó en lo sustancial la respuesta emitida en primera instancia, señalando que la información que se entregó era la que obraba en los archivos de los servidores públicos habilitados, atendiendo en todo momento el derecho de acceso a la información pública, en el entendido de que si bien no se cuenta con la obligación de generar, poseer o administrar la información pública con el grado de detalle solicitado y/o bien, de generar un documento ad hoc, se dio respuesta a los planteamientos para satisfacer el derecho de acceso a la información pública en términos de los artículos 12 y 24 de la Ley de Transparencia y Acceso a la Información Pública del Estado de México y Municipios.</w:t>
      </w:r>
    </w:p>
    <w:p w:rsidR="00000000" w:rsidDel="00000000" w:rsidP="00000000" w:rsidRDefault="00000000" w:rsidRPr="00000000" w14:paraId="0000001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forma, indicó que de acuerdo con las funciones que le atribuyen a dicha Unidad de Transparencia, se garantizó que la solicitud se turnara a las áreas competentes y que cuenten con información o deban tenerla de acuerdo a sus facultades competencias y funciones con el objeto de que realizaran la búsqueda exhaustiva de la información solicitada, acreditándolo con la siguiente captura de pantalla: </w:t>
      </w:r>
    </w:p>
    <w:p w:rsidR="00000000" w:rsidDel="00000000" w:rsidP="00000000" w:rsidRDefault="00000000" w:rsidRPr="00000000" w14:paraId="0000001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07050" cy="1069975"/>
            <wp:effectExtent b="0" l="0" r="0" t="0"/>
            <wp:docPr id="74"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607050" cy="106997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señaló que los servidores públicos habilitados manifestaron que después de realizar una búsqueda exhaustiva y razonable de la información, no tienen documentación que colme la pretensión del particular, lo que se traduce como un hecho negativo, que no implica que se niegue la información, sino que ésta no obra en sus archivos, al no poseerla y administrarla al momento de dar respuesta, cumpliendo con lo que dispone la norma en estudio, reiterando que se están viendo las cuestiones de flujo de efectivo para estar en condiciones de dar respuesta al mismo.</w:t>
      </w:r>
    </w:p>
    <w:p w:rsidR="00000000" w:rsidDel="00000000" w:rsidP="00000000" w:rsidRDefault="00000000" w:rsidRPr="00000000" w14:paraId="0000001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Cierre de instrucción. </w:t>
      </w:r>
      <w:r w:rsidDel="00000000" w:rsidR="00000000" w:rsidRPr="00000000">
        <w:rPr>
          <w:rFonts w:ascii="Palatino Linotype" w:cs="Palatino Linotype" w:eastAsia="Palatino Linotype" w:hAnsi="Palatino Linotype"/>
          <w:rtl w:val="0"/>
        </w:rPr>
        <w:t xml:space="preserve">Una vez transcurrido el periodo otorgado a las partes para realizar sus manifestaciones y no habiendo documentos que integrar al expediente, con fecha </w:t>
      </w:r>
      <w:r w:rsidDel="00000000" w:rsidR="00000000" w:rsidRPr="00000000">
        <w:rPr>
          <w:rFonts w:ascii="Palatino Linotype" w:cs="Palatino Linotype" w:eastAsia="Palatino Linotype" w:hAnsi="Palatino Linotype"/>
          <w:b w:val="1"/>
          <w:rtl w:val="0"/>
        </w:rPr>
        <w:t xml:space="preserve">diez de junio de dos mil veintidós</w:t>
      </w:r>
      <w:r w:rsidDel="00000000" w:rsidR="00000000" w:rsidRPr="00000000">
        <w:rPr>
          <w:rFonts w:ascii="Palatino Linotype" w:cs="Palatino Linotype" w:eastAsia="Palatino Linotype" w:hAnsi="Palatino Linotype"/>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18">
      <w:pPr>
        <w:spacing w:after="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Ampliación del término para resolver</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quince de junio de dos mil veintidós</w:t>
      </w:r>
      <w:r w:rsidDel="00000000" w:rsidR="00000000" w:rsidRPr="00000000">
        <w:rPr>
          <w:rFonts w:ascii="Palatino Linotype" w:cs="Palatino Linotype" w:eastAsia="Palatino Linotype" w:hAnsi="Palatino Linotype"/>
          <w:rtl w:val="0"/>
        </w:rPr>
        <w:t xml:space="preserve">, se amplió el término para resolver el recurso de revisión en términos del artículo 181 párrafo tercero de la Ley de Transparencia y Acceso a la Información Pública del Estado de México y Municipios.</w:t>
      </w:r>
    </w:p>
    <w:p w:rsidR="00000000" w:rsidDel="00000000" w:rsidP="00000000" w:rsidRDefault="00000000" w:rsidRPr="00000000" w14:paraId="0000001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1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1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1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1D">
      <w:pPr>
        <w:spacing w:after="240" w:before="240" w:line="360" w:lineRule="auto"/>
        <w:jc w:val="both"/>
        <w:rPr>
          <w:rFonts w:ascii="Palatino Linotype" w:cs="Palatino Linotype" w:eastAsia="Palatino Linotype" w:hAnsi="Palatino Linotype"/>
          <w:strike w:val="1"/>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1E">
      <w:pPr>
        <w:numPr>
          <w:ilvl w:val="0"/>
          <w:numId w:val="1"/>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1F">
      <w:pPr>
        <w:numPr>
          <w:ilvl w:val="0"/>
          <w:numId w:val="1"/>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20">
      <w:pPr>
        <w:numPr>
          <w:ilvl w:val="0"/>
          <w:numId w:val="1"/>
        </w:numPr>
        <w:spacing w:after="240" w:before="240"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21">
      <w:pPr>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La afectación generada en la situación jurídica de la persona involucrada en el proceso: Violación a sus derechos humanos.</w:t>
      </w:r>
    </w:p>
    <w:p w:rsidR="00000000" w:rsidDel="00000000" w:rsidP="00000000" w:rsidRDefault="00000000" w:rsidRPr="00000000" w14:paraId="0000002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23">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2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2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26">
      <w:pPr>
        <w:spacing w:after="240" w:before="24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consultable en el Seminario Judicial de la Federación y su gaceta, con el registro digital 2002351.</w:t>
      </w:r>
    </w:p>
    <w:p w:rsidR="00000000" w:rsidDel="00000000" w:rsidP="00000000" w:rsidRDefault="00000000" w:rsidRPr="00000000" w14:paraId="00000027">
      <w:pPr>
        <w:spacing w:after="240" w:before="24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visible en el Seminario Judicial de la Federación y su gaceta, con el registro digital 2002350.</w:t>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A">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2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000000" w:rsidDel="00000000" w:rsidP="00000000" w:rsidRDefault="00000000" w:rsidRPr="00000000" w14:paraId="0000002C">
      <w:pPr>
        <w:spacing w:after="240" w:before="240" w:line="360" w:lineRule="auto"/>
        <w:jc w:val="both"/>
        <w:rPr>
          <w:rFonts w:ascii="Palatino Linotype" w:cs="Palatino Linotype" w:eastAsia="Palatino Linotype" w:hAnsi="Palatino Linotype"/>
        </w:rPr>
      </w:pPr>
      <w:bookmarkStart w:colFirst="0" w:colLast="0" w:name="_heading=h.tyjcwt" w:id="3"/>
      <w:bookmarkEnd w:id="3"/>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D">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remitió la respuesta a la solicitud de información el día </w:t>
      </w:r>
      <w:r w:rsidDel="00000000" w:rsidR="00000000" w:rsidRPr="00000000">
        <w:rPr>
          <w:rFonts w:ascii="Palatino Linotype" w:cs="Palatino Linotype" w:eastAsia="Palatino Linotype" w:hAnsi="Palatino Linotype"/>
          <w:b w:val="1"/>
          <w:rtl w:val="0"/>
        </w:rPr>
        <w:t xml:space="preserve">veintisiete de abril de dos mil veintidós, </w:t>
      </w:r>
      <w:r w:rsidDel="00000000" w:rsidR="00000000" w:rsidRPr="00000000">
        <w:rPr>
          <w:rFonts w:ascii="Palatino Linotype" w:cs="Palatino Linotype" w:eastAsia="Palatino Linotype" w:hAnsi="Palatino Linotype"/>
          <w:rtl w:val="0"/>
        </w:rPr>
        <w:t xml:space="preserve">mientras que el recurso de revisión interpuesto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se tuvo por presentado el día </w:t>
      </w:r>
      <w:r w:rsidDel="00000000" w:rsidR="00000000" w:rsidRPr="00000000">
        <w:rPr>
          <w:rFonts w:ascii="Palatino Linotype" w:cs="Palatino Linotype" w:eastAsia="Palatino Linotype" w:hAnsi="Palatino Linotype"/>
          <w:b w:val="1"/>
          <w:rtl w:val="0"/>
        </w:rPr>
        <w:t xml:space="preserve">veintiocho de abril de dos mil veintidós</w:t>
      </w:r>
      <w:r w:rsidDel="00000000" w:rsidR="00000000" w:rsidRPr="00000000">
        <w:rPr>
          <w:rFonts w:ascii="Palatino Linotype" w:cs="Palatino Linotype" w:eastAsia="Palatino Linotype" w:hAnsi="Palatino Linotype"/>
          <w:rtl w:val="0"/>
        </w:rPr>
        <w:t xml:space="preserve">, esto es, al siguiente día hábil en que tuvo conocimiento de la respuesta impugnada.</w:t>
      </w:r>
    </w:p>
    <w:p w:rsidR="00000000" w:rsidDel="00000000" w:rsidP="00000000" w:rsidRDefault="00000000" w:rsidRPr="00000000" w14:paraId="0000002E">
      <w:pPr>
        <w:tabs>
          <w:tab w:val="left" w:pos="7938"/>
        </w:tabs>
        <w:spacing w:after="240" w:before="240" w:line="360" w:lineRule="auto"/>
        <w:jc w:val="both"/>
        <w:rPr>
          <w:rFonts w:ascii="Palatino Linotype" w:cs="Palatino Linotype" w:eastAsia="Palatino Linotype" w:hAnsi="Palatino Linotype"/>
        </w:rPr>
      </w:pPr>
      <w:bookmarkStart w:colFirst="0" w:colLast="0" w:name="_heading=h.3znysh7" w:id="4"/>
      <w:bookmarkEnd w:id="4"/>
      <w:r w:rsidDel="00000000" w:rsidR="00000000" w:rsidRPr="00000000">
        <w:rPr>
          <w:rFonts w:ascii="Palatino Linotype" w:cs="Palatino Linotype" w:eastAsia="Palatino Linotype" w:hAnsi="Palatino Linotype"/>
          <w:rtl w:val="0"/>
        </w:rPr>
        <w:t xml:space="preserve">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2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Finalmente, se advierte que resulta procedente la interposición del recurso, según lo manifestado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motivos de inconformidad, de acuerdo al artículo 179, fracción V del ordenamiento legal citado, que a la letra dice: </w:t>
      </w:r>
    </w:p>
    <w:p w:rsidR="00000000" w:rsidDel="00000000" w:rsidP="00000000" w:rsidRDefault="00000000" w:rsidRPr="00000000" w14:paraId="00000030">
      <w:pPr>
        <w:spacing w:after="120" w:before="120" w:lineRule="auto"/>
        <w:ind w:left="993"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2">
      <w:pPr>
        <w:spacing w:after="120" w:before="120" w:lineRule="auto"/>
        <w:ind w:left="1134" w:firstLine="0"/>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 </w:t>
      </w:r>
      <w:r w:rsidDel="00000000" w:rsidR="00000000" w:rsidRPr="00000000">
        <w:rPr>
          <w:rFonts w:ascii="Palatino Linotype" w:cs="Palatino Linotype" w:eastAsia="Palatino Linotype" w:hAnsi="Palatino Linotype"/>
          <w:i w:val="1"/>
          <w:sz w:val="22"/>
          <w:szCs w:val="22"/>
          <w:rtl w:val="0"/>
        </w:rPr>
        <w:t xml:space="preserve">La entrega de información incompleta;”</w:t>
      </w:r>
      <w:r w:rsidDel="00000000" w:rsidR="00000000" w:rsidRPr="00000000">
        <w:rPr>
          <w:rtl w:val="0"/>
        </w:rPr>
      </w:r>
    </w:p>
    <w:p w:rsidR="00000000" w:rsidDel="00000000" w:rsidP="00000000" w:rsidRDefault="00000000" w:rsidRPr="00000000" w14:paraId="0000003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 oportuna.</w:t>
      </w:r>
    </w:p>
    <w:p w:rsidR="00000000" w:rsidDel="00000000" w:rsidP="00000000" w:rsidRDefault="00000000" w:rsidRPr="00000000" w14:paraId="00000034">
      <w:pPr>
        <w:spacing w:after="240" w:before="240" w:line="360" w:lineRule="auto"/>
        <w:ind w:right="51"/>
        <w:jc w:val="both"/>
        <w:rPr>
          <w:rFonts w:ascii="Palatino Linotype" w:cs="Palatino Linotype" w:eastAsia="Palatino Linotype" w:hAnsi="Palatino Linotype"/>
        </w:rPr>
      </w:pPr>
      <w:bookmarkStart w:colFirst="0" w:colLast="0" w:name="_heading=h.2et92p0" w:id="5"/>
      <w:bookmarkEnd w:id="5"/>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Del análisis de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requirió al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le proporcione, información consistente en lo siguiente:</w:t>
      </w:r>
    </w:p>
    <w:p w:rsidR="00000000" w:rsidDel="00000000" w:rsidP="00000000" w:rsidRDefault="00000000" w:rsidRPr="00000000" w14:paraId="00000035">
      <w:pPr>
        <w:spacing w:after="240" w:before="240"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1. Documentación probatoria, de ser el caso en versión pública, el estado actual del procedimiento sobre el pago de su finiquito correspondiente al período en el que se desempeñó en el Ayuntamiento en la Coordinación de Apoyo Técnico de la Dirección General de Administración.</w:t>
      </w:r>
    </w:p>
    <w:p w:rsidR="00000000" w:rsidDel="00000000" w:rsidP="00000000" w:rsidRDefault="00000000" w:rsidRPr="00000000" w14:paraId="00000036">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la Titular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hizo del conocimiento de la persona solicitante, el pronunciamiento vertido por la Tesorería Municipal, a través de la Dirección de Egresos, cuyo servidor público habilitado manifestó que se encontraba en proceso de revisión la documentación soporte del pago solicitado, asimismo, que se estaban realizando las gestiones necesarias para contar con el flujo de efectivo y estar en posibilidades de programar el pago.</w:t>
      </w:r>
    </w:p>
    <w:p w:rsidR="00000000" w:rsidDel="00000000" w:rsidP="00000000" w:rsidRDefault="00000000" w:rsidRPr="00000000" w14:paraId="00000037">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Conocida la respuesta por la persona solicitante, al no estar conforme con los términos de la misma, interpuso el recurso de revisión que nos ocupa, mediante el cual manifestó como motivo de inconformidad que en la respuesta no se adjuntó o proporcionó la documentación probatoria que se solicitó, requiriendo en el acto le sea  proporcionada misma a la que hizo mención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3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Admitido el presente recurso de revisión, en términos del artículo 185 fracción II</w:t>
      </w:r>
      <w:r w:rsidDel="00000000" w:rsidR="00000000" w:rsidRPr="00000000">
        <w:rPr>
          <w:rFonts w:ascii="Palatino Linotype" w:cs="Palatino Linotype" w:eastAsia="Palatino Linotype" w:hAnsi="Palatino Linotype"/>
          <w:vertAlign w:val="superscript"/>
        </w:rPr>
        <w:footnoteReference w:customMarkFollows="0" w:id="0"/>
      </w:r>
      <w:r w:rsidDel="00000000" w:rsidR="00000000" w:rsidRPr="00000000">
        <w:rPr>
          <w:rFonts w:ascii="Palatino Linotype" w:cs="Palatino Linotype" w:eastAsia="Palatino Linotype" w:hAnsi="Palatino Linotype"/>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rsidR="00000000" w:rsidDel="00000000" w:rsidP="00000000" w:rsidRDefault="00000000" w:rsidRPr="00000000" w14:paraId="0000003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la Unidad de Transparencia ratificó en lo sustancial la respuesta emitida en primera instancia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los términos precisados en el antecedente 7 de la presente resolución.</w:t>
      </w:r>
    </w:p>
    <w:p w:rsidR="00000000" w:rsidDel="00000000" w:rsidP="00000000" w:rsidRDefault="00000000" w:rsidRPr="00000000" w14:paraId="0000003A">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tenor, en primer lugar  es conveniente mencionar que de conformidad con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3B">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el mismo tenor, el artículo 4, párrafo segundo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de la información, y esta sólo podrá ser clasificada excepcionalmente como reservada temporalmente por razones de interés público, en los términos de las causas legítimas y estrictamente necesarias previstas por dicha Ley, es decir, que por regla general, toda la información generada, obtenida, adquirida, transmitida, administrada o en posesión de los Sujetos Obligados es pública, y de manera excepcional puede ser clasificada.</w:t>
      </w:r>
    </w:p>
    <w:p w:rsidR="00000000" w:rsidDel="00000000" w:rsidP="00000000" w:rsidRDefault="00000000" w:rsidRPr="00000000" w14:paraId="0000003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el artículo 24 en su último párrafo de la Ley de la Materia, dispone que los Sujetos Obligados sólo proporcionarán la información pública que generen, administren o posean en el ejercicio de sus atribuciones; por consiguiente, la información generada por los entes públicos, se encuentra a disposición de cualquier persona, lo que implica que es deber de los Sujetos Obligados, garantizar el Derecho de Acceso a la Información Pública.</w:t>
      </w:r>
    </w:p>
    <w:p w:rsidR="00000000" w:rsidDel="00000000" w:rsidP="00000000" w:rsidRDefault="00000000" w:rsidRPr="00000000" w14:paraId="0000003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otras palabras,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3E">
      <w:pPr>
        <w:ind w:left="851" w:right="899"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03F">
      <w:pPr>
        <w:spacing w:after="120" w:before="120" w:lineRule="auto"/>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40">
      <w:pPr>
        <w:spacing w:after="120" w:before="120" w:lineRule="auto"/>
        <w:ind w:left="1134"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4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42">
      <w:pPr>
        <w:spacing w:after="240" w:before="24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3">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tesitura, de las constancias que integran el expediente electrónico  relacionado con el recurso de revisión materia de estudio, se colige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no niega la competencia para conocer de la información solicitada, sino por el contrario, con la respuesta pronunciada asevera que es competente para conocer de la solicitud de información</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rtl w:val="0"/>
        </w:rPr>
        <w:t xml:space="preserve">lo anterior es así, ya que el estudio enunciado tiene por objeto determinar si los Sujetos Obligados generan, poseen o administran  la información solicitada, sin embargo, en aquellos casos en que estos han asumido la competencia, sería ocioso y a nada práctico nos conduciría su estudio, ya que, se insiste, el ente obligado asumió la competencia referida, motivo por el cual se actualiza el supuesto previsto en el artículo 12 de la legislación aplicable en la materia. </w:t>
      </w:r>
    </w:p>
    <w:p w:rsidR="00000000" w:rsidDel="00000000" w:rsidP="00000000" w:rsidRDefault="00000000" w:rsidRPr="00000000" w14:paraId="00000044">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 Quienes generen, recopilen, administren, manejen, procesen, archiven o conserven información pública serán responsables de la misma</w:t>
      </w:r>
      <w:r w:rsidDel="00000000" w:rsidR="00000000" w:rsidRPr="00000000">
        <w:rPr>
          <w:rFonts w:ascii="Palatino Linotype" w:cs="Palatino Linotype" w:eastAsia="Palatino Linotype" w:hAnsi="Palatino Linotype"/>
          <w:i w:val="1"/>
          <w:sz w:val="22"/>
          <w:szCs w:val="22"/>
          <w:rtl w:val="0"/>
        </w:rPr>
        <w:t xml:space="preserve"> en los términos de las disposiciones jurídicas aplicables. </w:t>
      </w:r>
    </w:p>
    <w:p w:rsidR="00000000" w:rsidDel="00000000" w:rsidP="00000000" w:rsidRDefault="00000000" w:rsidRPr="00000000" w14:paraId="00000045">
      <w:pPr>
        <w:spacing w:after="24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La obligación de proporcionar información no comprende el procesamiento de la misma, ni el presentarla conforme al interés del solicitante; no estarán obligados a generarla, resumirla, efectuar cálculos o practicar investigaciones.”</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280" w:before="280"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Por consiguiente, se procede al análisis de los requerimientos planteados por la particular y la respuesta proporcionada por el </w:t>
      </w:r>
      <w:r w:rsidDel="00000000" w:rsidR="00000000" w:rsidRPr="00000000">
        <w:rPr>
          <w:rFonts w:ascii="Palatino Linotype" w:cs="Palatino Linotype" w:eastAsia="Palatino Linotype" w:hAnsi="Palatino Linotype"/>
          <w:b w:val="1"/>
          <w:color w:val="000000"/>
          <w:rtl w:val="0"/>
        </w:rPr>
        <w:t xml:space="preserve">Sujeto Obligado</w:t>
      </w:r>
      <w:r w:rsidDel="00000000" w:rsidR="00000000" w:rsidRPr="00000000">
        <w:rPr>
          <w:rFonts w:ascii="Palatino Linotype" w:cs="Palatino Linotype" w:eastAsia="Palatino Linotype" w:hAnsi="Palatino Linotype"/>
          <w:color w:val="000000"/>
          <w:rtl w:val="0"/>
        </w:rPr>
        <w:t xml:space="preserve">, a efecto de determinar si el derecho de acceso se satisfizo con la misma, o en su defecto, señalar los documentos que en el ejercicio de sus atribuciones pudo haber generado, y que, de manera enunciativa más no limitativa, pudieran colmar dicho derecho. </w:t>
      </w:r>
    </w:p>
    <w:p w:rsidR="00000000" w:rsidDel="00000000" w:rsidP="00000000" w:rsidRDefault="00000000" w:rsidRPr="00000000" w14:paraId="0000004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recordemos que la persona solicitante requirió la entrega del soporte documental probatorio del estado del procedimiento para el pago de “su” finiquito, al treinta de marzo de dos mil veintidós, es decir, se entiende que pretende acceder a información relacionada con su persona, lo que llevaría a pensar que el requerimiento debiera ser tratado como una solicitud de acceso a datos personales, sin embargo, cabe señalar que en las constancias que obran en el expediente en el que se actúa, no se advierte que el particular hubiera proporcionado documento alguno mediante el cual acreditara su identidad como el titular de la información solicitada.</w:t>
      </w:r>
    </w:p>
    <w:p w:rsidR="00000000" w:rsidDel="00000000" w:rsidP="00000000" w:rsidRDefault="00000000" w:rsidRPr="00000000" w14:paraId="0000004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Aunado a lo anterior, no escapa de la óptica de este Organismo Garante que el particular, requirió la entrega de la documentación probatoria, en versión pública de ser el caso, tarea que implica que los datos personales contenidos en el soporte documental sean testados o eliminados de manera fundada y motivada, a través del respectivo acuerdo de clasificación que para tal efecto emita el Comité de Transparencia. </w:t>
      </w:r>
    </w:p>
    <w:p w:rsidR="00000000" w:rsidDel="00000000" w:rsidP="00000000" w:rsidRDefault="00000000" w:rsidRPr="00000000" w14:paraId="0000004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sentido, se considera que la pretensión de la persona solicitante consiste en obtener la información en ejercicio del Derecho de acceso a la información, no así en ejercicio del Derecho de acceso a datos personales, razón por la cual no se considera necesario enderezar la vía, con la finalidad de que obtenga los documentos de manera íntegra.</w:t>
      </w:r>
    </w:p>
    <w:p w:rsidR="00000000" w:rsidDel="00000000" w:rsidP="00000000" w:rsidRDefault="00000000" w:rsidRPr="00000000" w14:paraId="0000004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Bajo tales argumentos, es que el presente asunto se tratará como el ejercicio del Derecho a la información pública respecto del procedimiento para el pago del finiquito del ex servidor público señalado por el particular.</w:t>
      </w:r>
    </w:p>
    <w:p w:rsidR="00000000" w:rsidDel="00000000" w:rsidP="00000000" w:rsidRDefault="00000000" w:rsidRPr="00000000" w14:paraId="0000004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es imprescindible señalar que, de la respuesta emitida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atención a la solicitud de información, se advierte que este no negó la existencia de la información, sino por el contrario reconoció la existencia del procedimiento relacionado con el ex servidor público, al referir de manera expresa que la documentación se encontraba en proceso de revisión, así como que se estaban  realizando las gestiones necesarias para contar con flujo de efectivo y estar en posibilidades de programación de pago correspondiente al finiquito, razón por la cual se procede al análisis de la información proporcionada con la finalidad de determinar si el Derecho de acceso de la persona solicitante se satisfizo con la misma, o en su defecto, ordenar el soporte documental, que, de manera enunciativa, más no limitativa, pudiera colmarlo.</w:t>
      </w:r>
    </w:p>
    <w:p w:rsidR="00000000" w:rsidDel="00000000" w:rsidP="00000000" w:rsidRDefault="00000000" w:rsidRPr="00000000" w14:paraId="0000004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Acotado lo anterior, resulta a fin a la materia del requerimiento de información, el procedimiento </w:t>
      </w:r>
      <w:r w:rsidDel="00000000" w:rsidR="00000000" w:rsidRPr="00000000">
        <w:rPr>
          <w:rFonts w:ascii="Palatino Linotype" w:cs="Palatino Linotype" w:eastAsia="Palatino Linotype" w:hAnsi="Palatino Linotype"/>
          <w:i w:val="1"/>
          <w:rtl w:val="0"/>
        </w:rPr>
        <w:t xml:space="preserve">Elaboración o cálculo de finiquito</w:t>
      </w:r>
      <w:r w:rsidDel="00000000" w:rsidR="00000000" w:rsidRPr="00000000">
        <w:rPr>
          <w:rFonts w:ascii="Palatino Linotype" w:cs="Palatino Linotype" w:eastAsia="Palatino Linotype" w:hAnsi="Palatino Linotype"/>
          <w:rtl w:val="0"/>
        </w:rPr>
        <w:t xml:space="preserve"> establecido en el Manual de Procedimientos de la Dirección General de Administración, mismo que desarrolla como a continuación se ilustra:</w:t>
      </w:r>
    </w:p>
    <w:p w:rsidR="00000000" w:rsidDel="00000000" w:rsidP="00000000" w:rsidRDefault="00000000" w:rsidRPr="00000000" w14:paraId="0000004D">
      <w:pPr>
        <w:spacing w:after="240" w:before="240" w:line="360" w:lineRule="auto"/>
        <w:jc w:val="both"/>
        <w:rPr>
          <w:rFonts w:ascii="Palatino Linotype" w:cs="Palatino Linotype" w:eastAsia="Palatino Linotype" w:hAnsi="Palatino Linotyp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25400</wp:posOffset>
                </wp:positionV>
                <wp:extent cx="5552263" cy="2575146"/>
                <wp:effectExtent b="0" l="0" r="0" t="0"/>
                <wp:wrapNone/>
                <wp:docPr id="72" name=""/>
                <a:graphic>
                  <a:graphicData uri="http://schemas.microsoft.com/office/word/2010/wordprocessingShape">
                    <wps:wsp>
                      <wps:cNvCnPr/>
                      <wps:spPr>
                        <a:xfrm>
                          <a:off x="2595269" y="2517827"/>
                          <a:ext cx="5501463" cy="2524346"/>
                        </a:xfrm>
                        <a:prstGeom prst="straightConnector1">
                          <a:avLst/>
                        </a:prstGeom>
                        <a:noFill/>
                        <a:ln cap="flat" cmpd="sng" w="254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25400</wp:posOffset>
                </wp:positionV>
                <wp:extent cx="5552263" cy="2575146"/>
                <wp:effectExtent b="0" l="0" r="0" t="0"/>
                <wp:wrapNone/>
                <wp:docPr id="72"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5552263" cy="2575146"/>
                        </a:xfrm>
                        <a:prstGeom prst="rect"/>
                        <a:ln/>
                      </pic:spPr>
                    </pic:pic>
                  </a:graphicData>
                </a:graphic>
              </wp:anchor>
            </w:drawing>
          </mc:Fallback>
        </mc:AlternateContent>
      </w:r>
    </w:p>
    <w:p w:rsidR="00000000" w:rsidDel="00000000" w:rsidP="00000000" w:rsidRDefault="00000000" w:rsidRPr="00000000" w14:paraId="0000004E">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040000" cy="5264888"/>
            <wp:effectExtent b="0" l="0" r="0" t="0"/>
            <wp:docPr id="7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040000" cy="5264888"/>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07050" cy="6720205"/>
            <wp:effectExtent b="0" l="0" r="0" t="0"/>
            <wp:docPr id="76"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607050" cy="6720205"/>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las imágenes anteriores se advierte que el Departamento de Nóminas es el área competente para determinar el cálculo del finiquito de acuerdo a la siguiente clasificación: ordinario, laudo, jubilación/pensión, pensión alimenticia, gastos funerarios y administrativo, debiendo, una vez presentados los requisitos por el servidor público, así como realizado las gestiones necesarias en la Consejería Jurídica, la Dirección General de Seguridad Pública y el Sindicato, según el caso, elaborar un oficio dirigido a la Tesorería Municipal mismo que es entregado a la Dirección de Recursos Humanos para su autorización, firma y remisión a la Tesorería Municipal para el pago correspondiente. Por su parte la Tesorería Municipal recibe el oficio y el formato de solicitud de pago, los firma y elabora el cheque correspondiente. </w:t>
      </w:r>
    </w:p>
    <w:p w:rsidR="00000000" w:rsidDel="00000000" w:rsidP="00000000" w:rsidRDefault="00000000" w:rsidRPr="00000000" w14:paraId="0000005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en el caso concreto, derivado del pronunciamiento vertido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 través de la Dirección de Egresos perteneciente a la Tesorería Municipal, misma que se encarga de determinar el flujo de efectivo y realizar la programación de los pagos que se deben efectuar con cargo al presupuesto de egresos del ayuntamiento, y verificar que se lleve a cabo, así como operar y controlar las cuentas bancarias del ayuntamiento, entre otras atribuciones, señaló, en atención a la solicitud de información, que la documentación soporte del pago solicitado se encontraba en proceso de revisión, asimismo, que se estaban llevando a cabo las gestiones necesarias para contar con el flujo de efectivo y estar en posibilidades de programación de pago, advirtiéndose en consecuencia que la Dirección de Recursos Humanos, de conformidad con el procedimiento señalado, ya había remitido el oficio y el formato de solicitud de pago correspondiente, a efecto de que la Tesorería elaborara el cheque y efectuara el pago de finiquito.</w:t>
      </w:r>
    </w:p>
    <w:p w:rsidR="00000000" w:rsidDel="00000000" w:rsidP="00000000" w:rsidRDefault="00000000" w:rsidRPr="00000000" w14:paraId="00000052">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orden de ideas, se colige que el estado del procedimiento para el pago del finiquito, a la fecha de presentación de la solicitud, se comprobaría precisamente con el oficio y el formato de solicitud de pago, dando cuenta de la conclusión por parte la Dirección de Nóminas de la revisión de la documentación y las gestiones necesarias para la elaboración del cálculo correspondiente, para dar paso a la siguiente etapa cuya sustanciación corresponde a la Tesorería Municipal, en la cual, según lo manifestado, la documentación se encuentra en proceso de revisión para la emisión del cheque correspondiente, es decir, aun no se ha generado soporte documental por parte de la Tesorería Municipal.</w:t>
      </w:r>
    </w:p>
    <w:p w:rsidR="00000000" w:rsidDel="00000000" w:rsidP="00000000" w:rsidRDefault="00000000" w:rsidRPr="00000000" w14:paraId="00000053">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tal tesitura, se estima que es procedente ordenar la entrega del soporte documental generado al treinta de marzo de dos mil veintidós, por la Dirección de Nóminas, a efecto de solicitar a la Tesorería Municipal la elaboración del cheque correspondiente para el pago del finiquito del ex servidor público al que hace referencia la persona solicitante, para tener por colmado su derecho de acceso a la información, en versión pública de ser necesario, o bien, conforme al considerando siguiente.</w:t>
      </w:r>
    </w:p>
    <w:p w:rsidR="00000000" w:rsidDel="00000000" w:rsidP="00000000" w:rsidRDefault="00000000" w:rsidRPr="00000000" w14:paraId="0000005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 efecto de robustecer lo anterior, no obsta mencionar que de conformidad con el artículo 23, segundo párrafo de la Ley de Transparencia y Acceso a la Información Pública del Estado de México y Municipios, los Sujetos Obligados deberán hacer pública toda aquella información relativa a los montos y las personas a quienes entreguen, por cualquier motivo, recursos públicos, en virtud de que su acceso permite transparentar la aplicación de los recursos públicos que son otorgados para el cumplimiento de sus funciones.</w:t>
      </w:r>
    </w:p>
    <w:p w:rsidR="00000000" w:rsidDel="00000000" w:rsidP="00000000" w:rsidRDefault="00000000" w:rsidRPr="00000000" w14:paraId="0000005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Cabe mencionar que, si de la búsqueda que se ordena,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advierte que la documentación que dé cuenta del estado en el que se encuentra el procedimiento para el pago de finiquito del ex servidor público referido</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se integra por documentos que por su propia y especial naturaleza sean de carácter privado, encuadran en el supuesto de información confidencial en su totalidad, en términos del articulo 143 de la Ley de Transparencia y Acceso a la Información Pública del Estado de México y Municipios, de manera enunciativa, más no limitativa, tales como credencial para votar, comprobante de domicilio, entre otros, deberá emitir el acuerdo fundado y motivado mediante el cual restrinja el acceso a los mismos,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rsidR="00000000" w:rsidDel="00000000" w:rsidP="00000000" w:rsidRDefault="00000000" w:rsidRPr="00000000" w14:paraId="00000056">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respecto del pronunciamiento vertido por la Dirección de Egresos, es de señalar que de la normatividad aplicable analizada para la resolución del presente caso, no se localizó disposición alguna que constriña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documentar el proceso de revisión la documentación soporte del pago solicitado, así como las gestiones necesarias para contar con flujo de efectivo y estar en posibilidades de programación de pago, por lo que se estima que el pronunciamiento vertido por el Director de Egresos es suficiente para tener por atendido el requerimiento de información por cuanto hace a sus competencias.</w:t>
      </w:r>
    </w:p>
    <w:p w:rsidR="00000000" w:rsidDel="00000000" w:rsidP="00000000" w:rsidRDefault="00000000" w:rsidRPr="00000000" w14:paraId="0000005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al haber existido un pronunciamiento por parte de servidor público habilitado competente, respecto de la materia de la solicitud, este Organismo Garante no está facultado para manifestarse sobre la veracidad de lo expresado por parte de este, pues no existe precepto legal alguno en la Ley de la materia que lo faculte para ello.</w:t>
      </w:r>
    </w:p>
    <w:p w:rsidR="00000000" w:rsidDel="00000000" w:rsidP="00000000" w:rsidRDefault="00000000" w:rsidRPr="00000000" w14:paraId="00000058">
      <w:pPr>
        <w:spacing w:after="360" w:before="240" w:line="360" w:lineRule="auto"/>
        <w:ind w:right="18"/>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se sustenta con lo plasmado en el criterio 31/10 emitido por el entonces Instituto Federal de Acceso a la Información y Protección de Datos (IFAI) ahora Instituto Nacional de Transparencia, Acceso a la Información, y Protección de Datos Personales (INAI), que lleva por rubro y texto los siguientes: </w:t>
      </w:r>
    </w:p>
    <w:p w:rsidR="00000000" w:rsidDel="00000000" w:rsidP="00000000" w:rsidRDefault="00000000" w:rsidRPr="00000000" w14:paraId="00000059">
      <w:pPr>
        <w:spacing w:after="240" w:before="240" w:lineRule="auto"/>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El Instituto Federal de Acceso a la Información y Protección de Datos 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i w:val="1"/>
          <w:sz w:val="22"/>
          <w:szCs w:val="22"/>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05A">
      <w:pPr>
        <w:spacing w:after="240" w:before="240" w:line="360" w:lineRule="auto"/>
        <w:ind w:right="5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hasta aquí expuesto, se concluye que los motivos de inconformidad de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devienen fundados, siendo procedente </w:t>
      </w:r>
      <w:r w:rsidDel="00000000" w:rsidR="00000000" w:rsidRPr="00000000">
        <w:rPr>
          <w:rFonts w:ascii="Palatino Linotype" w:cs="Palatino Linotype" w:eastAsia="Palatino Linotype" w:hAnsi="Palatino Linotype"/>
          <w:i w:val="1"/>
          <w:rtl w:val="0"/>
        </w:rPr>
        <w:t xml:space="preserve">Modificar</w:t>
      </w:r>
      <w:r w:rsidDel="00000000" w:rsidR="00000000" w:rsidRPr="00000000">
        <w:rPr>
          <w:rFonts w:ascii="Palatino Linotype" w:cs="Palatino Linotype" w:eastAsia="Palatino Linotype" w:hAnsi="Palatino Linotype"/>
          <w:rtl w:val="0"/>
        </w:rPr>
        <w:t xml:space="preserve"> la respuesta proporcionada por el </w:t>
      </w:r>
      <w:r w:rsidDel="00000000" w:rsidR="00000000" w:rsidRPr="00000000">
        <w:rPr>
          <w:rFonts w:ascii="Palatino Linotype" w:cs="Palatino Linotype" w:eastAsia="Palatino Linotype" w:hAnsi="Palatino Linotype"/>
          <w:b w:val="1"/>
          <w:rtl w:val="0"/>
        </w:rPr>
        <w:t xml:space="preserve">Sujeto Obligado </w:t>
      </w:r>
      <w:r w:rsidDel="00000000" w:rsidR="00000000" w:rsidRPr="00000000">
        <w:rPr>
          <w:rFonts w:ascii="Palatino Linotype" w:cs="Palatino Linotype" w:eastAsia="Palatino Linotype" w:hAnsi="Palatino Linotype"/>
          <w:rtl w:val="0"/>
        </w:rPr>
        <w:t xml:space="preserve">en términos del artículo 186 fracción III de la Ley de Transparencia y Acceso a la Información Pública del Estado de México y Municipios.</w:t>
      </w:r>
    </w:p>
    <w:p w:rsidR="00000000" w:rsidDel="00000000" w:rsidP="00000000" w:rsidRDefault="00000000" w:rsidRPr="00000000" w14:paraId="0000005B">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Versión Pública.</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Finalmente, debe señalarse que de ser el caso en que los documentos que vayan a ser entregados por el</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sujeto obligado, para dar cumplimiento a la presente resolución, contengan datos que deban ser clasificados,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000000" w:rsidDel="00000000" w:rsidP="00000000" w:rsidRDefault="00000000" w:rsidRPr="00000000" w14:paraId="0000005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05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05E">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F">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060">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061">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 </w:t>
      </w:r>
      <w:r w:rsidDel="00000000" w:rsidR="00000000" w:rsidRPr="00000000">
        <w:rPr>
          <w:rFonts w:ascii="Palatino Linotype" w:cs="Palatino Linotype" w:eastAsia="Palatino Linotype" w:hAnsi="Palatino Linotype"/>
          <w:i w:val="1"/>
          <w:sz w:val="22"/>
          <w:szCs w:val="22"/>
          <w:rtl w:val="0"/>
        </w:rPr>
        <w:t xml:space="preserve">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62">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063">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4">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065">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06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067">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068">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069">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A">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6B">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06C">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6D">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06E">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6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070">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000000" w:rsidDel="00000000" w:rsidP="00000000" w:rsidRDefault="00000000" w:rsidRPr="00000000" w14:paraId="00000071">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Entorno a lo que aquí nos interesa, los Lineamientos Quincuagésimo sexto, Quincuagésimo séptimo y Quincuagésimo octavo, establecen lo siguiente:</w:t>
      </w:r>
    </w:p>
    <w:p w:rsidR="00000000" w:rsidDel="00000000" w:rsidP="00000000" w:rsidRDefault="00000000" w:rsidRPr="00000000" w14:paraId="00000072">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sexto</w:t>
      </w:r>
      <w:r w:rsidDel="00000000" w:rsidR="00000000" w:rsidRPr="00000000">
        <w:rPr>
          <w:rFonts w:ascii="Palatino Linotype" w:cs="Palatino Linotype" w:eastAsia="Palatino Linotype" w:hAnsi="Palatino Linotype"/>
          <w:i w:val="1"/>
          <w:sz w:val="22"/>
          <w:szCs w:val="22"/>
          <w:rtl w:val="0"/>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000000" w:rsidDel="00000000" w:rsidP="00000000" w:rsidRDefault="00000000" w:rsidRPr="00000000" w14:paraId="00000073">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séptimo</w:t>
      </w:r>
      <w:r w:rsidDel="00000000" w:rsidR="00000000" w:rsidRPr="00000000">
        <w:rPr>
          <w:rFonts w:ascii="Palatino Linotype" w:cs="Palatino Linotype" w:eastAsia="Palatino Linotype" w:hAnsi="Palatino Linotype"/>
          <w:i w:val="1"/>
          <w:sz w:val="22"/>
          <w:szCs w:val="22"/>
          <w:rtl w:val="0"/>
        </w:rPr>
        <w:t xml:space="preserve">. Se considera, en principio, como información pública y no podrá omitirse de las versiones públicas la siguiente: </w:t>
      </w:r>
    </w:p>
    <w:p w:rsidR="00000000" w:rsidDel="00000000" w:rsidP="00000000" w:rsidRDefault="00000000" w:rsidRPr="00000000" w14:paraId="00000074">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 relativa a las Obligaciones de Transparencia que contempla el Título V de la Ley General y las demás disposiciones legales aplicables; </w:t>
      </w:r>
    </w:p>
    <w:p w:rsidR="00000000" w:rsidDel="00000000" w:rsidP="00000000" w:rsidRDefault="00000000" w:rsidRPr="00000000" w14:paraId="00000075">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El nombre de los servidores públicos en los documentos, y sus firmas autógrafas, cuando sean utilizados en el ejercicio de las facultades conferidas para el desempeño del servicio público, y </w:t>
      </w:r>
    </w:p>
    <w:p w:rsidR="00000000" w:rsidDel="00000000" w:rsidP="00000000" w:rsidRDefault="00000000" w:rsidRPr="00000000" w14:paraId="00000076">
      <w:pPr>
        <w:spacing w:after="120" w:before="120" w:lineRule="auto"/>
        <w:ind w:left="1134"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rsidR="00000000" w:rsidDel="00000000" w:rsidP="00000000" w:rsidRDefault="00000000" w:rsidRPr="00000000" w14:paraId="00000077">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 anterior, siempre y cuando no se acredite alguna causal de clasificación, prevista en las leyes o en los tratados internaciones suscritos por el Estado mexicano. </w:t>
      </w:r>
    </w:p>
    <w:p w:rsidR="00000000" w:rsidDel="00000000" w:rsidP="00000000" w:rsidRDefault="00000000" w:rsidRPr="00000000" w14:paraId="0000007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octavo</w:t>
      </w:r>
      <w:r w:rsidDel="00000000" w:rsidR="00000000" w:rsidRPr="00000000">
        <w:rPr>
          <w:rFonts w:ascii="Palatino Linotype" w:cs="Palatino Linotype" w:eastAsia="Palatino Linotype" w:hAnsi="Palatino Linotype"/>
          <w:i w:val="1"/>
          <w:sz w:val="22"/>
          <w:szCs w:val="22"/>
          <w:rtl w:val="0"/>
        </w:rPr>
        <w:t xml:space="preserve">. Los sujetos obligados garantizarán que los sistemas o medios empleados para eliminar la información en las versiones públicas no permitan la recuperación o visualización de la misma.”</w:t>
      </w:r>
    </w:p>
    <w:p w:rsidR="00000000" w:rsidDel="00000000" w:rsidP="00000000" w:rsidRDefault="00000000" w:rsidRPr="00000000" w14:paraId="0000007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000000" w:rsidDel="00000000" w:rsidP="00000000" w:rsidRDefault="00000000" w:rsidRPr="00000000" w14:paraId="0000007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relación directa con ello, los Lineamientos en estudio establecen los formatos para la clasificación parcial y total de los documentos, que atienden a lo siguiente:</w:t>
      </w:r>
    </w:p>
    <w:tbl>
      <w:tblPr>
        <w:tblStyle w:val="Table1"/>
        <w:tblW w:w="88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A0"/>
      </w:tblPr>
      <w:tblGrid>
        <w:gridCol w:w="993"/>
        <w:gridCol w:w="3421"/>
        <w:gridCol w:w="968"/>
        <w:gridCol w:w="3446"/>
        <w:tblGridChange w:id="0">
          <w:tblGrid>
            <w:gridCol w:w="993"/>
            <w:gridCol w:w="3421"/>
            <w:gridCol w:w="968"/>
            <w:gridCol w:w="3446"/>
          </w:tblGrid>
        </w:tblGridChange>
      </w:tblGrid>
      <w:tr>
        <w:trPr>
          <w:cantSplit w:val="0"/>
          <w:tblHeader w:val="0"/>
        </w:trPr>
        <w:tc>
          <w:tcPr>
            <w:gridSpan w:val="2"/>
          </w:tcPr>
          <w:p w:rsidR="00000000" w:rsidDel="00000000" w:rsidP="00000000" w:rsidRDefault="00000000" w:rsidRPr="00000000" w14:paraId="0000007B">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Parcial</w:t>
            </w:r>
          </w:p>
        </w:tc>
        <w:tc>
          <w:tcPr>
            <w:gridSpan w:val="2"/>
          </w:tcPr>
          <w:p w:rsidR="00000000" w:rsidDel="00000000" w:rsidP="00000000" w:rsidRDefault="00000000" w:rsidRPr="00000000" w14:paraId="0000007D">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Total</w:t>
            </w:r>
          </w:p>
        </w:tc>
      </w:tr>
      <w:tr>
        <w:trPr>
          <w:cantSplit w:val="0"/>
          <w:tblHeader w:val="0"/>
        </w:trPr>
        <w:tc>
          <w:tcPr/>
          <w:p w:rsidR="00000000" w:rsidDel="00000000" w:rsidP="00000000" w:rsidRDefault="00000000" w:rsidRPr="00000000" w14:paraId="0000007F">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Concepto</w:t>
            </w:r>
          </w:p>
        </w:tc>
        <w:tc>
          <w:tcPr/>
          <w:p w:rsidR="00000000" w:rsidDel="00000000" w:rsidP="00000000" w:rsidRDefault="00000000" w:rsidRPr="00000000" w14:paraId="00000080">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c>
          <w:tcPr/>
          <w:p w:rsidR="00000000" w:rsidDel="00000000" w:rsidP="00000000" w:rsidRDefault="00000000" w:rsidRPr="00000000" w14:paraId="00000081">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Concepto</w:t>
            </w:r>
          </w:p>
        </w:tc>
        <w:tc>
          <w:tcPr/>
          <w:p w:rsidR="00000000" w:rsidDel="00000000" w:rsidP="00000000" w:rsidRDefault="00000000" w:rsidRPr="00000000" w14:paraId="00000082">
            <w:pPr>
              <w:jc w:val="center"/>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Dónde</w:t>
            </w:r>
          </w:p>
        </w:tc>
      </w:tr>
      <w:tr>
        <w:trPr>
          <w:cantSplit w:val="0"/>
          <w:tblHeader w:val="0"/>
        </w:trPr>
        <w:tc>
          <w:tcPr>
            <w:gridSpan w:val="4"/>
          </w:tcPr>
          <w:p w:rsidR="00000000" w:rsidDel="00000000" w:rsidP="00000000" w:rsidRDefault="00000000" w:rsidRPr="00000000" w14:paraId="00000083">
            <w:pPr>
              <w:jc w:val="center"/>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Sello oficial o logotipo del sujeto obligado</w:t>
            </w:r>
          </w:p>
        </w:tc>
      </w:tr>
      <w:tr>
        <w:trPr>
          <w:cantSplit w:val="0"/>
          <w:tblHeader w:val="0"/>
        </w:trPr>
        <w:tc>
          <w:tcPr/>
          <w:p w:rsidR="00000000" w:rsidDel="00000000" w:rsidP="00000000" w:rsidRDefault="00000000" w:rsidRPr="00000000" w14:paraId="00000087">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Fecha de clasificación</w:t>
            </w:r>
          </w:p>
        </w:tc>
        <w:tc>
          <w:tcPr/>
          <w:p w:rsidR="00000000" w:rsidDel="00000000" w:rsidP="00000000" w:rsidRDefault="00000000" w:rsidRPr="00000000" w14:paraId="0000008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c>
          <w:tcPr/>
          <w:p w:rsidR="00000000" w:rsidDel="00000000" w:rsidP="00000000" w:rsidRDefault="00000000" w:rsidRPr="00000000" w14:paraId="00000089">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clasificación</w:t>
            </w:r>
          </w:p>
        </w:tc>
        <w:tc>
          <w:tcPr/>
          <w:p w:rsidR="00000000" w:rsidDel="00000000" w:rsidP="00000000" w:rsidRDefault="00000000" w:rsidRPr="00000000" w14:paraId="0000008A">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la que el Comité de Transparencia confirmó la clasificación del documento, en su caso.</w:t>
            </w:r>
          </w:p>
        </w:tc>
      </w:tr>
      <w:tr>
        <w:trPr>
          <w:cantSplit w:val="0"/>
          <w:tblHeader w:val="0"/>
        </w:trPr>
        <w:tc>
          <w:tcPr/>
          <w:p w:rsidR="00000000" w:rsidDel="00000000" w:rsidP="00000000" w:rsidRDefault="00000000" w:rsidRPr="00000000" w14:paraId="0000008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Área</w:t>
            </w:r>
          </w:p>
        </w:tc>
        <w:tc>
          <w:tcPr/>
          <w:p w:rsidR="00000000" w:rsidDel="00000000" w:rsidP="00000000" w:rsidRDefault="00000000" w:rsidRPr="00000000" w14:paraId="0000008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del cual es titular quien clasifica.</w:t>
            </w:r>
          </w:p>
        </w:tc>
        <w:tc>
          <w:tcPr/>
          <w:p w:rsidR="00000000" w:rsidDel="00000000" w:rsidP="00000000" w:rsidRDefault="00000000" w:rsidRPr="00000000" w14:paraId="0000008D">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Área</w:t>
            </w:r>
          </w:p>
        </w:tc>
        <w:tc>
          <w:tcPr/>
          <w:p w:rsidR="00000000" w:rsidDel="00000000" w:rsidP="00000000" w:rsidRDefault="00000000" w:rsidRPr="00000000" w14:paraId="0000008E">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área de la cual es el titular quien clasifica.</w:t>
            </w:r>
          </w:p>
        </w:tc>
      </w:tr>
      <w:tr>
        <w:trPr>
          <w:cantSplit w:val="0"/>
          <w:tblHeader w:val="0"/>
        </w:trPr>
        <w:tc>
          <w:tcPr/>
          <w:p w:rsidR="00000000" w:rsidDel="00000000" w:rsidP="00000000" w:rsidRDefault="00000000" w:rsidRPr="00000000" w14:paraId="0000008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Información reservada</w:t>
            </w:r>
          </w:p>
        </w:tc>
        <w:tc>
          <w:tcPr/>
          <w:p w:rsidR="00000000" w:rsidDel="00000000" w:rsidP="00000000" w:rsidRDefault="00000000" w:rsidRPr="00000000" w14:paraId="0000009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p w:rsidR="00000000" w:rsidDel="00000000" w:rsidP="00000000" w:rsidRDefault="00000000" w:rsidRPr="00000000" w14:paraId="00000091">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Reservado</w:t>
            </w:r>
          </w:p>
        </w:tc>
        <w:tc>
          <w:tcPr/>
          <w:p w:rsidR="00000000" w:rsidDel="00000000" w:rsidP="00000000" w:rsidRDefault="00000000" w:rsidRPr="00000000" w14:paraId="00000092">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RESERVADA.</w:t>
            </w:r>
          </w:p>
        </w:tc>
      </w:tr>
      <w:tr>
        <w:trPr>
          <w:cantSplit w:val="0"/>
          <w:tblHeader w:val="0"/>
        </w:trPr>
        <w:tc>
          <w:tcPr/>
          <w:p w:rsidR="00000000" w:rsidDel="00000000" w:rsidP="00000000" w:rsidRDefault="00000000" w:rsidRPr="00000000" w14:paraId="00000093">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Fundamento legal</w:t>
            </w:r>
          </w:p>
        </w:tc>
        <w:tc>
          <w:tcPr/>
          <w:p w:rsidR="00000000" w:rsidDel="00000000" w:rsidP="00000000" w:rsidRDefault="00000000" w:rsidRPr="00000000" w14:paraId="0000009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reserva.</w:t>
            </w:r>
          </w:p>
        </w:tc>
        <w:tc>
          <w:tcPr/>
          <w:p w:rsidR="00000000" w:rsidDel="00000000" w:rsidP="00000000" w:rsidRDefault="00000000" w:rsidRPr="00000000" w14:paraId="00000095">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Periodo de reserva</w:t>
            </w:r>
          </w:p>
        </w:tc>
        <w:tc>
          <w:tcPr/>
          <w:p w:rsidR="00000000" w:rsidDel="00000000" w:rsidP="00000000" w:rsidRDefault="00000000" w:rsidRPr="00000000" w14:paraId="00000096">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el número de años o meses por los que se mantendrá el documento o las partes del mismo como reservado. Si el expediente no es reservado, sino confidencial, deberá tacharse este apartado.</w:t>
            </w:r>
          </w:p>
        </w:tc>
      </w:tr>
      <w:tr>
        <w:trPr>
          <w:cantSplit w:val="0"/>
          <w:tblHeader w:val="0"/>
        </w:trPr>
        <w:tc>
          <w:tcPr/>
          <w:p w:rsidR="00000000" w:rsidDel="00000000" w:rsidP="00000000" w:rsidRDefault="00000000" w:rsidRPr="00000000" w14:paraId="00000097">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Ampliación del periodo de reserva</w:t>
            </w:r>
          </w:p>
        </w:tc>
        <w:tc>
          <w:tcPr/>
          <w:p w:rsidR="00000000" w:rsidDel="00000000" w:rsidP="00000000" w:rsidRDefault="00000000" w:rsidRPr="00000000" w14:paraId="0000009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c>
          <w:tcPr/>
          <w:p w:rsidR="00000000" w:rsidDel="00000000" w:rsidP="00000000" w:rsidRDefault="00000000" w:rsidRPr="00000000" w14:paraId="00000099">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09A">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sustenta la reserva.</w:t>
            </w:r>
          </w:p>
        </w:tc>
      </w:tr>
      <w:tr>
        <w:trPr>
          <w:cantSplit w:val="0"/>
          <w:tblHeader w:val="0"/>
        </w:trPr>
        <w:tc>
          <w:tcPr/>
          <w:p w:rsidR="00000000" w:rsidDel="00000000" w:rsidP="00000000" w:rsidRDefault="00000000" w:rsidRPr="00000000" w14:paraId="0000009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Confidencial</w:t>
            </w:r>
          </w:p>
        </w:tc>
        <w:tc>
          <w:tcPr/>
          <w:p w:rsidR="00000000" w:rsidDel="00000000" w:rsidP="00000000" w:rsidRDefault="00000000" w:rsidRPr="00000000" w14:paraId="0000009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p w:rsidR="00000000" w:rsidDel="00000000" w:rsidP="00000000" w:rsidRDefault="00000000" w:rsidRPr="00000000" w14:paraId="0000009D">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Ampliación del periodo de reserva</w:t>
            </w:r>
          </w:p>
        </w:tc>
        <w:tc>
          <w:tcPr/>
          <w:p w:rsidR="00000000" w:rsidDel="00000000" w:rsidP="00000000" w:rsidRDefault="00000000" w:rsidRPr="00000000" w14:paraId="0000009E">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de haber solicitado la ampliación del periodo de reserva originalmente establecido, se deberá anotar el número de años o meses por los que se amplía la reserva.</w:t>
            </w:r>
          </w:p>
        </w:tc>
      </w:tr>
      <w:tr>
        <w:trPr>
          <w:cantSplit w:val="0"/>
          <w:tblHeader w:val="0"/>
        </w:trPr>
        <w:tc>
          <w:tcPr/>
          <w:p w:rsidR="00000000" w:rsidDel="00000000" w:rsidP="00000000" w:rsidRDefault="00000000" w:rsidRPr="00000000" w14:paraId="0000009F">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Fundamento legal</w:t>
            </w:r>
          </w:p>
        </w:tc>
        <w:tc>
          <w:tcPr/>
          <w:p w:rsidR="00000000" w:rsidDel="00000000" w:rsidP="00000000" w:rsidRDefault="00000000" w:rsidRPr="00000000" w14:paraId="000000A0">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ordenamiento, el o los artículos, fracción(es), párrafo(s) con base en los cuales se sustente la confidencialidad.</w:t>
            </w:r>
          </w:p>
        </w:tc>
        <w:tc>
          <w:tcPr/>
          <w:p w:rsidR="00000000" w:rsidDel="00000000" w:rsidP="00000000" w:rsidRDefault="00000000" w:rsidRPr="00000000" w14:paraId="000000A1">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Confidencial</w:t>
            </w:r>
          </w:p>
        </w:tc>
        <w:tc>
          <w:tcPr/>
          <w:p w:rsidR="00000000" w:rsidDel="00000000" w:rsidP="00000000" w:rsidRDefault="00000000" w:rsidRPr="00000000" w14:paraId="000000A2">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Leyenda de información CONFIDENCIAL.</w:t>
            </w:r>
          </w:p>
        </w:tc>
      </w:tr>
      <w:tr>
        <w:trPr>
          <w:cantSplit w:val="0"/>
          <w:tblHeader w:val="0"/>
        </w:trPr>
        <w:tc>
          <w:tcPr/>
          <w:p w:rsidR="00000000" w:rsidDel="00000000" w:rsidP="00000000" w:rsidRDefault="00000000" w:rsidRPr="00000000" w14:paraId="000000A3">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del titular del área</w:t>
            </w:r>
          </w:p>
        </w:tc>
        <w:tc>
          <w:tcPr/>
          <w:p w:rsidR="00000000" w:rsidDel="00000000" w:rsidP="00000000" w:rsidRDefault="00000000" w:rsidRPr="00000000" w14:paraId="000000A4">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c>
          <w:tcPr/>
          <w:p w:rsidR="00000000" w:rsidDel="00000000" w:rsidP="00000000" w:rsidRDefault="00000000" w:rsidRPr="00000000" w14:paraId="000000A5">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Fundamento legal</w:t>
            </w:r>
          </w:p>
        </w:tc>
        <w:tc>
          <w:tcPr/>
          <w:p w:rsidR="00000000" w:rsidDel="00000000" w:rsidP="00000000" w:rsidRDefault="00000000" w:rsidRPr="00000000" w14:paraId="000000A6">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señalará el nombre del o de los ordenamientos jurídicos, el o los artículos, fracción(es), párrafo(s) con base en los cuales se sustente la confidencialidad.</w:t>
            </w:r>
          </w:p>
        </w:tc>
      </w:tr>
      <w:tr>
        <w:trPr>
          <w:cantSplit w:val="0"/>
          <w:tblHeader w:val="0"/>
        </w:trPr>
        <w:tc>
          <w:tcPr/>
          <w:p w:rsidR="00000000" w:rsidDel="00000000" w:rsidP="00000000" w:rsidRDefault="00000000" w:rsidRPr="00000000" w14:paraId="000000A7">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Fecha de desclasificación</w:t>
            </w:r>
          </w:p>
        </w:tc>
        <w:tc>
          <w:tcPr/>
          <w:p w:rsidR="00000000" w:rsidDel="00000000" w:rsidP="00000000" w:rsidRDefault="00000000" w:rsidRPr="00000000" w14:paraId="000000A8">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 el documento.</w:t>
            </w:r>
          </w:p>
        </w:tc>
        <w:tc>
          <w:tcPr/>
          <w:p w:rsidR="00000000" w:rsidDel="00000000" w:rsidP="00000000" w:rsidRDefault="00000000" w:rsidRPr="00000000" w14:paraId="000000A9">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del titular del área</w:t>
            </w:r>
          </w:p>
        </w:tc>
        <w:tc>
          <w:tcPr/>
          <w:p w:rsidR="00000000" w:rsidDel="00000000" w:rsidP="00000000" w:rsidRDefault="00000000" w:rsidRPr="00000000" w14:paraId="000000AA">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clasifica.</w:t>
            </w:r>
          </w:p>
        </w:tc>
      </w:tr>
      <w:tr>
        <w:trPr>
          <w:cantSplit w:val="0"/>
          <w:tblHeader w:val="0"/>
        </w:trPr>
        <w:tc>
          <w:tcPr/>
          <w:p w:rsidR="00000000" w:rsidDel="00000000" w:rsidP="00000000" w:rsidRDefault="00000000" w:rsidRPr="00000000" w14:paraId="000000AB">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y cargo del servidor público</w:t>
            </w:r>
          </w:p>
        </w:tc>
        <w:tc>
          <w:tcPr/>
          <w:p w:rsidR="00000000" w:rsidDel="00000000" w:rsidP="00000000" w:rsidRDefault="00000000" w:rsidRPr="00000000" w14:paraId="000000AC">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c>
          <w:tcPr/>
          <w:p w:rsidR="00000000" w:rsidDel="00000000" w:rsidP="00000000" w:rsidRDefault="00000000" w:rsidRPr="00000000" w14:paraId="000000AD">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Fecha de desclasificación</w:t>
            </w:r>
          </w:p>
        </w:tc>
        <w:tc>
          <w:tcPr/>
          <w:p w:rsidR="00000000" w:rsidDel="00000000" w:rsidP="00000000" w:rsidRDefault="00000000" w:rsidRPr="00000000" w14:paraId="000000AE">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Se anotará la fecha en que se desclasifica.</w:t>
            </w:r>
          </w:p>
        </w:tc>
      </w:tr>
      <w:tr>
        <w:trPr>
          <w:cantSplit w:val="0"/>
          <w:tblHeader w:val="0"/>
        </w:trPr>
        <w:tc>
          <w:tcPr/>
          <w:p w:rsidR="00000000" w:rsidDel="00000000" w:rsidP="00000000" w:rsidRDefault="00000000" w:rsidRPr="00000000" w14:paraId="000000AF">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0B0">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0B1">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Partes o secciones reservadas o confidenciales</w:t>
            </w:r>
          </w:p>
        </w:tc>
        <w:tc>
          <w:tcPr/>
          <w:p w:rsidR="00000000" w:rsidDel="00000000" w:rsidP="00000000" w:rsidRDefault="00000000" w:rsidRPr="00000000" w14:paraId="000000B2">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En caso que una vez desclasificado el expediente, subsistanpartes o secciones del mismo reservadas o confidenciales, se señalará este hecho.</w:t>
            </w:r>
          </w:p>
        </w:tc>
      </w:tr>
      <w:tr>
        <w:trPr>
          <w:cantSplit w:val="0"/>
          <w:tblHeader w:val="0"/>
        </w:trPr>
        <w:tc>
          <w:tcPr/>
          <w:p w:rsidR="00000000" w:rsidDel="00000000" w:rsidP="00000000" w:rsidRDefault="00000000" w:rsidRPr="00000000" w14:paraId="000000B3">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0B4">
            <w:pPr>
              <w:jc w:val="both"/>
              <w:rPr>
                <w:rFonts w:ascii="Palatino Linotype" w:cs="Palatino Linotype" w:eastAsia="Palatino Linotype" w:hAnsi="Palatino Linotype"/>
                <w:sz w:val="12"/>
                <w:szCs w:val="12"/>
              </w:rPr>
            </w:pPr>
            <w:r w:rsidDel="00000000" w:rsidR="00000000" w:rsidRPr="00000000">
              <w:rPr>
                <w:rtl w:val="0"/>
              </w:rPr>
            </w:r>
          </w:p>
        </w:tc>
        <w:tc>
          <w:tcPr/>
          <w:p w:rsidR="00000000" w:rsidDel="00000000" w:rsidP="00000000" w:rsidRDefault="00000000" w:rsidRPr="00000000" w14:paraId="000000B5">
            <w:pPr>
              <w:jc w:val="both"/>
              <w:rPr>
                <w:rFonts w:ascii="Palatino Linotype" w:cs="Palatino Linotype" w:eastAsia="Palatino Linotype" w:hAnsi="Palatino Linotype"/>
                <w:b w:val="1"/>
                <w:sz w:val="12"/>
                <w:szCs w:val="12"/>
              </w:rPr>
            </w:pPr>
            <w:r w:rsidDel="00000000" w:rsidR="00000000" w:rsidRPr="00000000">
              <w:rPr>
                <w:rFonts w:ascii="Palatino Linotype" w:cs="Palatino Linotype" w:eastAsia="Palatino Linotype" w:hAnsi="Palatino Linotype"/>
                <w:b w:val="1"/>
                <w:sz w:val="12"/>
                <w:szCs w:val="12"/>
                <w:rtl w:val="0"/>
              </w:rPr>
              <w:t xml:space="preserve">Rúbrica y cargo del servidor público</w:t>
            </w:r>
          </w:p>
        </w:tc>
        <w:tc>
          <w:tcPr/>
          <w:p w:rsidR="00000000" w:rsidDel="00000000" w:rsidP="00000000" w:rsidRDefault="00000000" w:rsidRPr="00000000" w14:paraId="000000B6">
            <w:pPr>
              <w:jc w:val="both"/>
              <w:rPr>
                <w:rFonts w:ascii="Palatino Linotype" w:cs="Palatino Linotype" w:eastAsia="Palatino Linotype" w:hAnsi="Palatino Linotype"/>
                <w:sz w:val="12"/>
                <w:szCs w:val="12"/>
              </w:rPr>
            </w:pPr>
            <w:r w:rsidDel="00000000" w:rsidR="00000000" w:rsidRPr="00000000">
              <w:rPr>
                <w:rFonts w:ascii="Palatino Linotype" w:cs="Palatino Linotype" w:eastAsia="Palatino Linotype" w:hAnsi="Palatino Linotype"/>
                <w:sz w:val="12"/>
                <w:szCs w:val="12"/>
                <w:rtl w:val="0"/>
              </w:rPr>
              <w:t xml:space="preserve">Rúbrica autógrafa de quien desclasifica.</w:t>
            </w:r>
          </w:p>
        </w:tc>
      </w:tr>
    </w:tbl>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rPr>
      </w:pPr>
      <w:bookmarkStart w:colFirst="0" w:colLast="0" w:name="_heading=h.3dy6vkm" w:id="6"/>
      <w:bookmarkEnd w:id="6"/>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III. R E S U E L V E</w:t>
      </w:r>
    </w:p>
    <w:p w:rsidR="00000000" w:rsidDel="00000000" w:rsidP="00000000" w:rsidRDefault="00000000" w:rsidRPr="00000000" w14:paraId="000000B9">
      <w:pPr>
        <w:spacing w:after="240" w:before="240" w:line="360" w:lineRule="auto"/>
        <w:jc w:val="both"/>
        <w:rPr>
          <w:rFonts w:ascii="Palatino Linotype" w:cs="Palatino Linotype" w:eastAsia="Palatino Linotype" w:hAnsi="Palatino Linotype"/>
          <w:b w:val="1"/>
        </w:rPr>
      </w:pPr>
      <w:bookmarkStart w:colFirst="0" w:colLast="0" w:name="_heading=h.1fob9te" w:id="7"/>
      <w:bookmarkEnd w:id="7"/>
      <w:r w:rsidDel="00000000" w:rsidR="00000000" w:rsidRPr="00000000">
        <w:rPr>
          <w:rFonts w:ascii="Palatino Linotype" w:cs="Palatino Linotype" w:eastAsia="Palatino Linotype" w:hAnsi="Palatino Linotype"/>
          <w:b w:val="1"/>
          <w:rtl w:val="0"/>
        </w:rPr>
        <w:t xml:space="preserve">Primero. </w:t>
      </w:r>
      <w:r w:rsidDel="00000000" w:rsidR="00000000" w:rsidRPr="00000000">
        <w:rPr>
          <w:rFonts w:ascii="Palatino Linotype" w:cs="Palatino Linotype" w:eastAsia="Palatino Linotype" w:hAnsi="Palatino Linotype"/>
          <w:rtl w:val="0"/>
        </w:rPr>
        <w:t xml:space="preserve">Resultan</w:t>
      </w:r>
      <w:r w:rsidDel="00000000" w:rsidR="00000000" w:rsidRPr="00000000">
        <w:rPr>
          <w:rFonts w:ascii="Palatino Linotype" w:cs="Palatino Linotype" w:eastAsia="Palatino Linotype" w:hAnsi="Palatino Linotype"/>
          <w:b w:val="1"/>
          <w:rtl w:val="0"/>
        </w:rPr>
        <w:t xml:space="preserve"> parcialmente fundados</w:t>
      </w:r>
      <w:r w:rsidDel="00000000" w:rsidR="00000000" w:rsidRPr="00000000">
        <w:rPr>
          <w:rFonts w:ascii="Palatino Linotype" w:cs="Palatino Linotype" w:eastAsia="Palatino Linotype" w:hAnsi="Palatino Linotype"/>
          <w:rtl w:val="0"/>
        </w:rPr>
        <w:t xml:space="preserve"> los motivos de inconformidad hechos valer por la parte </w:t>
      </w:r>
      <w:r w:rsidDel="00000000" w:rsidR="00000000" w:rsidRPr="00000000">
        <w:rPr>
          <w:rFonts w:ascii="Palatino Linotype" w:cs="Palatino Linotype" w:eastAsia="Palatino Linotype" w:hAnsi="Palatino Linotype"/>
          <w:b w:val="1"/>
          <w:rtl w:val="0"/>
        </w:rPr>
        <w:t xml:space="preserve">Recurrente </w:t>
      </w:r>
      <w:r w:rsidDel="00000000" w:rsidR="00000000" w:rsidRPr="00000000">
        <w:rPr>
          <w:rFonts w:ascii="Palatino Linotype" w:cs="Palatino Linotype" w:eastAsia="Palatino Linotype" w:hAnsi="Palatino Linotype"/>
          <w:rtl w:val="0"/>
        </w:rPr>
        <w:t xml:space="preserve">en el recurso de revisión </w:t>
      </w:r>
      <w:r w:rsidDel="00000000" w:rsidR="00000000" w:rsidRPr="00000000">
        <w:rPr>
          <w:rFonts w:ascii="Palatino Linotype" w:cs="Palatino Linotype" w:eastAsia="Palatino Linotype" w:hAnsi="Palatino Linotype"/>
          <w:b w:val="1"/>
          <w:rtl w:val="0"/>
        </w:rPr>
        <w:t xml:space="preserve">06769/INFOEM/IP/RR/2022, </w:t>
      </w:r>
      <w:r w:rsidDel="00000000" w:rsidR="00000000" w:rsidRPr="00000000">
        <w:rPr>
          <w:rFonts w:ascii="Palatino Linotype" w:cs="Palatino Linotype" w:eastAsia="Palatino Linotype" w:hAnsi="Palatino Linotype"/>
          <w:rtl w:val="0"/>
        </w:rPr>
        <w:t xml:space="preserve">por lo que, en términos del Considerando </w:t>
      </w: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rtl w:val="0"/>
        </w:rPr>
        <w:t xml:space="preserve"> de la presente resolución, se</w:t>
      </w:r>
      <w:r w:rsidDel="00000000" w:rsidR="00000000" w:rsidRPr="00000000">
        <w:rPr>
          <w:rFonts w:ascii="Palatino Linotype" w:cs="Palatino Linotype" w:eastAsia="Palatino Linotype" w:hAnsi="Palatino Linotype"/>
          <w:b w:val="1"/>
          <w:rtl w:val="0"/>
        </w:rPr>
        <w:t xml:space="preserve"> Modifica </w:t>
      </w:r>
      <w:r w:rsidDel="00000000" w:rsidR="00000000" w:rsidRPr="00000000">
        <w:rPr>
          <w:rFonts w:ascii="Palatino Linotype" w:cs="Palatino Linotype" w:eastAsia="Palatino Linotype" w:hAnsi="Palatino Linotype"/>
          <w:rtl w:val="0"/>
        </w:rPr>
        <w:t xml:space="preserve">la respuesta</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del </w:t>
      </w:r>
      <w:r w:rsidDel="00000000" w:rsidR="00000000" w:rsidRPr="00000000">
        <w:rPr>
          <w:rFonts w:ascii="Palatino Linotype" w:cs="Palatino Linotype" w:eastAsia="Palatino Linotype" w:hAnsi="Palatino Linotype"/>
          <w:b w:val="1"/>
          <w:rtl w:val="0"/>
        </w:rPr>
        <w:t xml:space="preserve">Sujeto Obligado.</w:t>
      </w:r>
    </w:p>
    <w:p w:rsidR="00000000" w:rsidDel="00000000" w:rsidP="00000000" w:rsidRDefault="00000000" w:rsidRPr="00000000" w14:paraId="000000B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w:t>
      </w:r>
      <w:r w:rsidDel="00000000" w:rsidR="00000000" w:rsidRPr="00000000">
        <w:rPr>
          <w:rFonts w:ascii="Palatino Linotype" w:cs="Palatino Linotype" w:eastAsia="Palatino Linotype" w:hAnsi="Palatino Linotype"/>
          <w:rtl w:val="0"/>
        </w:rPr>
        <w:t xml:space="preserve">Se </w:t>
      </w:r>
      <w:r w:rsidDel="00000000" w:rsidR="00000000" w:rsidRPr="00000000">
        <w:rPr>
          <w:rFonts w:ascii="Palatino Linotype" w:cs="Palatino Linotype" w:eastAsia="Palatino Linotype" w:hAnsi="Palatino Linotype"/>
          <w:b w:val="1"/>
          <w:rtl w:val="0"/>
        </w:rPr>
        <w:t xml:space="preserve">Ordena</w:t>
      </w:r>
      <w:r w:rsidDel="00000000" w:rsidR="00000000" w:rsidRPr="00000000">
        <w:rPr>
          <w:rFonts w:ascii="Palatino Linotype" w:cs="Palatino Linotype" w:eastAsia="Palatino Linotype" w:hAnsi="Palatino Linotype"/>
          <w:rtl w:val="0"/>
        </w:rPr>
        <w:t xml:space="preserve">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términos de los Considerandos </w:t>
      </w:r>
      <w:r w:rsidDel="00000000" w:rsidR="00000000" w:rsidRPr="00000000">
        <w:rPr>
          <w:rFonts w:ascii="Palatino Linotype" w:cs="Palatino Linotype" w:eastAsia="Palatino Linotype" w:hAnsi="Palatino Linotype"/>
          <w:b w:val="1"/>
          <w:rtl w:val="0"/>
        </w:rPr>
        <w:t xml:space="preserve">Cuarto </w:t>
      </w:r>
      <w:r w:rsidDel="00000000" w:rsidR="00000000" w:rsidRPr="00000000">
        <w:rPr>
          <w:rFonts w:ascii="Palatino Linotype" w:cs="Palatino Linotype" w:eastAsia="Palatino Linotype" w:hAnsi="Palatino Linotype"/>
          <w:rtl w:val="0"/>
        </w:rPr>
        <w:t xml:space="preserve">y </w:t>
      </w:r>
      <w:r w:rsidDel="00000000" w:rsidR="00000000" w:rsidRPr="00000000">
        <w:rPr>
          <w:rFonts w:ascii="Palatino Linotype" w:cs="Palatino Linotype" w:eastAsia="Palatino Linotype" w:hAnsi="Palatino Linotype"/>
          <w:b w:val="1"/>
          <w:rtl w:val="0"/>
        </w:rPr>
        <w:t xml:space="preserve">Quinto </w:t>
      </w:r>
      <w:r w:rsidDel="00000000" w:rsidR="00000000" w:rsidRPr="00000000">
        <w:rPr>
          <w:rFonts w:ascii="Palatino Linotype" w:cs="Palatino Linotype" w:eastAsia="Palatino Linotype" w:hAnsi="Palatino Linotype"/>
          <w:rtl w:val="0"/>
        </w:rPr>
        <w:t xml:space="preserve">de esta resolución, haga entrega, en versión pública de ser necesario, de lo siguiente:</w:t>
      </w:r>
    </w:p>
    <w:p w:rsidR="00000000" w:rsidDel="00000000" w:rsidP="00000000" w:rsidRDefault="00000000" w:rsidRPr="00000000" w14:paraId="000000BB">
      <w:pPr>
        <w:spacing w:after="240" w:before="240" w:line="360" w:lineRule="auto"/>
        <w:ind w:left="284" w:right="49" w:firstLine="0"/>
        <w:jc w:val="both"/>
        <w:rPr>
          <w:rFonts w:ascii="Palatino Linotype" w:cs="Palatino Linotype" w:eastAsia="Palatino Linotype" w:hAnsi="Palatino Linotype"/>
        </w:rPr>
      </w:pPr>
      <w:bookmarkStart w:colFirst="0" w:colLast="0" w:name="_heading=h.kelgs2428oa6" w:id="8"/>
      <w:bookmarkEnd w:id="8"/>
      <w:r w:rsidDel="00000000" w:rsidR="00000000" w:rsidRPr="00000000">
        <w:rPr>
          <w:rFonts w:ascii="Palatino Linotype" w:cs="Palatino Linotype" w:eastAsia="Palatino Linotype" w:hAnsi="Palatino Linotype"/>
          <w:rtl w:val="0"/>
        </w:rPr>
        <w:t xml:space="preserve">1. Documentación que dé cuenta del estado del procedimiento para el pago de finiquito del ex servidor público referido en la solicitud, al treinta de marzo de dos mil veintidós.</w:t>
      </w:r>
    </w:p>
    <w:p w:rsidR="00000000" w:rsidDel="00000000" w:rsidP="00000000" w:rsidRDefault="00000000" w:rsidRPr="00000000" w14:paraId="000000BC">
      <w:pPr>
        <w:ind w:left="284" w:right="49" w:firstLine="0"/>
        <w:jc w:val="both"/>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i w:val="1"/>
          <w:sz w:val="20"/>
          <w:szCs w:val="20"/>
          <w:rtl w:val="0"/>
        </w:rPr>
        <w:t xml:space="preserve">De ser necesaria la versión pública, se deberá entregar el Acuerdo del Comité de Transparencia mediante el cual se funde y motive la eliminación de los datos y documentos clasificados en su totalidad como confidencial, en términos de los artículos 49, fracción VIII, 143, fracción I y 149 de la Ley de Transparencia y Acceso a la Información Pública del Estado de México y Municipios.</w:t>
      </w:r>
    </w:p>
    <w:p w:rsidR="00000000" w:rsidDel="00000000" w:rsidP="00000000" w:rsidRDefault="00000000" w:rsidRPr="00000000" w14:paraId="000000BD">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Tercero. Notifíquese, </w:t>
      </w:r>
      <w:r w:rsidDel="00000000" w:rsidR="00000000" w:rsidRPr="00000000">
        <w:rPr>
          <w:rFonts w:ascii="Palatino Linotype" w:cs="Palatino Linotype" w:eastAsia="Palatino Linotype" w:hAnsi="Palatino Linotype"/>
          <w:rtl w:val="0"/>
        </w:rPr>
        <w:t xml:space="preserve">vía</w:t>
      </w:r>
      <w:r w:rsidDel="00000000" w:rsidR="00000000" w:rsidRPr="00000000">
        <w:rPr>
          <w:rFonts w:ascii="Palatino Linotype" w:cs="Palatino Linotype" w:eastAsia="Palatino Linotype" w:hAnsi="Palatino Linotype"/>
          <w:b w:val="1"/>
          <w:rtl w:val="0"/>
        </w:rPr>
        <w:t xml:space="preserve"> SAIMEX, </w:t>
      </w:r>
      <w:r w:rsidDel="00000000" w:rsidR="00000000" w:rsidRPr="00000000">
        <w:rPr>
          <w:rFonts w:ascii="Palatino Linotype" w:cs="Palatino Linotype" w:eastAsia="Palatino Linotype" w:hAnsi="Palatino Linotype"/>
          <w:rtl w:val="0"/>
        </w:rPr>
        <w:t xml:space="preserve">al Responsable de la Unidad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Del="00000000" w:rsidR="00000000" w:rsidRPr="00000000">
        <w:rPr>
          <w:rFonts w:ascii="Palatino Linotype" w:cs="Palatino Linotype" w:eastAsia="Palatino Linotype" w:hAnsi="Palatino Linotype"/>
          <w:b w:val="1"/>
          <w:rtl w:val="0"/>
        </w:rPr>
        <w:t xml:space="preserve">.</w:t>
      </w:r>
    </w:p>
    <w:p w:rsidR="00000000" w:rsidDel="00000000" w:rsidP="00000000" w:rsidRDefault="00000000" w:rsidRPr="00000000" w14:paraId="000000BE">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0B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Notifíquese, </w:t>
      </w:r>
      <w:r w:rsidDel="00000000" w:rsidR="00000000" w:rsidRPr="00000000">
        <w:rPr>
          <w:rFonts w:ascii="Palatino Linotype" w:cs="Palatino Linotype" w:eastAsia="Palatino Linotype" w:hAnsi="Palatino Linotype"/>
          <w:rtl w:val="0"/>
        </w:rPr>
        <w:t xml:space="preserve">vía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0C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TRIGÉSIMO CUARTA SESIÓN ORDINARIA CELEBRADA EL VEINTIUNO DE SEPTIEMBRE DE DOS MIL VEINTIDÓS, ANTE EL SECRETARIO TÉCNICO DEL PLENO ALEXIS TAPIA RAMÍREZ.</w:t>
      </w:r>
    </w:p>
    <w:p w:rsidR="00000000" w:rsidDel="00000000" w:rsidP="00000000" w:rsidRDefault="00000000" w:rsidRPr="00000000" w14:paraId="000000C1">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2">
      <w:pPr>
        <w:rPr>
          <w:rFonts w:ascii="Palatino Linotype" w:cs="Palatino Linotype" w:eastAsia="Palatino Linotype" w:hAnsi="Palatino Linotyp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5530850" cy="6673850"/>
                <wp:effectExtent b="0" l="0" r="0" t="0"/>
                <wp:wrapNone/>
                <wp:docPr id="71" name=""/>
                <a:graphic>
                  <a:graphicData uri="http://schemas.microsoft.com/office/word/2010/wordprocessingShape">
                    <wps:wsp>
                      <wps:cNvCnPr/>
                      <wps:spPr>
                        <a:xfrm>
                          <a:off x="2593275" y="455775"/>
                          <a:ext cx="5505450" cy="6648450"/>
                        </a:xfrm>
                        <a:prstGeom prst="straightConnector1">
                          <a:avLst/>
                        </a:prstGeom>
                        <a:noFill/>
                        <a:ln cap="flat" cmpd="sng" w="25400">
                          <a:solidFill>
                            <a:schemeClr val="dk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5530850" cy="6673850"/>
                <wp:effectExtent b="0" l="0" r="0" t="0"/>
                <wp:wrapNone/>
                <wp:docPr id="71"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5530850" cy="6673850"/>
                        </a:xfrm>
                        <a:prstGeom prst="rect"/>
                        <a:ln/>
                      </pic:spPr>
                    </pic:pic>
                  </a:graphicData>
                </a:graphic>
              </wp:anchor>
            </w:drawing>
          </mc:Fallback>
        </mc:AlternateContent>
      </w:r>
    </w:p>
    <w:p w:rsidR="00000000" w:rsidDel="00000000" w:rsidP="00000000" w:rsidRDefault="00000000" w:rsidRPr="00000000" w14:paraId="000000C3">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4">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5">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6">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7">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8">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9">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A">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B">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C">
      <w:pPr>
        <w:spacing w:line="360" w:lineRule="auto"/>
        <w:jc w:val="both"/>
        <w:rPr>
          <w:rFonts w:ascii="Palatino Linotype" w:cs="Palatino Linotype" w:eastAsia="Palatino Linotype" w:hAnsi="Palatino Linotype"/>
        </w:rPr>
      </w:pPr>
      <w:bookmarkStart w:colFirst="0" w:colLast="0" w:name="_heading=h.3rdcrjn" w:id="9"/>
      <w:bookmarkEnd w:id="9"/>
      <w:r w:rsidDel="00000000" w:rsidR="00000000" w:rsidRPr="00000000">
        <w:rPr>
          <w:rtl w:val="0"/>
        </w:rPr>
      </w:r>
    </w:p>
    <w:p w:rsidR="00000000" w:rsidDel="00000000" w:rsidP="00000000" w:rsidRDefault="00000000" w:rsidRPr="00000000" w14:paraId="000000C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C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E0">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13" w:type="default"/>
      <w:headerReference r:id="rId14" w:type="first"/>
      <w:footerReference r:id="rId15" w:type="default"/>
      <w:footerReference r:id="rId16"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6">
    <w:pPr>
      <w:pBdr>
        <w:top w:space="0" w:sz="0" w:val="nil"/>
        <w:left w:space="0" w:sz="0" w:val="nil"/>
        <w:bottom w:space="0" w:sz="0" w:val="nil"/>
        <w:right w:space="0" w:sz="0" w:val="nil"/>
        <w:between w:space="0" w:sz="0" w:val="nil"/>
      </w:pBdr>
      <w:tabs>
        <w:tab w:val="center" w:pos="4252"/>
        <w:tab w:val="right"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F7">
    <w:pPr>
      <w:pBdr>
        <w:top w:space="0" w:sz="0" w:val="nil"/>
        <w:left w:space="0" w:sz="0" w:val="nil"/>
        <w:bottom w:space="0" w:sz="0" w:val="nil"/>
        <w:right w:space="0" w:sz="0" w:val="nil"/>
        <w:between w:space="0" w:sz="0" w:val="nil"/>
      </w:pBdr>
      <w:tabs>
        <w:tab w:val="center" w:pos="4252"/>
        <w:tab w:val="right" w:pos="8504"/>
      </w:tabs>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8">
    <w:pPr>
      <w:pBdr>
        <w:top w:space="0" w:sz="0" w:val="nil"/>
        <w:left w:space="0" w:sz="0" w:val="nil"/>
        <w:bottom w:space="0" w:sz="0" w:val="nil"/>
        <w:right w:space="0" w:sz="0" w:val="nil"/>
        <w:between w:space="0" w:sz="0" w:val="nil"/>
      </w:pBdr>
      <w:tabs>
        <w:tab w:val="center" w:pos="4252"/>
        <w:tab w:val="right"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F9">
    <w:pPr>
      <w:pBdr>
        <w:top w:space="0" w:sz="0" w:val="nil"/>
        <w:left w:space="0" w:sz="0" w:val="nil"/>
        <w:bottom w:space="0" w:sz="0" w:val="nil"/>
        <w:right w:space="0" w:sz="0" w:val="nil"/>
        <w:between w:space="0" w:sz="0" w:val="nil"/>
      </w:pBdr>
      <w:tabs>
        <w:tab w:val="center" w:pos="4252"/>
        <w:tab w:val="right" w:pos="8504"/>
      </w:tabs>
      <w:ind w:firstLine="708"/>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E1">
      <w:pPr>
        <w:pBdr>
          <w:top w:space="0" w:sz="0" w:val="nil"/>
          <w:left w:space="0" w:sz="0" w:val="nil"/>
          <w:bottom w:space="0" w:sz="0" w:val="nil"/>
          <w:right w:space="0" w:sz="0" w:val="nil"/>
          <w:between w:space="0" w:sz="0" w:val="nil"/>
        </w:pBdr>
        <w:ind w:left="720" w:hanging="720"/>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185.</w:t>
      </w:r>
      <w:r w:rsidDel="00000000" w:rsidR="00000000" w:rsidRPr="00000000">
        <w:rPr>
          <w:rFonts w:ascii="Palatino Linotype" w:cs="Palatino Linotype" w:eastAsia="Palatino Linotype" w:hAnsi="Palatino Linotype"/>
          <w:color w:val="000000"/>
          <w:sz w:val="16"/>
          <w:szCs w:val="16"/>
          <w:rtl w:val="0"/>
        </w:rPr>
        <w:t xml:space="preserve"> El Instituto resolverá el recurso de revisión conforme a lo siguiente: (…)</w:t>
      </w:r>
    </w:p>
    <w:p w:rsidR="00000000" w:rsidDel="00000000" w:rsidP="00000000" w:rsidRDefault="00000000" w:rsidRPr="00000000" w14:paraId="000000E2">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-1080131</wp:posOffset>
          </wp:positionH>
          <wp:positionV relativeFrom="paragraph">
            <wp:posOffset>-262874</wp:posOffset>
          </wp:positionV>
          <wp:extent cx="7809865" cy="10165715"/>
          <wp:effectExtent b="0" l="0" r="0" t="0"/>
          <wp:wrapNone/>
          <wp:docPr id="7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5670.0" w:type="dxa"/>
      <w:jc w:val="left"/>
      <w:tblInd w:w="3261.0" w:type="dxa"/>
      <w:tblLayout w:type="fixed"/>
      <w:tblLook w:val="0400"/>
    </w:tblPr>
    <w:tblGrid>
      <w:gridCol w:w="2551"/>
      <w:gridCol w:w="3119"/>
      <w:tblGridChange w:id="0">
        <w:tblGrid>
          <w:gridCol w:w="2551"/>
          <w:gridCol w:w="3119"/>
        </w:tblGrid>
      </w:tblGridChange>
    </w:tblGrid>
    <w:tr>
      <w:trPr>
        <w:cantSplit w:val="0"/>
        <w:tblHeader w:val="0"/>
      </w:trPr>
      <w:tc>
        <w:tcPr>
          <w:shd w:fill="auto" w:val="clear"/>
          <w:vAlign w:val="center"/>
        </w:tcPr>
        <w:p w:rsidR="00000000" w:rsidDel="00000000" w:rsidP="00000000" w:rsidRDefault="00000000" w:rsidRPr="00000000" w14:paraId="000000E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E5">
          <w:pPr>
            <w:tabs>
              <w:tab w:val="left"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06769/INFOEM/IP/RR/2022</w:t>
          </w:r>
        </w:p>
      </w:tc>
    </w:tr>
    <w:tr>
      <w:trPr>
        <w:cantSplit w:val="0"/>
        <w:trHeight w:val="130" w:hRule="atLeast"/>
        <w:tblHeader w:val="0"/>
      </w:trPr>
      <w:tc>
        <w:tcPr>
          <w:shd w:fill="auto" w:val="clear"/>
          <w:vAlign w:val="center"/>
        </w:tcPr>
        <w:p w:rsidR="00000000" w:rsidDel="00000000" w:rsidP="00000000" w:rsidRDefault="00000000" w:rsidRPr="00000000" w14:paraId="000000E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0E7">
          <w:pPr>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XXXX XXXXXX XXXXXX XXXXXXXX</w:t>
          </w:r>
        </w:p>
      </w:tc>
    </w:tr>
    <w:tr>
      <w:trPr>
        <w:cantSplit w:val="0"/>
        <w:trHeight w:val="228" w:hRule="atLeast"/>
        <w:tblHeader w:val="0"/>
      </w:trPr>
      <w:tc>
        <w:tcPr>
          <w:shd w:fill="auto" w:val="clear"/>
          <w:vAlign w:val="center"/>
        </w:tcPr>
        <w:p w:rsidR="00000000" w:rsidDel="00000000" w:rsidP="00000000" w:rsidRDefault="00000000" w:rsidRPr="00000000" w14:paraId="000000E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E9">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Toluca</w:t>
          </w:r>
        </w:p>
      </w:tc>
    </w:tr>
    <w:tr>
      <w:trPr>
        <w:cantSplit w:val="0"/>
        <w:tblHeader w:val="0"/>
      </w:trPr>
      <w:tc>
        <w:tcPr>
          <w:shd w:fill="auto" w:val="clear"/>
          <w:vAlign w:val="center"/>
        </w:tcPr>
        <w:p w:rsidR="00000000" w:rsidDel="00000000" w:rsidP="00000000" w:rsidRDefault="00000000" w:rsidRPr="00000000" w14:paraId="000000EA">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EB">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EC">
    <w:pPr>
      <w:pBdr>
        <w:top w:space="0" w:sz="0" w:val="nil"/>
        <w:left w:space="0" w:sz="0" w:val="nil"/>
        <w:bottom w:space="0" w:sz="0" w:val="nil"/>
        <w:right w:space="0" w:sz="0" w:val="nil"/>
        <w:between w:space="0" w:sz="0" w:val="nil"/>
      </w:pBdr>
      <w:tabs>
        <w:tab w:val="center" w:pos="4252"/>
        <w:tab w:val="right"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0E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E">
    <w:pPr>
      <w:rPr>
        <w:rFonts w:ascii="Cambria" w:cs="Cambria" w:eastAsia="Cambria" w:hAnsi="Cambria"/>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-1080125</wp:posOffset>
          </wp:positionH>
          <wp:positionV relativeFrom="paragraph">
            <wp:posOffset>-488305</wp:posOffset>
          </wp:positionV>
          <wp:extent cx="7809865" cy="10165715"/>
          <wp:effectExtent b="0" l="0" r="0" t="0"/>
          <wp:wrapNone/>
          <wp:docPr id="75"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3"/>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0E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0F0">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06769/INFOEM/IP/RR/2022</w:t>
          </w:r>
        </w:p>
      </w:tc>
    </w:tr>
    <w:tr>
      <w:trPr>
        <w:cantSplit w:val="0"/>
        <w:trHeight w:val="228" w:hRule="atLeast"/>
        <w:tblHeader w:val="0"/>
      </w:trPr>
      <w:tc>
        <w:tcPr>
          <w:shd w:fill="auto" w:val="clear"/>
          <w:vAlign w:val="center"/>
        </w:tcPr>
        <w:p w:rsidR="00000000" w:rsidDel="00000000" w:rsidP="00000000" w:rsidRDefault="00000000" w:rsidRPr="00000000" w14:paraId="000000F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0F2">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Toluca</w:t>
          </w:r>
        </w:p>
      </w:tc>
    </w:tr>
    <w:tr>
      <w:trPr>
        <w:cantSplit w:val="0"/>
        <w:tblHeader w:val="0"/>
      </w:trPr>
      <w:tc>
        <w:tcPr>
          <w:shd w:fill="auto" w:val="clear"/>
          <w:vAlign w:val="center"/>
        </w:tcPr>
        <w:p w:rsidR="00000000" w:rsidDel="00000000" w:rsidP="00000000" w:rsidRDefault="00000000" w:rsidRPr="00000000" w14:paraId="000000F3">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0F4">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0F5">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B2902"/>
  </w:style>
  <w:style w:type="paragraph" w:styleId="Ttulo1">
    <w:name w:val="heading 1"/>
    <w:basedOn w:val="Normal"/>
    <w:next w:val="Normal"/>
    <w:link w:val="Ttulo1Car"/>
    <w:uiPriority w:val="9"/>
    <w:qFormat w:val="1"/>
    <w:rsid w:val="00603D72"/>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semiHidden w:val="1"/>
    <w:unhideWhenUsed w:val="1"/>
    <w:qFormat w:val="1"/>
    <w:rsid w:val="00603D72"/>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3B73CD"/>
    <w:pPr>
      <w:keepNext w:val="1"/>
      <w:tabs>
        <w:tab w:val="num" w:pos="2160"/>
      </w:tabs>
      <w:spacing w:after="60" w:before="240"/>
      <w:ind w:left="2160" w:hanging="720"/>
      <w:outlineLvl w:val="2"/>
    </w:pPr>
    <w:rPr>
      <w:rFonts w:asciiTheme="majorHAnsi" w:cstheme="majorBidi" w:eastAsiaTheme="majorEastAsia" w:hAnsiTheme="majorHAnsi"/>
      <w:b w:val="1"/>
      <w:bCs w:val="1"/>
      <w:sz w:val="26"/>
      <w:szCs w:val="26"/>
      <w:lang w:eastAsia="en-US" w:val="en-US"/>
    </w:rPr>
  </w:style>
  <w:style w:type="paragraph" w:styleId="Ttulo4">
    <w:name w:val="heading 4"/>
    <w:basedOn w:val="Normal"/>
    <w:next w:val="Normal"/>
    <w:link w:val="Ttulo4Car"/>
    <w:uiPriority w:val="9"/>
    <w:semiHidden w:val="1"/>
    <w:unhideWhenUsed w:val="1"/>
    <w:qFormat w:val="1"/>
    <w:rsid w:val="003B73CD"/>
    <w:pPr>
      <w:keepNext w:val="1"/>
      <w:tabs>
        <w:tab w:val="num" w:pos="2880"/>
      </w:tabs>
      <w:spacing w:after="60" w:before="240"/>
      <w:ind w:left="2880" w:hanging="720"/>
      <w:outlineLvl w:val="3"/>
    </w:pPr>
    <w:rPr>
      <w:rFonts w:asciiTheme="minorHAnsi" w:cstheme="minorBidi" w:eastAsiaTheme="minorEastAsia" w:hAnsiTheme="minorHAnsi"/>
      <w:b w:val="1"/>
      <w:bCs w:val="1"/>
      <w:sz w:val="28"/>
      <w:szCs w:val="28"/>
      <w:lang w:eastAsia="en-US" w:val="en-US"/>
    </w:rPr>
  </w:style>
  <w:style w:type="paragraph" w:styleId="Ttulo5">
    <w:name w:val="heading 5"/>
    <w:basedOn w:val="Normal"/>
    <w:next w:val="Normal"/>
    <w:link w:val="Ttulo5Car"/>
    <w:uiPriority w:val="9"/>
    <w:semiHidden w:val="1"/>
    <w:unhideWhenUsed w:val="1"/>
    <w:qFormat w:val="1"/>
    <w:rsid w:val="003B73CD"/>
    <w:pPr>
      <w:tabs>
        <w:tab w:val="num" w:pos="3600"/>
      </w:tabs>
      <w:spacing w:after="60" w:before="240"/>
      <w:ind w:left="3600" w:hanging="720"/>
      <w:outlineLvl w:val="4"/>
    </w:pPr>
    <w:rPr>
      <w:rFonts w:asciiTheme="minorHAnsi" w:cstheme="minorBidi" w:eastAsiaTheme="minorEastAsia" w:hAnsiTheme="minorHAnsi"/>
      <w:b w:val="1"/>
      <w:bCs w:val="1"/>
      <w:i w:val="1"/>
      <w:iCs w:val="1"/>
      <w:sz w:val="26"/>
      <w:szCs w:val="26"/>
      <w:lang w:eastAsia="en-US" w:val="en-US"/>
    </w:rPr>
  </w:style>
  <w:style w:type="paragraph" w:styleId="Ttulo6">
    <w:name w:val="heading 6"/>
    <w:basedOn w:val="Normal"/>
    <w:next w:val="Normal"/>
    <w:link w:val="Ttulo6Car"/>
    <w:uiPriority w:val="9"/>
    <w:semiHidden w:val="1"/>
    <w:unhideWhenUsed w:val="1"/>
    <w:qFormat w:val="1"/>
    <w:rsid w:val="003B73CD"/>
    <w:pPr>
      <w:tabs>
        <w:tab w:val="num" w:pos="4320"/>
      </w:tabs>
      <w:spacing w:after="60" w:before="240"/>
      <w:ind w:left="4320" w:hanging="720"/>
      <w:outlineLvl w:val="5"/>
    </w:pPr>
    <w:rPr>
      <w:b w:val="1"/>
      <w:bCs w:val="1"/>
      <w:sz w:val="22"/>
      <w:szCs w:val="22"/>
      <w:lang w:eastAsia="en-US" w:val="en-US"/>
    </w:rPr>
  </w:style>
  <w:style w:type="paragraph" w:styleId="Ttulo7">
    <w:name w:val="heading 7"/>
    <w:basedOn w:val="Normal"/>
    <w:next w:val="Normal"/>
    <w:link w:val="Ttulo7Car"/>
    <w:uiPriority w:val="9"/>
    <w:semiHidden w:val="1"/>
    <w:unhideWhenUsed w:val="1"/>
    <w:qFormat w:val="1"/>
    <w:rsid w:val="003B73CD"/>
    <w:pPr>
      <w:tabs>
        <w:tab w:val="num" w:pos="5040"/>
      </w:tabs>
      <w:spacing w:after="60" w:before="240"/>
      <w:ind w:left="5040" w:hanging="720"/>
      <w:outlineLvl w:val="6"/>
    </w:pPr>
    <w:rPr>
      <w:rFonts w:asciiTheme="minorHAnsi" w:cstheme="minorBidi" w:eastAsiaTheme="minorEastAsia" w:hAnsiTheme="minorHAnsi"/>
      <w:lang w:eastAsia="en-US" w:val="en-US"/>
    </w:rPr>
  </w:style>
  <w:style w:type="paragraph" w:styleId="Ttulo8">
    <w:name w:val="heading 8"/>
    <w:basedOn w:val="Normal"/>
    <w:next w:val="Normal"/>
    <w:link w:val="Ttulo8Car"/>
    <w:uiPriority w:val="9"/>
    <w:semiHidden w:val="1"/>
    <w:unhideWhenUsed w:val="1"/>
    <w:qFormat w:val="1"/>
    <w:rsid w:val="003B73CD"/>
    <w:pPr>
      <w:tabs>
        <w:tab w:val="num" w:pos="5760"/>
      </w:tabs>
      <w:spacing w:after="60" w:before="240"/>
      <w:ind w:left="5760" w:hanging="720"/>
      <w:outlineLvl w:val="7"/>
    </w:pPr>
    <w:rPr>
      <w:rFonts w:asciiTheme="minorHAnsi" w:cstheme="minorBidi" w:eastAsiaTheme="minorEastAsia" w:hAnsiTheme="minorHAnsi"/>
      <w:i w:val="1"/>
      <w:iCs w:val="1"/>
      <w:lang w:eastAsia="en-US" w:val="en-US"/>
    </w:rPr>
  </w:style>
  <w:style w:type="paragraph" w:styleId="Ttulo9">
    <w:name w:val="heading 9"/>
    <w:basedOn w:val="Normal"/>
    <w:next w:val="Normal"/>
    <w:link w:val="Ttulo9Car"/>
    <w:uiPriority w:val="9"/>
    <w:semiHidden w:val="1"/>
    <w:unhideWhenUsed w:val="1"/>
    <w:qFormat w:val="1"/>
    <w:rsid w:val="003B73CD"/>
    <w:pPr>
      <w:tabs>
        <w:tab w:val="num" w:pos="6480"/>
      </w:tabs>
      <w:spacing w:after="60" w:before="240"/>
      <w:ind w:left="6480" w:hanging="720"/>
      <w:outlineLvl w:val="8"/>
    </w:pPr>
    <w:rPr>
      <w:rFonts w:asciiTheme="majorHAnsi" w:cstheme="majorBidi" w:eastAsiaTheme="majorEastAsia" w:hAnsiTheme="majorHAnsi"/>
      <w:sz w:val="22"/>
      <w:szCs w:val="22"/>
      <w:lang w:eastAsia="en-US" w:val="en-U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Puest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30" w:customStyle="1">
    <w:name w:val="Table Normal3"/>
    <w:tblPr>
      <w:tblCellMar>
        <w:top w:w="0.0" w:type="dxa"/>
        <w:left w:w="0.0" w:type="dxa"/>
        <w:bottom w:w="0.0" w:type="dxa"/>
        <w:right w:w="0.0" w:type="dxa"/>
      </w:tblCellMar>
    </w:tblPr>
  </w:style>
  <w:style w:type="table" w:styleId="TableNormal20" w:customStyle="1">
    <w:name w:val="Table Normal2"/>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val="1"/>
    <w:rsid w:val="0070703E"/>
    <w:pPr>
      <w:ind w:left="720"/>
      <w:contextualSpacing w:val="1"/>
    </w:pPr>
  </w:style>
  <w:style w:type="character" w:styleId="Hipervnculo">
    <w:name w:val="Hyperlink"/>
    <w:basedOn w:val="Fuentedeprrafopredeter"/>
    <w:uiPriority w:val="99"/>
    <w:unhideWhenUsed w:val="1"/>
    <w:rsid w:val="00FD7589"/>
    <w:rPr>
      <w:color w:val="0000ff"/>
      <w:u w:val="single"/>
    </w:rPr>
  </w:style>
  <w:style w:type="character" w:styleId="apple-converted-space" w:customStyle="1">
    <w:name w:val="apple-converted-space"/>
    <w:basedOn w:val="Fuentedeprrafopredeter"/>
    <w:rsid w:val="00FD7589"/>
  </w:style>
  <w:style w:type="paragraph" w:styleId="Listavistosa-nfasis11" w:customStyle="1">
    <w:name w:val="Lista vistosa - Énfasis 11"/>
    <w:basedOn w:val="Normal"/>
    <w:link w:val="Listavistosa-nfasis1Car"/>
    <w:uiPriority w:val="34"/>
    <w:qFormat w:val="1"/>
    <w:rsid w:val="000D2D89"/>
    <w:pPr>
      <w:ind w:left="708"/>
    </w:pPr>
  </w:style>
  <w:style w:type="character" w:styleId="Listavistosa-nfasis1Car" w:customStyle="1">
    <w:name w:val="Lista vistosa - Énfasis 1 Car"/>
    <w:link w:val="Listavistosa-nfasis11"/>
    <w:uiPriority w:val="34"/>
    <w:locked w:val="1"/>
    <w:rsid w:val="000D2D89"/>
    <w:rPr>
      <w:rFonts w:ascii="Times New Roman" w:cs="Times New Roman" w:eastAsia="Times New Roman" w:hAnsi="Times New Roman"/>
      <w:lang w:val="es-ES"/>
    </w:rPr>
  </w:style>
  <w:style w:type="paragraph" w:styleId="Texto" w:customStyle="1">
    <w:name w:val="Texto"/>
    <w:basedOn w:val="Normal"/>
    <w:link w:val="TextoCar"/>
    <w:rsid w:val="000470FE"/>
    <w:pPr>
      <w:spacing w:after="101" w:line="216" w:lineRule="exact"/>
      <w:ind w:firstLine="288"/>
      <w:jc w:val="both"/>
    </w:pPr>
    <w:rPr>
      <w:rFonts w:ascii="Arial" w:cs="Arial" w:hAnsi="Arial"/>
      <w:sz w:val="18"/>
      <w:szCs w:val="18"/>
    </w:rPr>
  </w:style>
  <w:style w:type="paragraph" w:styleId="NormalWeb">
    <w:name w:val="Normal (Web)"/>
    <w:basedOn w:val="Normal"/>
    <w:uiPriority w:val="99"/>
    <w:rsid w:val="000470FE"/>
    <w:pPr>
      <w:spacing w:after="100" w:afterAutospacing="1" w:before="100" w:beforeAutospacing="1"/>
    </w:pPr>
  </w:style>
  <w:style w:type="character" w:styleId="apple-style-span" w:customStyle="1">
    <w:name w:val="apple-style-span"/>
    <w:rsid w:val="008846E7"/>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val="1"/>
    <w:locked w:val="1"/>
    <w:rsid w:val="007E1FF4"/>
    <w:rPr>
      <w:rFonts w:ascii="Times New Roman" w:cs="Times New Roman" w:eastAsia="Times New Roman" w:hAnsi="Times New Roman"/>
      <w:lang w:val="es-ES"/>
    </w:rPr>
  </w:style>
  <w:style w:type="character" w:styleId="Textoennegrita">
    <w:name w:val="Strong"/>
    <w:uiPriority w:val="22"/>
    <w:qFormat w:val="1"/>
    <w:rsid w:val="003D1B5F"/>
    <w:rPr>
      <w:b w:val="1"/>
      <w:bCs w:val="1"/>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2944C8"/>
    <w:rPr>
      <w:rFonts w:asciiTheme="minorHAnsi" w:cstheme="minorBidi" w:eastAsiaTheme="minorHAnsi" w:hAnsiTheme="minorHAnsi"/>
      <w:sz w:val="20"/>
      <w:szCs w:val="20"/>
      <w:lang w:eastAsia="en-US"/>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val="1"/>
    <w:qFormat w:val="1"/>
    <w:rsid w:val="002944C8"/>
    <w:rPr>
      <w:vertAlign w:val="superscript"/>
    </w:rPr>
  </w:style>
  <w:style w:type="paragraph" w:styleId="Sinespaciado">
    <w:name w:val="No Spacing"/>
    <w:aliases w:val="Francesa"/>
    <w:link w:val="SinespaciadoCar"/>
    <w:uiPriority w:val="1"/>
    <w:qFormat w:val="1"/>
    <w:rsid w:val="002944C8"/>
  </w:style>
  <w:style w:type="paragraph" w:styleId="Textoindependiente2">
    <w:name w:val="Body Text 2"/>
    <w:basedOn w:val="Normal"/>
    <w:link w:val="Textoindependiente2Car"/>
    <w:uiPriority w:val="99"/>
    <w:unhideWhenUsed w:val="1"/>
    <w:rsid w:val="002944C8"/>
    <w:pPr>
      <w:spacing w:after="120" w:line="480" w:lineRule="auto"/>
    </w:pPr>
  </w:style>
  <w:style w:type="character" w:styleId="Textoindependiente2Car" w:customStyle="1">
    <w:name w:val="Texto independiente 2 Car"/>
    <w:basedOn w:val="Fuentedeprrafopredeter"/>
    <w:link w:val="Textoindependiente2"/>
    <w:uiPriority w:val="99"/>
    <w:rsid w:val="002944C8"/>
    <w:rPr>
      <w:rFonts w:ascii="Times New Roman" w:cs="Times New Roman" w:eastAsia="Times New Roman" w:hAnsi="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styleId="TextosinformatoCar" w:customStyle="1">
    <w:name w:val="Texto sin formato Car"/>
    <w:basedOn w:val="Fuentedeprrafopredeter"/>
    <w:link w:val="Textosinformato"/>
    <w:rsid w:val="002944C8"/>
    <w:rPr>
      <w:rFonts w:ascii="Courier New" w:cs="Times New Roman" w:eastAsia="Times New Roman" w:hAnsi="Courier New"/>
      <w:sz w:val="20"/>
      <w:szCs w:val="20"/>
      <w:lang w:val="es-ES"/>
    </w:rPr>
  </w:style>
  <w:style w:type="paragraph" w:styleId="Standard" w:customStyle="1">
    <w:name w:val="Standard"/>
    <w:rsid w:val="002944C8"/>
    <w:pPr>
      <w:widowControl w:val="0"/>
      <w:suppressAutoHyphens w:val="1"/>
      <w:autoSpaceDN w:val="0"/>
      <w:textAlignment w:val="baseline"/>
    </w:pPr>
    <w:rPr>
      <w:rFonts w:ascii="Liberation Serif" w:cs="Lohit Hindi" w:eastAsia="DejaVu Sans" w:hAnsi="Liberation Serif"/>
      <w:kern w:val="3"/>
      <w:lang w:bidi="hi-IN" w:eastAsia="zh-CN"/>
    </w:rPr>
  </w:style>
  <w:style w:type="character" w:styleId="negritas1" w:customStyle="1">
    <w:name w:val="negritas1"/>
    <w:rsid w:val="002944C8"/>
    <w:rPr>
      <w:rFonts w:ascii="Arial" w:cs="Arial" w:hAnsi="Arial" w:hint="default"/>
      <w:b w:val="1"/>
      <w:bCs w:val="1"/>
      <w:sz w:val="18"/>
      <w:szCs w:val="18"/>
    </w:rPr>
  </w:style>
  <w:style w:type="paragraph" w:styleId="Pa2" w:customStyle="1">
    <w:name w:val="Pa2"/>
    <w:basedOn w:val="Normal"/>
    <w:next w:val="Normal"/>
    <w:uiPriority w:val="99"/>
    <w:rsid w:val="002944C8"/>
    <w:pPr>
      <w:autoSpaceDE w:val="0"/>
      <w:autoSpaceDN w:val="0"/>
      <w:adjustRightInd w:val="0"/>
      <w:spacing w:line="240" w:lineRule="atLeast"/>
    </w:pPr>
    <w:rPr>
      <w:rFonts w:ascii="Helvetica" w:hAnsi="Helvetica"/>
      <w:lang w:eastAsia="es-ES_tradnl" w:val="es-ES_tradnl"/>
    </w:rPr>
  </w:style>
  <w:style w:type="paragraph" w:styleId="Default" w:customStyle="1">
    <w:name w:val="Default"/>
    <w:rsid w:val="002944C8"/>
    <w:pPr>
      <w:autoSpaceDE w:val="0"/>
      <w:autoSpaceDN w:val="0"/>
      <w:adjustRightInd w:val="0"/>
    </w:pPr>
    <w:rPr>
      <w:rFonts w:ascii="Arial" w:cs="Arial" w:hAnsi="Arial" w:eastAsiaTheme="minorHAnsi"/>
      <w:color w:val="000000"/>
      <w:lang w:eastAsia="en-US"/>
    </w:rPr>
  </w:style>
  <w:style w:type="character" w:styleId="f" w:customStyle="1">
    <w:name w:val="f"/>
    <w:basedOn w:val="Fuentedeprrafopredeter"/>
    <w:rsid w:val="002944C8"/>
  </w:style>
  <w:style w:type="paragraph" w:styleId="q" w:customStyle="1">
    <w:name w:val="q"/>
    <w:basedOn w:val="Normal"/>
    <w:rsid w:val="002944C8"/>
    <w:pPr>
      <w:spacing w:after="100" w:afterAutospacing="1" w:before="100" w:beforeAutospacing="1"/>
    </w:pPr>
  </w:style>
  <w:style w:type="character" w:styleId="d" w:customStyle="1">
    <w:name w:val="d"/>
    <w:basedOn w:val="Fuentedeprrafopredeter"/>
    <w:rsid w:val="002944C8"/>
  </w:style>
  <w:style w:type="character" w:styleId="b" w:customStyle="1">
    <w:name w:val="b"/>
    <w:basedOn w:val="Fuentedeprrafopredeter"/>
    <w:rsid w:val="002944C8"/>
  </w:style>
  <w:style w:type="character" w:styleId="k" w:customStyle="1">
    <w:name w:val="k"/>
    <w:basedOn w:val="Fuentedeprrafopredeter"/>
    <w:rsid w:val="002944C8"/>
  </w:style>
  <w:style w:type="character" w:styleId="h" w:customStyle="1">
    <w:name w:val="h"/>
    <w:basedOn w:val="Fuentedeprrafopredeter"/>
    <w:rsid w:val="002944C8"/>
  </w:style>
  <w:style w:type="character" w:styleId="Hipervnculovisitado">
    <w:name w:val="FollowedHyperlink"/>
    <w:basedOn w:val="Fuentedeprrafopredeter"/>
    <w:uiPriority w:val="99"/>
    <w:semiHidden w:val="1"/>
    <w:unhideWhenUsed w:val="1"/>
    <w:rsid w:val="002944C8"/>
    <w:rPr>
      <w:color w:val="800080" w:themeColor="followedHyperlink"/>
      <w:u w:val="single"/>
    </w:rPr>
  </w:style>
  <w:style w:type="character" w:styleId="CitaHTML">
    <w:name w:val="HTML Cite"/>
    <w:uiPriority w:val="99"/>
    <w:semiHidden w:val="1"/>
    <w:unhideWhenUsed w:val="1"/>
    <w:rsid w:val="00B85C7C"/>
    <w:rPr>
      <w:i w:val="1"/>
      <w:iCs w:val="1"/>
    </w:rPr>
  </w:style>
  <w:style w:type="character" w:styleId="SinespaciadoCar" w:customStyle="1">
    <w:name w:val="Sin espaciado Car"/>
    <w:aliases w:val="Francesa Car"/>
    <w:link w:val="Sinespaciado"/>
    <w:uiPriority w:val="1"/>
    <w:locked w:val="1"/>
    <w:rsid w:val="00270539"/>
    <w:rPr>
      <w:rFonts w:ascii="Times New Roman" w:cs="Times New Roman" w:eastAsia="Times New Roman" w:hAnsi="Times New Roman"/>
      <w:lang w:val="es-MX"/>
    </w:rPr>
  </w:style>
  <w:style w:type="character" w:styleId="medium" w:customStyle="1">
    <w:name w:val="medium"/>
    <w:basedOn w:val="Fuentedeprrafopredeter"/>
    <w:rsid w:val="00354DB7"/>
  </w:style>
  <w:style w:type="table" w:styleId="Tablaconcuadrcula">
    <w:name w:val="Table Grid"/>
    <w:basedOn w:val="Tablanormal"/>
    <w:uiPriority w:val="59"/>
    <w:rsid w:val="00BB3AE1"/>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numeroconsecutivo" w:customStyle="1">
    <w:name w:val="numeroconsecutivo"/>
    <w:basedOn w:val="Fuentedeprrafopredeter"/>
    <w:rsid w:val="00615060"/>
  </w:style>
  <w:style w:type="character" w:styleId="titulorubrolgt" w:customStyle="1">
    <w:name w:val="titulorubrolgt"/>
    <w:basedOn w:val="Fuentedeprrafopredeter"/>
    <w:rsid w:val="00615060"/>
  </w:style>
  <w:style w:type="character" w:styleId="ctr" w:customStyle="1">
    <w:name w:val="ctr"/>
    <w:basedOn w:val="Fuentedeprrafopredeter"/>
    <w:rsid w:val="00615060"/>
  </w:style>
  <w:style w:type="paragraph" w:styleId="Textonotaalfinal">
    <w:name w:val="endnote text"/>
    <w:basedOn w:val="Normal"/>
    <w:link w:val="TextonotaalfinalCar"/>
    <w:uiPriority w:val="99"/>
    <w:semiHidden w:val="1"/>
    <w:unhideWhenUsed w:val="1"/>
    <w:rsid w:val="00D25E88"/>
    <w:rPr>
      <w:sz w:val="20"/>
      <w:szCs w:val="20"/>
    </w:rPr>
  </w:style>
  <w:style w:type="character" w:styleId="TextonotaalfinalCar" w:customStyle="1">
    <w:name w:val="Texto nota al final Car"/>
    <w:basedOn w:val="Fuentedeprrafopredeter"/>
    <w:link w:val="Textonotaalfinal"/>
    <w:uiPriority w:val="99"/>
    <w:semiHidden w:val="1"/>
    <w:rsid w:val="00D25E88"/>
    <w:rPr>
      <w:rFonts w:ascii="Times New Roman" w:cs="Times New Roman" w:eastAsia="Times New Roman" w:hAnsi="Times New Roman"/>
      <w:sz w:val="20"/>
      <w:szCs w:val="20"/>
      <w:lang w:val="es-ES"/>
    </w:rPr>
  </w:style>
  <w:style w:type="character" w:styleId="Refdenotaalfinal">
    <w:name w:val="endnote reference"/>
    <w:basedOn w:val="Fuentedeprrafopredeter"/>
    <w:uiPriority w:val="99"/>
    <w:semiHidden w:val="1"/>
    <w:unhideWhenUsed w:val="1"/>
    <w:rsid w:val="00D25E88"/>
    <w:rPr>
      <w:vertAlign w:val="superscript"/>
    </w:rPr>
  </w:style>
  <w:style w:type="character" w:styleId="A1" w:customStyle="1">
    <w:name w:val="A1"/>
    <w:uiPriority w:val="99"/>
    <w:rsid w:val="00EC4ECD"/>
    <w:rPr>
      <w:rFonts w:ascii="Myriad Pro" w:cs="Myriad Pro" w:hAnsi="Myriad Pro" w:hint="default"/>
      <w:color w:val="000000"/>
      <w:sz w:val="22"/>
      <w:szCs w:val="22"/>
    </w:rPr>
  </w:style>
  <w:style w:type="paragraph" w:styleId="Pa9" w:customStyle="1">
    <w:name w:val="Pa9"/>
    <w:basedOn w:val="Normal"/>
    <w:next w:val="Normal"/>
    <w:uiPriority w:val="99"/>
    <w:rsid w:val="00EC4ECD"/>
    <w:pPr>
      <w:autoSpaceDE w:val="0"/>
      <w:autoSpaceDN w:val="0"/>
      <w:adjustRightInd w:val="0"/>
      <w:spacing w:line="241" w:lineRule="atLeast"/>
    </w:pPr>
    <w:rPr>
      <w:rFonts w:ascii="Myriad Pro" w:hAnsi="Myriad Pro" w:cstheme="minorBidi" w:eastAsiaTheme="minorHAnsi"/>
      <w:lang w:eastAsia="en-US"/>
    </w:rPr>
  </w:style>
  <w:style w:type="paragraph" w:styleId="Pa5" w:customStyle="1">
    <w:name w:val="Pa5"/>
    <w:basedOn w:val="Normal"/>
    <w:next w:val="Normal"/>
    <w:uiPriority w:val="99"/>
    <w:rsid w:val="00EC4ECD"/>
    <w:pPr>
      <w:autoSpaceDE w:val="0"/>
      <w:autoSpaceDN w:val="0"/>
      <w:adjustRightInd w:val="0"/>
      <w:spacing w:line="201" w:lineRule="atLeast"/>
    </w:pPr>
    <w:rPr>
      <w:rFonts w:ascii="Myriad Pro" w:hAnsi="Myriad Pro" w:cstheme="minorBidi" w:eastAsiaTheme="minorHAnsi"/>
      <w:lang w:eastAsia="en-US"/>
    </w:rPr>
  </w:style>
  <w:style w:type="paragraph" w:styleId="m5127500252372250437gmail-paragraph" w:customStyle="1">
    <w:name w:val="m_5127500252372250437gmail-paragraph"/>
    <w:basedOn w:val="Normal"/>
    <w:rsid w:val="00980B7E"/>
    <w:pPr>
      <w:spacing w:after="100" w:afterAutospacing="1" w:before="100" w:beforeAutospacing="1"/>
    </w:pPr>
  </w:style>
  <w:style w:type="character" w:styleId="nombrefraccder" w:customStyle="1">
    <w:name w:val="nombrefraccder"/>
    <w:basedOn w:val="Fuentedeprrafopredeter"/>
    <w:rsid w:val="009B4A68"/>
  </w:style>
  <w:style w:type="character" w:styleId="numberfraccder" w:customStyle="1">
    <w:name w:val="numberfraccder"/>
    <w:basedOn w:val="Fuentedeprrafopredeter"/>
    <w:rsid w:val="009B4A68"/>
  </w:style>
  <w:style w:type="character" w:styleId="TextoCar" w:customStyle="1">
    <w:name w:val="Texto Car"/>
    <w:link w:val="Texto"/>
    <w:locked w:val="1"/>
    <w:rsid w:val="002B0963"/>
    <w:rPr>
      <w:rFonts w:ascii="Arial" w:cs="Arial" w:eastAsia="Times New Roman" w:hAnsi="Arial"/>
      <w:sz w:val="18"/>
      <w:szCs w:val="18"/>
      <w:lang w:val="es-MX"/>
    </w:rPr>
  </w:style>
  <w:style w:type="character" w:styleId="nfasis">
    <w:name w:val="Emphasis"/>
    <w:basedOn w:val="Fuentedeprrafopredeter"/>
    <w:uiPriority w:val="20"/>
    <w:qFormat w:val="1"/>
    <w:rsid w:val="00C536F2"/>
    <w:rPr>
      <w:i w:val="1"/>
      <w:iCs w:val="1"/>
    </w:rPr>
  </w:style>
  <w:style w:type="character" w:styleId="normaltextrun" w:customStyle="1">
    <w:name w:val="normaltextrun"/>
    <w:basedOn w:val="Fuentedeprrafopredeter"/>
    <w:rsid w:val="0011437B"/>
  </w:style>
  <w:style w:type="character" w:styleId="m5127500252372250437gmail-normaltextrun" w:customStyle="1">
    <w:name w:val="m_5127500252372250437gmail-normaltextrun"/>
    <w:basedOn w:val="Fuentedeprrafopredeter"/>
    <w:rsid w:val="0011437B"/>
  </w:style>
  <w:style w:type="paragraph" w:styleId="m-60081275284358516gmail-msolistparagraph" w:customStyle="1">
    <w:name w:val="m_-60081275284358516gmail-msolistparagraph"/>
    <w:basedOn w:val="Normal"/>
    <w:rsid w:val="00207C90"/>
    <w:pPr>
      <w:spacing w:after="100" w:afterAutospacing="1" w:before="100" w:beforeAutospacing="1"/>
    </w:pPr>
  </w:style>
  <w:style w:type="paragraph" w:styleId="ANOTACION" w:customStyle="1">
    <w:name w:val="ANOTACION"/>
    <w:basedOn w:val="Normal"/>
    <w:link w:val="ANOTACIONCar"/>
    <w:rsid w:val="001B5A73"/>
    <w:pPr>
      <w:spacing w:after="101" w:before="101" w:line="216" w:lineRule="atLeast"/>
      <w:jc w:val="center"/>
    </w:pPr>
    <w:rPr>
      <w:b w:val="1"/>
      <w:sz w:val="18"/>
      <w:szCs w:val="20"/>
      <w:lang w:val="es-ES_tradnl"/>
    </w:rPr>
  </w:style>
  <w:style w:type="character" w:styleId="ANOTACIONCar" w:customStyle="1">
    <w:name w:val="ANOTACION Car"/>
    <w:link w:val="ANOTACION"/>
    <w:locked w:val="1"/>
    <w:rsid w:val="001B5A73"/>
    <w:rPr>
      <w:rFonts w:ascii="Times New Roman" w:cs="Times New Roman" w:eastAsia="Times New Roman" w:hAnsi="Times New Roman"/>
      <w:b w:val="1"/>
      <w:sz w:val="18"/>
      <w:szCs w:val="20"/>
    </w:rPr>
  </w:style>
  <w:style w:type="paragraph" w:styleId="j" w:customStyle="1">
    <w:name w:val="j"/>
    <w:basedOn w:val="Normal"/>
    <w:rsid w:val="007B00BD"/>
    <w:pPr>
      <w:spacing w:after="100" w:afterAutospacing="1" w:before="100" w:beforeAutospacing="1"/>
    </w:pPr>
  </w:style>
  <w:style w:type="character" w:styleId="nacep" w:customStyle="1">
    <w:name w:val="n_acep"/>
    <w:basedOn w:val="Fuentedeprrafopredeter"/>
    <w:rsid w:val="007B00BD"/>
  </w:style>
  <w:style w:type="paragraph" w:styleId="k5" w:customStyle="1">
    <w:name w:val="k5"/>
    <w:basedOn w:val="Normal"/>
    <w:rsid w:val="007B00BD"/>
    <w:pPr>
      <w:spacing w:after="100" w:afterAutospacing="1" w:before="100" w:beforeAutospacing="1"/>
    </w:pPr>
  </w:style>
  <w:style w:type="paragraph" w:styleId="m" w:customStyle="1">
    <w:name w:val="m"/>
    <w:basedOn w:val="Normal"/>
    <w:rsid w:val="007B00BD"/>
    <w:pPr>
      <w:spacing w:after="100" w:afterAutospacing="1" w:before="100" w:beforeAutospacing="1"/>
    </w:pPr>
  </w:style>
  <w:style w:type="character" w:styleId="Refdecomentario">
    <w:name w:val="annotation reference"/>
    <w:basedOn w:val="Fuentedeprrafopredeter"/>
    <w:uiPriority w:val="99"/>
    <w:semiHidden w:val="1"/>
    <w:unhideWhenUsed w:val="1"/>
    <w:rsid w:val="003219FE"/>
    <w:rPr>
      <w:sz w:val="16"/>
      <w:szCs w:val="16"/>
    </w:rPr>
  </w:style>
  <w:style w:type="paragraph" w:styleId="Textocomentario">
    <w:name w:val="annotation text"/>
    <w:basedOn w:val="Normal"/>
    <w:link w:val="TextocomentarioCar"/>
    <w:uiPriority w:val="99"/>
    <w:semiHidden w:val="1"/>
    <w:unhideWhenUsed w:val="1"/>
    <w:rsid w:val="003219FE"/>
    <w:rPr>
      <w:sz w:val="20"/>
      <w:szCs w:val="20"/>
    </w:rPr>
  </w:style>
  <w:style w:type="character" w:styleId="TextocomentarioCar" w:customStyle="1">
    <w:name w:val="Texto comentario Car"/>
    <w:basedOn w:val="Fuentedeprrafopredeter"/>
    <w:link w:val="Textocomentario"/>
    <w:uiPriority w:val="99"/>
    <w:semiHidden w:val="1"/>
    <w:rsid w:val="003219FE"/>
    <w:rPr>
      <w:rFonts w:ascii="Times New Roman" w:cs="Times New Roman" w:eastAsia="Times New Roman" w:hAnsi="Times New Roman"/>
      <w:sz w:val="20"/>
      <w:szCs w:val="20"/>
      <w:lang w:val="es-ES"/>
    </w:rPr>
  </w:style>
  <w:style w:type="paragraph" w:styleId="Asuntodelcomentario">
    <w:name w:val="annotation subject"/>
    <w:basedOn w:val="Textocomentario"/>
    <w:next w:val="Textocomentario"/>
    <w:link w:val="AsuntodelcomentarioCar"/>
    <w:uiPriority w:val="99"/>
    <w:semiHidden w:val="1"/>
    <w:unhideWhenUsed w:val="1"/>
    <w:rsid w:val="003219FE"/>
    <w:rPr>
      <w:b w:val="1"/>
      <w:bCs w:val="1"/>
    </w:rPr>
  </w:style>
  <w:style w:type="character" w:styleId="AsuntodelcomentarioCar" w:customStyle="1">
    <w:name w:val="Asunto del comentario Car"/>
    <w:basedOn w:val="TextocomentarioCar"/>
    <w:link w:val="Asuntodelcomentario"/>
    <w:uiPriority w:val="99"/>
    <w:semiHidden w:val="1"/>
    <w:rsid w:val="003219FE"/>
    <w:rPr>
      <w:rFonts w:ascii="Times New Roman" w:cs="Times New Roman" w:eastAsia="Times New Roman" w:hAnsi="Times New Roman"/>
      <w:b w:val="1"/>
      <w:bCs w:val="1"/>
      <w:sz w:val="20"/>
      <w:szCs w:val="20"/>
      <w:lang w:val="es-ES"/>
    </w:rPr>
  </w:style>
  <w:style w:type="paragraph" w:styleId="FAFunotente1" w:customStyle="1">
    <w:name w:val="FA Fu?notente1"/>
    <w:basedOn w:val="Normal"/>
    <w:next w:val="Textonotapie"/>
    <w:uiPriority w:val="99"/>
    <w:unhideWhenUsed w:val="1"/>
    <w:rsid w:val="00A403D3"/>
    <w:rPr>
      <w:rFonts w:eastAsia="Cambria" w:asciiTheme="minorHAnsi" w:cstheme="minorBidi" w:hAnsiTheme="minorHAnsi"/>
      <w:sz w:val="20"/>
      <w:szCs w:val="20"/>
      <w:lang w:eastAsia="en-US"/>
    </w:rPr>
  </w:style>
  <w:style w:type="character" w:styleId="Ttulo1Car" w:customStyle="1">
    <w:name w:val="Título 1 Car"/>
    <w:basedOn w:val="Fuentedeprrafopredeter"/>
    <w:link w:val="Ttulo1"/>
    <w:uiPriority w:val="9"/>
    <w:rsid w:val="00603D72"/>
    <w:rPr>
      <w:rFonts w:asciiTheme="majorHAnsi" w:cstheme="majorBidi" w:eastAsiaTheme="majorEastAsia" w:hAnsiTheme="majorHAnsi"/>
      <w:color w:val="365f91" w:themeColor="accent1" w:themeShade="0000BF"/>
      <w:sz w:val="32"/>
      <w:szCs w:val="32"/>
      <w:lang w:val="es-ES"/>
    </w:rPr>
  </w:style>
  <w:style w:type="character" w:styleId="Ttulo2Car" w:customStyle="1">
    <w:name w:val="Título 2 Car"/>
    <w:basedOn w:val="Fuentedeprrafopredeter"/>
    <w:link w:val="Ttulo2"/>
    <w:uiPriority w:val="9"/>
    <w:rsid w:val="00603D72"/>
    <w:rPr>
      <w:rFonts w:asciiTheme="majorHAnsi" w:cstheme="majorBidi" w:eastAsiaTheme="majorEastAsia" w:hAnsiTheme="majorHAnsi"/>
      <w:color w:val="365f91" w:themeColor="accent1" w:themeShade="0000BF"/>
      <w:sz w:val="26"/>
      <w:szCs w:val="26"/>
      <w:lang w:val="es-ES"/>
    </w:rPr>
  </w:style>
  <w:style w:type="paragraph" w:styleId="Lista">
    <w:name w:val="List"/>
    <w:basedOn w:val="Normal"/>
    <w:uiPriority w:val="99"/>
    <w:unhideWhenUsed w:val="1"/>
    <w:rsid w:val="00603D72"/>
    <w:pPr>
      <w:ind w:left="283" w:hanging="283"/>
      <w:contextualSpacing w:val="1"/>
    </w:pPr>
  </w:style>
  <w:style w:type="paragraph" w:styleId="Lista2">
    <w:name w:val="List 2"/>
    <w:basedOn w:val="Normal"/>
    <w:uiPriority w:val="99"/>
    <w:unhideWhenUsed w:val="1"/>
    <w:rsid w:val="00603D72"/>
    <w:pPr>
      <w:ind w:left="566" w:hanging="283"/>
      <w:contextualSpacing w:val="1"/>
    </w:pPr>
  </w:style>
  <w:style w:type="paragraph" w:styleId="Lista3">
    <w:name w:val="List 3"/>
    <w:basedOn w:val="Normal"/>
    <w:uiPriority w:val="99"/>
    <w:unhideWhenUsed w:val="1"/>
    <w:rsid w:val="00603D72"/>
    <w:pPr>
      <w:ind w:left="849" w:hanging="283"/>
      <w:contextualSpacing w:val="1"/>
    </w:pPr>
  </w:style>
  <w:style w:type="paragraph" w:styleId="Listaconvietas3">
    <w:name w:val="List Bullet 3"/>
    <w:basedOn w:val="Normal"/>
    <w:uiPriority w:val="99"/>
    <w:unhideWhenUsed w:val="1"/>
    <w:rsid w:val="00603D72"/>
    <w:pPr>
      <w:numPr>
        <w:numId w:val="2"/>
      </w:numPr>
      <w:contextualSpacing w:val="1"/>
    </w:pPr>
  </w:style>
  <w:style w:type="paragraph" w:styleId="Continuarlista">
    <w:name w:val="List Continue"/>
    <w:basedOn w:val="Normal"/>
    <w:uiPriority w:val="99"/>
    <w:unhideWhenUsed w:val="1"/>
    <w:rsid w:val="00603D72"/>
    <w:pPr>
      <w:spacing w:after="120"/>
      <w:ind w:left="283"/>
      <w:contextualSpacing w:val="1"/>
    </w:pPr>
  </w:style>
  <w:style w:type="paragraph" w:styleId="Continuarlista2">
    <w:name w:val="List Continue 2"/>
    <w:basedOn w:val="Normal"/>
    <w:uiPriority w:val="99"/>
    <w:unhideWhenUsed w:val="1"/>
    <w:rsid w:val="00603D72"/>
    <w:pPr>
      <w:spacing w:after="120"/>
      <w:ind w:left="566"/>
      <w:contextualSpacing w:val="1"/>
    </w:pPr>
  </w:style>
  <w:style w:type="paragraph" w:styleId="Textoindependiente">
    <w:name w:val="Body Text"/>
    <w:basedOn w:val="Normal"/>
    <w:link w:val="TextoindependienteCar"/>
    <w:uiPriority w:val="99"/>
    <w:unhideWhenUsed w:val="1"/>
    <w:rsid w:val="00603D72"/>
    <w:pPr>
      <w:spacing w:after="120"/>
    </w:pPr>
  </w:style>
  <w:style w:type="character" w:styleId="TextoindependienteCar" w:customStyle="1">
    <w:name w:val="Texto independiente Car"/>
    <w:basedOn w:val="Fuentedeprrafopredeter"/>
    <w:link w:val="Textoindependiente"/>
    <w:uiPriority w:val="99"/>
    <w:rsid w:val="00603D72"/>
    <w:rPr>
      <w:rFonts w:ascii="Times New Roman" w:cs="Times New Roman" w:eastAsia="Times New Roman" w:hAnsi="Times New Roman"/>
      <w:lang w:val="es-ES"/>
    </w:rPr>
  </w:style>
  <w:style w:type="paragraph" w:styleId="Sangradetextonormal">
    <w:name w:val="Body Text Indent"/>
    <w:basedOn w:val="Normal"/>
    <w:link w:val="SangradetextonormalCar"/>
    <w:uiPriority w:val="99"/>
    <w:semiHidden w:val="1"/>
    <w:unhideWhenUsed w:val="1"/>
    <w:rsid w:val="00603D72"/>
    <w:pPr>
      <w:spacing w:after="120"/>
      <w:ind w:left="283"/>
    </w:pPr>
  </w:style>
  <w:style w:type="character" w:styleId="SangradetextonormalCar" w:customStyle="1">
    <w:name w:val="Sangría de texto normal Car"/>
    <w:basedOn w:val="Fuentedeprrafopredeter"/>
    <w:link w:val="Sangradetextonormal"/>
    <w:uiPriority w:val="99"/>
    <w:semiHidden w:val="1"/>
    <w:rsid w:val="00603D72"/>
    <w:rPr>
      <w:rFonts w:ascii="Times New Roman" w:cs="Times New Roman" w:eastAsia="Times New Roman" w:hAnsi="Times New Roman"/>
      <w:lang w:val="es-ES"/>
    </w:rPr>
  </w:style>
  <w:style w:type="paragraph" w:styleId="Textoindependienteprimerasangra2">
    <w:name w:val="Body Text First Indent 2"/>
    <w:basedOn w:val="Sangradetextonormal"/>
    <w:link w:val="Textoindependienteprimerasangra2Car"/>
    <w:uiPriority w:val="99"/>
    <w:unhideWhenUsed w:val="1"/>
    <w:rsid w:val="00603D72"/>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603D72"/>
    <w:rPr>
      <w:rFonts w:ascii="Times New Roman" w:cs="Times New Roman" w:eastAsia="Times New Roman" w:hAnsi="Times New Roman"/>
      <w:lang w:val="es-ES"/>
    </w:rPr>
  </w:style>
  <w:style w:type="paragraph" w:styleId="paragraph" w:customStyle="1">
    <w:name w:val="paragraph"/>
    <w:basedOn w:val="Normal"/>
    <w:rsid w:val="00E34821"/>
    <w:pPr>
      <w:spacing w:after="100" w:afterAutospacing="1" w:before="100" w:beforeAutospacing="1"/>
    </w:pPr>
  </w:style>
  <w:style w:type="paragraph" w:styleId="n2" w:customStyle="1">
    <w:name w:val="n2"/>
    <w:basedOn w:val="Normal"/>
    <w:rsid w:val="009D307C"/>
    <w:pPr>
      <w:spacing w:after="100" w:afterAutospacing="1" w:before="100" w:beforeAutospacing="1"/>
    </w:pPr>
  </w:style>
  <w:style w:type="character" w:styleId="u" w:customStyle="1">
    <w:name w:val="u"/>
    <w:basedOn w:val="Fuentedeprrafopredeter"/>
    <w:rsid w:val="009D307C"/>
  </w:style>
  <w:style w:type="paragraph" w:styleId="j1" w:customStyle="1">
    <w:name w:val="j1"/>
    <w:basedOn w:val="Normal"/>
    <w:rsid w:val="009D307C"/>
    <w:pPr>
      <w:spacing w:after="100" w:afterAutospacing="1" w:before="100" w:beforeAutospacing="1"/>
    </w:pPr>
  </w:style>
  <w:style w:type="paragraph" w:styleId="j2" w:customStyle="1">
    <w:name w:val="j2"/>
    <w:basedOn w:val="Normal"/>
    <w:rsid w:val="009D307C"/>
    <w:pPr>
      <w:spacing w:after="100" w:afterAutospacing="1" w:before="100" w:beforeAutospacing="1"/>
    </w:pPr>
  </w:style>
  <w:style w:type="table" w:styleId="Tabladelista1clara-nfasis1">
    <w:name w:val="List Table 1 Light Accent 1"/>
    <w:basedOn w:val="Tablanormal"/>
    <w:uiPriority w:val="46"/>
    <w:rsid w:val="00A01B91"/>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457753"/>
    <w:rPr>
      <w:color w:val="605e5c"/>
      <w:shd w:color="auto" w:fill="e1dfdd" w:val="clear"/>
    </w:rPr>
  </w:style>
  <w:style w:type="character" w:styleId="Mencinsinresolver2" w:customStyle="1">
    <w:name w:val="Mención sin resolver2"/>
    <w:basedOn w:val="Fuentedeprrafopredeter"/>
    <w:uiPriority w:val="99"/>
    <w:semiHidden w:val="1"/>
    <w:unhideWhenUsed w:val="1"/>
    <w:rsid w:val="00CE48D4"/>
    <w:rPr>
      <w:color w:val="605e5c"/>
      <w:shd w:color="auto" w:fill="e1dfdd" w:val="clear"/>
    </w:rPr>
  </w:style>
  <w:style w:type="table" w:styleId="Tabladelista1clara-nfasis11" w:customStyle="1">
    <w:name w:val="Tabla de lista 1 clara - Énfasis 11"/>
    <w:basedOn w:val="Tablanormal"/>
    <w:uiPriority w:val="46"/>
    <w:rsid w:val="008F79FD"/>
    <w:rPr>
      <w:rFonts w:eastAsia="MS Mincho"/>
    </w:rPr>
    <w:tblPr>
      <w:tblStyleRowBandSize w:val="1"/>
      <w:tblStyleColBandSize w:val="1"/>
      <w:tblInd w:w="0.0" w:type="dxa"/>
      <w:tblCellMar>
        <w:top w:w="0.0" w:type="dxa"/>
        <w:left w:w="108.0" w:type="dxa"/>
        <w:bottom w:w="0.0" w:type="dxa"/>
        <w:right w:w="108.0" w:type="dxa"/>
      </w:tblCellMar>
    </w:tblPr>
    <w:tblStylePr w:type="firstRow">
      <w:rPr>
        <w:b w:val="1"/>
        <w:bCs w:val="1"/>
      </w:rPr>
      <w:tblPr/>
      <w:tcPr>
        <w:tcBorders>
          <w:bottom w:color="95b3d7" w:space="0" w:sz="4" w:val="single"/>
        </w:tcBorders>
      </w:tcPr>
    </w:tblStylePr>
    <w:tblStylePr w:type="lastRow">
      <w:rPr>
        <w:b w:val="1"/>
        <w:bCs w:val="1"/>
      </w:rPr>
      <w:tblPr/>
      <w:tcPr>
        <w:tcBorders>
          <w:top w:color="95b3d7" w:space="0" w:sz="4" w:val="single"/>
        </w:tcBorders>
      </w:tcPr>
    </w:tblStylePr>
    <w:tblStylePr w:type="firstCol">
      <w:rPr>
        <w:b w:val="1"/>
        <w:bCs w:val="1"/>
      </w:rPr>
    </w:tblStylePr>
    <w:tblStylePr w:type="lastCol">
      <w:rPr>
        <w:b w:val="1"/>
        <w:bCs w:val="1"/>
      </w:rPr>
    </w:tblStylePr>
    <w:tblStylePr w:type="band1Vert">
      <w:tblPr/>
      <w:tcPr>
        <w:shd w:color="auto" w:fill="dbe5f1" w:val="clear"/>
      </w:tcPr>
    </w:tblStylePr>
    <w:tblStylePr w:type="band1Horz">
      <w:tblPr/>
      <w:tcPr>
        <w:shd w:color="auto" w:fill="dbe5f1" w:val="clear"/>
      </w:tcPr>
    </w:tblStylePr>
  </w:style>
  <w:style w:type="character" w:styleId="Ttulo3Car" w:customStyle="1">
    <w:name w:val="Título 3 Car"/>
    <w:basedOn w:val="Fuentedeprrafopredeter"/>
    <w:link w:val="Ttulo3"/>
    <w:uiPriority w:val="9"/>
    <w:semiHidden w:val="1"/>
    <w:rsid w:val="003B73CD"/>
    <w:rPr>
      <w:rFonts w:asciiTheme="majorHAnsi" w:cstheme="majorBidi" w:eastAsiaTheme="majorEastAsia" w:hAnsiTheme="majorHAnsi"/>
      <w:b w:val="1"/>
      <w:bCs w:val="1"/>
      <w:sz w:val="26"/>
      <w:szCs w:val="26"/>
      <w:lang w:eastAsia="en-US" w:val="en-US"/>
    </w:rPr>
  </w:style>
  <w:style w:type="character" w:styleId="Ttulo4Car" w:customStyle="1">
    <w:name w:val="Título 4 Car"/>
    <w:basedOn w:val="Fuentedeprrafopredeter"/>
    <w:link w:val="Ttulo4"/>
    <w:uiPriority w:val="9"/>
    <w:semiHidden w:val="1"/>
    <w:rsid w:val="003B73CD"/>
    <w:rPr>
      <w:b w:val="1"/>
      <w:bCs w:val="1"/>
      <w:sz w:val="28"/>
      <w:szCs w:val="28"/>
      <w:lang w:eastAsia="en-US" w:val="en-US"/>
    </w:rPr>
  </w:style>
  <w:style w:type="character" w:styleId="Ttulo5Car" w:customStyle="1">
    <w:name w:val="Título 5 Car"/>
    <w:basedOn w:val="Fuentedeprrafopredeter"/>
    <w:link w:val="Ttulo5"/>
    <w:uiPriority w:val="9"/>
    <w:semiHidden w:val="1"/>
    <w:rsid w:val="003B73CD"/>
    <w:rPr>
      <w:b w:val="1"/>
      <w:bCs w:val="1"/>
      <w:i w:val="1"/>
      <w:iCs w:val="1"/>
      <w:sz w:val="26"/>
      <w:szCs w:val="26"/>
      <w:lang w:eastAsia="en-US" w:val="en-US"/>
    </w:rPr>
  </w:style>
  <w:style w:type="character" w:styleId="Ttulo6Car" w:customStyle="1">
    <w:name w:val="Título 6 Car"/>
    <w:basedOn w:val="Fuentedeprrafopredeter"/>
    <w:link w:val="Ttulo6"/>
    <w:semiHidden w:val="1"/>
    <w:rsid w:val="003B73CD"/>
    <w:rPr>
      <w:rFonts w:ascii="Times New Roman" w:cs="Times New Roman" w:eastAsia="Times New Roman" w:hAnsi="Times New Roman"/>
      <w:b w:val="1"/>
      <w:bCs w:val="1"/>
      <w:sz w:val="22"/>
      <w:szCs w:val="22"/>
      <w:lang w:eastAsia="en-US" w:val="en-US"/>
    </w:rPr>
  </w:style>
  <w:style w:type="character" w:styleId="Ttulo7Car" w:customStyle="1">
    <w:name w:val="Título 7 Car"/>
    <w:basedOn w:val="Fuentedeprrafopredeter"/>
    <w:link w:val="Ttulo7"/>
    <w:uiPriority w:val="9"/>
    <w:semiHidden w:val="1"/>
    <w:rsid w:val="003B73CD"/>
    <w:rPr>
      <w:lang w:eastAsia="en-US" w:val="en-US"/>
    </w:rPr>
  </w:style>
  <w:style w:type="character" w:styleId="Ttulo8Car" w:customStyle="1">
    <w:name w:val="Título 8 Car"/>
    <w:basedOn w:val="Fuentedeprrafopredeter"/>
    <w:link w:val="Ttulo8"/>
    <w:uiPriority w:val="9"/>
    <w:semiHidden w:val="1"/>
    <w:rsid w:val="003B73CD"/>
    <w:rPr>
      <w:i w:val="1"/>
      <w:iCs w:val="1"/>
      <w:lang w:eastAsia="en-US" w:val="en-US"/>
    </w:rPr>
  </w:style>
  <w:style w:type="character" w:styleId="Ttulo9Car" w:customStyle="1">
    <w:name w:val="Título 9 Car"/>
    <w:basedOn w:val="Fuentedeprrafopredeter"/>
    <w:link w:val="Ttulo9"/>
    <w:uiPriority w:val="9"/>
    <w:semiHidden w:val="1"/>
    <w:rsid w:val="003B73CD"/>
    <w:rPr>
      <w:rFonts w:asciiTheme="majorHAnsi" w:cstheme="majorBidi" w:eastAsiaTheme="majorEastAsia" w:hAnsiTheme="majorHAnsi"/>
      <w:sz w:val="22"/>
      <w:szCs w:val="22"/>
      <w:lang w:eastAsia="en-US" w:val="en-US"/>
    </w:r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5" w:customStyle="1">
    <w:name w:val="5"/>
    <w:basedOn w:val="TableNormal10"/>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4" w:customStyle="1">
    <w:name w:val="4"/>
    <w:basedOn w:val="TableNormal10"/>
    <w:tblPr>
      <w:tblStyleRowBandSize w:val="1"/>
      <w:tblStyleColBandSize w:val="1"/>
      <w:tblCellMar>
        <w:top w:w="0.0" w:type="dxa"/>
        <w:left w:w="115.0" w:type="dxa"/>
        <w:bottom w:w="0.0" w:type="dxa"/>
        <w:right w:w="115.0" w:type="dxa"/>
      </w:tblCellMar>
    </w:tblPr>
  </w:style>
  <w:style w:type="table" w:styleId="3" w:customStyle="1">
    <w:name w:val="3"/>
    <w:basedOn w:val="TableNormal10"/>
    <w:tblPr>
      <w:tblStyleRowBandSize w:val="1"/>
      <w:tblStyleColBandSize w:val="1"/>
      <w:tblCellMar>
        <w:top w:w="0.0" w:type="dxa"/>
        <w:left w:w="115.0" w:type="dxa"/>
        <w:bottom w:w="0.0" w:type="dxa"/>
        <w:right w:w="115.0" w:type="dxa"/>
      </w:tblCellMar>
    </w:tblPr>
  </w:style>
  <w:style w:type="character" w:styleId="Mencinsinresolver3" w:customStyle="1">
    <w:name w:val="Mención sin resolver3"/>
    <w:basedOn w:val="Fuentedeprrafopredeter"/>
    <w:uiPriority w:val="99"/>
    <w:semiHidden w:val="1"/>
    <w:unhideWhenUsed w:val="1"/>
    <w:rsid w:val="0094565C"/>
    <w:rPr>
      <w:color w:val="605e5c"/>
      <w:shd w:color="auto" w:fill="e1dfdd" w:val="clear"/>
    </w:rPr>
  </w:style>
  <w:style w:type="table" w:styleId="2" w:customStyle="1">
    <w:name w:val="2"/>
    <w:basedOn w:val="TableNormal10"/>
    <w:tblPr>
      <w:tblStyleRowBandSize w:val="1"/>
      <w:tblStyleColBandSize w:val="1"/>
      <w:tblCellMar>
        <w:top w:w="0.0" w:type="dxa"/>
        <w:left w:w="115.0" w:type="dxa"/>
        <w:bottom w:w="0.0" w:type="dxa"/>
        <w:right w:w="115.0" w:type="dxa"/>
      </w:tblCellMar>
    </w:tblPr>
  </w:style>
  <w:style w:type="table" w:styleId="1" w:customStyle="1">
    <w:name w:val="1"/>
    <w:basedOn w:val="TableNormal10"/>
    <w:tblPr>
      <w:tblStyleRowBandSize w:val="1"/>
      <w:tblStyleColBandSize w:val="1"/>
      <w:tblCellMar>
        <w:top w:w="0.0" w:type="dxa"/>
        <w:left w:w="115.0" w:type="dxa"/>
        <w:bottom w:w="0.0" w:type="dxa"/>
        <w:right w:w="115.0" w:type="dxa"/>
      </w:tblCellMar>
    </w:tblPr>
  </w:style>
  <w:style w:type="table" w:styleId="9" w:customStyle="1">
    <w:name w:val="9"/>
    <w:basedOn w:val="TableNormal20"/>
    <w:tblPr>
      <w:tblStyleRowBandSize w:val="1"/>
      <w:tblStyleColBandSize w:val="1"/>
      <w:tblCellMar>
        <w:top w:w="0.0" w:type="dxa"/>
        <w:left w:w="115.0" w:type="dxa"/>
        <w:bottom w:w="0.0" w:type="dxa"/>
        <w:right w:w="115.0" w:type="dxa"/>
      </w:tblCellMar>
    </w:tblPr>
  </w:style>
  <w:style w:type="table" w:styleId="8" w:customStyle="1">
    <w:name w:val="8"/>
    <w:basedOn w:val="TableNormal20"/>
    <w:tblPr>
      <w:tblStyleRowBandSize w:val="1"/>
      <w:tblStyleColBandSize w:val="1"/>
      <w:tblCellMar>
        <w:top w:w="0.0" w:type="dxa"/>
        <w:left w:w="115.0" w:type="dxa"/>
        <w:bottom w:w="0.0" w:type="dxa"/>
        <w:right w:w="115.0" w:type="dxa"/>
      </w:tblCellMar>
    </w:tblPr>
  </w:style>
  <w:style w:type="table" w:styleId="7" w:customStyle="1">
    <w:name w:val="7"/>
    <w:basedOn w:val="TableNormal30"/>
    <w:tblPr>
      <w:tblStyleRowBandSize w:val="1"/>
      <w:tblStyleColBandSize w:val="1"/>
      <w:tblCellMar>
        <w:top w:w="0.0" w:type="dxa"/>
        <w:left w:w="115.0" w:type="dxa"/>
        <w:bottom w:w="0.0" w:type="dxa"/>
        <w:right w:w="115.0" w:type="dxa"/>
      </w:tblCellMar>
    </w:tblPr>
  </w:style>
  <w:style w:type="table" w:styleId="6" w:customStyle="1">
    <w:name w:val="6"/>
    <w:basedOn w:val="TableNormal30"/>
    <w:tblPr>
      <w:tblStyleRowBandSize w:val="1"/>
      <w:tblStyleColBandSize w:val="1"/>
      <w:tblCellMar>
        <w:top w:w="0.0" w:type="dxa"/>
        <w:left w:w="115.0" w:type="dxa"/>
        <w:bottom w:w="0.0" w:type="dxa"/>
        <w:right w:w="115.0" w:type="dxa"/>
      </w:tblCellMar>
    </w:tblPr>
  </w:style>
  <w:style w:type="table" w:styleId="a" w:customStyle="1">
    <w:basedOn w:val="TableNormal4"/>
    <w:tblPr>
      <w:tblStyleRowBandSize w:val="1"/>
      <w:tblStyleColBandSize w:val="1"/>
      <w:tblCellMar>
        <w:top w:w="0.0" w:type="dxa"/>
        <w:left w:w="115.0" w:type="dxa"/>
        <w:bottom w:w="0.0" w:type="dxa"/>
        <w:right w:w="115.0" w:type="dxa"/>
      </w:tblCellMar>
    </w:tblPr>
  </w:style>
  <w:style w:type="table" w:styleId="a0" w:customStyle="1">
    <w:basedOn w:val="TableNormal4"/>
    <w:tblPr>
      <w:tblStyleRowBandSize w:val="1"/>
      <w:tblStyleColBandSize w:val="1"/>
      <w:tblCellMar>
        <w:top w:w="0.0" w:type="dxa"/>
        <w:left w:w="115.0" w:type="dxa"/>
        <w:bottom w:w="0.0" w:type="dxa"/>
        <w:right w:w="115.0" w:type="dxa"/>
      </w:tblCellMar>
    </w:tblPr>
  </w:style>
  <w:style w:type="table" w:styleId="a2" w:customStyle="1">
    <w:basedOn w:val="TableNormal3"/>
    <w:tblPr>
      <w:tblStyleRowBandSize w:val="1"/>
      <w:tblStyleColBandSize w:val="1"/>
      <w:tblCellMar>
        <w:top w:w="0.0" w:type="dxa"/>
        <w:left w:w="115.0" w:type="dxa"/>
        <w:bottom w:w="0.0" w:type="dxa"/>
        <w:right w:w="115.0" w:type="dxa"/>
      </w:tblCellMar>
    </w:tblPr>
  </w:style>
  <w:style w:type="table" w:styleId="a3" w:customStyle="1">
    <w:basedOn w:val="TableNormal3"/>
    <w:tblPr>
      <w:tblStyleRowBandSize w:val="1"/>
      <w:tblStyleColBandSize w:val="1"/>
      <w:tblCellMar>
        <w:top w:w="0.0" w:type="dxa"/>
        <w:left w:w="115.0" w:type="dxa"/>
        <w:bottom w:w="0.0" w:type="dxa"/>
        <w:right w:w="115.0" w:type="dxa"/>
      </w:tblCellMar>
    </w:tblPr>
  </w:style>
  <w:style w:type="table" w:styleId="a4" w:customStyle="1">
    <w:basedOn w:val="TableNormal2"/>
    <w:tblPr>
      <w:tblStyleRowBandSize w:val="1"/>
      <w:tblStyleColBandSize w:val="1"/>
      <w:tblCellMar>
        <w:top w:w="0.0" w:type="dxa"/>
        <w:left w:w="115.0" w:type="dxa"/>
        <w:bottom w:w="0.0" w:type="dxa"/>
        <w:right w:w="115.0" w:type="dxa"/>
      </w:tblCellMar>
    </w:tblPr>
  </w:style>
  <w:style w:type="table" w:styleId="a5" w:customStyle="1">
    <w:basedOn w:val="TableNormal2"/>
    <w:tblPr>
      <w:tblStyleRowBandSize w:val="1"/>
      <w:tblStyleColBandSize w:val="1"/>
      <w:tblCellMar>
        <w:top w:w="0.0" w:type="dxa"/>
        <w:left w:w="115.0" w:type="dxa"/>
        <w:bottom w:w="0.0" w:type="dxa"/>
        <w:right w:w="115.0" w:type="dxa"/>
      </w:tblCellMar>
    </w:tblPr>
  </w:style>
  <w:style w:type="table" w:styleId="a6" w:customStyle="1">
    <w:basedOn w:val="TableNormal1"/>
    <w:tblPr>
      <w:tblStyleRowBandSize w:val="1"/>
      <w:tblStyleColBandSize w:val="1"/>
      <w:tblCellMar>
        <w:top w:w="0.0" w:type="dxa"/>
        <w:left w:w="115.0" w:type="dxa"/>
        <w:bottom w:w="0.0" w:type="dxa"/>
        <w:right w:w="115.0" w:type="dxa"/>
      </w:tblCellMar>
    </w:tblPr>
  </w:style>
  <w:style w:type="table" w:styleId="a7" w:customStyle="1">
    <w:basedOn w:val="TableNormal1"/>
    <w:tblPr>
      <w:tblStyleRowBandSize w:val="1"/>
      <w:tblStyleColBandSize w:val="1"/>
      <w:tblCellMar>
        <w:top w:w="0.0" w:type="dxa"/>
        <w:left w:w="115.0" w:type="dxa"/>
        <w:bottom w:w="0.0" w:type="dxa"/>
        <w:right w:w="115.0" w:type="dxa"/>
      </w:tblCellMar>
    </w:tblPr>
  </w:style>
  <w:style w:type="character" w:styleId="rse6dlih" w:customStyle="1">
    <w:name w:val="rse6dlih"/>
    <w:basedOn w:val="Fuentedeprrafopredeter"/>
    <w:rsid w:val="00190860"/>
  </w:style>
  <w:style w:type="table" w:styleId="a8" w:customStyle="1">
    <w:basedOn w:val="TableNormal0"/>
    <w:tblPr>
      <w:tblStyleRowBandSize w:val="1"/>
      <w:tblStyleColBandSize w:val="1"/>
      <w:tblCellMar>
        <w:top w:w="0.0" w:type="dxa"/>
        <w:left w:w="108.0" w:type="dxa"/>
        <w:bottom w:w="0.0" w:type="dxa"/>
        <w:right w:w="108.0" w:type="dxa"/>
      </w:tblCellMar>
    </w:tblPr>
    <w:tblStylePr w:type="firstRow">
      <w:rPr>
        <w:b w:val="1"/>
      </w:rPr>
      <w:tblPr/>
      <w:tcPr>
        <w:tcBorders>
          <w:bottom w:color="95b3d7" w:space="0" w:sz="4" w:val="single"/>
        </w:tcBorders>
      </w:tcPr>
    </w:tblStylePr>
    <w:tblStylePr w:type="lastRow">
      <w:rPr>
        <w:b w:val="1"/>
      </w:rPr>
      <w:tblPr/>
      <w:tcPr>
        <w:tcBorders>
          <w:top w:color="95b3d7" w:space="0" w:sz="4" w:val="single"/>
        </w:tcBorders>
      </w:tcPr>
    </w:tblStylePr>
    <w:tblStylePr w:type="firstCol">
      <w:rPr>
        <w:b w:val="1"/>
      </w:rPr>
    </w:tblStylePr>
    <w:tblStylePr w:type="lastCol">
      <w:rPr>
        <w:b w:val="1"/>
      </w:rPr>
    </w:tblStylePr>
    <w:tblStylePr w:type="band1Vert">
      <w:tblPr/>
      <w:tcPr>
        <w:shd w:color="auto" w:fill="dbe5f1" w:val="clear"/>
      </w:tcPr>
    </w:tblStylePr>
    <w:tblStylePr w:type="band1Horz">
      <w:tblPr/>
      <w:tcPr>
        <w:shd w:color="auto" w:fill="dbe5f1" w:val="clear"/>
      </w:tcPr>
    </w:tblStylePr>
  </w:style>
  <w:style w:type="table" w:styleId="a9" w:customStyle="1">
    <w:basedOn w:val="TableNormal0"/>
    <w:tblPr>
      <w:tblStyleRowBandSize w:val="1"/>
      <w:tblStyleColBandSize w:val="1"/>
      <w:tblCellMar>
        <w:top w:w="0.0" w:type="dxa"/>
        <w:left w:w="115.0" w:type="dxa"/>
        <w:bottom w:w="0.0" w:type="dxa"/>
        <w:right w:w="115.0" w:type="dxa"/>
      </w:tblCellMar>
    </w:tblPr>
  </w:style>
  <w:style w:type="table" w:styleId="aa" w:customStyle="1">
    <w:basedOn w:val="TableNormal0"/>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cPr>
        <w:shd w:fill="dbe5f1" w:val="clear"/>
      </w:tcPr>
    </w:tblStylePr>
    <w:tblStylePr w:type="band1Vert">
      <w:tcPr>
        <w:shd w:fill="dbe5f1" w:val="clear"/>
      </w:tcPr>
    </w:tblStylePr>
    <w:tblStylePr w:type="firstCol">
      <w:rPr>
        <w:b w:val="1"/>
      </w:rPr>
    </w:tblStylePr>
    <w:tblStylePr w:type="firstRow">
      <w:rPr>
        <w:b w:val="1"/>
      </w:rPr>
      <w:tcPr>
        <w:tcBorders>
          <w:bottom w:color="95b3d7" w:space="0" w:sz="4" w:val="single"/>
        </w:tcBorders>
      </w:tcPr>
    </w:tblStylePr>
    <w:tblStylePr w:type="lastCol">
      <w:rPr>
        <w:b w:val="1"/>
      </w:rPr>
    </w:tblStylePr>
    <w:tblStylePr w:type="lastRow">
      <w:rPr>
        <w:b w:val="1"/>
      </w:rPr>
      <w:tcPr>
        <w:tcBorders>
          <w:top w:color="95b3d7" w:space="0" w:sz="4" w:val="single"/>
        </w:tcBorders>
      </w:tcPr>
    </w:tblStyle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2.png"/><Relationship Id="rId13" Type="http://schemas.openxmlformats.org/officeDocument/2006/relationships/header" Target="header2.xm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png"/><Relationship Id="rId15" Type="http://schemas.openxmlformats.org/officeDocument/2006/relationships/footer" Target="foot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oOQoG9XgudFnhKXbKDgeS/c1Z+A==">AMUW2mUhAu0IceHQ4gnw7nhEwQ4FMsE47WpJvn9M680siK+p5TGtznjw3Dr9X1a1gBh6lpkP07H6uvfqwQzW3jihhLgm+D9pFc+mq1uZd4Y3RsnKgq/5CGjATTLrIF/DqSsW6mXL+fP3Eaw5fpvxxLCA12aGD1g/qI5ge0WCDdD6+Bi5KPfw0GisHGiK81tHxFVpxINPLEmpXWFIalYBF5m+NdtZUmgyvdM72kx28KUJhOBLBr5u57XorEOOanv7aZcnKRJN0Ije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2022-09-30T19:26:00Z</dcterms:created>
  <dc:creator>iMac</dc:creator>
</cp:coreProperties>
</file>