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diecinueve de octubre de dos mil veintidós</w:t>
      </w:r>
      <w:r>
        <w:rPr>
          <w:rFonts w:ascii="Palatino Linotype" w:eastAsia="Palatino Linotype" w:hAnsi="Palatino Linotype" w:cs="Palatino Linotype"/>
        </w:rPr>
        <w:t xml:space="preserve">. </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10354/INFOEM/IP/RR/2022</w:t>
      </w:r>
      <w:r>
        <w:rPr>
          <w:rFonts w:ascii="Palatino Linotype" w:eastAsia="Palatino Linotype" w:hAnsi="Palatino Linotype" w:cs="Palatino Linotype"/>
        </w:rPr>
        <w:t>, interpuesto por</w:t>
      </w:r>
      <w:r w:rsidR="001077A5">
        <w:rPr>
          <w:rFonts w:ascii="Palatino Linotype" w:eastAsia="Palatino Linotype" w:hAnsi="Palatino Linotype" w:cs="Palatino Linotype"/>
          <w:b/>
        </w:rPr>
        <w:t xml:space="preserve"> XXXXXXX XXXXXXXX 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Cuautitlán,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85062C" w:rsidRDefault="00B35676">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nueve de mayo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00192/CUAUTIT/IP/2022, </w:t>
      </w:r>
      <w:r>
        <w:rPr>
          <w:rFonts w:ascii="Palatino Linotype" w:eastAsia="Palatino Linotype" w:hAnsi="Palatino Linotype" w:cs="Palatino Linotype"/>
        </w:rPr>
        <w:t xml:space="preserve">mediante la cual requirió la información siguiente: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SOLICITO VERSIÓN PUBLICA DE LOS CONTRATOAS Y COMPROBANTES DE PAGO (CHEQUES, RECIBOS, TRANSFERENCIAS, ETC.) QUE SE REHICIERON PARA EL EVENTO REALIZADO EL 30 DE ABRIL DE 2022 POR EL DIA DEL NIÑO, EN LOS SIGUIENTES RUBROS: 1. PAGO A ARTISTAS PRESENTADOS (SHOW DE LAGRIMITA Y COSTEL). 2. RENTA DE MOBILIARIO (SILLAS, MESAS, LONAS, VALLAS, ETC.) 3. RENTA DE EQUIPO DE AUDIO E ILUMINACIÓN. 4. COMPRA DE ALIMENTOS. 5. RENTA DE TRANSPORTE. 6. COMPRA DE </w:t>
      </w:r>
      <w:proofErr w:type="gramStart"/>
      <w:r>
        <w:rPr>
          <w:rFonts w:ascii="Palatino Linotype" w:eastAsia="Palatino Linotype" w:hAnsi="Palatino Linotype" w:cs="Palatino Linotype"/>
          <w:b/>
          <w:i/>
          <w:sz w:val="22"/>
          <w:szCs w:val="22"/>
        </w:rPr>
        <w:t>REGALOS(</w:t>
      </w:r>
      <w:proofErr w:type="gramEnd"/>
      <w:r>
        <w:rPr>
          <w:rFonts w:ascii="Palatino Linotype" w:eastAsia="Palatino Linotype" w:hAnsi="Palatino Linotype" w:cs="Palatino Linotype"/>
          <w:b/>
          <w:i/>
          <w:sz w:val="22"/>
          <w:szCs w:val="22"/>
        </w:rPr>
        <w:t>JUGUETES, ELECTRODOMESTICOS, ETC.)</w:t>
      </w:r>
      <w:r>
        <w:rPr>
          <w:rFonts w:ascii="Palatino Linotype" w:eastAsia="Palatino Linotype" w:hAnsi="Palatino Linotype" w:cs="Palatino Linotype"/>
          <w:i/>
          <w:sz w:val="22"/>
          <w:szCs w:val="22"/>
        </w:rPr>
        <w:t>” (Sic) (Énfasis añadido)</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Sistema de Acceso a la Información Mexiquense (SAIMEX)</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veintiséis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85062C" w:rsidRDefault="00B35676">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5062C" w:rsidRDefault="00B35676">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Buenas tardes, enviando un cordial saludo me permito brindar la información solicitada en la solicitud con folio 00192/CUAUTIT/IP/2022. Adjunto archivo.</w:t>
      </w:r>
    </w:p>
    <w:p w:rsidR="0085062C" w:rsidRDefault="00B35676">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85062C" w:rsidRDefault="00B35676">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ANAISSA RAMIREZ ALDANA” (sic)</w:t>
      </w:r>
    </w:p>
    <w:p w:rsidR="0085062C" w:rsidRDefault="00B35676">
      <w:pPr>
        <w:spacing w:before="240" w:after="240" w:line="276" w:lineRule="auto"/>
        <w:ind w:left="851"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85062C" w:rsidRDefault="00B35676">
      <w:pPr>
        <w:spacing w:before="240" w:after="240" w:line="360"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“RES. 00192-CUAUTIT-IP-2022 OFC. 725 TESORERIA MUNICIPAL.pdf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Soporte documental que se compone de dos fojas y se aprecia en primera instancia el oficio de turno a la Unidad de Transparencia, posteriormente se aprecia el pronunciamiento del servidor público habilitado de la Tesorería Municipal. </w:t>
      </w:r>
    </w:p>
    <w:p w:rsidR="0085062C" w:rsidRDefault="00B35676">
      <w:pPr>
        <w:spacing w:before="240" w:after="240" w:line="360" w:lineRule="auto"/>
        <w:ind w:left="851"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900599" cy="5721687"/>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900599" cy="5721687"/>
                    </a:xfrm>
                    <a:prstGeom prst="rect">
                      <a:avLst/>
                    </a:prstGeom>
                    <a:ln/>
                  </pic:spPr>
                </pic:pic>
              </a:graphicData>
            </a:graphic>
          </wp:inline>
        </w:drawing>
      </w:r>
    </w:p>
    <w:p w:rsidR="0085062C" w:rsidRDefault="00B3567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y uno de</w:t>
      </w:r>
      <w:r>
        <w:rPr>
          <w:rFonts w:ascii="Palatino Linotype" w:eastAsia="Palatino Linotype" w:hAnsi="Palatino Linotype" w:cs="Palatino Linotype"/>
          <w:b/>
          <w:color w:val="000000"/>
        </w:rPr>
        <w:t xml:space="preserve"> mayo </w:t>
      </w:r>
      <w:r>
        <w:rPr>
          <w:rFonts w:ascii="Palatino Linotype" w:eastAsia="Palatino Linotype" w:hAnsi="Palatino Linotype" w:cs="Palatino Linotype"/>
          <w:b/>
        </w:rPr>
        <w:t xml:space="preserve">de dos mil veintidós, la parte Recurrente, </w:t>
      </w:r>
      <w:r>
        <w:rPr>
          <w:rFonts w:ascii="Palatino Linotype" w:eastAsia="Palatino Linotype" w:hAnsi="Palatino Linotype" w:cs="Palatino Linotype"/>
        </w:rPr>
        <w:t>inconforme con la respuesta, presentó el recurso de revisión que se resuelve, a través del cual expresó lo siguiente:</w:t>
      </w:r>
    </w:p>
    <w:p w:rsidR="0085062C" w:rsidRDefault="0085062C">
      <w:pPr>
        <w:spacing w:before="240" w:after="240" w:line="360" w:lineRule="auto"/>
        <w:ind w:right="49"/>
        <w:jc w:val="both"/>
        <w:rPr>
          <w:rFonts w:ascii="Palatino Linotype" w:eastAsia="Palatino Linotype" w:hAnsi="Palatino Linotype" w:cs="Palatino Linotype"/>
        </w:rPr>
      </w:pPr>
    </w:p>
    <w:p w:rsidR="0085062C" w:rsidRDefault="00B35676">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85062C" w:rsidRDefault="00B35676">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se hace entrega de la información solicitada.” (Sic)</w:t>
      </w:r>
    </w:p>
    <w:p w:rsidR="0085062C" w:rsidRDefault="00B35676">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85062C" w:rsidRDefault="00B35676">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El sujeto </w:t>
      </w:r>
      <w:proofErr w:type="spellStart"/>
      <w:r>
        <w:rPr>
          <w:rFonts w:ascii="Palatino Linotype" w:eastAsia="Palatino Linotype" w:hAnsi="Palatino Linotype" w:cs="Palatino Linotype"/>
          <w:b/>
          <w:i/>
          <w:color w:val="000000"/>
          <w:sz w:val="22"/>
          <w:szCs w:val="22"/>
        </w:rPr>
        <w:t>obligao</w:t>
      </w:r>
      <w:proofErr w:type="spellEnd"/>
      <w:r>
        <w:rPr>
          <w:rFonts w:ascii="Palatino Linotype" w:eastAsia="Palatino Linotype" w:hAnsi="Palatino Linotype" w:cs="Palatino Linotype"/>
          <w:b/>
          <w:i/>
          <w:color w:val="000000"/>
          <w:sz w:val="22"/>
          <w:szCs w:val="22"/>
        </w:rPr>
        <w:t xml:space="preserve"> argumenta que la información estará disponible hasta el final del trimestre, por lo que no puede hacer entrega de ella.</w:t>
      </w:r>
      <w:r>
        <w:rPr>
          <w:rFonts w:ascii="Palatino Linotype" w:eastAsia="Palatino Linotype" w:hAnsi="Palatino Linotype" w:cs="Palatino Linotype"/>
          <w:i/>
          <w:color w:val="000000"/>
          <w:sz w:val="22"/>
          <w:szCs w:val="22"/>
        </w:rPr>
        <w:t>” (Sic) (Énfasis añadido)</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85062C" w:rsidRDefault="00B3567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tres de junio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85062C" w:rsidRDefault="00B3567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se vislumbra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remitió su informe justificado, asimismo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emitir algún pronunciamiento o alegato que a su derecho conviniera,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rsidR="0085062C" w:rsidRDefault="00B3567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1419225"/>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0225" cy="1419225"/>
                    </a:xfrm>
                    <a:prstGeom prst="rect">
                      <a:avLst/>
                    </a:prstGeom>
                    <a:ln/>
                  </pic:spPr>
                </pic:pic>
              </a:graphicData>
            </a:graphic>
          </wp:inline>
        </w:drawing>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 plazo. </w:t>
      </w:r>
      <w:r>
        <w:rPr>
          <w:rFonts w:ascii="Palatino Linotype" w:eastAsia="Palatino Linotype" w:hAnsi="Palatino Linotype" w:cs="Palatino Linotype"/>
        </w:rPr>
        <w:t xml:space="preserve">El </w:t>
      </w:r>
      <w:r>
        <w:rPr>
          <w:rFonts w:ascii="Palatino Linotype" w:eastAsia="Palatino Linotype" w:hAnsi="Palatino Linotype" w:cs="Palatino Linotype"/>
          <w:b/>
        </w:rPr>
        <w:t>doce</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octubre de dos mil veintidós</w:t>
      </w:r>
      <w:r>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rPr>
        <w:t>su resolución atentos</w:t>
      </w:r>
      <w:proofErr w:type="gramEnd"/>
      <w:r>
        <w:rPr>
          <w:rFonts w:ascii="Palatino Linotype" w:eastAsia="Palatino Linotype" w:hAnsi="Palatino Linotype" w:cs="Palatino Linotype"/>
        </w:rPr>
        <w:t xml:space="preserve"> a los siguientes criterios: </w:t>
      </w:r>
    </w:p>
    <w:p w:rsidR="0085062C" w:rsidRDefault="00B35676">
      <w:pPr>
        <w:numPr>
          <w:ilvl w:val="0"/>
          <w:numId w:val="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 </w:t>
      </w:r>
    </w:p>
    <w:p w:rsidR="00EE5FA6" w:rsidRDefault="00B35676" w:rsidP="00EE5FA6">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EE5FA6" w:rsidRDefault="00B35676" w:rsidP="00EE5FA6">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EE5FA6">
        <w:rPr>
          <w:rFonts w:ascii="Palatino Linotype" w:eastAsia="Palatino Linotype" w:hAnsi="Palatino Linotype" w:cs="Palatino Linotype"/>
        </w:rPr>
        <w:t>Conducta de la Autoridad: Las Acciones u omisiones realizadas en el procedimiento. Así como si la autoridad actuó con la debida diligencia.</w:t>
      </w:r>
    </w:p>
    <w:p w:rsidR="0085062C" w:rsidRPr="00EE5FA6" w:rsidRDefault="00B35676" w:rsidP="00EE5FA6">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EE5FA6">
        <w:rPr>
          <w:rFonts w:ascii="Palatino Linotype" w:eastAsia="Palatino Linotype" w:hAnsi="Palatino Linotype" w:cs="Palatino Linotype"/>
        </w:rPr>
        <w:t>La afectación generada en la situación jurídica de la persona involucrada en el proceso: Violación a sus derechos humanos.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8.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Una vez transcurrido el periodo otorgado a las partes para realizar sus manifestaciones y no habiendo documentos que integrar al expediente, 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doce </w:t>
      </w:r>
      <w:r>
        <w:rPr>
          <w:rFonts w:ascii="Palatino Linotype" w:eastAsia="Palatino Linotype" w:hAnsi="Palatino Linotype" w:cs="Palatino Linotype"/>
          <w:b/>
        </w:rPr>
        <w:t>de octubre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w:t>
      </w:r>
      <w:r>
        <w:rPr>
          <w:rFonts w:ascii="Palatino Linotype" w:eastAsia="Palatino Linotype" w:hAnsi="Palatino Linotype" w:cs="Palatino Linotype"/>
          <w:color w:val="000000"/>
        </w:rPr>
        <w:t xml:space="preserve">fue debidamente sustanciado el expediente electrónico </w:t>
      </w:r>
      <w:r>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rsidR="0085062C" w:rsidRDefault="00B35676">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5062C" w:rsidRDefault="00B35676">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veintiséis de mayo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treinta y uno de mayo de dos mil veintidós</w:t>
      </w:r>
      <w:r>
        <w:rPr>
          <w:rFonts w:ascii="Palatino Linotype" w:eastAsia="Palatino Linotype" w:hAnsi="Palatino Linotype" w:cs="Palatino Linotype"/>
        </w:rPr>
        <w:t xml:space="preserve">, esto es, el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posterior en que tuvo conocimiento de la respuesta impugnada.</w:t>
      </w:r>
    </w:p>
    <w:p w:rsidR="0085062C" w:rsidRDefault="00B3567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completo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5062C" w:rsidRDefault="00B35676">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 del ordenamiento legal citado, que a la letra dice: </w:t>
      </w:r>
    </w:p>
    <w:p w:rsidR="0085062C" w:rsidRDefault="00B35676">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85062C" w:rsidRDefault="00B35676">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85062C" w:rsidRDefault="00B35676">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85062C" w:rsidRDefault="00B35676">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(Énfasis añadido)</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 oportuna.</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5062C" w:rsidRDefault="00B35676">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85062C" w:rsidRDefault="00B35676">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85062C" w:rsidRDefault="00B35676">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85062C" w:rsidRDefault="00B35676">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85062C" w:rsidRDefault="00B35676">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85062C" w:rsidRDefault="00B35676">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w:t>
      </w:r>
      <w:r>
        <w:rPr>
          <w:rFonts w:ascii="Palatino Linotype" w:eastAsia="Palatino Linotype" w:hAnsi="Palatino Linotype" w:cs="Palatino Linotype"/>
          <w:i/>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85062C" w:rsidRDefault="00B35676">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5062C" w:rsidRDefault="00B35676">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85062C" w:rsidRDefault="00B35676">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rsidR="0085062C" w:rsidRDefault="00B35676">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85062C" w:rsidRDefault="00B35676">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85062C" w:rsidRDefault="00B35676">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5062C" w:rsidRDefault="00B35676">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color w:val="000000"/>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w:t>
      </w:r>
      <w:r>
        <w:rPr>
          <w:rFonts w:ascii="Palatino Linotype" w:eastAsia="Palatino Linotype" w:hAnsi="Palatino Linotype" w:cs="Palatino Linotype"/>
          <w:i/>
          <w:color w:val="000000"/>
          <w:sz w:val="22"/>
          <w:szCs w:val="22"/>
        </w:rPr>
        <w:lastRenderedPageBreak/>
        <w:t>públicos, administrados, generados o en posesión de los órganos u organismos públicos, en virtud del ejercicio de sus funciones de derecho público, sin importar su fuente, soporte o fecha de elaboración.</w:t>
      </w:r>
    </w:p>
    <w:p w:rsidR="0085062C" w:rsidRDefault="00B35676">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85062C" w:rsidRDefault="00B35676">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85062C" w:rsidRDefault="00B35676">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85062C" w:rsidRDefault="00B35676">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85062C" w:rsidRDefault="00B3567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85062C" w:rsidRDefault="00B35676">
      <w:pPr>
        <w:spacing w:before="240" w:after="240" w:line="360"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Versión pública de los contratos y comprobantes de pago (cheques, recibos, transferencias, etc.) que se hicieron para el evento realizado el 30 de abril de 2022 por el día del niño, en los siguientes rubros:</w:t>
      </w:r>
    </w:p>
    <w:p w:rsidR="0085062C" w:rsidRDefault="00B35676">
      <w:pPr>
        <w:spacing w:before="240" w:after="240" w:line="276"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1. Pago a artistas presentados (show de lagrimita y </w:t>
      </w:r>
      <w:proofErr w:type="spellStart"/>
      <w:r>
        <w:rPr>
          <w:rFonts w:ascii="Palatino Linotype" w:eastAsia="Palatino Linotype" w:hAnsi="Palatino Linotype" w:cs="Palatino Linotype"/>
          <w:sz w:val="22"/>
          <w:szCs w:val="22"/>
        </w:rPr>
        <w:t>costel</w:t>
      </w:r>
      <w:proofErr w:type="spellEnd"/>
      <w:r>
        <w:rPr>
          <w:rFonts w:ascii="Palatino Linotype" w:eastAsia="Palatino Linotype" w:hAnsi="Palatino Linotype" w:cs="Palatino Linotype"/>
          <w:sz w:val="22"/>
          <w:szCs w:val="22"/>
        </w:rPr>
        <w:t>)</w:t>
      </w:r>
    </w:p>
    <w:p w:rsidR="0085062C" w:rsidRDefault="00B35676">
      <w:pPr>
        <w:spacing w:before="240" w:after="240" w:line="276"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2. Renta de mobiliario (sillas, mesas, lonas, vallas, etc.) </w:t>
      </w:r>
    </w:p>
    <w:p w:rsidR="0085062C" w:rsidRDefault="00B35676">
      <w:pPr>
        <w:spacing w:before="240" w:after="240" w:line="276"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3. Renta de equipo de audio e iluminación. </w:t>
      </w:r>
    </w:p>
    <w:p w:rsidR="0085062C" w:rsidRDefault="00B35676">
      <w:pPr>
        <w:spacing w:before="240" w:after="240" w:line="276"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4. Compra de alimentos. </w:t>
      </w:r>
    </w:p>
    <w:p w:rsidR="0085062C" w:rsidRDefault="00B35676">
      <w:pPr>
        <w:spacing w:before="240" w:after="240" w:line="276"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5. Renta de transporte. </w:t>
      </w:r>
    </w:p>
    <w:p w:rsidR="0085062C" w:rsidRDefault="00B35676">
      <w:pPr>
        <w:spacing w:before="240" w:after="240" w:line="276"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6. Compra de regalos (juguetes, electrodomésticos, etc.)</w:t>
      </w:r>
    </w:p>
    <w:p w:rsidR="0085062C" w:rsidRDefault="00B35676">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por conducto del Tesorero Municipal</w:t>
      </w:r>
      <w:r>
        <w:rPr>
          <w:rFonts w:ascii="Palatino Linotype" w:eastAsia="Palatino Linotype" w:hAnsi="Palatino Linotype" w:cs="Palatino Linotype"/>
          <w:b/>
        </w:rPr>
        <w:t xml:space="preserve"> </w:t>
      </w:r>
      <w:r>
        <w:rPr>
          <w:rFonts w:ascii="Palatino Linotype" w:eastAsia="Palatino Linotype" w:hAnsi="Palatino Linotype" w:cs="Palatino Linotype"/>
        </w:rPr>
        <w:t>manifestó lo siguiente: “</w:t>
      </w:r>
      <w:r>
        <w:rPr>
          <w:rFonts w:ascii="Palatino Linotype" w:eastAsia="Palatino Linotype" w:hAnsi="Palatino Linotype" w:cs="Palatino Linotype"/>
          <w:b/>
          <w:i/>
        </w:rPr>
        <w:t xml:space="preserve">Al respecto le comento que actualmente se </w:t>
      </w:r>
      <w:proofErr w:type="spellStart"/>
      <w:r>
        <w:rPr>
          <w:rFonts w:ascii="Palatino Linotype" w:eastAsia="Palatino Linotype" w:hAnsi="Palatino Linotype" w:cs="Palatino Linotype"/>
          <w:b/>
          <w:i/>
        </w:rPr>
        <w:t>esta</w:t>
      </w:r>
      <w:proofErr w:type="spellEnd"/>
      <w:r>
        <w:rPr>
          <w:rFonts w:ascii="Palatino Linotype" w:eastAsia="Palatino Linotype" w:hAnsi="Palatino Linotype" w:cs="Palatino Linotype"/>
          <w:b/>
          <w:i/>
        </w:rPr>
        <w:t xml:space="preserve"> realizando el registro contable de las erogaciones, una vez cerrado el trimestre se contará con la información requerida” (Sic)</w:t>
      </w:r>
    </w:p>
    <w:p w:rsidR="0085062C" w:rsidRDefault="00B35676">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nos ocupa, expresando medularmente en sus razones o motivos de inconformidad lo siguiente: </w:t>
      </w:r>
      <w:r>
        <w:rPr>
          <w:rFonts w:ascii="Palatino Linotype" w:eastAsia="Palatino Linotype" w:hAnsi="Palatino Linotype" w:cs="Palatino Linotype"/>
          <w:i/>
        </w:rPr>
        <w:t xml:space="preserve">“El sujeto </w:t>
      </w:r>
      <w:proofErr w:type="spellStart"/>
      <w:r>
        <w:rPr>
          <w:rFonts w:ascii="Palatino Linotype" w:eastAsia="Palatino Linotype" w:hAnsi="Palatino Linotype" w:cs="Palatino Linotype"/>
          <w:i/>
        </w:rPr>
        <w:t>obligao</w:t>
      </w:r>
      <w:proofErr w:type="spellEnd"/>
      <w:r>
        <w:rPr>
          <w:rFonts w:ascii="Palatino Linotype" w:eastAsia="Palatino Linotype" w:hAnsi="Palatino Linotype" w:cs="Palatino Linotype"/>
          <w:i/>
        </w:rPr>
        <w:t xml:space="preserve"> argumenta que la información estará disponible hasta el final del trimestre, por lo que no puede hacer entrega de ella.” (Sic)</w:t>
      </w:r>
      <w:r>
        <w:rPr>
          <w:rFonts w:ascii="Palatino Linotype" w:eastAsia="Palatino Linotype" w:hAnsi="Palatino Linotype" w:cs="Palatino Linotype"/>
          <w:b/>
          <w:i/>
        </w:rPr>
        <w:t xml:space="preserve"> </w:t>
      </w:r>
      <w:r>
        <w:rPr>
          <w:rFonts w:ascii="Palatino Linotype" w:eastAsia="Palatino Linotype" w:hAnsi="Palatino Linotype" w:cs="Palatino Linotype"/>
          <w:i/>
        </w:rPr>
        <w:t>(Énfasis añadido)</w:t>
      </w:r>
    </w:p>
    <w:p w:rsidR="0085062C" w:rsidRDefault="00B3567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Admitido a trámite el recurso de revisión, las partes fueron omisas en rendir sus manifestaciones dentro del plazo previsto por la normatividad,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el plazo para tal efecto.</w:t>
      </w:r>
    </w:p>
    <w:p w:rsidR="0085062C" w:rsidRDefault="00B35676">
      <w:pPr>
        <w:spacing w:before="240" w:after="240" w:line="360" w:lineRule="auto"/>
        <w:ind w:right="49"/>
        <w:jc w:val="both"/>
        <w:rPr>
          <w:rFonts w:ascii="Palatino Linotype" w:eastAsia="Palatino Linotype" w:hAnsi="Palatino Linotype" w:cs="Palatino Linotype"/>
          <w:highlight w:val="red"/>
        </w:rPr>
      </w:pPr>
      <w:r>
        <w:rPr>
          <w:rFonts w:ascii="Palatino Linotype" w:eastAsia="Palatino Linotype" w:hAnsi="Palatino Linotype" w:cs="Palatino Linotype"/>
        </w:rPr>
        <w:t xml:space="preserve">Expuestas las posturas de las partes, resulta importante iniciar este análisis </w:t>
      </w:r>
      <w:r w:rsidRPr="00EE5FA6">
        <w:rPr>
          <w:rFonts w:ascii="Palatino Linotype" w:eastAsia="Palatino Linotype" w:hAnsi="Palatino Linotype" w:cs="Palatino Linotype"/>
        </w:rPr>
        <w:t xml:space="preserve">mencionando que el </w:t>
      </w:r>
      <w:r w:rsidRPr="00EE5FA6">
        <w:rPr>
          <w:rFonts w:ascii="Palatino Linotype" w:eastAsia="Palatino Linotype" w:hAnsi="Palatino Linotype" w:cs="Palatino Linotype"/>
          <w:b/>
        </w:rPr>
        <w:t xml:space="preserve">Sujeto </w:t>
      </w:r>
      <w:r w:rsidR="00EE5FA6" w:rsidRPr="00EE5FA6">
        <w:rPr>
          <w:rFonts w:ascii="Palatino Linotype" w:eastAsia="Palatino Linotype" w:hAnsi="Palatino Linotype" w:cs="Palatino Linotype"/>
          <w:b/>
        </w:rPr>
        <w:t>Obligado</w:t>
      </w:r>
      <w:r w:rsidR="00EE5FA6" w:rsidRPr="00EE5FA6">
        <w:rPr>
          <w:rFonts w:ascii="Palatino Linotype" w:eastAsia="Palatino Linotype" w:hAnsi="Palatino Linotype" w:cs="Palatino Linotype"/>
        </w:rPr>
        <w:t xml:space="preserve"> </w:t>
      </w:r>
      <w:r w:rsidRPr="00EE5FA6">
        <w:rPr>
          <w:rFonts w:ascii="Palatino Linotype" w:eastAsia="Palatino Linotype" w:hAnsi="Palatino Linotype" w:cs="Palatino Linotype"/>
        </w:rPr>
        <w:t xml:space="preserve">no niega contar con la información solicitada, sólo señala a través del servidor público habilitado que </w:t>
      </w:r>
      <w:r w:rsidR="00EE5FA6" w:rsidRPr="00EE5FA6">
        <w:rPr>
          <w:rFonts w:ascii="Palatino Linotype" w:eastAsia="Palatino Linotype" w:hAnsi="Palatino Linotype" w:cs="Palatino Linotype"/>
        </w:rPr>
        <w:t>actualmente se está realizando el registro contable de las erogaciones, una vez cerrado el trimestre se contará con la información requerida</w:t>
      </w:r>
      <w:r w:rsidR="00EE5FA6">
        <w:rPr>
          <w:rFonts w:ascii="Palatino Linotype" w:eastAsia="Palatino Linotype" w:hAnsi="Palatino Linotype" w:cs="Palatino Linotype"/>
        </w:rPr>
        <w:t>.</w:t>
      </w:r>
    </w:p>
    <w:p w:rsidR="0085062C" w:rsidRDefault="0085062C">
      <w:pPr>
        <w:spacing w:before="240" w:after="240" w:line="360" w:lineRule="auto"/>
        <w:ind w:right="49"/>
        <w:jc w:val="both"/>
        <w:rPr>
          <w:rFonts w:ascii="Palatino Linotype" w:eastAsia="Palatino Linotype" w:hAnsi="Palatino Linotype" w:cs="Palatino Linotype"/>
        </w:rPr>
      </w:pPr>
    </w:p>
    <w:p w:rsidR="0085062C" w:rsidRDefault="00B35676">
      <w:pPr>
        <w:spacing w:before="240" w:after="240" w:line="360" w:lineRule="auto"/>
        <w:ind w:right="49"/>
        <w:jc w:val="both"/>
        <w:rPr>
          <w:rFonts w:ascii="Palatino Linotype" w:eastAsia="Palatino Linotype" w:hAnsi="Palatino Linotype" w:cs="Palatino Linotype"/>
        </w:rPr>
      </w:pPr>
      <w:proofErr w:type="gramStart"/>
      <w:r>
        <w:rPr>
          <w:rFonts w:ascii="Palatino Linotype" w:eastAsia="Palatino Linotype" w:hAnsi="Palatino Linotype" w:cs="Palatino Linotype"/>
        </w:rPr>
        <w:t>asimismo</w:t>
      </w:r>
      <w:proofErr w:type="gramEnd"/>
      <w:r>
        <w:rPr>
          <w:rFonts w:ascii="Palatino Linotype" w:eastAsia="Palatino Linotype" w:hAnsi="Palatino Linotype" w:cs="Palatino Linotype"/>
        </w:rPr>
        <w:t>, se logró advertir que el evento referido se llevó a cabo el treinta de abril de la presente anualidad, de acuerdo a la siguiente publicación que obra en la cuenta de Facebook del Ayuntamiento de Cuautitlán:</w:t>
      </w:r>
    </w:p>
    <w:p w:rsidR="0085062C" w:rsidRDefault="00B3567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Ubicable en la liga electrónica: </w:t>
      </w:r>
      <w:hyperlink r:id="rId10">
        <w:r>
          <w:rPr>
            <w:rFonts w:ascii="Palatino Linotype" w:eastAsia="Palatino Linotype" w:hAnsi="Palatino Linotype" w:cs="Palatino Linotype"/>
            <w:color w:val="0000FF"/>
            <w:u w:val="single"/>
          </w:rPr>
          <w:t>https://www.facebook.com/GobCuautitlanMex/</w:t>
        </w:r>
      </w:hyperlink>
      <w:r>
        <w:rPr>
          <w:rFonts w:ascii="Palatino Linotype" w:eastAsia="Palatino Linotype" w:hAnsi="Palatino Linotype" w:cs="Palatino Linotype"/>
        </w:rPr>
        <w:t xml:space="preserve"> </w:t>
      </w:r>
    </w:p>
    <w:p w:rsidR="0085062C" w:rsidRDefault="00B35676">
      <w:pPr>
        <w:tabs>
          <w:tab w:val="left" w:pos="7938"/>
        </w:tabs>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lastRenderedPageBreak/>
        <w:t xml:space="preserve"> </w:t>
      </w:r>
      <w:r>
        <w:rPr>
          <w:rFonts w:ascii="Palatino Linotype" w:eastAsia="Palatino Linotype" w:hAnsi="Palatino Linotype" w:cs="Palatino Linotype"/>
          <w:b/>
          <w:noProof/>
          <w:color w:val="000000"/>
          <w:sz w:val="22"/>
          <w:szCs w:val="22"/>
          <w:lang w:val="es-MX"/>
        </w:rPr>
        <w:drawing>
          <wp:inline distT="0" distB="0" distL="0" distR="0">
            <wp:extent cx="4248150" cy="645795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248150" cy="6457950"/>
                    </a:xfrm>
                    <a:prstGeom prst="rect">
                      <a:avLst/>
                    </a:prstGeom>
                    <a:ln/>
                  </pic:spPr>
                </pic:pic>
              </a:graphicData>
            </a:graphic>
          </wp:inline>
        </w:drawing>
      </w:r>
    </w:p>
    <w:p w:rsidR="0085062C" w:rsidRDefault="00B3567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con lo vertido anteriormente, podemos concluir que hay un indicio de la realización </w:t>
      </w:r>
      <w:r w:rsidR="00EE5FA6" w:rsidRPr="00EE5FA6">
        <w:rPr>
          <w:rFonts w:ascii="Palatino Linotype" w:eastAsia="Palatino Linotype" w:hAnsi="Palatino Linotype" w:cs="Palatino Linotype"/>
        </w:rPr>
        <w:t xml:space="preserve">del evento celebrado con motivo del día del niño el pasado 30 de </w:t>
      </w:r>
      <w:r w:rsidR="00EE5FA6" w:rsidRPr="00EE5FA6">
        <w:rPr>
          <w:rFonts w:ascii="Palatino Linotype" w:eastAsia="Palatino Linotype" w:hAnsi="Palatino Linotype" w:cs="Palatino Linotype"/>
        </w:rPr>
        <w:lastRenderedPageBreak/>
        <w:t xml:space="preserve">abril de </w:t>
      </w:r>
      <w:r w:rsidRPr="00EE5FA6">
        <w:rPr>
          <w:rFonts w:ascii="Palatino Linotype" w:eastAsia="Palatino Linotype" w:hAnsi="Palatino Linotype" w:cs="Palatino Linotype"/>
        </w:rPr>
        <w:t>l</w:t>
      </w:r>
      <w:r>
        <w:rPr>
          <w:rFonts w:ascii="Palatino Linotype" w:eastAsia="Palatino Linotype" w:hAnsi="Palatino Linotype" w:cs="Palatino Linotype"/>
        </w:rPr>
        <w:t xml:space="preserve">a presente anualidad, por lo que estaríamos ante un hecho notorio, el cual se sustenta conforme a </w:t>
      </w:r>
      <w:r>
        <w:rPr>
          <w:rFonts w:ascii="Palatino Linotype" w:eastAsia="Palatino Linotype" w:hAnsi="Palatino Linotype" w:cs="Palatino Linotype"/>
          <w:color w:val="000000"/>
        </w:rPr>
        <w:t>las siguientes tesis jurisprudenciales</w:t>
      </w:r>
      <w:r>
        <w:rPr>
          <w:rFonts w:ascii="Palatino Linotype" w:eastAsia="Palatino Linotype" w:hAnsi="Palatino Linotype" w:cs="Palatino Linotype"/>
        </w:rPr>
        <w:t>:</w:t>
      </w:r>
    </w:p>
    <w:p w:rsidR="0085062C" w:rsidRDefault="00B35676">
      <w:pPr>
        <w:ind w:left="567" w:right="6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“HECHOS NOTORIOS. CONCEPTOS GENERAL Y JURÍDICO</w:t>
      </w:r>
    </w:p>
    <w:p w:rsidR="0085062C" w:rsidRDefault="00B35676">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Conforme al artículo </w:t>
      </w:r>
      <w:hyperlink r:id="rId12">
        <w:r>
          <w:rPr>
            <w:rFonts w:ascii="Palatino Linotype" w:eastAsia="Palatino Linotype" w:hAnsi="Palatino Linotype" w:cs="Palatino Linotype"/>
            <w:b/>
            <w:i/>
            <w:sz w:val="22"/>
            <w:szCs w:val="22"/>
          </w:rPr>
          <w:t>88 del Código Federal de Procedimientos Civiles</w:t>
        </w:r>
      </w:hyperlink>
      <w:r>
        <w:rPr>
          <w:rFonts w:ascii="Palatino Linotype" w:eastAsia="Palatino Linotype" w:hAnsi="Palatino Linotype" w:cs="Palatino Linotype"/>
          <w:b/>
          <w:i/>
          <w:sz w:val="22"/>
          <w:szCs w:val="22"/>
        </w:rPr>
        <w:t xml:space="preserve"> los tribunales pueden invocar hechos notorios aunque no hayan sido alegados ni probados por las partes.</w:t>
      </w:r>
      <w:r>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sz w:val="22"/>
          <w:szCs w:val="22"/>
        </w:rPr>
        <w:t>, a las vicisitudes de la vida pública actual o a circunstancias comúnmente conocidas en un determinado lugar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modo que toda persona de ese medio esté en condiciones de saberlo</w:t>
      </w:r>
      <w:r>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85062C" w:rsidRDefault="0085062C">
      <w:pPr>
        <w:ind w:left="567" w:right="616"/>
        <w:rPr>
          <w:rFonts w:ascii="Palatino Linotype" w:eastAsia="Palatino Linotype" w:hAnsi="Palatino Linotype" w:cs="Palatino Linotype"/>
          <w:i/>
          <w:sz w:val="22"/>
          <w:szCs w:val="22"/>
        </w:rPr>
      </w:pPr>
    </w:p>
    <w:p w:rsidR="0085062C" w:rsidRDefault="00B35676">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85062C" w:rsidRDefault="00B35676">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85062C" w:rsidRDefault="00B35676">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85062C" w:rsidRDefault="0085062C">
      <w:pPr>
        <w:ind w:left="567" w:right="616"/>
        <w:jc w:val="both"/>
        <w:rPr>
          <w:rFonts w:ascii="Palatino Linotype" w:eastAsia="Palatino Linotype" w:hAnsi="Palatino Linotype" w:cs="Palatino Linotype"/>
          <w:i/>
          <w:sz w:val="22"/>
          <w:szCs w:val="22"/>
        </w:rPr>
      </w:pPr>
    </w:p>
    <w:p w:rsidR="0085062C" w:rsidRDefault="00B35676">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PÁGINAS WEB O ELECTRÓNICAS. SU CONTENIDO ES UN HECHO NOTORIO Y SUSCEPTIBLE DE SER VALORADO EN UNA DECISIÓN JUDICIAL.</w:t>
      </w:r>
      <w:r>
        <w:rPr>
          <w:color w:val="000000"/>
          <w:sz w:val="22"/>
          <w:szCs w:val="22"/>
        </w:rPr>
        <w:t xml:space="preserve"> </w:t>
      </w:r>
      <w:r>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w:t>
      </w:r>
      <w:r>
        <w:rPr>
          <w:rFonts w:ascii="Palatino Linotype" w:eastAsia="Palatino Linotype" w:hAnsi="Palatino Linotype" w:cs="Palatino Linotype"/>
          <w:i/>
          <w:color w:val="000000"/>
          <w:sz w:val="22"/>
          <w:szCs w:val="22"/>
        </w:rPr>
        <w:lastRenderedPageBreak/>
        <w:t xml:space="preserve">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Pr>
          <w:rFonts w:ascii="Palatino Linotype" w:eastAsia="Palatino Linotype" w:hAnsi="Palatino Linotype" w:cs="Palatino Linotype"/>
          <w:i/>
          <w:color w:val="000000"/>
          <w:sz w:val="22"/>
          <w:szCs w:val="22"/>
        </w:rPr>
        <w:t>Mardygras</w:t>
      </w:r>
      <w:proofErr w:type="spellEnd"/>
      <w:r>
        <w:rPr>
          <w:rFonts w:ascii="Palatino Linotype" w:eastAsia="Palatino Linotype" w:hAnsi="Palatino Linotype" w:cs="Palatino Linotype"/>
          <w:i/>
          <w:color w:val="000000"/>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Pr>
          <w:rFonts w:ascii="Palatino Linotype" w:eastAsia="Palatino Linotype" w:hAnsi="Palatino Linotype" w:cs="Palatino Linotype"/>
          <w:i/>
          <w:color w:val="000000"/>
          <w:sz w:val="22"/>
          <w:szCs w:val="22"/>
        </w:rPr>
        <w:t>Pag</w:t>
      </w:r>
      <w:proofErr w:type="spellEnd"/>
      <w:r>
        <w:rPr>
          <w:rFonts w:ascii="Palatino Linotype" w:eastAsia="Palatino Linotype" w:hAnsi="Palatino Linotype" w:cs="Palatino Linotype"/>
          <w:i/>
          <w:color w:val="000000"/>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w:t>
      </w:r>
      <w:r>
        <w:rPr>
          <w:rFonts w:ascii="Palatino Linotype" w:eastAsia="Palatino Linotype" w:hAnsi="Palatino Linotype" w:cs="Palatino Linotype"/>
          <w:i/>
          <w:color w:val="000000"/>
          <w:sz w:val="22"/>
          <w:szCs w:val="22"/>
        </w:rPr>
        <w:lastRenderedPageBreak/>
        <w:t>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85062C" w:rsidRDefault="0085062C">
      <w:pPr>
        <w:spacing w:line="360" w:lineRule="auto"/>
        <w:jc w:val="both"/>
        <w:rPr>
          <w:rFonts w:ascii="Palatino Linotype" w:eastAsia="Palatino Linotype" w:hAnsi="Palatino Linotype" w:cs="Palatino Linotype"/>
        </w:rPr>
      </w:pPr>
    </w:p>
    <w:p w:rsidR="0085062C" w:rsidRDefault="00B3567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Determinado lo anterior, se procede al análisis de los requerimientos del particular versarán sobre los comprobantes de pago (cheques, recibos, transferencias, etc.) que se hicieron para el evento realizado el 30 de abril de 2022 por el día del niño. En primera instancia, tiene que en la presente solicitud se pronunció el Tesorero Municipal, en virtud de que es el órgano encargado de la recaudación de los ingresos municipales, y responsable de realizar las erogaciones que haga el Ayuntamiento y la Administración Pública, ello en términos del artículo 76 del Bando Municipal vigente.</w:t>
      </w:r>
    </w:p>
    <w:p w:rsidR="0085062C" w:rsidRDefault="00B3567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anteriormente expuesto, de conformidad con el Reglamento Interno de Cuautitlán, Estado de México, a la Tesorería por medio de su </w:t>
      </w:r>
      <w:proofErr w:type="spellStart"/>
      <w:r>
        <w:rPr>
          <w:rFonts w:ascii="Palatino Linotype" w:eastAsia="Palatino Linotype" w:hAnsi="Palatino Linotype" w:cs="Palatino Linotype"/>
        </w:rPr>
        <w:t>Subtesorería</w:t>
      </w:r>
      <w:proofErr w:type="spellEnd"/>
      <w:r>
        <w:rPr>
          <w:rFonts w:ascii="Palatino Linotype" w:eastAsia="Palatino Linotype" w:hAnsi="Palatino Linotype" w:cs="Palatino Linotype"/>
        </w:rPr>
        <w:t xml:space="preserve"> de Egresos, le corresponde el desempeño de las siguientes atribuciones: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4.1.- </w:t>
      </w:r>
      <w:r>
        <w:rPr>
          <w:rFonts w:ascii="Palatino Linotype" w:eastAsia="Palatino Linotype" w:hAnsi="Palatino Linotype" w:cs="Palatino Linotype"/>
          <w:b/>
          <w:i/>
          <w:sz w:val="22"/>
          <w:szCs w:val="22"/>
        </w:rPr>
        <w:t xml:space="preserve">La Tesorería Municipal, además de cumplir con los requisitos que establece el artículo 95 de la Ley Orgánica Municipal, tendrá las siguientes facultades y obligaciones: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Administrar la Hacienda Pública Municipal;</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4.2.- Para el desarrollo de sus atribuciones, la Tesorería Municipal contará con un titular que será responsable de la conducción, supervisión y ejecución de las acciones a que se refiere el artículo que antecede y que para su auxilio tendrá a su cargo las siguientes unidades administrativas: </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II. </w:t>
      </w:r>
      <w:proofErr w:type="spellStart"/>
      <w:r>
        <w:rPr>
          <w:rFonts w:ascii="Palatino Linotype" w:eastAsia="Palatino Linotype" w:hAnsi="Palatino Linotype" w:cs="Palatino Linotype"/>
          <w:b/>
          <w:i/>
          <w:sz w:val="22"/>
          <w:szCs w:val="22"/>
        </w:rPr>
        <w:t>Subtesorería</w:t>
      </w:r>
      <w:proofErr w:type="spellEnd"/>
      <w:r>
        <w:rPr>
          <w:rFonts w:ascii="Palatino Linotype" w:eastAsia="Palatino Linotype" w:hAnsi="Palatino Linotype" w:cs="Palatino Linotype"/>
          <w:b/>
          <w:i/>
          <w:sz w:val="22"/>
          <w:szCs w:val="22"/>
        </w:rPr>
        <w:t xml:space="preserve"> de Egresos; </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4.14.- La </w:t>
      </w:r>
      <w:proofErr w:type="spellStart"/>
      <w:r>
        <w:rPr>
          <w:rFonts w:ascii="Palatino Linotype" w:eastAsia="Palatino Linotype" w:hAnsi="Palatino Linotype" w:cs="Palatino Linotype"/>
          <w:b/>
          <w:i/>
          <w:sz w:val="22"/>
          <w:szCs w:val="22"/>
        </w:rPr>
        <w:t>Subtesorería</w:t>
      </w:r>
      <w:proofErr w:type="spellEnd"/>
      <w:r>
        <w:rPr>
          <w:rFonts w:ascii="Palatino Linotype" w:eastAsia="Palatino Linotype" w:hAnsi="Palatino Linotype" w:cs="Palatino Linotype"/>
          <w:b/>
          <w:i/>
          <w:sz w:val="22"/>
          <w:szCs w:val="22"/>
        </w:rPr>
        <w:t xml:space="preserve"> de Egresos tendrá para su auxilio las siguientes unidades administrativas: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Departamento de Caja General </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4.15.- El Departamento de Caja General contará con un titular que será responsable de la conducción, supervisión y ejecución de las siguientes atribuciones: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Administrar de los recursos financieros con que cuenta el Municipio;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Realizar los trámites necesarios para los pagos;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Integrar la documentación inherente a los egresos, remitiéndola para su resguardo y contabilización a la </w:t>
      </w:r>
      <w:proofErr w:type="spellStart"/>
      <w:r>
        <w:rPr>
          <w:rFonts w:ascii="Palatino Linotype" w:eastAsia="Palatino Linotype" w:hAnsi="Palatino Linotype" w:cs="Palatino Linotype"/>
          <w:b/>
          <w:i/>
          <w:sz w:val="22"/>
          <w:szCs w:val="22"/>
        </w:rPr>
        <w:t>Subtesorería</w:t>
      </w:r>
      <w:proofErr w:type="spellEnd"/>
      <w:r>
        <w:rPr>
          <w:rFonts w:ascii="Palatino Linotype" w:eastAsia="Palatino Linotype" w:hAnsi="Palatino Linotype" w:cs="Palatino Linotype"/>
          <w:b/>
          <w:i/>
          <w:sz w:val="22"/>
          <w:szCs w:val="22"/>
        </w:rPr>
        <w:t xml:space="preserve"> de Egresos; </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Verificar los trámites necesarios para los pagos en general;</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(Sic) (Énfasis añadido)</w:t>
      </w:r>
    </w:p>
    <w:p w:rsidR="0085062C" w:rsidRDefault="00B35676" w:rsidP="00EE5F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advierte que la Tesorería Municipal es la unidad administrativa competente para atender el requerimiento de información concerniente a los comprobantes de pago por el evento referido en la solicitud de información pues es la encargada de la recaudación de los ingresos municipales, y responsable de realizar las erogaciones que haga el Ayuntamiento y la </w:t>
      </w:r>
      <w:r>
        <w:rPr>
          <w:rFonts w:ascii="Palatino Linotype" w:eastAsia="Palatino Linotype" w:hAnsi="Palatino Linotype" w:cs="Palatino Linotype"/>
        </w:rPr>
        <w:lastRenderedPageBreak/>
        <w:t xml:space="preserve">Administración Pública, no obstante se procede al análisis de su respuesta a fin de determinar si con ella se colma el derecho de acceso a la información del recurrente. </w:t>
      </w:r>
    </w:p>
    <w:p w:rsidR="0085062C" w:rsidRDefault="00B35676">
      <w:pPr>
        <w:spacing w:line="360" w:lineRule="auto"/>
        <w:jc w:val="both"/>
        <w:rPr>
          <w:color w:val="000000"/>
        </w:rPr>
      </w:pPr>
      <w:r>
        <w:rPr>
          <w:rFonts w:ascii="Palatino Linotype" w:eastAsia="Palatino Linotype" w:hAnsi="Palatino Linotype" w:cs="Palatino Linotype"/>
        </w:rPr>
        <w:t>Para ello</w:t>
      </w:r>
      <w:r>
        <w:rPr>
          <w:rFonts w:ascii="Palatino Linotype" w:eastAsia="Palatino Linotype" w:hAnsi="Palatino Linotype" w:cs="Palatino Linotype"/>
          <w:color w:val="000000"/>
        </w:rPr>
        <w:t>,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342.-</w:t>
      </w:r>
      <w:r>
        <w:rPr>
          <w:rFonts w:ascii="Palatino Linotype" w:eastAsia="Palatino Linotype" w:hAnsi="Palatino Linotype" w:cs="Palatino Linotype"/>
          <w:i/>
          <w:color w:val="000000"/>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i/>
          <w:color w:val="000000"/>
          <w:sz w:val="22"/>
          <w:szCs w:val="22"/>
        </w:rPr>
        <w:t>presupuestación</w:t>
      </w:r>
      <w:proofErr w:type="spellEnd"/>
      <w:r>
        <w:rPr>
          <w:rFonts w:ascii="Palatino Linotype" w:eastAsia="Palatino Linotype" w:hAnsi="Palatino Linotype" w:cs="Palatino Linotype"/>
          <w:i/>
          <w:color w:val="000000"/>
          <w:sz w:val="22"/>
          <w:szCs w:val="22"/>
        </w:rPr>
        <w:t>, evaluación y contabilidad gubernamental.</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 xml:space="preserve">En el caso de los municipios, el registro a que se refiere el párrafo anterior, se realizará conforme al sistema y a las disposiciones en materia de planeación, programación, </w:t>
      </w:r>
      <w:proofErr w:type="spellStart"/>
      <w:r>
        <w:rPr>
          <w:rFonts w:ascii="Palatino Linotype" w:eastAsia="Palatino Linotype" w:hAnsi="Palatino Linotype" w:cs="Palatino Linotype"/>
          <w:i/>
          <w:color w:val="000000"/>
          <w:sz w:val="22"/>
          <w:szCs w:val="22"/>
        </w:rPr>
        <w:t>presupuestación</w:t>
      </w:r>
      <w:proofErr w:type="spellEnd"/>
      <w:r>
        <w:rPr>
          <w:rFonts w:ascii="Palatino Linotype" w:eastAsia="Palatino Linotype" w:hAnsi="Palatino Linotype" w:cs="Palatino Linotype"/>
          <w:i/>
          <w:color w:val="000000"/>
          <w:sz w:val="22"/>
          <w:szCs w:val="22"/>
        </w:rPr>
        <w:t>, evaluación y contabilidad gubernamental, que se aprueben en el marco del Sistema de Coordinación Hacendaria del Estado de México.</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Artículo 343.-</w:t>
      </w:r>
      <w:r>
        <w:rPr>
          <w:rFonts w:ascii="Palatino Linotype" w:eastAsia="Palatino Linotype" w:hAnsi="Palatino Linotype" w:cs="Palatino Linotype"/>
          <w:i/>
          <w:color w:val="000000"/>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El sistema de contabilidad sobre base acumulativa total, se sustentará en las normas emitidas por el Consejo Nacional de Armonización Contable.</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 xml:space="preserve">Artículo 344.- Los Entes Públicos, a través de cualquiera de sus unidades administrativas, de acuerdo con su naturaleza jurídica y según corresponda, </w:t>
      </w:r>
      <w:r>
        <w:rPr>
          <w:rFonts w:ascii="Palatino Linotype" w:eastAsia="Palatino Linotype" w:hAnsi="Palatino Linotype" w:cs="Palatino Linotype"/>
          <w:b/>
          <w:i/>
          <w:color w:val="000000"/>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Pr>
          <w:rFonts w:ascii="Palatino Linotype" w:eastAsia="Palatino Linotype" w:hAnsi="Palatino Linotype" w:cs="Palatino Linotype"/>
          <w:b/>
          <w:i/>
          <w:color w:val="000000"/>
          <w:sz w:val="22"/>
          <w:szCs w:val="22"/>
        </w:rPr>
        <w:t>.</w:t>
      </w:r>
    </w:p>
    <w:p w:rsidR="0085062C" w:rsidRDefault="0085062C">
      <w:pPr>
        <w:spacing w:line="276" w:lineRule="auto"/>
        <w:rPr>
          <w:color w:val="000000"/>
        </w:rPr>
      </w:pP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lastRenderedPageBreak/>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Pr>
          <w:rFonts w:ascii="Palatino Linotype" w:eastAsia="Palatino Linotype" w:hAnsi="Palatino Linotype" w:cs="Palatino Linotype"/>
          <w:i/>
          <w:color w:val="000000"/>
          <w:sz w:val="22"/>
          <w:szCs w:val="22"/>
        </w:rPr>
        <w:t>según corresponda, así como de los órganos internos de control, por un término de cinco años, contados a partir del ejercicio presupuestal siguiente al que corresponda,</w:t>
      </w:r>
      <w:r>
        <w:rPr>
          <w:rFonts w:ascii="Palatino Linotype" w:eastAsia="Palatino Linotype" w:hAnsi="Palatino Linotype" w:cs="Palatino Linotype"/>
          <w:b/>
          <w:i/>
          <w:color w:val="000000"/>
          <w:sz w:val="22"/>
          <w:szCs w:val="22"/>
        </w:rPr>
        <w:t xml:space="preserve"> en el caso de los Municipios, dicha obligación corresponderá a la Tesorería.</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Tratándose de documentos de carácter histórico, se estará a lo dispuesto por la legislación de la materia.</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Artículo 345.-</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Pr>
          <w:rFonts w:ascii="Palatino Linotype" w:eastAsia="Palatino Linotype" w:hAnsi="Palatino Linotype" w:cs="Palatino Linotype"/>
          <w:i/>
          <w:color w:val="000000"/>
          <w:sz w:val="22"/>
          <w:szCs w:val="22"/>
        </w:rPr>
        <w:t>registro contable.</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85062C" w:rsidRDefault="00B35676">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El plazo señalado en este artículo empezará a contar a partir de la publicación en el Periódico Oficial, del decreto correspondiente</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“(Sic)</w:t>
      </w:r>
    </w:p>
    <w:p w:rsidR="0085062C" w:rsidRDefault="00B35676">
      <w:pPr>
        <w:pBdr>
          <w:top w:val="nil"/>
          <w:left w:val="nil"/>
          <w:bottom w:val="nil"/>
          <w:right w:val="nil"/>
          <w:between w:val="nil"/>
        </w:pBdr>
        <w:spacing w:before="120" w:after="120"/>
        <w:ind w:left="860" w:right="860"/>
        <w:jc w:val="both"/>
        <w:rPr>
          <w:color w:val="000000"/>
        </w:rPr>
      </w:pPr>
      <w:r>
        <w:rPr>
          <w:rFonts w:ascii="Palatino Linotype" w:eastAsia="Palatino Linotype" w:hAnsi="Palatino Linotype" w:cs="Palatino Linotype"/>
          <w:i/>
          <w:color w:val="000000"/>
          <w:sz w:val="22"/>
          <w:szCs w:val="22"/>
        </w:rPr>
        <w:t>(Énfasis añadido)</w:t>
      </w:r>
    </w:p>
    <w:p w:rsidR="0085062C" w:rsidRDefault="00B3567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una interpretación sistemática de los artículos transcritos, se desprende primeramente que el registro contable del efecto patrimonial y presupuestal de las operaciones financieras se realizará conforme al sistema y a las disposiciones que se </w:t>
      </w:r>
      <w:r>
        <w:rPr>
          <w:rFonts w:ascii="Palatino Linotype" w:eastAsia="Palatino Linotype" w:hAnsi="Palatino Linotype" w:cs="Palatino Linotype"/>
          <w:color w:val="000000"/>
        </w:rPr>
        <w:lastRenderedPageBreak/>
        <w:t xml:space="preserve">aprueben en materia de planeación, programación, </w:t>
      </w:r>
      <w:proofErr w:type="spellStart"/>
      <w:r>
        <w:rPr>
          <w:rFonts w:ascii="Palatino Linotype" w:eastAsia="Palatino Linotype" w:hAnsi="Palatino Linotype" w:cs="Palatino Linotype"/>
          <w:color w:val="000000"/>
        </w:rPr>
        <w:t>presupuestación</w:t>
      </w:r>
      <w:proofErr w:type="spellEnd"/>
      <w:r>
        <w:rPr>
          <w:rFonts w:ascii="Palatino Linotype" w:eastAsia="Palatino Linotype" w:hAnsi="Palatino Linotype" w:cs="Palatino Linotype"/>
          <w:color w:val="000000"/>
        </w:rPr>
        <w:t>, evaluación y contabilidad gubernamental.</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Pr>
          <w:rFonts w:ascii="Palatino Linotype" w:eastAsia="Palatino Linotype" w:hAnsi="Palatino Linotype" w:cs="Palatino Linotype"/>
        </w:rPr>
        <w:t>Presupuestación</w:t>
      </w:r>
      <w:proofErr w:type="spellEnd"/>
      <w:r>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5062C" w:rsidRDefault="00B3567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“REGISTRO CONTABLE </w:t>
      </w:r>
    </w:p>
    <w:p w:rsidR="0085062C" w:rsidRDefault="00B3567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rsidR="0085062C" w:rsidRDefault="0085062C">
      <w:pPr>
        <w:ind w:left="851" w:right="851"/>
        <w:jc w:val="both"/>
        <w:rPr>
          <w:rFonts w:ascii="Palatino Linotype" w:eastAsia="Palatino Linotype" w:hAnsi="Palatino Linotype" w:cs="Palatino Linotype"/>
          <w:b/>
          <w:i/>
          <w:sz w:val="22"/>
          <w:szCs w:val="22"/>
        </w:rPr>
      </w:pPr>
    </w:p>
    <w:p w:rsidR="0085062C" w:rsidRDefault="00B3567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“REGISTRO PRESUPUESTARIO</w:t>
      </w:r>
    </w:p>
    <w:p w:rsidR="0085062C" w:rsidRDefault="00B3567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rsidR="0085062C" w:rsidRDefault="0085062C">
      <w:pPr>
        <w:ind w:left="851" w:right="851"/>
        <w:jc w:val="both"/>
        <w:rPr>
          <w:rFonts w:ascii="Palatino Linotype" w:eastAsia="Palatino Linotype" w:hAnsi="Palatino Linotype" w:cs="Palatino Linotype"/>
          <w:i/>
          <w:sz w:val="22"/>
          <w:szCs w:val="22"/>
        </w:rPr>
      </w:pPr>
    </w:p>
    <w:p w:rsidR="0085062C" w:rsidRDefault="00B3567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se establece que el sistema de contabilidad sobre base acumulativa total se sustentará en los principios de contabilidad gubernamental.</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Correlativo a lo anterior, es preciso referir una definición de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rsidR="0085062C" w:rsidRDefault="00B3567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PÓLIZA CONTABLE</w:t>
      </w:r>
    </w:p>
    <w:p w:rsidR="0085062C" w:rsidRDefault="00B3567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85062C" w:rsidRDefault="0085062C">
      <w:pPr>
        <w:ind w:left="851" w:right="851"/>
        <w:jc w:val="both"/>
        <w:rPr>
          <w:rFonts w:ascii="Palatino Linotype" w:eastAsia="Palatino Linotype" w:hAnsi="Palatino Linotype" w:cs="Palatino Linotype"/>
          <w:i/>
          <w:sz w:val="22"/>
          <w:szCs w:val="22"/>
        </w:rPr>
      </w:pP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advierte que la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rPr>
        <w:t>pólizas de egresos</w:t>
      </w:r>
      <w:r>
        <w:rPr>
          <w:rFonts w:ascii="Palatino Linotype" w:eastAsia="Palatino Linotype" w:hAnsi="Palatino Linotype" w:cs="Palatino Linotype"/>
        </w:rPr>
        <w:t xml:space="preserve">, son aquellas en las cuales se anotan diariamente las operaciones que representan gastos, es decir, salidas de dinero para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las que además, deben encontrarse acompañadas de las documentales que sirven de soporte de dicho movimiento. </w:t>
      </w:r>
    </w:p>
    <w:p w:rsidR="0085062C" w:rsidRDefault="00B3567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los Lineamientos para la integración y entrega del Informe Trimestral Municipal 2022, </w:t>
      </w:r>
      <w:r>
        <w:rPr>
          <w:rFonts w:ascii="Palatino Linotype" w:eastAsia="Palatino Linotype" w:hAnsi="Palatino Linotype" w:cs="Palatino Linotype"/>
        </w:rPr>
        <w:t xml:space="preserve">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Pr>
          <w:rFonts w:ascii="Palatino Linotype" w:eastAsia="Palatino Linotype" w:hAnsi="Palatino Linotype" w:cs="Palatino Linotype"/>
          <w:b/>
          <w:i/>
        </w:rPr>
        <w:t xml:space="preserve">pólizas de </w:t>
      </w:r>
      <w:r>
        <w:rPr>
          <w:rFonts w:ascii="Palatino Linotype" w:eastAsia="Palatino Linotype" w:hAnsi="Palatino Linotype" w:cs="Palatino Linotype"/>
          <w:b/>
          <w:i/>
        </w:rPr>
        <w:lastRenderedPageBreak/>
        <w:t>egresos</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de tal manera que, dichos formatos constituyen un soporte documental con el cual de manera enunciativa más no limitativa,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pudiera atender los requerimientos de información, para una mayor referencia se inserta la captura de pantalla del formato correspondiente al año 2022: </w:t>
      </w:r>
    </w:p>
    <w:p w:rsidR="0085062C" w:rsidRDefault="00B35676">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val="es-MX"/>
        </w:rPr>
        <w:drawing>
          <wp:inline distT="0" distB="0" distL="0" distR="0">
            <wp:extent cx="5120410" cy="4489248"/>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120410" cy="4489248"/>
                    </a:xfrm>
                    <a:prstGeom prst="rect">
                      <a:avLst/>
                    </a:prstGeom>
                    <a:ln/>
                  </pic:spPr>
                </pic:pic>
              </a:graphicData>
            </a:graphic>
          </wp:inline>
        </w:drawing>
      </w:r>
    </w:p>
    <w:p w:rsidR="0085062C" w:rsidRDefault="00B35676">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val="es-MX"/>
        </w:rPr>
        <w:lastRenderedPageBreak/>
        <w:drawing>
          <wp:inline distT="0" distB="0" distL="0" distR="0">
            <wp:extent cx="5277224" cy="6440778"/>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277224" cy="6440778"/>
                    </a:xfrm>
                    <a:prstGeom prst="rect">
                      <a:avLst/>
                    </a:prstGeom>
                    <a:ln/>
                  </pic:spPr>
                </pic:pic>
              </a:graphicData>
            </a:graphic>
          </wp:inline>
        </w:drawing>
      </w:r>
    </w:p>
    <w:p w:rsidR="0085062C" w:rsidRDefault="00B35676">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val="es-MX"/>
        </w:rPr>
        <w:lastRenderedPageBreak/>
        <w:drawing>
          <wp:inline distT="0" distB="0" distL="0" distR="0">
            <wp:extent cx="5486400" cy="6772275"/>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486400" cy="6772275"/>
                    </a:xfrm>
                    <a:prstGeom prst="rect">
                      <a:avLst/>
                    </a:prstGeom>
                    <a:ln/>
                  </pic:spPr>
                </pic:pic>
              </a:graphicData>
            </a:graphic>
          </wp:inline>
        </w:drawing>
      </w:r>
    </w:p>
    <w:p w:rsidR="0085062C" w:rsidRDefault="00B3567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lo anterior, los citados Lineamientos especifican que las imágenes contenidas deben ser indexadas de manera que se permita su vinculación con la </w:t>
      </w:r>
      <w:r>
        <w:rPr>
          <w:rFonts w:ascii="Palatino Linotype" w:eastAsia="Palatino Linotype" w:hAnsi="Palatino Linotype" w:cs="Palatino Linotype"/>
          <w:color w:val="000000"/>
        </w:rPr>
        <w:lastRenderedPageBreak/>
        <w:t xml:space="preserve">información financiera, de tal forma que al consultar la citada información financiera se pueda visualizar el soporte documental que justifique los registros contables. </w:t>
      </w:r>
    </w:p>
    <w:p w:rsidR="0085062C" w:rsidRDefault="00B3567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emitido por el OSFEM y publicada en el Periódico Oficial “Gaceta del Gobierno” el cinco de abril de dos mil veintidós, si bien es cierto que esta información se entrega en los informes trimestrales, no menos cierto es que se debe generar de manera mensual, sirve de mayor referencia la siguiente ilustración: </w:t>
      </w:r>
    </w:p>
    <w:p w:rsidR="0085062C" w:rsidRDefault="00B3567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0225" cy="328612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0225" cy="3286125"/>
                    </a:xfrm>
                    <a:prstGeom prst="rect">
                      <a:avLst/>
                    </a:prstGeom>
                    <a:ln/>
                  </pic:spPr>
                </pic:pic>
              </a:graphicData>
            </a:graphic>
          </wp:inline>
        </w:drawing>
      </w:r>
      <w:r>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673100</wp:posOffset>
                </wp:positionH>
                <wp:positionV relativeFrom="paragraph">
                  <wp:posOffset>2743200</wp:posOffset>
                </wp:positionV>
                <wp:extent cx="4943475" cy="228600"/>
                <wp:effectExtent l="0" t="0" r="0" b="0"/>
                <wp:wrapNone/>
                <wp:docPr id="29" name="Rectángulo 29"/>
                <wp:cNvGraphicFramePr/>
                <a:graphic xmlns:a="http://schemas.openxmlformats.org/drawingml/2006/main">
                  <a:graphicData uri="http://schemas.microsoft.com/office/word/2010/wordprocessingShape">
                    <wps:wsp>
                      <wps:cNvSpPr/>
                      <wps:spPr>
                        <a:xfrm>
                          <a:off x="2888550" y="3679988"/>
                          <a:ext cx="4914900" cy="200025"/>
                        </a:xfrm>
                        <a:prstGeom prst="rect">
                          <a:avLst/>
                        </a:prstGeom>
                        <a:noFill/>
                        <a:ln w="28575" cap="flat" cmpd="sng">
                          <a:solidFill>
                            <a:srgbClr val="002060"/>
                          </a:solidFill>
                          <a:prstDash val="solid"/>
                          <a:round/>
                          <a:headEnd type="none" w="sm" len="sm"/>
                          <a:tailEnd type="none" w="sm" len="sm"/>
                        </a:ln>
                      </wps:spPr>
                      <wps:txbx>
                        <w:txbxContent>
                          <w:p w:rsidR="00385A32" w:rsidRDefault="00385A32">
                            <w:pPr>
                              <w:textDirection w:val="btLr"/>
                            </w:pPr>
                          </w:p>
                        </w:txbxContent>
                      </wps:txbx>
                      <wps:bodyPr spcFirstLastPara="1" wrap="square" lIns="91425" tIns="91425" rIns="91425" bIns="91425" anchor="ctr" anchorCtr="0">
                        <a:noAutofit/>
                      </wps:bodyPr>
                    </wps:wsp>
                  </a:graphicData>
                </a:graphic>
              </wp:anchor>
            </w:drawing>
          </mc:Choice>
          <mc:Fallback>
            <w:pict>
              <v:rect id="Rectángulo 29" o:spid="_x0000_s1026" style="position:absolute;left:0;text-align:left;margin-left:53pt;margin-top:3in;width:389.2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" filled="f" strokecolor="#002060" strokeweight="2.25pt">
                <v:stroke startarrowwidth="narrow" startarrowlength="short" endarrowwidth="narrow" endarrowlength="short" joinstyle="round"/>
                <v:textbox inset="2.53958mm,2.53958mm,2.53958mm,2.53958mm">
                  <w:txbxContent>
                    <w:p w:rsidR="00385A32" w:rsidRDefault="00385A32">
                      <w:pPr>
                        <w:textDirection w:val="btLr"/>
                      </w:pPr>
                    </w:p>
                  </w:txbxContent>
                </v:textbox>
              </v:rect>
            </w:pict>
          </mc:Fallback>
        </mc:AlternateContent>
      </w:r>
    </w:p>
    <w:p w:rsidR="0085062C" w:rsidRDefault="00B35676">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debe concluir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está constreñido a generar la información que integra el informe trimestral de manera mensual y por tanto a la fecha de ingreso de la solicitud de información, ya debe contar con la información </w:t>
      </w:r>
      <w:r>
        <w:rPr>
          <w:rFonts w:ascii="Palatino Linotype" w:eastAsia="Palatino Linotype" w:hAnsi="Palatino Linotype" w:cs="Palatino Linotype"/>
          <w:color w:val="000000"/>
        </w:rPr>
        <w:lastRenderedPageBreak/>
        <w:t xml:space="preserve">generada concerniente a los comprobantes de pago (cheques, recibos, transferencias, etc.) que se hicieron para el evento realizado el 30 de abril de 2022 por el día del niño, por lo que no existe ya ningún impedimento para que se entregue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la información que requirió en su solicitud de información.</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bien, por cuanto hace a los contratos que se celebraron para el evento realizado el 30 de abril de 2022 por el día del niño, </w:t>
      </w:r>
      <w:r>
        <w:rPr>
          <w:rFonts w:ascii="Palatino Linotype" w:eastAsia="Palatino Linotype" w:hAnsi="Palatino Linotype" w:cs="Palatino Linotype"/>
        </w:rPr>
        <w:t xml:space="preserve">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85062C" w:rsidRDefault="00B3567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85062C" w:rsidRDefault="00B3567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85062C" w:rsidRDefault="00B3567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Excepcionalmente, el plazo referido podrá ampliarse por siete días hábiles más, cuando existan razones fundadas y motivadas, a través del Comité de Transparencia; </w:t>
      </w:r>
    </w:p>
    <w:p w:rsidR="0085062C" w:rsidRDefault="00B3567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85062C" w:rsidRDefault="00B3567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85062C" w:rsidRDefault="00B3567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85062C" w:rsidRDefault="00B3567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este orden de ideas,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w:t>
      </w:r>
      <w:r>
        <w:rPr>
          <w:rFonts w:ascii="Palatino Linotype" w:eastAsia="Palatino Linotype" w:hAnsi="Palatino Linotype" w:cs="Palatino Linotype"/>
          <w:b/>
        </w:rPr>
        <w:t>Dirección de Administración</w:t>
      </w:r>
      <w:r>
        <w:rPr>
          <w:rFonts w:ascii="Palatino Linotype" w:eastAsia="Palatino Linotype" w:hAnsi="Palatino Linotype" w:cs="Palatino Linotype"/>
        </w:rPr>
        <w:t xml:space="preserve">, ello encuentra sustento en la siguiente cita al multicitado Reglamento Interno de </w:t>
      </w:r>
      <w:r>
        <w:rPr>
          <w:rFonts w:ascii="Palatino Linotype" w:eastAsia="Palatino Linotype" w:hAnsi="Palatino Linotype" w:cs="Palatino Linotype"/>
        </w:rPr>
        <w:lastRenderedPageBreak/>
        <w:t xml:space="preserve">Cuautitlán, Estado de México, mismo que se trae a colación para mejor proveer del presente estudio: </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6.1.- Son facultades y obligaciones de la Dirección de Administración, las siguientes:</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XXII. Avalar que las adquisiciones y contrataciones de servicios de las diversas dependencias de la Administración Pública Municipal se determinen con base a una planeación racional de sus necesidades y recursos, observando en todo tiempo las políticas de austeridad que señale el presupuesto de egresos; </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XXIII. Sustanciar los procedimientos de adquisiciones y contrataciones de servicios en los términos de la Ley de Contratación Pública del Estado de México y Municipios y su Reglamento;</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6.2.- Para el desarrollo de sus atribuciones, la Dirección de Administración contará con un titular que será responsable de la conducción, supervisión y ejecución de las acciones a que se refiere el artículo que antecede y para su auxilio tendrá a su cargo las siguientes Unidades Administrativas: </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 Subdirección de Recursos Materiales;</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Sección Primera </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SUBDIRECCIÓN DE RECURSOS MATERIALES </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6.3.- Son facultades y obligaciones de la Subdirección de Recursos Materiales, las siguientes:</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XI. Verificar que los requerimientos adquisiciones de los bienes muebles y prestación de servicios solicitados por las dependencias cumplan con la normatividad establecida</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XIV. Integrar y enviar los expedientes de adquisiciones y contrataciones con información comprobatoria completa autorizados para el trámite de pagos a la Tesorería;</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6.4.- Para el desarrollo de sus atribuciones, la Subdirección de Recursos Materiales contará con un titular que será responsable de la conducción, supervisión y ejecución de las acciones a que se refiere el artículo que antecede y para su auxilio tendrá a su cargo las siguientes Unidades Administrativas: </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 Departamento de Adquisiciones y Servicios;</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6.5.- Son facultades y obligaciones del Departamento de Adquisiciones y Servicios, las siguientes: </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 Administrar los recursos materiales, financieros, tecnológicos y humanos a su cargo;</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5062C" w:rsidRDefault="00B35676">
      <w:pPr>
        <w:tabs>
          <w:tab w:val="left" w:pos="7371"/>
        </w:tabs>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 Programar y documentar que los procedimientos de adquisición de bienes o contratación de servicios…</w:t>
      </w:r>
      <w:r>
        <w:rPr>
          <w:rFonts w:ascii="Palatino Linotype" w:eastAsia="Palatino Linotype" w:hAnsi="Palatino Linotype" w:cs="Palatino Linotype"/>
          <w:i/>
          <w:color w:val="000000"/>
          <w:sz w:val="22"/>
          <w:szCs w:val="22"/>
        </w:rPr>
        <w:t>;” (Sic) (Énfasis añadido)</w:t>
      </w:r>
    </w:p>
    <w:p w:rsidR="0085062C" w:rsidRDefault="00B35676">
      <w:pPr>
        <w:tabs>
          <w:tab w:val="left" w:pos="737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anteriormente se arriban a las siguientes conclusiones: </w:t>
      </w:r>
    </w:p>
    <w:p w:rsidR="0085062C" w:rsidRDefault="00B35676">
      <w:pPr>
        <w:numPr>
          <w:ilvl w:val="0"/>
          <w:numId w:val="5"/>
        </w:numPr>
        <w:pBdr>
          <w:top w:val="nil"/>
          <w:left w:val="nil"/>
          <w:bottom w:val="nil"/>
          <w:right w:val="nil"/>
          <w:between w:val="nil"/>
        </w:pBdr>
        <w:tabs>
          <w:tab w:val="left" w:pos="7371"/>
        </w:tabs>
        <w:spacing w:before="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la Dirección de Administración le compete sustanciar los procedimientos de adquisiciones y contrataciones de servicios en los </w:t>
      </w:r>
      <w:r>
        <w:rPr>
          <w:rFonts w:ascii="Palatino Linotype" w:eastAsia="Palatino Linotype" w:hAnsi="Palatino Linotype" w:cs="Palatino Linotype"/>
          <w:color w:val="000000"/>
        </w:rPr>
        <w:lastRenderedPageBreak/>
        <w:t>términos de la Ley de Contratación Pública del Estado de México y Municipios y su Reglamento.</w:t>
      </w:r>
    </w:p>
    <w:p w:rsidR="0085062C" w:rsidRDefault="00B35676">
      <w:pPr>
        <w:numPr>
          <w:ilvl w:val="0"/>
          <w:numId w:val="5"/>
        </w:numPr>
        <w:pBdr>
          <w:top w:val="nil"/>
          <w:left w:val="nil"/>
          <w:bottom w:val="nil"/>
          <w:right w:val="nil"/>
          <w:between w:val="nil"/>
        </w:pBdr>
        <w:tabs>
          <w:tab w:val="left" w:pos="7371"/>
        </w:tabs>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el desempeño de estas funciones, dicha Dirección contará con la Subdirección de Recursos Materiales, misma que se encarga de integrar y enviar los expedientes de adquisiciones y contrataciones con información comprobatoria completa autorizados para el trámite de pagos a la Tesorería. </w:t>
      </w:r>
    </w:p>
    <w:p w:rsidR="0085062C" w:rsidRDefault="00B35676">
      <w:pPr>
        <w:numPr>
          <w:ilvl w:val="0"/>
          <w:numId w:val="5"/>
        </w:numPr>
        <w:pBdr>
          <w:top w:val="nil"/>
          <w:left w:val="nil"/>
          <w:bottom w:val="nil"/>
          <w:right w:val="nil"/>
          <w:between w:val="nil"/>
        </w:pBdr>
        <w:tabs>
          <w:tab w:val="left" w:pos="7371"/>
        </w:tabs>
        <w:spacing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su vez, esta Subdirección dentro de su estructura orgánica contará con el Departamento de Adquisiciones y Servicios, el cual se encargará de programar y documentar que los procedimientos de adquisición de bienes o contratación de servicios que se lleven a cabo a través de adjudicación directa cumplan los requisitos.</w:t>
      </w:r>
    </w:p>
    <w:p w:rsidR="00EE5FA6" w:rsidRPr="005162EE" w:rsidRDefault="00EE5FA6" w:rsidP="00EE5FA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lang w:eastAsia="es-ES"/>
        </w:rPr>
        <w:t xml:space="preserve">En esta tesitura </w:t>
      </w:r>
      <w:r w:rsidRPr="005162EE">
        <w:rPr>
          <w:rFonts w:ascii="Palatino Linotype" w:eastAsia="Palatino Linotype" w:hAnsi="Palatino Linotype" w:cs="Palatino Linotype"/>
        </w:rPr>
        <w:t xml:space="preserve">la Ley de Contratación Pública del Estado de México y Municipios, la cual tiene por objeto regular los actos relativos a la </w:t>
      </w:r>
      <w:r w:rsidRPr="005162EE">
        <w:rPr>
          <w:rFonts w:ascii="Palatino Linotype" w:eastAsia="Palatino Linotype" w:hAnsi="Palatino Linotype" w:cs="Palatino Linotype"/>
          <w:b/>
          <w:u w:val="single"/>
        </w:rPr>
        <w:t xml:space="preserve">planeación, programación, </w:t>
      </w:r>
      <w:proofErr w:type="spellStart"/>
      <w:r w:rsidRPr="005162EE">
        <w:rPr>
          <w:rFonts w:ascii="Palatino Linotype" w:eastAsia="Palatino Linotype" w:hAnsi="Palatino Linotype" w:cs="Palatino Linotype"/>
          <w:b/>
          <w:u w:val="single"/>
        </w:rPr>
        <w:t>presupuestación</w:t>
      </w:r>
      <w:proofErr w:type="spellEnd"/>
      <w:r w:rsidRPr="005162EE">
        <w:rPr>
          <w:rFonts w:ascii="Palatino Linotype" w:eastAsia="Palatino Linotype" w:hAnsi="Palatino Linotype" w:cs="Palatino Linotype"/>
        </w:rPr>
        <w:t xml:space="preserve">, ejecución y control de la </w:t>
      </w:r>
      <w:r w:rsidRPr="005162EE">
        <w:rPr>
          <w:rFonts w:ascii="Palatino Linotype" w:eastAsia="Palatino Linotype" w:hAnsi="Palatino Linotype" w:cs="Palatino Linotype"/>
          <w:b/>
          <w:u w:val="single"/>
        </w:rPr>
        <w:t>adquisición</w:t>
      </w:r>
      <w:r w:rsidRPr="005162EE">
        <w:rPr>
          <w:rFonts w:ascii="Palatino Linotype" w:eastAsia="Palatino Linotype" w:hAnsi="Palatino Linotype" w:cs="Palatino Linotype"/>
          <w:u w:val="single"/>
        </w:rPr>
        <w:t xml:space="preserve">, </w:t>
      </w:r>
      <w:r w:rsidRPr="005162EE">
        <w:rPr>
          <w:rFonts w:ascii="Palatino Linotype" w:eastAsia="Palatino Linotype" w:hAnsi="Palatino Linotype" w:cs="Palatino Linotype"/>
          <w:b/>
          <w:u w:val="single"/>
        </w:rPr>
        <w:t>enajenación y arrendamiento</w:t>
      </w:r>
      <w:r w:rsidRPr="005162EE">
        <w:rPr>
          <w:rFonts w:ascii="Palatino Linotype" w:eastAsia="Palatino Linotype" w:hAnsi="Palatino Linotype" w:cs="Palatino Linotype"/>
        </w:rPr>
        <w:t xml:space="preserve"> de bienes, y la </w:t>
      </w:r>
      <w:r w:rsidRPr="005162EE">
        <w:rPr>
          <w:rFonts w:ascii="Palatino Linotype" w:eastAsia="Palatino Linotype" w:hAnsi="Palatino Linotype" w:cs="Palatino Linotype"/>
          <w:b/>
          <w:u w:val="single"/>
        </w:rPr>
        <w:t>contratación de servicios de cualquier naturaleza</w:t>
      </w:r>
      <w:r w:rsidRPr="005162EE">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párrafo primero y segundo, 26 y 27 de dicha Ley, los cuales son del tenor siguiente:</w:t>
      </w:r>
    </w:p>
    <w:p w:rsidR="00EE5FA6" w:rsidRPr="005162EE" w:rsidRDefault="00EE5FA6" w:rsidP="00EE5FA6">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4.-</w:t>
      </w:r>
      <w:r w:rsidRPr="005162EE">
        <w:rPr>
          <w:rFonts w:ascii="Palatino Linotype" w:eastAsia="Palatino Linotype" w:hAnsi="Palatino Linotype" w:cs="Palatino Linotype"/>
          <w:i/>
          <w:sz w:val="22"/>
          <w:szCs w:val="22"/>
        </w:rPr>
        <w:t xml:space="preserve"> Para los efectos de esta Ley, </w:t>
      </w:r>
      <w:r w:rsidRPr="005162EE">
        <w:rPr>
          <w:rFonts w:ascii="Palatino Linotype" w:eastAsia="Palatino Linotype" w:hAnsi="Palatino Linotype" w:cs="Palatino Linotype"/>
          <w:b/>
          <w:i/>
          <w:sz w:val="22"/>
          <w:szCs w:val="22"/>
        </w:rPr>
        <w:t>en las adquisiciones, enajenaciones, arrendamientos y servicios, quedan comprendidos</w:t>
      </w:r>
      <w:r w:rsidRPr="005162EE">
        <w:rPr>
          <w:rFonts w:ascii="Palatino Linotype" w:eastAsia="Palatino Linotype" w:hAnsi="Palatino Linotype" w:cs="Palatino Linotype"/>
          <w:i/>
          <w:sz w:val="22"/>
          <w:szCs w:val="22"/>
        </w:rPr>
        <w:t>:</w:t>
      </w:r>
    </w:p>
    <w:p w:rsidR="00EE5FA6" w:rsidRPr="005162EE" w:rsidRDefault="00EE5FA6" w:rsidP="00EE5FA6">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w:t>
      </w:r>
      <w:r w:rsidRPr="005162EE">
        <w:rPr>
          <w:rFonts w:ascii="Palatino Linotype" w:eastAsia="Palatino Linotype" w:hAnsi="Palatino Linotype" w:cs="Palatino Linotype"/>
          <w:i/>
          <w:sz w:val="22"/>
          <w:szCs w:val="22"/>
        </w:rPr>
        <w:t xml:space="preserve"> La adquisición de bienes muebles.</w:t>
      </w:r>
    </w:p>
    <w:p w:rsidR="00EE5FA6" w:rsidRPr="005162EE" w:rsidRDefault="00EE5FA6" w:rsidP="00EE5FA6">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w:t>
      </w:r>
      <w:r w:rsidRPr="005162EE">
        <w:rPr>
          <w:rFonts w:ascii="Palatino Linotype" w:eastAsia="Palatino Linotype" w:hAnsi="Palatino Linotype" w:cs="Palatino Linotype"/>
          <w:i/>
          <w:sz w:val="22"/>
          <w:szCs w:val="22"/>
        </w:rPr>
        <w:t>. La adquisición de bienes inmuebles, a través de compraventa.</w:t>
      </w:r>
    </w:p>
    <w:p w:rsidR="00EE5FA6" w:rsidRPr="005162EE" w:rsidRDefault="00EE5FA6" w:rsidP="00EE5FA6">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lastRenderedPageBreak/>
        <w:t>III.</w:t>
      </w:r>
      <w:r w:rsidRPr="005162EE">
        <w:rPr>
          <w:rFonts w:ascii="Palatino Linotype" w:eastAsia="Palatino Linotype" w:hAnsi="Palatino Linotype" w:cs="Palatino Linotype"/>
          <w:i/>
          <w:sz w:val="22"/>
          <w:szCs w:val="22"/>
        </w:rPr>
        <w:t xml:space="preserve"> La enajenación de bienes muebles e inmuebles.</w:t>
      </w:r>
    </w:p>
    <w:p w:rsidR="00EE5FA6" w:rsidRPr="005162EE" w:rsidRDefault="00EE5FA6" w:rsidP="00EE5FA6">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IV.</w:t>
      </w:r>
      <w:r w:rsidRPr="005162EE">
        <w:rPr>
          <w:rFonts w:ascii="Palatino Linotype" w:eastAsia="Palatino Linotype" w:hAnsi="Palatino Linotype" w:cs="Palatino Linotype"/>
          <w:i/>
          <w:sz w:val="22"/>
          <w:szCs w:val="22"/>
        </w:rPr>
        <w:t xml:space="preserve"> El arrendamiento de bienes muebles e inmuebles. </w:t>
      </w:r>
    </w:p>
    <w:p w:rsidR="00EE5FA6" w:rsidRPr="005162EE" w:rsidRDefault="00EE5FA6" w:rsidP="00EE5FA6">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V</w:t>
      </w:r>
      <w:r w:rsidRPr="005162EE">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rsidR="00EE5FA6" w:rsidRPr="005162EE" w:rsidRDefault="00EE5FA6" w:rsidP="00EE5FA6">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VI.</w:t>
      </w:r>
      <w:r w:rsidRPr="005162EE">
        <w:rPr>
          <w:rFonts w:ascii="Palatino Linotype" w:eastAsia="Palatino Linotype" w:hAnsi="Palatino Linotype" w:cs="Palatino Linotype"/>
          <w:i/>
          <w:sz w:val="22"/>
          <w:szCs w:val="22"/>
        </w:rPr>
        <w:t xml:space="preserve"> La contratación de los servicios de reconstrucción y mantenimiento de bienes muebles. </w:t>
      </w:r>
    </w:p>
    <w:p w:rsidR="00EE5FA6" w:rsidRPr="005162EE" w:rsidRDefault="00EE5FA6" w:rsidP="00EE5FA6">
      <w:pPr>
        <w:spacing w:before="120" w:after="120"/>
        <w:ind w:left="1134"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VII.</w:t>
      </w:r>
      <w:r w:rsidRPr="005162EE">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VIII.</w:t>
      </w:r>
      <w:r w:rsidRPr="005162EE">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En general, otros actos que impliquen la contratación de servicios de cualquier naturaleza.</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26.-</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Las adquisiciones, arrendamientos y servicios se adjudicarán a través de licitaciones públicas</w:t>
      </w:r>
      <w:r w:rsidRPr="005162EE">
        <w:rPr>
          <w:rFonts w:ascii="Palatino Linotype" w:eastAsia="Palatino Linotype" w:hAnsi="Palatino Linotype" w:cs="Palatino Linotype"/>
          <w:i/>
          <w:sz w:val="22"/>
          <w:szCs w:val="22"/>
        </w:rPr>
        <w:t xml:space="preserve">, mediante convocatoria pública.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27.</w:t>
      </w:r>
      <w:r w:rsidRPr="005162EE">
        <w:rPr>
          <w:rFonts w:ascii="Palatino Linotype" w:eastAsia="Palatino Linotype" w:hAnsi="Palatino Linotype" w:cs="Palatino Linotype"/>
          <w:i/>
          <w:sz w:val="22"/>
          <w:szCs w:val="22"/>
        </w:rPr>
        <w:t xml:space="preserve">- La Secretaría, las entidades, los tribunales administrativos y los ayuntamientos podrán </w:t>
      </w:r>
      <w:r w:rsidRPr="005162EE">
        <w:rPr>
          <w:rFonts w:ascii="Palatino Linotype" w:eastAsia="Palatino Linotype" w:hAnsi="Palatino Linotype" w:cs="Palatino Linotype"/>
          <w:b/>
          <w:i/>
          <w:sz w:val="22"/>
          <w:szCs w:val="22"/>
        </w:rPr>
        <w:t>adjudicar adquisiciones, arrendamientos y servicios, mediante las excepciones al procedimiento de licitación</w:t>
      </w:r>
      <w:r w:rsidRPr="005162EE">
        <w:rPr>
          <w:rFonts w:ascii="Palatino Linotype" w:eastAsia="Palatino Linotype" w:hAnsi="Palatino Linotype" w:cs="Palatino Linotype"/>
          <w:i/>
          <w:sz w:val="22"/>
          <w:szCs w:val="22"/>
        </w:rPr>
        <w:t xml:space="preserve"> que a continuación se señalan:</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w:t>
      </w:r>
      <w:r w:rsidRPr="005162EE">
        <w:rPr>
          <w:rFonts w:ascii="Palatino Linotype" w:eastAsia="Palatino Linotype" w:hAnsi="Palatino Linotype" w:cs="Palatino Linotype"/>
          <w:i/>
          <w:sz w:val="22"/>
          <w:szCs w:val="22"/>
        </w:rPr>
        <w:t>. Invitación restringida.</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w:t>
      </w:r>
      <w:r w:rsidRPr="005162EE">
        <w:rPr>
          <w:rFonts w:ascii="Palatino Linotype" w:eastAsia="Palatino Linotype" w:hAnsi="Palatino Linotype" w:cs="Palatino Linotype"/>
          <w:i/>
          <w:sz w:val="22"/>
          <w:szCs w:val="22"/>
        </w:rPr>
        <w:t xml:space="preserve"> Adjudicación directa.”</w:t>
      </w:r>
    </w:p>
    <w:p w:rsidR="00EE5FA6" w:rsidRPr="005162EE" w:rsidRDefault="00EE5FA6" w:rsidP="00EE5FA6">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Con base en los preceptos citados se advierte que, por regla general, las adquisiciones, enajenaciones, arrendamientos y prestación de servicios, que celebren los entes públicos, deben adjudicarse mediante licitación pública, sin embargo, también se contemplan como excepciones a dicho proceso, la invitación restringida y la adjudicación directa.</w:t>
      </w:r>
    </w:p>
    <w:p w:rsidR="00EE5FA6" w:rsidRPr="005162EE" w:rsidRDefault="00EE5FA6" w:rsidP="00EE5FA6">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Por su parte, el Reglamento de la Ley de Contratación Pública del Estado de México y Municipios, dispone lo que a la letra se inserta:</w:t>
      </w:r>
    </w:p>
    <w:p w:rsidR="00EE5FA6" w:rsidRPr="005162EE" w:rsidRDefault="00EE5FA6" w:rsidP="00EE5FA6">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lastRenderedPageBreak/>
        <w:t>“Artículo 2.-</w:t>
      </w:r>
      <w:r w:rsidRPr="005162EE">
        <w:rPr>
          <w:rFonts w:ascii="Palatino Linotype" w:eastAsia="Palatino Linotype" w:hAnsi="Palatino Linotype" w:cs="Palatino Linotype"/>
          <w:i/>
          <w:sz w:val="22"/>
          <w:szCs w:val="22"/>
        </w:rPr>
        <w:t xml:space="preserve"> Para los efectos de este Reglamento, se entenderá por: </w:t>
      </w:r>
    </w:p>
    <w:p w:rsidR="00EE5FA6" w:rsidRPr="005162EE" w:rsidRDefault="00EE5FA6" w:rsidP="00EE5FA6">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 </w:t>
      </w:r>
    </w:p>
    <w:p w:rsidR="00EE5FA6" w:rsidRPr="005162EE" w:rsidRDefault="00EE5FA6" w:rsidP="00EE5FA6">
      <w:pPr>
        <w:spacing w:before="120" w:after="120"/>
        <w:ind w:left="851"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XIV. Licitación pública: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XXI. Procedimiento de adquisición: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61.-</w:t>
      </w:r>
      <w:r w:rsidRPr="005162EE">
        <w:rPr>
          <w:rFonts w:ascii="Palatino Linotype" w:eastAsia="Palatino Linotype" w:hAnsi="Palatino Linotype" w:cs="Palatino Linotype"/>
          <w:i/>
          <w:sz w:val="22"/>
          <w:szCs w:val="22"/>
        </w:rPr>
        <w:t xml:space="preserve"> 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rsidR="00EE5FA6" w:rsidRPr="005162EE" w:rsidRDefault="00EE5FA6" w:rsidP="00EE5FA6">
      <w:pPr>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Artículo 62.-</w:t>
      </w:r>
      <w:r w:rsidRPr="005162EE">
        <w:rPr>
          <w:rFonts w:ascii="Palatino Linotype" w:eastAsia="Palatino Linotype" w:hAnsi="Palatino Linotype" w:cs="Palatino Linotype"/>
          <w:i/>
          <w:sz w:val="22"/>
          <w:szCs w:val="22"/>
        </w:rPr>
        <w:t xml:space="preserve"> 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5162EE">
        <w:rPr>
          <w:rFonts w:ascii="Palatino Linotype" w:eastAsia="Palatino Linotype" w:hAnsi="Palatino Linotype" w:cs="Palatino Linotype"/>
          <w:b/>
          <w:i/>
          <w:sz w:val="22"/>
          <w:szCs w:val="22"/>
        </w:rPr>
        <w:t xml:space="preserve"> </w:t>
      </w:r>
    </w:p>
    <w:p w:rsidR="00EE5FA6" w:rsidRPr="005162EE" w:rsidRDefault="00EE5FA6" w:rsidP="00EE5FA6">
      <w:pPr>
        <w:shd w:val="clear" w:color="auto" w:fill="FFFFFF"/>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 xml:space="preserve">Artículo 67.- </w:t>
      </w:r>
      <w:r w:rsidRPr="005162EE">
        <w:rPr>
          <w:rFonts w:ascii="Palatino Linotype" w:eastAsia="Palatino Linotype" w:hAnsi="Palatino Linotype" w:cs="Palatino Linotype"/>
          <w:i/>
          <w:sz w:val="22"/>
          <w:szCs w:val="22"/>
        </w:rPr>
        <w:t xml:space="preserve">El procedimiento de licitación pública comprende las siguientes fases: </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Publicación de la convocatoria; </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lastRenderedPageBreak/>
        <w:t>Venta de las bases de licitación;</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Visita, en su caso, al sitio donde se vayan a suministrar los bienes o a prestar los servicios;</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Junta de aclaraciones, en su caso; </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Acto de presentación y apertura de propuestas;</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Análisis y evaluación de propuestas;</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Dictamen de adjudicación; </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Fallo; </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Suscripción del contrato; y </w:t>
      </w:r>
    </w:p>
    <w:p w:rsidR="00EE5FA6" w:rsidRPr="005162EE" w:rsidRDefault="00EE5FA6" w:rsidP="00EE5FA6">
      <w:pPr>
        <w:numPr>
          <w:ilvl w:val="0"/>
          <w:numId w:val="8"/>
        </w:numPr>
        <w:pBdr>
          <w:top w:val="nil"/>
          <w:left w:val="nil"/>
          <w:bottom w:val="nil"/>
          <w:right w:val="nil"/>
          <w:between w:val="nil"/>
        </w:pBdr>
        <w:shd w:val="clear" w:color="auto" w:fill="FFFFFF"/>
        <w:spacing w:before="120" w:after="120"/>
        <w:ind w:left="426" w:right="902" w:hanging="10"/>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Suministro de los bienes o inicio de la prestación del servicio.</w:t>
      </w:r>
    </w:p>
    <w:p w:rsidR="00EE5FA6" w:rsidRDefault="00EE5FA6" w:rsidP="00EE5FA6">
      <w:pPr>
        <w:spacing w:before="120" w:after="120"/>
        <w:ind w:left="851" w:right="902"/>
        <w:jc w:val="both"/>
        <w:rPr>
          <w:rFonts w:ascii="Palatino Linotype" w:eastAsia="Palatino Linotype" w:hAnsi="Palatino Linotype" w:cs="Palatino Linotype"/>
          <w:b/>
          <w:i/>
          <w:sz w:val="22"/>
          <w:szCs w:val="22"/>
        </w:rPr>
      </w:pP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68.- </w:t>
      </w:r>
      <w:r w:rsidRPr="00AE4DCA">
        <w:rPr>
          <w:rFonts w:ascii="Palatino Linotype" w:hAnsi="Palatino Linotype" w:cs="Arial"/>
          <w:i/>
          <w:sz w:val="22"/>
          <w:lang w:val="es-MX" w:eastAsia="es-ES"/>
        </w:rPr>
        <w:t xml:space="preserve">En el procedimiento de licitación pública se observará lo siguiente: </w:t>
      </w: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II. La venta de bases iniciará a partir del día de publicación de la convocatoria y concluirá el día hábil anterior al día de celebración de la junta de aclaraciones. </w:t>
      </w:r>
    </w:p>
    <w:p w:rsidR="00EE5FA6" w:rsidRPr="00AE4DCA" w:rsidRDefault="00EE5FA6" w:rsidP="00EE5FA6">
      <w:pPr>
        <w:autoSpaceDE w:val="0"/>
        <w:autoSpaceDN w:val="0"/>
        <w:adjustRightInd w:val="0"/>
        <w:jc w:val="both"/>
        <w:rPr>
          <w:rFonts w:ascii="Palatino Linotype" w:hAnsi="Palatino Linotype" w:cs="Arial"/>
          <w:i/>
          <w:sz w:val="22"/>
          <w:lang w:val="es-MX" w:eastAsia="es-ES"/>
        </w:rPr>
      </w:pP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Cuando no se celebre junta de aclaraciones, la venta de bases concluirá el día hábil anterior a la celebración del acto de presentación y apertura de propuestas. </w:t>
      </w: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En todo caso, el plazo de venta de bases no será menor a tres días hábiles contados a partir del día de la publicación de la convocatoria; </w:t>
      </w: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V. La junta de aclaraciones deberá realizarse tres días hábiles antes de la celebración del acto de presentación y apertura de propuestas. Las modificaciones que se deriven </w:t>
      </w:r>
      <w:r w:rsidRPr="00AE4DCA">
        <w:rPr>
          <w:rFonts w:ascii="Palatino Linotype" w:hAnsi="Palatino Linotype" w:cs="Arial"/>
          <w:i/>
          <w:sz w:val="22"/>
          <w:lang w:val="es-MX" w:eastAsia="es-ES"/>
        </w:rPr>
        <w:lastRenderedPageBreak/>
        <w:t xml:space="preserve">de la junta de aclaraciones formarán parte integral de las bases y se entregará copia simple del acta correspondiente a las personas que acrediten haberlas adquirido. </w:t>
      </w: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p>
    <w:p w:rsidR="00EE5FA6" w:rsidRPr="00AE4DCA" w:rsidRDefault="00EE5FA6" w:rsidP="00EE5FA6">
      <w:pPr>
        <w:autoSpaceDE w:val="0"/>
        <w:autoSpaceDN w:val="0"/>
        <w:adjustRightInd w:val="0"/>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69.- </w:t>
      </w:r>
      <w:r w:rsidRPr="00AE4DCA">
        <w:rPr>
          <w:rFonts w:ascii="Palatino Linotype" w:hAnsi="Palatino Linotype" w:cs="Arial"/>
          <w:i/>
          <w:sz w:val="22"/>
          <w:lang w:val="es-MX" w:eastAsia="es-ES"/>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rsidR="00EE5FA6" w:rsidRPr="00AE4DCA" w:rsidRDefault="00EE5FA6" w:rsidP="00EE5FA6">
      <w:pPr>
        <w:autoSpaceDE w:val="0"/>
        <w:autoSpaceDN w:val="0"/>
        <w:adjustRightInd w:val="0"/>
        <w:jc w:val="both"/>
        <w:rPr>
          <w:rFonts w:ascii="Palatino Linotype" w:hAnsi="Palatino Linotype" w:cs="Arial"/>
          <w:i/>
          <w:sz w:val="22"/>
          <w:lang w:val="es-MX" w:eastAsia="es-ES"/>
        </w:rPr>
      </w:pP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90.-</w:t>
      </w:r>
      <w:r w:rsidRPr="005162EE">
        <w:rPr>
          <w:rFonts w:ascii="Palatino Linotype" w:eastAsia="Palatino Linotype" w:hAnsi="Palatino Linotype" w:cs="Palatino Linotype"/>
          <w:i/>
          <w:sz w:val="22"/>
          <w:szCs w:val="22"/>
        </w:rPr>
        <w:t xml:space="preserve"> En el procedimiento de invitación restringida se deberá observar lo siguiente: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w:t>
      </w:r>
      <w:r w:rsidRPr="005162EE">
        <w:rPr>
          <w:rFonts w:ascii="Palatino Linotype" w:eastAsia="Palatino Linotype" w:hAnsi="Palatino Linotype" w:cs="Palatino Linotype"/>
          <w:i/>
          <w:sz w:val="22"/>
          <w:szCs w:val="22"/>
        </w:rPr>
        <w:t xml:space="preserve"> Se invitará a un mínimo de tres personas seleccionadas de entre las que se encuentren inscritas e n el catálogo de proveedores y de prestadores de servicios.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Se podrá invitar a personas que no se encuentren inscritas, cuando en el giro correspondiente del catálogo de proveedores y prestadores de servicios no exista el registro mínimo de personas requeridas para tal modalidad;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w:t>
      </w:r>
      <w:r w:rsidRPr="005162EE">
        <w:rPr>
          <w:rFonts w:ascii="Palatino Linotype" w:eastAsia="Palatino Linotype" w:hAnsi="Palatino Linotype" w:cs="Palatino Linotype"/>
          <w:i/>
          <w:sz w:val="22"/>
          <w:szCs w:val="22"/>
        </w:rPr>
        <w:t xml:space="preserve">. Las bases de la invitación restringida indicarán los aspectos de la adquisición o contratación; y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III.</w:t>
      </w:r>
      <w:r w:rsidRPr="005162EE">
        <w:rPr>
          <w:rFonts w:ascii="Palatino Linotype" w:eastAsia="Palatino Linotype" w:hAnsi="Palatino Linotype" w:cs="Palatino Linotype"/>
          <w:i/>
          <w:sz w:val="22"/>
          <w:szCs w:val="22"/>
        </w:rPr>
        <w:t xml:space="preserve"> Serán aplicables, en lo conducente, las disposiciones de la licitación pública.</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91.-</w:t>
      </w:r>
      <w:r w:rsidRPr="005162EE">
        <w:rPr>
          <w:rFonts w:ascii="Palatino Linotype" w:eastAsia="Palatino Linotype" w:hAnsi="Palatino Linotype" w:cs="Palatino Linotype"/>
          <w:i/>
          <w:sz w:val="22"/>
          <w:szCs w:val="22"/>
        </w:rPr>
        <w:t xml:space="preserve"> La Secretaría, organismos auxiliares, tribunales administrativos y municipios podrán adquirir, arrendar o enajenar bienes, y contratar servicios, mediante el procedimiento de adjudicación directa en los términos establecidos por la Ley.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Artículo 92.-</w:t>
      </w:r>
      <w:r w:rsidRPr="005162EE">
        <w:rPr>
          <w:rFonts w:ascii="Palatino Linotype" w:eastAsia="Palatino Linotype" w:hAnsi="Palatino Linotype" w:cs="Palatino Linotype"/>
          <w:i/>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rsidR="00EE5FA6" w:rsidRPr="005162EE" w:rsidRDefault="00EE5FA6" w:rsidP="00EE5FA6">
      <w:pPr>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EE5FA6" w:rsidRPr="005162EE" w:rsidRDefault="00EE5FA6" w:rsidP="00EE5FA6">
      <w:pPr>
        <w:tabs>
          <w:tab w:val="left" w:pos="1134"/>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lastRenderedPageBreak/>
        <w:t>En el caso de los municipios, las cotizaciones deberán obtenerse a través de sus áreas de administración.”</w:t>
      </w:r>
    </w:p>
    <w:p w:rsidR="00EE5FA6" w:rsidRPr="005162EE" w:rsidRDefault="00EE5FA6" w:rsidP="00EE5FA6">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De lo hasta aquí expuesto, se advierte que, cuando los entes públicos deban o tengan que realizar la adquisición, arrendamiento de un bien o contratación de servicios, deberán regular su actividad a través de las licitaciones públicas mediante convocatoria y conforme el procedimiento establecido en la ley de contratación, o bien, mediante invitación restringida o adjudicación directa.</w:t>
      </w:r>
    </w:p>
    <w:p w:rsidR="00EE5FA6" w:rsidRPr="005162EE" w:rsidRDefault="00EE5FA6" w:rsidP="00EE5FA6">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 xml:space="preserve">El procedimiento de adquisición, arrendamiento y servicios a través de invitación restringida, se sigue cuando se hubiese declarado desierto un procedimiento de licitación y el importe de la operación no exceda los montos establecidos en el presupuesto; mientras que el de adjudicación directa, cuando se trate de servicios que requieran de experiencia, técnicas o equipos especiales, o se trate de la adquisición de bienes usados o de características especiales que solamente puedan ser prestados o suministrados por una sola persona. </w:t>
      </w:r>
    </w:p>
    <w:p w:rsidR="00EE5FA6" w:rsidRPr="005162EE" w:rsidRDefault="00EE5FA6" w:rsidP="00EE5FA6">
      <w:pPr>
        <w:spacing w:before="240" w:after="240" w:line="360" w:lineRule="auto"/>
        <w:jc w:val="both"/>
        <w:rPr>
          <w:rFonts w:ascii="Palatino Linotype" w:eastAsia="Palatino Linotype" w:hAnsi="Palatino Linotype" w:cs="Palatino Linotype"/>
        </w:rPr>
      </w:pPr>
      <w:r w:rsidRPr="005162EE">
        <w:rPr>
          <w:rFonts w:ascii="Palatino Linotype" w:eastAsia="Palatino Linotype" w:hAnsi="Palatino Linotype" w:cs="Palatino Linotype"/>
        </w:rPr>
        <w:t>Tras la adjudicación de bienes o servicios, el convocante y licitante están obligados a suscribir el contrato respectivo,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de Contratación.</w:t>
      </w:r>
    </w:p>
    <w:p w:rsidR="00EE5FA6" w:rsidRPr="005162EE" w:rsidRDefault="00EE5FA6" w:rsidP="00EE5FA6">
      <w:pPr>
        <w:spacing w:before="240" w:after="240" w:line="360" w:lineRule="auto"/>
        <w:ind w:right="51"/>
        <w:jc w:val="both"/>
        <w:rPr>
          <w:rFonts w:ascii="Palatino Linotype" w:eastAsia="Palatino Linotype" w:hAnsi="Palatino Linotype" w:cs="Palatino Linotype"/>
        </w:rPr>
      </w:pPr>
      <w:r w:rsidRPr="005162EE">
        <w:rPr>
          <w:rFonts w:ascii="Palatino Linotype" w:eastAsia="Palatino Linotype" w:hAnsi="Palatino Linotype" w:cs="Palatino Linotype"/>
        </w:rPr>
        <w:t xml:space="preserve">Siguiendo con el análisis, el artículo 92, </w:t>
      </w:r>
      <w:r>
        <w:rPr>
          <w:rFonts w:ascii="Palatino Linotype" w:eastAsia="Palatino Linotype" w:hAnsi="Palatino Linotype" w:cs="Palatino Linotype"/>
        </w:rPr>
        <w:t>fracción</w:t>
      </w:r>
      <w:r w:rsidRPr="005162EE">
        <w:rPr>
          <w:rFonts w:ascii="Palatino Linotype" w:eastAsia="Palatino Linotype" w:hAnsi="Palatino Linotype" w:cs="Palatino Linotype"/>
        </w:rPr>
        <w:t xml:space="preserve"> XXXVI de la Ley de Transparencia y Acceso a la Información Pública del Estado de México y Municipios, establece como obligaciones de transparencia que los Sujetos Obligados deben poner a </w:t>
      </w:r>
      <w:r w:rsidRPr="005162EE">
        <w:rPr>
          <w:rFonts w:ascii="Palatino Linotype" w:eastAsia="Palatino Linotype" w:hAnsi="Palatino Linotype" w:cs="Palatino Linotype"/>
        </w:rPr>
        <w:lastRenderedPageBreak/>
        <w:t>disposición del público de manera permanente y actualizada, de forma sencilla, precisa y entendible, en los respectivos medios electrónicos, la información relativa a los procesos y resultados sobre procedimientos de adjudicación directa, invitación restringida, y licitación de cualquier naturaleza, incluyendo la versión pública del expediente respectivo y de los contratos celebrados, así como el padrón de proveedores y contratistas, a saber:</w:t>
      </w:r>
    </w:p>
    <w:p w:rsidR="00EE5FA6" w:rsidRPr="005162EE" w:rsidRDefault="00EE5FA6" w:rsidP="00EE5FA6">
      <w:pPr>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r w:rsidRPr="005162EE">
        <w:rPr>
          <w:rFonts w:ascii="Palatino Linotype" w:eastAsia="Palatino Linotype" w:hAnsi="Palatino Linotype" w:cs="Palatino Linotype"/>
          <w:b/>
          <w:i/>
          <w:sz w:val="22"/>
          <w:szCs w:val="22"/>
        </w:rPr>
        <w:t>Artículo 92</w:t>
      </w:r>
      <w:r w:rsidRPr="005162E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i/>
          <w:sz w:val="22"/>
          <w:szCs w:val="22"/>
        </w:rPr>
        <w:t>(…)</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XXIX.</w:t>
      </w:r>
      <w:r w:rsidRPr="005162EE">
        <w:rPr>
          <w:rFonts w:ascii="Palatino Linotype" w:eastAsia="Palatino Linotype" w:hAnsi="Palatino Linotype" w:cs="Palatino Linotype"/>
          <w:i/>
          <w:sz w:val="22"/>
          <w:szCs w:val="22"/>
        </w:rPr>
        <w:t xml:space="preserve"> La </w:t>
      </w:r>
      <w:r w:rsidRPr="005162EE">
        <w:rPr>
          <w:rFonts w:ascii="Palatino Linotype" w:eastAsia="Palatino Linotype" w:hAnsi="Palatino Linotype" w:cs="Palatino Linotype"/>
          <w:b/>
          <w:i/>
          <w:sz w:val="22"/>
          <w:szCs w:val="22"/>
        </w:rPr>
        <w:t xml:space="preserve">información sobre los procesos y resultados </w:t>
      </w:r>
      <w:r w:rsidRPr="005162EE">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5162EE">
        <w:rPr>
          <w:rFonts w:ascii="Palatino Linotype" w:eastAsia="Palatino Linotype" w:hAnsi="Palatino Linotype" w:cs="Palatino Linotype"/>
          <w:i/>
          <w:sz w:val="22"/>
          <w:szCs w:val="22"/>
          <w:u w:val="single"/>
        </w:rPr>
        <w:t xml:space="preserve">, </w:t>
      </w:r>
      <w:r w:rsidRPr="005162EE">
        <w:rPr>
          <w:rFonts w:ascii="Palatino Linotype" w:eastAsia="Palatino Linotype" w:hAnsi="Palatino Linotype" w:cs="Palatino Linotype"/>
          <w:b/>
          <w:i/>
          <w:sz w:val="22"/>
          <w:szCs w:val="22"/>
        </w:rPr>
        <w:t>incluyendo la versión pública</w:t>
      </w:r>
      <w:r w:rsidRPr="005162EE">
        <w:rPr>
          <w:rFonts w:ascii="Palatino Linotype" w:eastAsia="Palatino Linotype" w:hAnsi="Palatino Linotype" w:cs="Palatino Linotype"/>
          <w:i/>
          <w:sz w:val="22"/>
          <w:szCs w:val="22"/>
        </w:rPr>
        <w:t xml:space="preserve"> del </w:t>
      </w:r>
      <w:r w:rsidRPr="005162EE">
        <w:rPr>
          <w:rFonts w:ascii="Palatino Linotype" w:eastAsia="Palatino Linotype" w:hAnsi="Palatino Linotype" w:cs="Palatino Linotype"/>
          <w:b/>
          <w:i/>
          <w:sz w:val="22"/>
          <w:szCs w:val="22"/>
        </w:rPr>
        <w:t>expediente respectivo</w:t>
      </w:r>
      <w:r w:rsidRPr="005162EE">
        <w:rPr>
          <w:rFonts w:ascii="Palatino Linotype" w:eastAsia="Palatino Linotype" w:hAnsi="Palatino Linotype" w:cs="Palatino Linotype"/>
          <w:i/>
          <w:sz w:val="22"/>
          <w:szCs w:val="22"/>
        </w:rPr>
        <w:t xml:space="preserve"> y </w:t>
      </w:r>
      <w:r w:rsidRPr="005162EE">
        <w:rPr>
          <w:rFonts w:ascii="Palatino Linotype" w:eastAsia="Palatino Linotype" w:hAnsi="Palatino Linotype" w:cs="Palatino Linotype"/>
          <w:b/>
          <w:i/>
          <w:sz w:val="22"/>
          <w:szCs w:val="22"/>
        </w:rPr>
        <w:t>de los contratos celebrados</w:t>
      </w:r>
      <w:r w:rsidRPr="005162EE">
        <w:rPr>
          <w:rFonts w:ascii="Palatino Linotype" w:eastAsia="Palatino Linotype" w:hAnsi="Palatino Linotype" w:cs="Palatino Linotype"/>
          <w:i/>
          <w:sz w:val="22"/>
          <w:szCs w:val="22"/>
        </w:rPr>
        <w:t>, que deberán contener, por los menos, lo siguiente:</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a) De licitaciones públicas o procedimientos de invitación restringida:</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w:t>
      </w:r>
      <w:r w:rsidRPr="005162EE">
        <w:rPr>
          <w:rFonts w:ascii="Palatino Linotype" w:eastAsia="Palatino Linotype" w:hAnsi="Palatino Linotype" w:cs="Palatino Linotype"/>
          <w:i/>
          <w:sz w:val="22"/>
          <w:szCs w:val="22"/>
        </w:rPr>
        <w:t xml:space="preserve"> La convocatoria o invitación emitida, así como los fundamentos legales aplicados para llevarla a cabo;</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2)</w:t>
      </w:r>
      <w:r w:rsidRPr="005162EE">
        <w:rPr>
          <w:rFonts w:ascii="Palatino Linotype" w:eastAsia="Palatino Linotype" w:hAnsi="Palatino Linotype" w:cs="Palatino Linotype"/>
          <w:i/>
          <w:sz w:val="22"/>
          <w:szCs w:val="22"/>
        </w:rPr>
        <w:t xml:space="preserve"> Los nombres de los participantes o invitados;</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3)</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El nombre del ganador y las razones que lo justifican;</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4)</w:t>
      </w:r>
      <w:r w:rsidRPr="005162EE">
        <w:rPr>
          <w:rFonts w:ascii="Palatino Linotype" w:eastAsia="Palatino Linotype" w:hAnsi="Palatino Linotype" w:cs="Palatino Linotype"/>
          <w:i/>
          <w:sz w:val="22"/>
          <w:szCs w:val="22"/>
        </w:rPr>
        <w:t xml:space="preserve"> El área solicitante y la responsable de su ejecución;</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5)</w:t>
      </w:r>
      <w:r w:rsidRPr="005162EE">
        <w:rPr>
          <w:rFonts w:ascii="Palatino Linotype" w:eastAsia="Palatino Linotype" w:hAnsi="Palatino Linotype" w:cs="Palatino Linotype"/>
          <w:i/>
          <w:sz w:val="22"/>
          <w:szCs w:val="22"/>
        </w:rPr>
        <w:t xml:space="preserve"> Las convocatorias e invitaciones emitidas; </w:t>
      </w:r>
    </w:p>
    <w:p w:rsidR="00EE5FA6" w:rsidRPr="005162EE" w:rsidRDefault="00EE5FA6" w:rsidP="00EE5FA6">
      <w:pPr>
        <w:tabs>
          <w:tab w:val="left" w:pos="426"/>
        </w:tabs>
        <w:spacing w:before="120" w:after="120"/>
        <w:ind w:left="426" w:right="902" w:firstLine="141"/>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6)</w:t>
      </w:r>
      <w:r w:rsidRPr="005162EE">
        <w:rPr>
          <w:rFonts w:ascii="Palatino Linotype" w:eastAsia="Palatino Linotype" w:hAnsi="Palatino Linotype" w:cs="Palatino Linotype"/>
          <w:i/>
          <w:sz w:val="22"/>
          <w:szCs w:val="22"/>
        </w:rPr>
        <w:t xml:space="preserve"> Los dictámenes y fallo de adjudicación;</w:t>
      </w:r>
    </w:p>
    <w:p w:rsidR="00EE5FA6" w:rsidRPr="005162EE" w:rsidRDefault="00EE5FA6" w:rsidP="00EE5FA6">
      <w:pPr>
        <w:tabs>
          <w:tab w:val="left" w:pos="426"/>
        </w:tabs>
        <w:spacing w:before="120" w:after="120"/>
        <w:ind w:left="426" w:right="902" w:firstLine="141"/>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7) El contrato</w:t>
      </w:r>
      <w:r w:rsidRPr="005162EE">
        <w:rPr>
          <w:rFonts w:ascii="Palatino Linotype" w:eastAsia="Palatino Linotype" w:hAnsi="Palatino Linotype" w:cs="Palatino Linotype"/>
          <w:i/>
          <w:sz w:val="22"/>
          <w:szCs w:val="22"/>
        </w:rPr>
        <w:t xml:space="preserve"> y, en su caso, sus anexos;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8)</w:t>
      </w:r>
      <w:r w:rsidRPr="005162E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9)</w:t>
      </w:r>
      <w:r w:rsidRPr="005162EE">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lastRenderedPageBreak/>
        <w:t>10)</w:t>
      </w:r>
      <w:r w:rsidRPr="005162EE">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11)</w:t>
      </w:r>
      <w:r w:rsidRPr="005162EE">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12)</w:t>
      </w:r>
      <w:r w:rsidRPr="005162EE">
        <w:rPr>
          <w:rFonts w:ascii="Palatino Linotype" w:eastAsia="Palatino Linotype" w:hAnsi="Palatino Linotype" w:cs="Palatino Linotype"/>
          <w:i/>
          <w:sz w:val="22"/>
          <w:szCs w:val="22"/>
        </w:rPr>
        <w:t xml:space="preserve"> Los informes de avance físico y financiero sobre las obras o servicios contratados;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13)</w:t>
      </w:r>
      <w:r w:rsidRPr="005162EE">
        <w:rPr>
          <w:rFonts w:ascii="Palatino Linotype" w:eastAsia="Palatino Linotype" w:hAnsi="Palatino Linotype" w:cs="Palatino Linotype"/>
          <w:i/>
          <w:sz w:val="22"/>
          <w:szCs w:val="22"/>
        </w:rPr>
        <w:t xml:space="preserve"> El convenio de terminación;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14)</w:t>
      </w:r>
      <w:r w:rsidRPr="005162EE">
        <w:rPr>
          <w:rFonts w:ascii="Palatino Linotype" w:eastAsia="Palatino Linotype" w:hAnsi="Palatino Linotype" w:cs="Palatino Linotype"/>
          <w:i/>
          <w:sz w:val="22"/>
          <w:szCs w:val="22"/>
        </w:rPr>
        <w:t xml:space="preserve"> El finiquito.</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 xml:space="preserve">b) De las adjudicaciones directas: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w:t>
      </w:r>
      <w:r w:rsidRPr="005162EE">
        <w:rPr>
          <w:rFonts w:ascii="Palatino Linotype" w:eastAsia="Palatino Linotype" w:hAnsi="Palatino Linotype" w:cs="Palatino Linotype"/>
          <w:i/>
          <w:sz w:val="22"/>
          <w:szCs w:val="22"/>
        </w:rPr>
        <w:t xml:space="preserve"> La propuesta enviada por el participante;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2)</w:t>
      </w:r>
      <w:r w:rsidRPr="005162EE">
        <w:rPr>
          <w:rFonts w:ascii="Palatino Linotype" w:eastAsia="Palatino Linotype" w:hAnsi="Palatino Linotype" w:cs="Palatino Linotype"/>
          <w:i/>
          <w:sz w:val="22"/>
          <w:szCs w:val="22"/>
        </w:rPr>
        <w:t xml:space="preserve"> Los motivos y fundamentos legales aplicados para llevarla a cabo;</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3)</w:t>
      </w:r>
      <w:r w:rsidRPr="005162EE">
        <w:rPr>
          <w:rFonts w:ascii="Palatino Linotype" w:eastAsia="Palatino Linotype" w:hAnsi="Palatino Linotype" w:cs="Palatino Linotype"/>
          <w:i/>
          <w:sz w:val="22"/>
          <w:szCs w:val="22"/>
        </w:rPr>
        <w:t xml:space="preserve"> La autorización del ejercicio de la opción;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 xml:space="preserve">4) </w:t>
      </w:r>
      <w:r w:rsidRPr="005162EE">
        <w:rPr>
          <w:rFonts w:ascii="Palatino Linotype" w:eastAsia="Palatino Linotype" w:hAnsi="Palatino Linotype" w:cs="Palatino Linotype"/>
          <w:i/>
          <w:sz w:val="22"/>
          <w:szCs w:val="22"/>
        </w:rPr>
        <w:t>En su caso, las cotizaciones consideradas, especificando los nombres de los proveedores y sus montos;</w:t>
      </w:r>
      <w:r w:rsidRPr="005162EE">
        <w:rPr>
          <w:rFonts w:ascii="Palatino Linotype" w:eastAsia="Palatino Linotype" w:hAnsi="Palatino Linotype" w:cs="Palatino Linotype"/>
          <w:b/>
          <w:i/>
          <w:sz w:val="22"/>
          <w:szCs w:val="22"/>
        </w:rPr>
        <w:t xml:space="preserve">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b/>
          <w:i/>
          <w:sz w:val="22"/>
          <w:szCs w:val="22"/>
        </w:rPr>
      </w:pPr>
      <w:r w:rsidRPr="005162EE">
        <w:rPr>
          <w:rFonts w:ascii="Palatino Linotype" w:eastAsia="Palatino Linotype" w:hAnsi="Palatino Linotype" w:cs="Palatino Linotype"/>
          <w:b/>
          <w:i/>
          <w:sz w:val="22"/>
          <w:szCs w:val="22"/>
        </w:rPr>
        <w:t>5)</w:t>
      </w:r>
      <w:r w:rsidRPr="005162EE">
        <w:rPr>
          <w:rFonts w:ascii="Palatino Linotype" w:eastAsia="Palatino Linotype" w:hAnsi="Palatino Linotype" w:cs="Palatino Linotype"/>
          <w:i/>
          <w:sz w:val="22"/>
          <w:szCs w:val="22"/>
        </w:rPr>
        <w:t xml:space="preserve"> </w:t>
      </w:r>
      <w:r w:rsidRPr="005162EE">
        <w:rPr>
          <w:rFonts w:ascii="Palatino Linotype" w:eastAsia="Palatino Linotype" w:hAnsi="Palatino Linotype" w:cs="Palatino Linotype"/>
          <w:b/>
          <w:i/>
          <w:sz w:val="22"/>
          <w:szCs w:val="22"/>
        </w:rPr>
        <w:t xml:space="preserve">El nombre de la persona física o jurídica colectiva adjudicada;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6)</w:t>
      </w:r>
      <w:r w:rsidRPr="005162EE">
        <w:rPr>
          <w:rFonts w:ascii="Palatino Linotype" w:eastAsia="Palatino Linotype" w:hAnsi="Palatino Linotype" w:cs="Palatino Linotype"/>
          <w:i/>
          <w:sz w:val="22"/>
          <w:szCs w:val="22"/>
        </w:rPr>
        <w:t xml:space="preserve"> La unidad administrativa solicitante y la responsable de su ejecución;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7) El número, fecha, el monto del contrato</w:t>
      </w:r>
      <w:r w:rsidRPr="005162EE">
        <w:rPr>
          <w:rFonts w:ascii="Palatino Linotype" w:eastAsia="Palatino Linotype" w:hAnsi="Palatino Linotype" w:cs="Palatino Linotype"/>
          <w:i/>
          <w:sz w:val="22"/>
          <w:szCs w:val="22"/>
        </w:rPr>
        <w:t xml:space="preserve"> y el plazo de entrega o de ejecución de los servicios u obra;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8)</w:t>
      </w:r>
      <w:r w:rsidRPr="005162E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9)</w:t>
      </w:r>
      <w:r w:rsidRPr="005162EE">
        <w:rPr>
          <w:rFonts w:ascii="Palatino Linotype" w:eastAsia="Palatino Linotype" w:hAnsi="Palatino Linotype" w:cs="Palatino Linotype"/>
          <w:i/>
          <w:sz w:val="22"/>
          <w:szCs w:val="22"/>
        </w:rPr>
        <w:t xml:space="preserve"> Los informes de avance sobre las obras o servicios contratados; </w:t>
      </w:r>
    </w:p>
    <w:p w:rsidR="00EE5FA6" w:rsidRPr="005162EE"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10)</w:t>
      </w:r>
      <w:r w:rsidRPr="005162EE">
        <w:rPr>
          <w:rFonts w:ascii="Palatino Linotype" w:eastAsia="Palatino Linotype" w:hAnsi="Palatino Linotype" w:cs="Palatino Linotype"/>
          <w:i/>
          <w:sz w:val="22"/>
          <w:szCs w:val="22"/>
        </w:rPr>
        <w:t xml:space="preserve"> El convenio de terminación; y </w:t>
      </w:r>
    </w:p>
    <w:p w:rsidR="00EE5FA6" w:rsidRPr="00BD6C32" w:rsidRDefault="00EE5FA6" w:rsidP="00EE5FA6">
      <w:pPr>
        <w:tabs>
          <w:tab w:val="left" w:pos="426"/>
        </w:tabs>
        <w:spacing w:before="120" w:after="120"/>
        <w:ind w:left="567" w:right="902"/>
        <w:jc w:val="both"/>
        <w:rPr>
          <w:rFonts w:ascii="Palatino Linotype" w:eastAsia="Palatino Linotype" w:hAnsi="Palatino Linotype" w:cs="Palatino Linotype"/>
          <w:i/>
          <w:sz w:val="22"/>
          <w:szCs w:val="22"/>
        </w:rPr>
      </w:pPr>
      <w:r w:rsidRPr="005162EE">
        <w:rPr>
          <w:rFonts w:ascii="Palatino Linotype" w:eastAsia="Palatino Linotype" w:hAnsi="Palatino Linotype" w:cs="Palatino Linotype"/>
          <w:b/>
          <w:i/>
          <w:sz w:val="22"/>
          <w:szCs w:val="22"/>
        </w:rPr>
        <w:t>11)</w:t>
      </w:r>
      <w:r w:rsidRPr="005162EE">
        <w:rPr>
          <w:rFonts w:ascii="Palatino Linotype" w:eastAsia="Palatino Linotype" w:hAnsi="Palatino Linotype" w:cs="Palatino Linotype"/>
          <w:i/>
          <w:sz w:val="22"/>
          <w:szCs w:val="22"/>
        </w:rPr>
        <w:t xml:space="preserve"> El finiquito;”</w:t>
      </w:r>
    </w:p>
    <w:p w:rsidR="00EE5FA6" w:rsidRDefault="00EE5FA6" w:rsidP="00EE5FA6">
      <w:pPr>
        <w:spacing w:line="360" w:lineRule="auto"/>
        <w:ind w:right="49"/>
        <w:jc w:val="both"/>
        <w:rPr>
          <w:rFonts w:ascii="Palatino Linotype" w:hAnsi="Palatino Linotype" w:cs="Arial"/>
          <w:lang w:eastAsia="es-ES"/>
        </w:rPr>
      </w:pPr>
    </w:p>
    <w:p w:rsidR="00EE5FA6" w:rsidRPr="00AE4DCA" w:rsidRDefault="00EE5FA6" w:rsidP="00EE5FA6">
      <w:pPr>
        <w:spacing w:line="360" w:lineRule="auto"/>
        <w:ind w:right="49"/>
        <w:jc w:val="both"/>
        <w:rPr>
          <w:rFonts w:ascii="Palatino Linotype" w:hAnsi="Palatino Linotype" w:cs="Arial"/>
          <w:lang w:eastAsia="es-ES"/>
        </w:rPr>
      </w:pPr>
      <w:r>
        <w:rPr>
          <w:rFonts w:ascii="Palatino Linotype" w:hAnsi="Palatino Linotype" w:cs="Arial"/>
          <w:lang w:eastAsia="es-ES"/>
        </w:rPr>
        <w:t>Bajo este orden de ideas</w:t>
      </w:r>
      <w:r w:rsidRPr="00AE4DCA">
        <w:rPr>
          <w:rFonts w:ascii="Palatino Linotype" w:hAnsi="Palatino Linotype" w:cs="Arial"/>
          <w:lang w:eastAsia="es-ES"/>
        </w:rPr>
        <w:t xml:space="preserve">, por cuanto hace a los contratos que emanan de los procedimientos expuestos que regula la legislación en materia de contratación pública estatal, el Reglamento de la Ley de Contratación Pública del Estado de México y Municipios establece que los instrumentos jurídicos vinculantes deberán reunir los siguientes elementos: </w:t>
      </w:r>
    </w:p>
    <w:p w:rsidR="00EE5FA6" w:rsidRPr="00AE4DCA" w:rsidRDefault="00EE5FA6" w:rsidP="00EE5FA6">
      <w:pPr>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“TÍTULO NOVENO </w:t>
      </w:r>
    </w:p>
    <w:p w:rsidR="00EE5FA6" w:rsidRPr="00AE4DCA" w:rsidRDefault="00EE5FA6" w:rsidP="00EE5FA6">
      <w:pPr>
        <w:ind w:left="567" w:right="851"/>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lastRenderedPageBreak/>
        <w:t xml:space="preserve">DE LOS CONTRATOS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bCs/>
          <w:i/>
          <w:sz w:val="22"/>
          <w:lang w:val="es-MX" w:eastAsia="es-ES"/>
        </w:rPr>
        <w:t xml:space="preserve">Artículo 120.- </w:t>
      </w:r>
      <w:r w:rsidRPr="00AE4DCA">
        <w:rPr>
          <w:rFonts w:ascii="Palatino Linotype" w:hAnsi="Palatino Linotype" w:cs="Arial"/>
          <w:b/>
          <w:i/>
          <w:sz w:val="22"/>
          <w:u w:val="single"/>
          <w:lang w:val="es-MX" w:eastAsia="es-ES"/>
        </w:rPr>
        <w:t xml:space="preserve">Los contratos relacionados con las materias reguladas por la Ley referirán, como mínimo, lo siguiente: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 Objeto;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II. Fecha de suministro de los bienes o período de prestación del servicio;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III. Datos del procedimiento que dio origen al contrato;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IV. Importe total;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V. Porcentajes, número y fechas de las exhibiciones y amortización de los anticipos que se otorguen;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VI. Formalidades para el otorgamiento y cobro de garantías;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VIII. Términos en que el proveedor o prestador del servicio, en su caso, reintegrará las cantidades que, en cualquier forma, hubiere recibido en exceso por la contratación;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IX. Causales por las que la Secretaría, organismos auxiliares, tribunales administrativos o municipios podrán dar por rescindido el contrato y sus efectos;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X. Las consecuencias de la cancelación o terminación anticipada por causas imputables al proveedor o prestador del servicio; </w:t>
      </w:r>
    </w:p>
    <w:p w:rsidR="00EE5FA6" w:rsidRPr="00AE4DCA" w:rsidRDefault="00EE5FA6" w:rsidP="00EE5FA6">
      <w:pPr>
        <w:ind w:left="567" w:right="851"/>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XI. Señalamiento del domicilio de las partes, ubicado en el territorio del Estado, o bien, domicilio para oír y recibir notificaciones; y </w:t>
      </w:r>
    </w:p>
    <w:p w:rsidR="00EE5FA6" w:rsidRPr="00AE4DCA" w:rsidRDefault="00EE5FA6" w:rsidP="00EE5FA6">
      <w:pPr>
        <w:ind w:left="567" w:right="709"/>
        <w:jc w:val="both"/>
        <w:rPr>
          <w:rFonts w:ascii="Palatino Linotype" w:hAnsi="Palatino Linotype" w:cs="Arial"/>
          <w:b/>
          <w:i/>
          <w:sz w:val="22"/>
          <w:u w:val="single"/>
          <w:lang w:val="es-MX" w:eastAsia="es-ES"/>
        </w:rPr>
      </w:pPr>
      <w:r w:rsidRPr="00AE4DCA">
        <w:rPr>
          <w:rFonts w:ascii="Palatino Linotype" w:hAnsi="Palatino Linotype" w:cs="Arial"/>
          <w:b/>
          <w:i/>
          <w:sz w:val="22"/>
          <w:u w:val="single"/>
          <w:lang w:val="es-MX" w:eastAsia="es-ES"/>
        </w:rPr>
        <w:t xml:space="preserve">XII. Renuncia expresa al fuero que les pudiera corresponder en función de su domicilio o vecindad presente o futuro.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121.- </w:t>
      </w:r>
      <w:r w:rsidRPr="00AE4DCA">
        <w:rPr>
          <w:rFonts w:ascii="Palatino Linotype" w:hAnsi="Palatino Linotype" w:cs="Arial"/>
          <w:i/>
          <w:sz w:val="22"/>
          <w:lang w:val="es-MX" w:eastAsia="es-ES"/>
        </w:rPr>
        <w:t xml:space="preserve">Cuando el contrato sea adjudicado a varios participantes, deberá ser firmado por todos, especificando las obligaciones que a cada uno correspondan.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122.- </w:t>
      </w:r>
      <w:r w:rsidRPr="00AE4DCA">
        <w:rPr>
          <w:rFonts w:ascii="Palatino Linotype" w:hAnsi="Palatino Linotype" w:cs="Arial"/>
          <w:i/>
          <w:sz w:val="22"/>
          <w:lang w:val="es-MX" w:eastAsia="es-ES"/>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123.- </w:t>
      </w:r>
      <w:r w:rsidRPr="00AE4DCA">
        <w:rPr>
          <w:rFonts w:ascii="Palatino Linotype" w:hAnsi="Palatino Linotype" w:cs="Arial"/>
          <w:i/>
          <w:sz w:val="22"/>
          <w:lang w:val="es-MX" w:eastAsia="es-ES"/>
        </w:rPr>
        <w:t xml:space="preserve">El proveedor o prestador del servicio que desee transmitir sus derechos de cobro, deberá solicitar por escrito el consentimiento de la contratante, misma que </w:t>
      </w:r>
      <w:r w:rsidRPr="00AE4DCA">
        <w:rPr>
          <w:rFonts w:ascii="Palatino Linotype" w:hAnsi="Palatino Linotype" w:cs="Arial"/>
          <w:i/>
          <w:sz w:val="22"/>
          <w:lang w:val="es-MX" w:eastAsia="es-ES"/>
        </w:rPr>
        <w:lastRenderedPageBreak/>
        <w:t xml:space="preserve">resolverá lo procedente en un término de quince días naturales contados a partir de la presentación de dicha solicitud.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No se generará el pago de gastos o recargos por parte de la contratante, si durante el plazo para emitir la resolución de la transmisión de los derechos de cobro, se origina un retraso en el pago pactado.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124.- </w:t>
      </w:r>
      <w:r w:rsidRPr="00AE4DCA">
        <w:rPr>
          <w:rFonts w:ascii="Palatino Linotype" w:hAnsi="Palatino Linotype" w:cs="Arial"/>
          <w:i/>
          <w:sz w:val="22"/>
          <w:lang w:val="es-MX" w:eastAsia="es-ES"/>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125.- </w:t>
      </w:r>
      <w:r w:rsidRPr="00AE4DCA">
        <w:rPr>
          <w:rFonts w:ascii="Palatino Linotype" w:hAnsi="Palatino Linotype" w:cs="Arial"/>
          <w:i/>
          <w:sz w:val="22"/>
          <w:lang w:val="es-MX" w:eastAsia="es-ES"/>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Igual porcentaje se aplicará a las modificaciones o prórrogas que se hagan respecto a la vigencia de los contratos de prestación de servicios.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126.- </w:t>
      </w:r>
      <w:r w:rsidRPr="00AE4DCA">
        <w:rPr>
          <w:rFonts w:ascii="Palatino Linotype" w:hAnsi="Palatino Linotype" w:cs="Arial"/>
          <w:i/>
          <w:sz w:val="22"/>
          <w:lang w:val="es-MX" w:eastAsia="es-ES"/>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b/>
          <w:bCs/>
          <w:i/>
          <w:sz w:val="22"/>
          <w:lang w:val="es-MX" w:eastAsia="es-ES"/>
        </w:rPr>
        <w:t xml:space="preserve">Artículo 127.- </w:t>
      </w:r>
      <w:r w:rsidRPr="00AE4DCA">
        <w:rPr>
          <w:rFonts w:ascii="Palatino Linotype" w:hAnsi="Palatino Linotype" w:cs="Arial"/>
          <w:i/>
          <w:sz w:val="22"/>
          <w:lang w:val="es-MX" w:eastAsia="es-ES"/>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 xml:space="preserve">Al escrito por medio del cual se informe el cumplimiento o incumplimiento del proveedor o prestador del servicio, se adjuntarán copia de las facturas que acrediten el suministro de los bienes o prestación de los servicios relativos. </w:t>
      </w: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Lo anterior, podrá ser informado a través del sistema COMPRAMEX.”</w:t>
      </w:r>
    </w:p>
    <w:p w:rsidR="00EE5FA6" w:rsidRPr="00AE4DCA" w:rsidRDefault="00EE5FA6" w:rsidP="00EE5FA6">
      <w:pPr>
        <w:ind w:left="567" w:right="709"/>
        <w:jc w:val="both"/>
        <w:rPr>
          <w:rFonts w:ascii="Palatino Linotype" w:hAnsi="Palatino Linotype" w:cs="Arial"/>
          <w:i/>
          <w:sz w:val="22"/>
          <w:lang w:val="es-MX" w:eastAsia="es-ES"/>
        </w:rPr>
      </w:pPr>
    </w:p>
    <w:p w:rsidR="00EE5FA6" w:rsidRPr="00AE4DCA" w:rsidRDefault="00EE5FA6" w:rsidP="00EE5FA6">
      <w:pPr>
        <w:ind w:left="567" w:right="709"/>
        <w:jc w:val="both"/>
        <w:rPr>
          <w:rFonts w:ascii="Palatino Linotype" w:hAnsi="Palatino Linotype" w:cs="Arial"/>
          <w:i/>
          <w:sz w:val="22"/>
          <w:lang w:val="es-MX" w:eastAsia="es-ES"/>
        </w:rPr>
      </w:pPr>
      <w:r w:rsidRPr="00AE4DCA">
        <w:rPr>
          <w:rFonts w:ascii="Palatino Linotype" w:hAnsi="Palatino Linotype" w:cs="Arial"/>
          <w:i/>
          <w:sz w:val="22"/>
          <w:lang w:val="es-MX" w:eastAsia="es-ES"/>
        </w:rPr>
        <w:t>(Énfasis añadido)</w:t>
      </w:r>
    </w:p>
    <w:p w:rsidR="00EE5FA6" w:rsidRPr="00AE4DCA" w:rsidRDefault="00EE5FA6" w:rsidP="00EE5FA6">
      <w:pPr>
        <w:spacing w:line="360" w:lineRule="auto"/>
        <w:ind w:right="49"/>
        <w:jc w:val="both"/>
        <w:rPr>
          <w:rFonts w:ascii="Palatino Linotype" w:hAnsi="Palatino Linotype" w:cs="Arial"/>
          <w:lang w:eastAsia="es-ES"/>
        </w:rPr>
      </w:pPr>
    </w:p>
    <w:p w:rsidR="00EE5FA6" w:rsidRPr="00AE4DCA" w:rsidRDefault="00EE5FA6" w:rsidP="00EE5FA6">
      <w:pPr>
        <w:spacing w:line="360" w:lineRule="auto"/>
        <w:ind w:right="49"/>
        <w:jc w:val="both"/>
        <w:rPr>
          <w:rFonts w:ascii="Palatino Linotype" w:hAnsi="Palatino Linotype" w:cs="Arial"/>
          <w:lang w:eastAsia="es-ES"/>
        </w:rPr>
      </w:pPr>
      <w:r w:rsidRPr="00AE4DCA">
        <w:rPr>
          <w:rFonts w:ascii="Palatino Linotype" w:hAnsi="Palatino Linotype" w:cs="Arial"/>
          <w:lang w:eastAsia="es-ES"/>
        </w:rPr>
        <w:t xml:space="preserve">De lo anteriormente expuesto se arriban a las siguientes conclusiones: </w:t>
      </w:r>
    </w:p>
    <w:p w:rsidR="00EE5FA6" w:rsidRPr="00AE4DCA" w:rsidRDefault="00EE5FA6" w:rsidP="00EE5FA6">
      <w:pPr>
        <w:spacing w:line="360" w:lineRule="auto"/>
        <w:ind w:right="49"/>
        <w:jc w:val="both"/>
        <w:rPr>
          <w:rFonts w:ascii="Palatino Linotype" w:hAnsi="Palatino Linotype" w:cs="Arial"/>
          <w:lang w:eastAsia="es-ES"/>
        </w:rPr>
      </w:pPr>
    </w:p>
    <w:p w:rsidR="00EE5FA6" w:rsidRPr="00AE4DCA" w:rsidRDefault="00EE5FA6" w:rsidP="00EE5FA6">
      <w:pPr>
        <w:numPr>
          <w:ilvl w:val="0"/>
          <w:numId w:val="7"/>
        </w:numPr>
        <w:spacing w:after="160" w:line="360" w:lineRule="auto"/>
        <w:ind w:right="851"/>
        <w:contextualSpacing/>
        <w:jc w:val="both"/>
        <w:rPr>
          <w:rFonts w:ascii="Palatino Linotype" w:hAnsi="Palatino Linotype" w:cs="Arial"/>
          <w:bCs/>
          <w:lang w:eastAsia="es-ES"/>
        </w:rPr>
      </w:pPr>
      <w:r w:rsidRPr="00AE4DCA">
        <w:rPr>
          <w:rFonts w:ascii="Palatino Linotype" w:hAnsi="Palatino Linotype" w:cs="Arial"/>
          <w:bCs/>
          <w:lang w:eastAsia="es-ES"/>
        </w:rPr>
        <w:t xml:space="preserve">Los Ayuntamientos pueden llevar a cabo licitaciones públicas por conducto de la Dirección de Administración para la adquisición de bienes y servicios. </w:t>
      </w:r>
    </w:p>
    <w:p w:rsidR="00EE5FA6" w:rsidRPr="00AE4DCA" w:rsidRDefault="00EE5FA6" w:rsidP="00EE5FA6">
      <w:pPr>
        <w:numPr>
          <w:ilvl w:val="0"/>
          <w:numId w:val="7"/>
        </w:numPr>
        <w:spacing w:after="160" w:line="360" w:lineRule="auto"/>
        <w:ind w:right="851"/>
        <w:contextualSpacing/>
        <w:jc w:val="both"/>
        <w:rPr>
          <w:rFonts w:ascii="Palatino Linotype" w:hAnsi="Palatino Linotype" w:cs="Arial"/>
          <w:b/>
          <w:bCs/>
          <w:lang w:eastAsia="es-ES"/>
        </w:rPr>
      </w:pPr>
      <w:r w:rsidRPr="00AE4DCA">
        <w:rPr>
          <w:rFonts w:ascii="Palatino Linotype" w:hAnsi="Palatino Linotype" w:cs="Arial"/>
          <w:bCs/>
          <w:lang w:eastAsia="es-ES"/>
        </w:rPr>
        <w:t xml:space="preserve">Dentro de los requisitos para la licitación se prevé la suscripción de </w:t>
      </w:r>
      <w:r w:rsidRPr="00AE4DCA">
        <w:rPr>
          <w:rFonts w:ascii="Palatino Linotype" w:hAnsi="Palatino Linotype" w:cs="Arial"/>
          <w:b/>
          <w:bCs/>
          <w:lang w:eastAsia="es-ES"/>
        </w:rPr>
        <w:t>un contrato en el que se establezcan como elementos mínimos: el objeto, fecha de suministro de los servicios o bienes, datos del procedimiento que dio origen al contrato, importe, etc.</w:t>
      </w:r>
    </w:p>
    <w:p w:rsidR="00EE5FA6" w:rsidRDefault="00EE5FA6" w:rsidP="00EE5FA6">
      <w:pPr>
        <w:numPr>
          <w:ilvl w:val="0"/>
          <w:numId w:val="7"/>
        </w:numPr>
        <w:spacing w:after="160" w:line="360" w:lineRule="auto"/>
        <w:ind w:right="851"/>
        <w:contextualSpacing/>
        <w:jc w:val="both"/>
        <w:rPr>
          <w:rFonts w:ascii="Palatino Linotype" w:hAnsi="Palatino Linotype" w:cs="Arial"/>
          <w:bCs/>
          <w:lang w:eastAsia="es-ES"/>
        </w:rPr>
      </w:pPr>
      <w:r w:rsidRPr="00AE4DCA">
        <w:rPr>
          <w:rFonts w:ascii="Palatino Linotype" w:hAnsi="Palatino Linotype" w:cs="Arial"/>
          <w:bCs/>
          <w:lang w:eastAsia="es-ES"/>
        </w:rPr>
        <w:t>Constituye una obligación de transparencia el poner a disposición del público toda la información referente a las licitaciones públicas, e</w:t>
      </w:r>
      <w:r w:rsidRPr="00AE4DCA">
        <w:rPr>
          <w:rFonts w:ascii="Palatino Linotype" w:hAnsi="Palatino Linotype" w:cs="Arial"/>
          <w:b/>
          <w:bCs/>
          <w:lang w:eastAsia="es-ES"/>
        </w:rPr>
        <w:t>ntre estos documentos destacan los contratos.</w:t>
      </w:r>
    </w:p>
    <w:p w:rsidR="00EE5FA6" w:rsidRPr="00D341E6" w:rsidRDefault="00EE5FA6" w:rsidP="00EE5FA6">
      <w:pPr>
        <w:spacing w:after="160" w:line="360" w:lineRule="auto"/>
        <w:ind w:left="720" w:right="851"/>
        <w:contextualSpacing/>
        <w:jc w:val="both"/>
        <w:rPr>
          <w:rFonts w:ascii="Palatino Linotype" w:hAnsi="Palatino Linotype" w:cs="Arial"/>
          <w:bCs/>
          <w:lang w:eastAsia="es-ES"/>
        </w:rPr>
      </w:pPr>
    </w:p>
    <w:p w:rsidR="0085062C" w:rsidRPr="00EE5FA6" w:rsidRDefault="00B35676">
      <w:pPr>
        <w:spacing w:before="80" w:after="240" w:line="360" w:lineRule="auto"/>
        <w:ind w:right="51"/>
        <w:jc w:val="both"/>
        <w:rPr>
          <w:rFonts w:ascii="Palatino Linotype" w:eastAsia="Palatino Linotype" w:hAnsi="Palatino Linotype" w:cs="Palatino Linotype"/>
        </w:rPr>
      </w:pPr>
      <w:r w:rsidRPr="00EE5FA6">
        <w:rPr>
          <w:rFonts w:ascii="Palatino Linotype" w:eastAsia="Palatino Linotype" w:hAnsi="Palatino Linotype" w:cs="Palatino Linotype"/>
        </w:rPr>
        <w:t xml:space="preserve">Por ende, de acuerdo a los </w:t>
      </w:r>
      <w:r w:rsidRPr="00EE5FA6">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EE5FA6">
        <w:rPr>
          <w:rFonts w:ascii="Palatino Linotype" w:eastAsia="Palatino Linotype" w:hAnsi="Palatino Linotype" w:cs="Palatino Linotype"/>
        </w:rPr>
        <w:t xml:space="preserve">, que deben de difundir los sujetos obligados en los portales de Internet para el cumplimiento de la obligación de transparencia señalada en el artículo 70, fracciones XXVIII y XXXII de la Ley General de Transparencia y Acceso a la Información Pública, los Sujetos Obligados deben publicar información sobre los actos, </w:t>
      </w:r>
      <w:r w:rsidRPr="00EE5FA6">
        <w:rPr>
          <w:rFonts w:ascii="Palatino Linotype" w:eastAsia="Palatino Linotype" w:hAnsi="Palatino Linotype" w:cs="Palatino Linotype"/>
          <w:b/>
          <w:u w:val="single"/>
        </w:rPr>
        <w:t>contratos</w:t>
      </w:r>
      <w:r w:rsidRPr="00EE5FA6">
        <w:rPr>
          <w:rFonts w:ascii="Palatino Linotype" w:eastAsia="Palatino Linotype" w:hAnsi="Palatino Linotype" w:cs="Palatino Linotype"/>
        </w:rPr>
        <w:t xml:space="preserve"> y convenios celebrados, misma que </w:t>
      </w:r>
      <w:r w:rsidRPr="00EE5FA6">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EE5FA6">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w:t>
      </w:r>
      <w:r w:rsidRPr="00EE5FA6">
        <w:rPr>
          <w:rFonts w:ascii="Palatino Linotype" w:eastAsia="Palatino Linotype" w:hAnsi="Palatino Linotype" w:cs="Palatino Linotype"/>
        </w:rPr>
        <w:lastRenderedPageBreak/>
        <w:t xml:space="preserve">el carácter de cada uno, es decir, nacional o internacional, </w:t>
      </w:r>
      <w:r w:rsidRPr="00EE5FA6">
        <w:rPr>
          <w:rFonts w:ascii="Palatino Linotype" w:eastAsia="Palatino Linotype" w:hAnsi="Palatino Linotype" w:cs="Palatino Linotype"/>
          <w:b/>
          <w:u w:val="single"/>
        </w:rPr>
        <w:t>además se debe elaborar versión pública los documentos fuente que deban ser publicados en este apartado, tales como contratos</w:t>
      </w:r>
      <w:r w:rsidRPr="00EE5FA6">
        <w:rPr>
          <w:rFonts w:ascii="Palatino Linotype" w:eastAsia="Palatino Linotype" w:hAnsi="Palatino Linotype" w:cs="Palatino Linotype"/>
        </w:rPr>
        <w:t xml:space="preserve">, convenios, actas, dictámenes, fallos, convenios modificatorios, informes, entre otros, incluyendo sus anexos correspondientes. </w:t>
      </w:r>
    </w:p>
    <w:p w:rsidR="0085062C" w:rsidRPr="00EE5FA6" w:rsidRDefault="00B35676">
      <w:pPr>
        <w:spacing w:line="360" w:lineRule="auto"/>
        <w:jc w:val="both"/>
        <w:rPr>
          <w:rFonts w:ascii="Palatino Linotype" w:eastAsia="Palatino Linotype" w:hAnsi="Palatino Linotype" w:cs="Palatino Linotype"/>
        </w:rPr>
      </w:pPr>
      <w:r w:rsidRPr="00EE5FA6">
        <w:rPr>
          <w:rFonts w:ascii="Palatino Linotype" w:eastAsia="Palatino Linotype" w:hAnsi="Palatino Linotype" w:cs="Palatino Linotype"/>
        </w:rPr>
        <w:t xml:space="preserve">En este sentido, se visualiza que la información requerida por el particular versa sobre obligaciones de transparencia de oficio, lo que significa que el </w:t>
      </w:r>
      <w:r w:rsidRPr="00EE5FA6">
        <w:rPr>
          <w:rFonts w:ascii="Palatino Linotype" w:eastAsia="Palatino Linotype" w:hAnsi="Palatino Linotype" w:cs="Palatino Linotype"/>
          <w:b/>
        </w:rPr>
        <w:t>Sujeto Obligado</w:t>
      </w:r>
      <w:r w:rsidRPr="00EE5FA6">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la eventual publicación y reutilización de la información que generen, según lo dispuesto en los artículos 18, 24 fracción XXII y 160 párrafo primero de la Ley de la Materia, que son del tenor literal siguiente:</w:t>
      </w:r>
    </w:p>
    <w:p w:rsidR="0085062C" w:rsidRPr="00EE5FA6" w:rsidRDefault="0085062C">
      <w:pPr>
        <w:spacing w:line="360" w:lineRule="auto"/>
        <w:jc w:val="both"/>
        <w:rPr>
          <w:rFonts w:ascii="Palatino Linotype" w:eastAsia="Palatino Linotype" w:hAnsi="Palatino Linotype" w:cs="Palatino Linotype"/>
        </w:rPr>
      </w:pPr>
    </w:p>
    <w:p w:rsidR="0085062C" w:rsidRPr="00EE5FA6" w:rsidRDefault="00B35676">
      <w:pPr>
        <w:ind w:left="567" w:right="902"/>
        <w:jc w:val="both"/>
        <w:rPr>
          <w:rFonts w:ascii="Palatino Linotype" w:eastAsia="Palatino Linotype" w:hAnsi="Palatino Linotype" w:cs="Palatino Linotype"/>
          <w:i/>
          <w:sz w:val="22"/>
          <w:szCs w:val="22"/>
        </w:rPr>
      </w:pPr>
      <w:r w:rsidRPr="00EE5FA6">
        <w:rPr>
          <w:rFonts w:ascii="Palatino Linotype" w:eastAsia="Palatino Linotype" w:hAnsi="Palatino Linotype" w:cs="Palatino Linotype"/>
          <w:i/>
          <w:sz w:val="22"/>
          <w:szCs w:val="22"/>
        </w:rPr>
        <w:t>“</w:t>
      </w:r>
      <w:r w:rsidRPr="00EE5FA6">
        <w:rPr>
          <w:rFonts w:ascii="Palatino Linotype" w:eastAsia="Palatino Linotype" w:hAnsi="Palatino Linotype" w:cs="Palatino Linotype"/>
          <w:b/>
          <w:i/>
          <w:sz w:val="22"/>
          <w:szCs w:val="22"/>
        </w:rPr>
        <w:t>Artículo 18.</w:t>
      </w:r>
      <w:r w:rsidRPr="00EE5FA6">
        <w:rPr>
          <w:rFonts w:ascii="Palatino Linotype" w:eastAsia="Palatino Linotype" w:hAnsi="Palatino Linotype" w:cs="Palatino Linotype"/>
          <w:i/>
          <w:sz w:val="22"/>
          <w:szCs w:val="22"/>
        </w:rPr>
        <w:t xml:space="preserve"> Los sujetos obligados </w:t>
      </w:r>
      <w:r w:rsidRPr="00EE5FA6">
        <w:rPr>
          <w:rFonts w:ascii="Palatino Linotype" w:eastAsia="Palatino Linotype" w:hAnsi="Palatino Linotype" w:cs="Palatino Linotype"/>
          <w:b/>
          <w:i/>
          <w:sz w:val="22"/>
          <w:szCs w:val="22"/>
        </w:rPr>
        <w:t>deberán documentar todo acto</w:t>
      </w:r>
      <w:r w:rsidRPr="00EE5FA6">
        <w:rPr>
          <w:rFonts w:ascii="Palatino Linotype" w:eastAsia="Palatino Linotype" w:hAnsi="Palatino Linotype" w:cs="Palatino Linotype"/>
          <w:i/>
          <w:sz w:val="22"/>
          <w:szCs w:val="22"/>
        </w:rPr>
        <w:t xml:space="preserve"> </w:t>
      </w:r>
      <w:r w:rsidRPr="00EE5FA6">
        <w:rPr>
          <w:rFonts w:ascii="Palatino Linotype" w:eastAsia="Palatino Linotype" w:hAnsi="Palatino Linotype" w:cs="Palatino Linotype"/>
          <w:b/>
          <w:i/>
          <w:sz w:val="22"/>
          <w:szCs w:val="22"/>
        </w:rPr>
        <w:t>que derive del ejercicio de sus facultades, competencias o funciones</w:t>
      </w:r>
      <w:r w:rsidRPr="00EE5FA6">
        <w:rPr>
          <w:rFonts w:ascii="Palatino Linotype" w:eastAsia="Palatino Linotype" w:hAnsi="Palatino Linotype" w:cs="Palatino Linotype"/>
          <w:i/>
          <w:sz w:val="22"/>
          <w:szCs w:val="22"/>
        </w:rPr>
        <w:t>, considerando desde su origen la eventual publicidad y reutilización de la información que generen.</w:t>
      </w:r>
    </w:p>
    <w:p w:rsidR="0085062C" w:rsidRPr="00EE5FA6" w:rsidRDefault="00B35676">
      <w:pPr>
        <w:ind w:left="567" w:right="902"/>
        <w:jc w:val="both"/>
        <w:rPr>
          <w:rFonts w:ascii="Palatino Linotype" w:eastAsia="Palatino Linotype" w:hAnsi="Palatino Linotype" w:cs="Palatino Linotype"/>
          <w:i/>
          <w:sz w:val="22"/>
          <w:szCs w:val="22"/>
        </w:rPr>
      </w:pPr>
      <w:r w:rsidRPr="00EE5FA6">
        <w:rPr>
          <w:rFonts w:ascii="Palatino Linotype" w:eastAsia="Palatino Linotype" w:hAnsi="Palatino Linotype" w:cs="Palatino Linotype"/>
          <w:i/>
          <w:sz w:val="22"/>
          <w:szCs w:val="22"/>
        </w:rPr>
        <w:t>…</w:t>
      </w:r>
    </w:p>
    <w:p w:rsidR="0085062C" w:rsidRPr="00EE5FA6" w:rsidRDefault="00B35676">
      <w:pPr>
        <w:ind w:left="567" w:right="902"/>
        <w:jc w:val="both"/>
        <w:rPr>
          <w:rFonts w:ascii="Palatino Linotype" w:eastAsia="Palatino Linotype" w:hAnsi="Palatino Linotype" w:cs="Palatino Linotype"/>
          <w:i/>
          <w:sz w:val="22"/>
          <w:szCs w:val="22"/>
        </w:rPr>
      </w:pPr>
      <w:r w:rsidRPr="00EE5FA6">
        <w:rPr>
          <w:rFonts w:ascii="Palatino Linotype" w:eastAsia="Palatino Linotype" w:hAnsi="Palatino Linotype" w:cs="Palatino Linotype"/>
          <w:b/>
          <w:i/>
          <w:sz w:val="22"/>
          <w:szCs w:val="22"/>
        </w:rPr>
        <w:t>Artículo 24.</w:t>
      </w:r>
      <w:r w:rsidRPr="00EE5FA6">
        <w:rPr>
          <w:rFonts w:ascii="Palatino Linotype" w:eastAsia="Palatino Linotype" w:hAnsi="Palatino Linotype" w:cs="Palatino Linotype"/>
          <w:i/>
          <w:sz w:val="22"/>
          <w:szCs w:val="22"/>
        </w:rPr>
        <w:t xml:space="preserve"> Para el cumplimiento de los objetivos de esta Ley</w:t>
      </w:r>
      <w:r w:rsidRPr="00EE5FA6">
        <w:rPr>
          <w:rFonts w:ascii="Palatino Linotype" w:eastAsia="Palatino Linotype" w:hAnsi="Palatino Linotype" w:cs="Palatino Linotype"/>
          <w:b/>
          <w:i/>
          <w:sz w:val="22"/>
          <w:szCs w:val="22"/>
        </w:rPr>
        <w:t>, los sujetos obligados deberán cumplir con las siguientes obligaciones</w:t>
      </w:r>
      <w:r w:rsidRPr="00EE5FA6">
        <w:rPr>
          <w:rFonts w:ascii="Palatino Linotype" w:eastAsia="Palatino Linotype" w:hAnsi="Palatino Linotype" w:cs="Palatino Linotype"/>
          <w:i/>
          <w:sz w:val="22"/>
          <w:szCs w:val="22"/>
        </w:rPr>
        <w:t>, según corresponda, de acuerdo a su naturaleza:</w:t>
      </w:r>
    </w:p>
    <w:p w:rsidR="0085062C" w:rsidRPr="00EE5FA6" w:rsidRDefault="00B35676">
      <w:pPr>
        <w:ind w:left="567" w:right="902"/>
        <w:jc w:val="both"/>
        <w:rPr>
          <w:rFonts w:ascii="Palatino Linotype" w:eastAsia="Palatino Linotype" w:hAnsi="Palatino Linotype" w:cs="Palatino Linotype"/>
          <w:i/>
          <w:sz w:val="22"/>
          <w:szCs w:val="22"/>
        </w:rPr>
      </w:pPr>
      <w:r w:rsidRPr="00EE5FA6">
        <w:rPr>
          <w:rFonts w:ascii="Palatino Linotype" w:eastAsia="Palatino Linotype" w:hAnsi="Palatino Linotype" w:cs="Palatino Linotype"/>
          <w:i/>
          <w:sz w:val="22"/>
          <w:szCs w:val="22"/>
        </w:rPr>
        <w:t>…</w:t>
      </w:r>
    </w:p>
    <w:p w:rsidR="0085062C" w:rsidRPr="00EE5FA6" w:rsidRDefault="00B35676">
      <w:pPr>
        <w:ind w:left="567" w:right="902"/>
        <w:jc w:val="both"/>
        <w:rPr>
          <w:rFonts w:ascii="Palatino Linotype" w:eastAsia="Palatino Linotype" w:hAnsi="Palatino Linotype" w:cs="Palatino Linotype"/>
          <w:i/>
          <w:sz w:val="22"/>
          <w:szCs w:val="22"/>
        </w:rPr>
      </w:pPr>
      <w:r w:rsidRPr="00EE5FA6">
        <w:rPr>
          <w:rFonts w:ascii="Palatino Linotype" w:eastAsia="Palatino Linotype" w:hAnsi="Palatino Linotype" w:cs="Palatino Linotype"/>
          <w:b/>
          <w:i/>
          <w:sz w:val="22"/>
          <w:szCs w:val="22"/>
        </w:rPr>
        <w:t>XXII.</w:t>
      </w:r>
      <w:r w:rsidRPr="00EE5FA6">
        <w:rPr>
          <w:rFonts w:ascii="Palatino Linotype" w:eastAsia="Palatino Linotype" w:hAnsi="Palatino Linotype" w:cs="Palatino Linotype"/>
          <w:i/>
          <w:sz w:val="22"/>
          <w:szCs w:val="22"/>
        </w:rPr>
        <w:t xml:space="preserve"> </w:t>
      </w:r>
      <w:r w:rsidRPr="00EE5FA6">
        <w:rPr>
          <w:rFonts w:ascii="Palatino Linotype" w:eastAsia="Palatino Linotype" w:hAnsi="Palatino Linotype" w:cs="Palatino Linotype"/>
          <w:b/>
          <w:i/>
          <w:sz w:val="22"/>
          <w:szCs w:val="22"/>
        </w:rPr>
        <w:t>Documentar todo acto que derive del ejercicio de sus facultades, competencias o funciones</w:t>
      </w:r>
      <w:r w:rsidRPr="00EE5FA6">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rsidR="0085062C" w:rsidRPr="00EE5FA6" w:rsidRDefault="00B35676">
      <w:pPr>
        <w:spacing w:before="120" w:after="120"/>
        <w:ind w:left="567" w:right="902"/>
        <w:jc w:val="both"/>
        <w:rPr>
          <w:rFonts w:ascii="Palatino Linotype" w:eastAsia="Palatino Linotype" w:hAnsi="Palatino Linotype" w:cs="Palatino Linotype"/>
          <w:b/>
          <w:i/>
          <w:sz w:val="22"/>
          <w:szCs w:val="22"/>
        </w:rPr>
      </w:pPr>
      <w:r w:rsidRPr="00EE5FA6">
        <w:rPr>
          <w:rFonts w:ascii="Palatino Linotype" w:eastAsia="Palatino Linotype" w:hAnsi="Palatino Linotype" w:cs="Palatino Linotype"/>
          <w:b/>
          <w:i/>
          <w:sz w:val="22"/>
          <w:szCs w:val="22"/>
        </w:rPr>
        <w:lastRenderedPageBreak/>
        <w:t>…</w:t>
      </w:r>
    </w:p>
    <w:p w:rsidR="0085062C" w:rsidRPr="00EE5FA6" w:rsidRDefault="00B35676">
      <w:pPr>
        <w:spacing w:before="120" w:after="120"/>
        <w:ind w:left="567" w:right="902"/>
        <w:jc w:val="both"/>
        <w:rPr>
          <w:rFonts w:ascii="Palatino Linotype" w:eastAsia="Palatino Linotype" w:hAnsi="Palatino Linotype" w:cs="Palatino Linotype"/>
          <w:i/>
          <w:sz w:val="36"/>
          <w:szCs w:val="36"/>
        </w:rPr>
      </w:pPr>
      <w:r w:rsidRPr="00EE5FA6">
        <w:rPr>
          <w:rFonts w:ascii="Palatino Linotype" w:eastAsia="Palatino Linotype" w:hAnsi="Palatino Linotype" w:cs="Palatino Linotype"/>
          <w:b/>
          <w:i/>
          <w:sz w:val="22"/>
          <w:szCs w:val="22"/>
        </w:rPr>
        <w:t>Artículo 160</w:t>
      </w:r>
      <w:r w:rsidRPr="00EE5FA6">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5062C" w:rsidRPr="00EE5FA6" w:rsidRDefault="0085062C">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p>
    <w:p w:rsidR="0085062C" w:rsidRPr="00EE5FA6" w:rsidRDefault="00B35676">
      <w:pPr>
        <w:tabs>
          <w:tab w:val="left" w:pos="709"/>
        </w:tabs>
        <w:spacing w:after="160" w:line="360" w:lineRule="auto"/>
        <w:jc w:val="both"/>
        <w:rPr>
          <w:rFonts w:ascii="Palatino Linotype" w:eastAsia="Palatino Linotype" w:hAnsi="Palatino Linotype" w:cs="Palatino Linotype"/>
        </w:rPr>
      </w:pPr>
      <w:r w:rsidRPr="00EE5FA6">
        <w:rPr>
          <w:rFonts w:ascii="Palatino Linotype" w:eastAsia="Palatino Linotype" w:hAnsi="Palatino Linotype" w:cs="Palatino Linotype"/>
        </w:rPr>
        <w:t xml:space="preserve">Es así como se concluye que para dar atención al requerimiento de los contratos celebrados, debe realizarse una búsqueda exhaustiva en los </w:t>
      </w:r>
      <w:r w:rsidRPr="00EE5FA6">
        <w:rPr>
          <w:rFonts w:ascii="Palatino Linotype" w:eastAsia="Palatino Linotype" w:hAnsi="Palatino Linotype" w:cs="Palatino Linotype"/>
          <w:color w:val="000000"/>
        </w:rPr>
        <w:t>archivos de la Dirección de Administración que a su vez cuenta con una Subdirección de Recursos Materiales, la cual se encarga de sustanciar los procedimientos de adquisición de bienes o contratación de servicios, así como de integrar y enviar los expedientes de adquisiciones y contrataciones con información comprobatoria completa autorizados para el trámite de pagos a la Tesorería, es por ello que se determina que es la unidad administrativa competente par</w:t>
      </w:r>
      <w:r w:rsidRPr="00EE5FA6">
        <w:rPr>
          <w:rFonts w:ascii="Palatino Linotype" w:eastAsia="Palatino Linotype" w:hAnsi="Palatino Linotype" w:cs="Palatino Linotype"/>
        </w:rPr>
        <w:t>a generar, poseer y administrar la información requerida, por lo tanto, se estima procedente su entrega, ello en virtud de que forma parte del quehacer público y que por lo tanto, reviste interés a los gobernados.</w:t>
      </w:r>
    </w:p>
    <w:p w:rsidR="0085062C" w:rsidRPr="00EE5FA6" w:rsidRDefault="00B3567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E5FA6">
        <w:rPr>
          <w:rFonts w:ascii="Palatino Linotype" w:eastAsia="Palatino Linotype" w:hAnsi="Palatino Linotype" w:cs="Palatino Linotype"/>
        </w:rPr>
        <w:t xml:space="preserve">Por último, toda vez que el </w:t>
      </w:r>
      <w:r w:rsidRPr="00EE5FA6">
        <w:rPr>
          <w:rFonts w:ascii="Palatino Linotype" w:eastAsia="Palatino Linotype" w:hAnsi="Palatino Linotype" w:cs="Palatino Linotype"/>
          <w:b/>
        </w:rPr>
        <w:t xml:space="preserve">Sujeto Obligado </w:t>
      </w:r>
      <w:r w:rsidRPr="00EE5FA6">
        <w:rPr>
          <w:rFonts w:ascii="Palatino Linotype" w:eastAsia="Palatino Linotype" w:hAnsi="Palatino Linotype" w:cs="Palatino Linotype"/>
        </w:rPr>
        <w:t xml:space="preserve">justificó la restricción al Derecho de acceso a la información bajo el argumento de que actualmente se está realizando el registro contable de las erogaciones, una vez cerrado el trimestre se contará con la información requerida, es importante señalar que a pesar de que la solicitud de información </w:t>
      </w:r>
      <w:r w:rsidRPr="00EE5FA6">
        <w:rPr>
          <w:rFonts w:ascii="Palatino Linotype" w:eastAsia="Palatino Linotype" w:hAnsi="Palatino Linotype" w:cs="Palatino Linotype"/>
          <w:b/>
          <w:u w:val="single"/>
        </w:rPr>
        <w:t>se registró el nueve de mayo de dos mil veintidós,</w:t>
      </w:r>
      <w:r w:rsidRPr="00EE5FA6">
        <w:rPr>
          <w:rFonts w:ascii="Palatino Linotype" w:eastAsia="Palatino Linotype" w:hAnsi="Palatino Linotype" w:cs="Palatino Linotype"/>
        </w:rPr>
        <w:t xml:space="preserve"> se estima necesario precisar que si bien, los entes fiscalizables se encuentran constreñidos para cumplir con sus obligaciones fiscales en términos y periodicidad dispuesta por la normatividad correspondiente, ello </w:t>
      </w:r>
      <w:r w:rsidRPr="00EE5FA6">
        <w:rPr>
          <w:rFonts w:ascii="Palatino Linotype" w:eastAsia="Palatino Linotype" w:hAnsi="Palatino Linotype" w:cs="Palatino Linotype"/>
          <w:b/>
          <w:u w:val="single"/>
        </w:rPr>
        <w:t xml:space="preserve">no significa que los sujetos obligados no </w:t>
      </w:r>
      <w:r w:rsidRPr="00EE5FA6">
        <w:rPr>
          <w:rFonts w:ascii="Palatino Linotype" w:eastAsia="Palatino Linotype" w:hAnsi="Palatino Linotype" w:cs="Palatino Linotype"/>
          <w:b/>
          <w:u w:val="single"/>
        </w:rPr>
        <w:lastRenderedPageBreak/>
        <w:t xml:space="preserve">permitan el acceso a la información que por su naturaleza deben generar de manera diaria, semanal o mensual, cuando ello se solicite en el ejercicio del derecho de acceso a la información. </w:t>
      </w:r>
    </w:p>
    <w:p w:rsidR="0085062C" w:rsidRPr="00EE5FA6" w:rsidRDefault="00B35676">
      <w:pPr>
        <w:pBdr>
          <w:top w:val="nil"/>
          <w:left w:val="nil"/>
          <w:bottom w:val="nil"/>
          <w:right w:val="nil"/>
          <w:between w:val="nil"/>
        </w:pBdr>
        <w:spacing w:before="240" w:after="240" w:line="360" w:lineRule="auto"/>
        <w:jc w:val="both"/>
        <w:rPr>
          <w:color w:val="000000"/>
        </w:rPr>
      </w:pPr>
      <w:r w:rsidRPr="00EE5FA6">
        <w:rPr>
          <w:rFonts w:ascii="Palatino Linotype" w:eastAsia="Palatino Linotype" w:hAnsi="Palatino Linotype" w:cs="Palatino Linotype"/>
          <w:color w:val="000000"/>
        </w:rPr>
        <w:t>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p>
    <w:p w:rsidR="0085062C" w:rsidRPr="00EE5FA6" w:rsidRDefault="00B35676">
      <w:pPr>
        <w:pBdr>
          <w:top w:val="nil"/>
          <w:left w:val="nil"/>
          <w:bottom w:val="nil"/>
          <w:right w:val="nil"/>
          <w:between w:val="nil"/>
        </w:pBdr>
        <w:spacing w:before="240" w:after="240" w:line="360" w:lineRule="auto"/>
        <w:jc w:val="both"/>
        <w:rPr>
          <w:color w:val="000000"/>
        </w:rPr>
      </w:pPr>
      <w:r w:rsidRPr="00EE5FA6">
        <w:rPr>
          <w:rFonts w:ascii="Palatino Linotype" w:eastAsia="Palatino Linotype" w:hAnsi="Palatino Linotype" w:cs="Palatino Linotype"/>
          <w:color w:val="000000"/>
        </w:rPr>
        <w:t xml:space="preserve">Asimismo, es de reiterar que la Ley de Transparencia Estatal establece en su artículo 92 un catálogo de obligaciones de transparencia que los sujetos obligados </w:t>
      </w:r>
      <w:r w:rsidRPr="00EE5FA6">
        <w:rPr>
          <w:rFonts w:ascii="Palatino Linotype" w:eastAsia="Palatino Linotype" w:hAnsi="Palatino Linotype" w:cs="Palatino Linotype"/>
          <w:b/>
          <w:color w:val="000000"/>
          <w:u w:val="single"/>
        </w:rPr>
        <w:t>deberán poner a disposición del público</w:t>
      </w:r>
      <w:r w:rsidRPr="00EE5FA6">
        <w:rPr>
          <w:rFonts w:ascii="Palatino Linotype" w:eastAsia="Palatino Linotype" w:hAnsi="Palatino Linotype" w:cs="Palatino Linotype"/>
          <w:color w:val="000000"/>
        </w:rPr>
        <w:t xml:space="preserve">, sin embargo, este es muy claro al referir que será </w:t>
      </w:r>
      <w:r w:rsidRPr="00EE5FA6">
        <w:rPr>
          <w:rFonts w:ascii="Palatino Linotype" w:eastAsia="Palatino Linotype" w:hAnsi="Palatino Linotype" w:cs="Palatino Linotype"/>
          <w:b/>
          <w:color w:val="000000"/>
        </w:rPr>
        <w:t xml:space="preserve">“por lo menos” de temas, documentos y políticas </w:t>
      </w:r>
      <w:r w:rsidRPr="00EE5FA6">
        <w:rPr>
          <w:rFonts w:ascii="Palatino Linotype" w:eastAsia="Palatino Linotype" w:hAnsi="Palatino Linotype" w:cs="Palatino Linotype"/>
          <w:color w:val="000000"/>
        </w:rPr>
        <w:t>que en este se describen, de tal forma que, en el caso de que un particular solicite información que no se contempla en dicho catálogo, los Sujetos Obligados también deberán proporcionar la información requerida.</w:t>
      </w:r>
    </w:p>
    <w:p w:rsidR="0085062C" w:rsidRDefault="00B35676">
      <w:pPr>
        <w:pBdr>
          <w:top w:val="nil"/>
          <w:left w:val="nil"/>
          <w:bottom w:val="nil"/>
          <w:right w:val="nil"/>
          <w:between w:val="nil"/>
        </w:pBdr>
        <w:spacing w:before="240" w:after="240" w:line="360" w:lineRule="auto"/>
        <w:jc w:val="both"/>
        <w:rPr>
          <w:color w:val="000000"/>
        </w:rPr>
      </w:pPr>
      <w:r w:rsidRPr="00EE5FA6">
        <w:rPr>
          <w:rFonts w:ascii="Palatino Linotype" w:eastAsia="Palatino Linotype" w:hAnsi="Palatino Linotype" w:cs="Palatino Linotype"/>
          <w:color w:val="000000"/>
        </w:rPr>
        <w:t xml:space="preserve">En ese sentido, se le invita al Sujeto que tenga a bien proporcionar toda la información que genere, administre y posee en congruencia con sus facultades, atribuciones y competencias, a la fecha en que los particulares lo solicitan o, del periodo que refieran, independientemente si esta está sujeta a plazos para cumplir con obligaciones en materia de fiscalización o, incluso, en materia de transparencia, toda vez que el derecho de acceso a la información es una prerrogativa </w:t>
      </w:r>
      <w:r w:rsidRPr="00EE5FA6">
        <w:rPr>
          <w:rFonts w:ascii="Palatino Linotype" w:eastAsia="Palatino Linotype" w:hAnsi="Palatino Linotype" w:cs="Palatino Linotype"/>
          <w:color w:val="000000"/>
        </w:rPr>
        <w:lastRenderedPageBreak/>
        <w:t>constitucional que los ciudadanos gozan y debe ser garantizada por cualquier autoridad pública.</w:t>
      </w:r>
      <w:r>
        <w:rPr>
          <w:rFonts w:ascii="Palatino Linotype" w:eastAsia="Palatino Linotype" w:hAnsi="Palatino Linotype" w:cs="Palatino Linotype"/>
          <w:color w:val="000000"/>
        </w:rPr>
        <w:t> </w:t>
      </w:r>
    </w:p>
    <w:p w:rsidR="00EE5FA6" w:rsidRDefault="00B35676" w:rsidP="00EE5F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Es por todo lo anteriormente expuesto que se estima procedente </w:t>
      </w:r>
      <w:r>
        <w:rPr>
          <w:rFonts w:ascii="Palatino Linotype" w:eastAsia="Palatino Linotype" w:hAnsi="Palatino Linotype" w:cs="Palatino Linotype"/>
          <w:b/>
          <w:color w:val="000000"/>
        </w:rPr>
        <w:t>REVOCAR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y ordenarle que practique nuevamente la búsqueda para efecto de que se localice la información consistente en los contratos y comprobantes de pago que se celebraron para llevar a cabo el evento realizado el 30 de abril de 2022 por el día del niño, </w:t>
      </w:r>
      <w:r>
        <w:rPr>
          <w:rFonts w:ascii="Palatino Linotype" w:eastAsia="Palatino Linotype" w:hAnsi="Palatino Linotype" w:cs="Palatino Linotype"/>
        </w:rPr>
        <w:t xml:space="preserve">en versión pública de ser procedente, esto de conformidad con el Considerando siguiente, no obstante, para el caso en el que alguno de los puntos no obre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no haberse generado en el periodo indicado, </w:t>
      </w:r>
      <w:r w:rsidR="00EE5FA6" w:rsidRPr="00EE5FA6">
        <w:rPr>
          <w:rFonts w:ascii="Palatino Linotype" w:eastAsia="Palatino Linotype" w:hAnsi="Palatino Linotype" w:cs="Palatino Linotype"/>
        </w:rPr>
        <w:t xml:space="preserve">,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rsidR="00EE5FA6" w:rsidRPr="00EE5FA6" w:rsidRDefault="00EE5FA6" w:rsidP="00EE5FA6">
      <w:pPr>
        <w:spacing w:line="360" w:lineRule="auto"/>
        <w:jc w:val="both"/>
        <w:rPr>
          <w:rFonts w:ascii="Palatino Linotype" w:eastAsia="Palatino Linotype" w:hAnsi="Palatino Linotype" w:cs="Palatino Linotype"/>
        </w:rPr>
      </w:pPr>
    </w:p>
    <w:p w:rsidR="00EE5FA6" w:rsidRPr="00EE5FA6" w:rsidRDefault="00EE5FA6" w:rsidP="00EE5FA6">
      <w:pPr>
        <w:spacing w:line="276" w:lineRule="auto"/>
        <w:ind w:left="567" w:right="900"/>
        <w:jc w:val="both"/>
        <w:rPr>
          <w:rFonts w:ascii="Palatino Linotype" w:eastAsia="Palatino Linotype" w:hAnsi="Palatino Linotype" w:cs="Palatino Linotype"/>
          <w:i/>
          <w:sz w:val="22"/>
        </w:rPr>
      </w:pPr>
      <w:r w:rsidRPr="00EE5FA6">
        <w:rPr>
          <w:rFonts w:ascii="Palatino Linotype" w:eastAsia="Palatino Linotype" w:hAnsi="Palatino Linotype" w:cs="Palatino Linotype"/>
          <w:i/>
          <w:sz w:val="22"/>
        </w:rPr>
        <w:t>“Artículo 19…</w:t>
      </w:r>
    </w:p>
    <w:p w:rsidR="00EE5FA6" w:rsidRPr="00EE5FA6" w:rsidRDefault="00EE5FA6" w:rsidP="00EE5FA6">
      <w:pPr>
        <w:spacing w:line="276" w:lineRule="auto"/>
        <w:ind w:left="567" w:right="900"/>
        <w:jc w:val="both"/>
        <w:rPr>
          <w:rFonts w:ascii="Palatino Linotype" w:eastAsia="Palatino Linotype" w:hAnsi="Palatino Linotype" w:cs="Palatino Linotype"/>
          <w:i/>
          <w:sz w:val="22"/>
        </w:rPr>
      </w:pPr>
      <w:r w:rsidRPr="00EE5FA6">
        <w:rPr>
          <w:rFonts w:ascii="Palatino Linotype" w:eastAsia="Palatino Linotype" w:hAnsi="Palatino Linotype" w:cs="Palatino Linotype"/>
          <w:i/>
          <w:sz w:val="22"/>
        </w:rPr>
        <w:t>En los casos en que ciertas facultades, competencias o funciones no se hayan ejercido, se debe motivar la respuesta en función de las causas que motiven tal circunstancia.”</w:t>
      </w:r>
    </w:p>
    <w:p w:rsidR="00EE5FA6" w:rsidRDefault="00EE5FA6" w:rsidP="00EE5FA6">
      <w:pPr>
        <w:spacing w:line="360" w:lineRule="auto"/>
        <w:jc w:val="both"/>
        <w:rPr>
          <w:rFonts w:ascii="Palatino Linotype" w:eastAsia="Palatino Linotype" w:hAnsi="Palatino Linotype" w:cs="Palatino Linotype"/>
        </w:rPr>
      </w:pPr>
    </w:p>
    <w:p w:rsidR="00385A32" w:rsidRDefault="00B35676" w:rsidP="00EE5F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elaborar la versión pública de los documentos que vaya entregar para dar cumplimiento a esta </w:t>
      </w:r>
      <w:r>
        <w:rPr>
          <w:rFonts w:ascii="Palatino Linotype" w:eastAsia="Palatino Linotype" w:hAnsi="Palatino Linotype" w:cs="Palatino Linotype"/>
        </w:rPr>
        <w:lastRenderedPageBreak/>
        <w:t>resolución, a fin de satisfacer el derecho de acceso a la información pública de la recurrente sin menoscabar el derecho a la protección de los datos personales de terceros.</w:t>
      </w:r>
    </w:p>
    <w:p w:rsidR="0085062C" w:rsidRDefault="00B3567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5062C" w:rsidRDefault="00B3567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85062C" w:rsidRDefault="00B3567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85062C" w:rsidRDefault="00B3567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85062C" w:rsidRDefault="00B3567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85062C" w:rsidRDefault="00B3567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85062C" w:rsidRDefault="00B3567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85062C" w:rsidRDefault="00B3567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85062C" w:rsidRDefault="00B3567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85062C" w:rsidRDefault="00B3567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85062C" w:rsidRDefault="00B3567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85062C" w:rsidRDefault="00B3567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85062C" w:rsidRDefault="00B3567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3"/>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85062C">
        <w:tc>
          <w:tcPr>
            <w:tcW w:w="4253" w:type="dxa"/>
            <w:gridSpan w:val="2"/>
            <w:tcBorders>
              <w:top w:val="nil"/>
              <w:left w:val="nil"/>
              <w:right w:val="nil"/>
            </w:tcBorders>
          </w:tcPr>
          <w:p w:rsidR="0085062C" w:rsidRDefault="00B3567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85062C" w:rsidRDefault="00B3567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85062C">
        <w:tc>
          <w:tcPr>
            <w:tcW w:w="1134" w:type="dxa"/>
          </w:tcPr>
          <w:p w:rsidR="0085062C" w:rsidRDefault="00B3567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85062C" w:rsidRDefault="00B3567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85062C" w:rsidRDefault="00B3567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85062C" w:rsidRDefault="00B3567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85062C">
        <w:tc>
          <w:tcPr>
            <w:tcW w:w="8828" w:type="dxa"/>
            <w:gridSpan w:val="4"/>
          </w:tcPr>
          <w:p w:rsidR="0085062C" w:rsidRDefault="00B3567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85062C">
        <w:tc>
          <w:tcPr>
            <w:tcW w:w="1134"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85062C">
        <w:tc>
          <w:tcPr>
            <w:tcW w:w="1134" w:type="dxa"/>
          </w:tcPr>
          <w:p w:rsidR="0085062C" w:rsidRDefault="0085062C">
            <w:pPr>
              <w:jc w:val="both"/>
              <w:rPr>
                <w:rFonts w:ascii="Palatino Linotype" w:eastAsia="Palatino Linotype" w:hAnsi="Palatino Linotype" w:cs="Palatino Linotype"/>
                <w:b/>
                <w:sz w:val="12"/>
                <w:szCs w:val="12"/>
              </w:rPr>
            </w:pPr>
          </w:p>
        </w:tc>
        <w:tc>
          <w:tcPr>
            <w:tcW w:w="3119" w:type="dxa"/>
          </w:tcPr>
          <w:p w:rsidR="0085062C" w:rsidRDefault="0085062C">
            <w:pPr>
              <w:jc w:val="both"/>
              <w:rPr>
                <w:rFonts w:ascii="Palatino Linotype" w:eastAsia="Palatino Linotype" w:hAnsi="Palatino Linotype" w:cs="Palatino Linotype"/>
                <w:sz w:val="12"/>
                <w:szCs w:val="12"/>
              </w:rPr>
            </w:pP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85062C">
        <w:tc>
          <w:tcPr>
            <w:tcW w:w="1134" w:type="dxa"/>
          </w:tcPr>
          <w:p w:rsidR="0085062C" w:rsidRDefault="0085062C">
            <w:pPr>
              <w:jc w:val="both"/>
              <w:rPr>
                <w:rFonts w:ascii="Palatino Linotype" w:eastAsia="Palatino Linotype" w:hAnsi="Palatino Linotype" w:cs="Palatino Linotype"/>
                <w:b/>
                <w:sz w:val="12"/>
                <w:szCs w:val="12"/>
              </w:rPr>
            </w:pPr>
          </w:p>
        </w:tc>
        <w:tc>
          <w:tcPr>
            <w:tcW w:w="3119" w:type="dxa"/>
          </w:tcPr>
          <w:p w:rsidR="0085062C" w:rsidRDefault="0085062C">
            <w:pPr>
              <w:jc w:val="both"/>
              <w:rPr>
                <w:rFonts w:ascii="Palatino Linotype" w:eastAsia="Palatino Linotype" w:hAnsi="Palatino Linotype" w:cs="Palatino Linotype"/>
                <w:sz w:val="12"/>
                <w:szCs w:val="12"/>
              </w:rPr>
            </w:pPr>
          </w:p>
        </w:tc>
        <w:tc>
          <w:tcPr>
            <w:tcW w:w="1129" w:type="dxa"/>
          </w:tcPr>
          <w:p w:rsidR="0085062C" w:rsidRDefault="00B3567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85062C" w:rsidRDefault="00B3567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385A32" w:rsidRDefault="00385A32" w:rsidP="00385A32">
      <w:pPr>
        <w:spacing w:line="360" w:lineRule="auto"/>
        <w:jc w:val="both"/>
        <w:rPr>
          <w:rFonts w:ascii="Palatino Linotype" w:eastAsia="Palatino Linotype" w:hAnsi="Palatino Linotype" w:cs="Palatino Linotype"/>
          <w:lang w:eastAsia="es-ES"/>
        </w:rPr>
      </w:pPr>
    </w:p>
    <w:p w:rsidR="00385A32" w:rsidRPr="00CD11E6" w:rsidRDefault="00385A32" w:rsidP="00385A32">
      <w:pPr>
        <w:spacing w:line="360" w:lineRule="auto"/>
        <w:jc w:val="both"/>
        <w:rPr>
          <w:rFonts w:ascii="Palatino Linotype" w:eastAsia="Palatino Linotype" w:hAnsi="Palatino Linotype" w:cs="Palatino Linotype"/>
          <w:lang w:eastAsia="es-ES"/>
        </w:rPr>
      </w:pPr>
      <w:r w:rsidRPr="00CD11E6">
        <w:rPr>
          <w:rFonts w:ascii="Palatino Linotype" w:eastAsia="Palatino Linotype" w:hAnsi="Palatino Linotype" w:cs="Palatino Linotype"/>
          <w:lang w:eastAsia="es-ES"/>
        </w:rPr>
        <w:t xml:space="preserve">Es importante señalar que por cuanto hace al </w:t>
      </w:r>
      <w:r w:rsidRPr="00CD11E6">
        <w:rPr>
          <w:rFonts w:ascii="Palatino Linotype" w:eastAsia="Palatino Linotype" w:hAnsi="Palatino Linotype" w:cs="Palatino Linotype"/>
          <w:b/>
          <w:lang w:eastAsia="es-ES"/>
        </w:rPr>
        <w:t>Registro Federal de Contribuyentes (RFC),</w:t>
      </w:r>
      <w:r w:rsidRPr="00CD11E6">
        <w:rPr>
          <w:rFonts w:ascii="Palatino Linotype" w:eastAsia="Palatino Linotype" w:hAnsi="Palatino Linotype" w:cs="Palatino Linotype"/>
          <w:lang w:eastAsia="es-ES"/>
        </w:rPr>
        <w:t xml:space="preserve"> de las personas físicas, si bien es cierto, constituye un dato personal, pues se genera con caracteres alfanuméricos a partir del nombre y la fecha de nacimiento de cada persona, y finalmente la </w:t>
      </w:r>
      <w:proofErr w:type="spellStart"/>
      <w:r w:rsidRPr="00CD11E6">
        <w:rPr>
          <w:rFonts w:ascii="Palatino Linotype" w:eastAsia="Palatino Linotype" w:hAnsi="Palatino Linotype" w:cs="Palatino Linotype"/>
          <w:lang w:eastAsia="es-ES"/>
        </w:rPr>
        <w:t>homoclave</w:t>
      </w:r>
      <w:proofErr w:type="spellEnd"/>
      <w:r w:rsidRPr="00CD11E6">
        <w:rPr>
          <w:rFonts w:ascii="Palatino Linotype" w:eastAsia="Palatino Linotype" w:hAnsi="Palatino Linotype" w:cs="Palatino Linotype"/>
          <w:lang w:eastAsia="es-ES"/>
        </w:rPr>
        <w:t xml:space="preserve">, por lo que para su obtención es necesario acreditar ante la autoridad fiscal previamente la identidad de la persona, su fecha </w:t>
      </w:r>
      <w:r w:rsidRPr="00CD11E6">
        <w:rPr>
          <w:rFonts w:ascii="Palatino Linotype" w:eastAsia="Palatino Linotype" w:hAnsi="Palatino Linotype" w:cs="Palatino Linotype"/>
          <w:lang w:eastAsia="es-ES"/>
        </w:rPr>
        <w:lastRenderedPageBreak/>
        <w:t xml:space="preserve">de nacimiento, entre otros aspectos, no menos cierto es que las personas físicas que actúan como proveedores o contratistas, por lo que deberá transparentarse </w:t>
      </w:r>
      <w:r w:rsidR="00FE063C" w:rsidRPr="00CD11E6">
        <w:rPr>
          <w:rFonts w:ascii="Palatino Linotype" w:eastAsia="Palatino Linotype" w:hAnsi="Palatino Linotype" w:cs="Palatino Linotype"/>
          <w:lang w:eastAsia="es-ES"/>
        </w:rPr>
        <w:t>dicho dato pues su</w:t>
      </w:r>
      <w:r w:rsidRPr="00CD11E6">
        <w:rPr>
          <w:rFonts w:ascii="Palatino Linotype" w:eastAsia="Palatino Linotype" w:hAnsi="Palatino Linotype" w:cs="Palatino Linotype"/>
          <w:lang w:eastAsia="es-ES"/>
        </w:rPr>
        <w:t xml:space="preserve"> propósito </w:t>
      </w:r>
      <w:r w:rsidR="00FE063C" w:rsidRPr="00CD11E6">
        <w:rPr>
          <w:rFonts w:ascii="Palatino Linotype" w:eastAsia="Palatino Linotype" w:hAnsi="Palatino Linotype" w:cs="Palatino Linotype"/>
          <w:lang w:eastAsia="es-ES"/>
        </w:rPr>
        <w:t xml:space="preserve">en este caso es el </w:t>
      </w:r>
      <w:r w:rsidRPr="00CD11E6">
        <w:rPr>
          <w:rFonts w:ascii="Palatino Linotype" w:eastAsia="Palatino Linotype" w:hAnsi="Palatino Linotype" w:cs="Palatino Linotype"/>
          <w:lang w:eastAsia="es-ES"/>
        </w:rPr>
        <w:t>de realizar operaciones o actividades de naturaleza fiscal</w:t>
      </w:r>
      <w:r w:rsidR="00FE063C" w:rsidRPr="00CD11E6">
        <w:rPr>
          <w:rFonts w:ascii="Palatino Linotype" w:eastAsia="Palatino Linotype" w:hAnsi="Palatino Linotype" w:cs="Palatino Linotype"/>
          <w:lang w:eastAsia="es-ES"/>
        </w:rPr>
        <w:t xml:space="preserve"> y al tratarse de recursos públicos erogados, reviste interés colectivo su difusión, sirve de sustento el siguiente criterio emitido por el </w:t>
      </w:r>
      <w:r w:rsidR="00FE063C" w:rsidRPr="00CD11E6">
        <w:rPr>
          <w:rFonts w:ascii="Palatino Linotype" w:eastAsia="Palatino Linotype" w:hAnsi="Palatino Linotype" w:cs="Palatino Linotype"/>
          <w:lang w:val="es-MX" w:eastAsia="es-ES"/>
        </w:rPr>
        <w:t>Instituto Nacional de Transparencia, Acceso a la Información y Protección de Datos Personales que se inserta a continuación</w:t>
      </w:r>
      <w:r w:rsidR="00FE063C" w:rsidRPr="00CD11E6">
        <w:rPr>
          <w:rFonts w:ascii="Palatino Linotype" w:eastAsia="Palatino Linotype" w:hAnsi="Palatino Linotype" w:cs="Palatino Linotype"/>
          <w:lang w:eastAsia="es-ES"/>
        </w:rPr>
        <w:t xml:space="preserve">: </w:t>
      </w:r>
    </w:p>
    <w:p w:rsidR="00FE063C" w:rsidRPr="00CD11E6" w:rsidRDefault="00FE063C" w:rsidP="00385A32">
      <w:pPr>
        <w:spacing w:line="360" w:lineRule="auto"/>
        <w:jc w:val="both"/>
        <w:rPr>
          <w:rFonts w:ascii="Palatino Linotype" w:eastAsia="Palatino Linotype" w:hAnsi="Palatino Linotype" w:cs="Palatino Linotype"/>
          <w:lang w:val="es-MX" w:eastAsia="es-ES"/>
        </w:rPr>
      </w:pPr>
    </w:p>
    <w:p w:rsidR="00385A32" w:rsidRPr="00CD11E6" w:rsidRDefault="00385A32" w:rsidP="00FE063C">
      <w:pPr>
        <w:spacing w:line="276" w:lineRule="auto"/>
        <w:ind w:left="567" w:right="900"/>
        <w:jc w:val="both"/>
        <w:rPr>
          <w:rFonts w:ascii="Palatino Linotype" w:eastAsia="Palatino Linotype" w:hAnsi="Palatino Linotype" w:cs="Palatino Linotype"/>
          <w:bCs/>
          <w:i/>
          <w:sz w:val="22"/>
          <w:lang w:val="es-MX" w:eastAsia="es-ES"/>
        </w:rPr>
      </w:pPr>
      <w:r w:rsidRPr="00CD11E6">
        <w:rPr>
          <w:rFonts w:ascii="Palatino Linotype" w:eastAsia="Palatino Linotype" w:hAnsi="Palatino Linotype" w:cs="Palatino Linotype"/>
          <w:b/>
          <w:i/>
          <w:sz w:val="22"/>
          <w:lang w:val="es-MX" w:eastAsia="es-ES"/>
        </w:rPr>
        <w:t xml:space="preserve">Registro Federal de Contribuyentes (RFC) de personas físicas proveedores o contratistas. </w:t>
      </w:r>
      <w:r w:rsidRPr="00CD11E6">
        <w:rPr>
          <w:rFonts w:ascii="Palatino Linotype" w:eastAsia="Palatino Linotype" w:hAnsi="Palatino Linotype" w:cs="Palatino Linotype"/>
          <w:bCs/>
          <w:i/>
          <w:sz w:val="22"/>
          <w:lang w:val="es-MX" w:eastAsia="es-ES"/>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385A32" w:rsidRPr="00CD11E6" w:rsidRDefault="00385A32" w:rsidP="00385A32">
      <w:pPr>
        <w:spacing w:line="360" w:lineRule="auto"/>
        <w:jc w:val="both"/>
        <w:rPr>
          <w:rFonts w:ascii="Palatino Linotype" w:eastAsia="Palatino Linotype" w:hAnsi="Palatino Linotype" w:cs="Palatino Linotype"/>
          <w:sz w:val="22"/>
          <w:szCs w:val="22"/>
          <w:lang w:eastAsia="es-ES"/>
        </w:rPr>
      </w:pPr>
    </w:p>
    <w:p w:rsidR="00385A32" w:rsidRDefault="00FE063C" w:rsidP="00FE063C">
      <w:pPr>
        <w:spacing w:line="360" w:lineRule="auto"/>
        <w:jc w:val="both"/>
        <w:rPr>
          <w:rFonts w:ascii="Palatino Linotype" w:eastAsia="Palatino Linotype" w:hAnsi="Palatino Linotype" w:cs="Palatino Linotype"/>
          <w:lang w:eastAsia="es-ES"/>
        </w:rPr>
      </w:pPr>
      <w:r w:rsidRPr="00CD11E6">
        <w:rPr>
          <w:rFonts w:ascii="Palatino Linotype" w:eastAsia="Palatino Linotype" w:hAnsi="Palatino Linotype" w:cs="Palatino Linotype"/>
          <w:lang w:eastAsia="es-ES"/>
        </w:rPr>
        <w:t>Por</w:t>
      </w:r>
      <w:r w:rsidR="00385A32" w:rsidRPr="00CD11E6">
        <w:rPr>
          <w:rFonts w:ascii="Palatino Linotype" w:eastAsia="Palatino Linotype" w:hAnsi="Palatino Linotype" w:cs="Palatino Linotype"/>
          <w:lang w:eastAsia="es-ES"/>
        </w:rPr>
        <w:t xml:space="preserve"> lo que </w:t>
      </w:r>
      <w:r w:rsidRPr="00CD11E6">
        <w:rPr>
          <w:rFonts w:ascii="Palatino Linotype" w:eastAsia="Palatino Linotype" w:hAnsi="Palatino Linotype" w:cs="Palatino Linotype"/>
          <w:lang w:eastAsia="es-ES"/>
        </w:rPr>
        <w:t xml:space="preserve">si bien es cierto, </w:t>
      </w:r>
      <w:r w:rsidR="00385A32" w:rsidRPr="00CD11E6">
        <w:rPr>
          <w:rFonts w:ascii="Palatino Linotype" w:eastAsia="Palatino Linotype" w:hAnsi="Palatino Linotype" w:cs="Palatino Linotype"/>
          <w:lang w:eastAsia="es-ES"/>
        </w:rPr>
        <w:t>constituye un dato personal que concierne a una persona físi</w:t>
      </w:r>
      <w:r w:rsidRPr="00CD11E6">
        <w:rPr>
          <w:rFonts w:ascii="Palatino Linotype" w:eastAsia="Palatino Linotype" w:hAnsi="Palatino Linotype" w:cs="Palatino Linotype"/>
          <w:lang w:eastAsia="es-ES"/>
        </w:rPr>
        <w:t>ca identificada e identificable, no menos cierto es que dada la naturaleza de la adquisición, es decir, con un ente público, dicho dato no es susceptible de clasificarse solamente en este caso.</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85062C" w:rsidRDefault="00B35676">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85062C" w:rsidRDefault="00B35676">
      <w:pPr>
        <w:spacing w:before="240" w:after="240"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10354/INFOEM/IP/RR/2022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b/>
          <w:color w:val="FF0000"/>
        </w:rPr>
        <w:t xml:space="preserve"> </w:t>
      </w:r>
    </w:p>
    <w:p w:rsidR="0085062C" w:rsidRDefault="00B35676">
      <w:pPr>
        <w:spacing w:before="240" w:after="240" w:line="360" w:lineRule="auto"/>
        <w:ind w:right="49"/>
        <w:jc w:val="both"/>
        <w:rPr>
          <w:rFonts w:ascii="Palatino Linotype" w:eastAsia="Palatino Linotype" w:hAnsi="Palatino Linotype" w:cs="Palatino Linotype"/>
          <w:b/>
        </w:rPr>
      </w:pPr>
      <w:bookmarkStart w:id="3" w:name="_heading=h.1fob9te" w:colFirst="0" w:colLast="0"/>
      <w:bookmarkEnd w:id="3"/>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en versión pública de ser procedente</w:t>
      </w:r>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de la presente resolución, de lo siguiente: </w:t>
      </w:r>
    </w:p>
    <w:p w:rsidR="0085062C" w:rsidRDefault="00B35676">
      <w:pPr>
        <w:spacing w:before="240" w:after="240" w:line="360"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Contratos celebrados y comprobantes de pago generados con motivo del evento realizado el 30 de abril de dos mil veintidós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por el</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día del niño que den cuenta de los siguientes rubros: </w:t>
      </w:r>
    </w:p>
    <w:p w:rsidR="0085062C" w:rsidRDefault="00B35676">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Pago a artistas presentados </w:t>
      </w:r>
    </w:p>
    <w:p w:rsidR="0085062C" w:rsidRDefault="00B35676">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Renta de mobiliario (sillas, mesas, lonas, vallas, etc.) </w:t>
      </w:r>
    </w:p>
    <w:p w:rsidR="0085062C" w:rsidRDefault="00B35676">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Renta de equipo de audio e iluminación. </w:t>
      </w:r>
    </w:p>
    <w:p w:rsidR="0085062C" w:rsidRDefault="00B35676">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Compra de alimentos. </w:t>
      </w:r>
    </w:p>
    <w:p w:rsidR="0085062C" w:rsidRDefault="00B35676">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Renta de transporte. </w:t>
      </w:r>
    </w:p>
    <w:p w:rsidR="0085062C" w:rsidRDefault="00B35676">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 Compra de regalos.</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Pr>
          <w:rFonts w:ascii="Palatino Linotype" w:eastAsia="Palatino Linotype" w:hAnsi="Palatino Linotype" w:cs="Palatino Linotype"/>
          <w:b/>
          <w:i/>
          <w:sz w:val="22"/>
          <w:szCs w:val="22"/>
        </w:rPr>
        <w:t>la parte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w:t>
      </w:r>
    </w:p>
    <w:p w:rsidR="0085062C" w:rsidRDefault="00B3567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el supuesto que la información ordenada en alguno de los incisos no obre en los archivos del </w:t>
      </w:r>
      <w:r>
        <w:rPr>
          <w:rFonts w:ascii="Palatino Linotype" w:eastAsia="Palatino Linotype" w:hAnsi="Palatino Linotype" w:cs="Palatino Linotype"/>
          <w:b/>
          <w:i/>
          <w:sz w:val="22"/>
          <w:szCs w:val="22"/>
        </w:rPr>
        <w:t xml:space="preserve">Sujeto Obligado, </w:t>
      </w:r>
      <w:r>
        <w:rPr>
          <w:rFonts w:ascii="Palatino Linotype" w:eastAsia="Palatino Linotype" w:hAnsi="Palatino Linotype" w:cs="Palatino Linotype"/>
          <w:i/>
          <w:sz w:val="22"/>
          <w:szCs w:val="22"/>
        </w:rPr>
        <w:t xml:space="preserve">por no haberse generado deberá hacerlo del conocimiento de la parte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85062C" w:rsidRDefault="00B3567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 xml:space="preserve">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85062C" w:rsidRDefault="00B35676">
      <w:pPr>
        <w:spacing w:before="240" w:after="240" w:line="360" w:lineRule="auto"/>
        <w:jc w:val="both"/>
        <w:rPr>
          <w:rFonts w:ascii="Palatino Linotype" w:eastAsia="Palatino Linotype" w:hAnsi="Palatino Linotype" w:cs="Palatino Linotype"/>
          <w:sz w:val="20"/>
          <w:szCs w:val="20"/>
        </w:rPr>
        <w:sectPr w:rsidR="0085062C">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w:t>
      </w:r>
      <w:bookmarkStart w:id="4" w:name="_GoBack"/>
      <w:bookmarkEnd w:id="4"/>
      <w:r>
        <w:rPr>
          <w:rFonts w:ascii="Palatino Linotype" w:eastAsia="Palatino Linotype" w:hAnsi="Palatino Linotype" w:cs="Palatino Linotype"/>
        </w:rPr>
        <w:t xml:space="preserve">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rPr>
        <w:lastRenderedPageBreak/>
        <w:t xml:space="preserve">MORALES MARTÍNEZ; LUIS GUSTAVO PARRA NORIEGA Y GUADALUPE RAMÍREZ PEÑA; EN LA TRIGÉSIMA OCTAVA SESIÓN ORDINARIA CELEBRADA EL DIECINUEVE DE OCTUBRE DE DOS MIL VEINTIDÓS, ANTE </w:t>
      </w:r>
      <w:r w:rsidR="00CD11E6">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1189355</wp:posOffset>
                </wp:positionV>
                <wp:extent cx="5410200" cy="66484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410200" cy="664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2BD51E"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93.65pt" to="430.95pt,6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" strokecolor="black [3040]"/>
            </w:pict>
          </mc:Fallback>
        </mc:AlternateContent>
      </w:r>
      <w:r>
        <w:rPr>
          <w:rFonts w:ascii="Palatino Linotype" w:eastAsia="Palatino Linotype" w:hAnsi="Palatino Linotype" w:cs="Palatino Linotype"/>
        </w:rPr>
        <w:t>EL SECRETARIO TÉCNICO DEL PLENO, ALEXIS TAPIA RAMÍREZ.</w:t>
      </w:r>
    </w:p>
    <w:p w:rsidR="0085062C" w:rsidRDefault="0085062C">
      <w:pPr>
        <w:spacing w:before="240" w:after="240" w:line="360" w:lineRule="auto"/>
        <w:jc w:val="both"/>
        <w:rPr>
          <w:rFonts w:ascii="Palatino Linotype" w:eastAsia="Palatino Linotype" w:hAnsi="Palatino Linotype" w:cs="Palatino Linotype"/>
          <w:sz w:val="20"/>
          <w:szCs w:val="20"/>
        </w:rPr>
      </w:pPr>
    </w:p>
    <w:p w:rsidR="0085062C" w:rsidRDefault="0085062C">
      <w:pPr>
        <w:spacing w:before="240" w:after="240" w:line="360" w:lineRule="auto"/>
        <w:jc w:val="both"/>
        <w:rPr>
          <w:rFonts w:ascii="Palatino Linotype" w:eastAsia="Palatino Linotype" w:hAnsi="Palatino Linotype" w:cs="Palatino Linotype"/>
          <w:sz w:val="20"/>
          <w:szCs w:val="20"/>
        </w:rPr>
      </w:pPr>
    </w:p>
    <w:p w:rsidR="0085062C" w:rsidRDefault="0085062C">
      <w:pPr>
        <w:spacing w:before="240" w:after="240" w:line="360" w:lineRule="auto"/>
        <w:jc w:val="both"/>
        <w:rPr>
          <w:rFonts w:ascii="Palatino Linotype" w:eastAsia="Palatino Linotype" w:hAnsi="Palatino Linotype" w:cs="Palatino Linotype"/>
          <w:sz w:val="20"/>
          <w:szCs w:val="20"/>
        </w:rPr>
      </w:pPr>
    </w:p>
    <w:p w:rsidR="0085062C" w:rsidRDefault="0085062C">
      <w:pPr>
        <w:spacing w:before="240" w:after="240" w:line="360" w:lineRule="auto"/>
        <w:jc w:val="both"/>
        <w:rPr>
          <w:rFonts w:ascii="Palatino Linotype" w:eastAsia="Palatino Linotype" w:hAnsi="Palatino Linotype" w:cs="Palatino Linotype"/>
          <w:sz w:val="20"/>
          <w:szCs w:val="20"/>
        </w:rPr>
      </w:pPr>
    </w:p>
    <w:p w:rsidR="0085062C" w:rsidRDefault="0085062C">
      <w:pPr>
        <w:spacing w:before="240" w:after="240" w:line="360" w:lineRule="auto"/>
        <w:jc w:val="both"/>
        <w:rPr>
          <w:rFonts w:ascii="Palatino Linotype" w:eastAsia="Palatino Linotype" w:hAnsi="Palatino Linotype" w:cs="Palatino Linotype"/>
          <w:sz w:val="20"/>
          <w:szCs w:val="20"/>
        </w:rPr>
      </w:pPr>
    </w:p>
    <w:p w:rsidR="0085062C" w:rsidRDefault="0085062C">
      <w:pPr>
        <w:spacing w:before="240" w:after="240" w:line="360" w:lineRule="auto"/>
        <w:jc w:val="both"/>
        <w:rPr>
          <w:rFonts w:ascii="Palatino Linotype" w:eastAsia="Palatino Linotype" w:hAnsi="Palatino Linotype" w:cs="Palatino Linotype"/>
          <w:sz w:val="20"/>
          <w:szCs w:val="20"/>
        </w:rPr>
      </w:pPr>
    </w:p>
    <w:p w:rsidR="0085062C" w:rsidRDefault="0085062C">
      <w:pPr>
        <w:spacing w:before="240" w:after="240" w:line="360" w:lineRule="auto"/>
        <w:jc w:val="both"/>
        <w:rPr>
          <w:rFonts w:ascii="Palatino Linotype" w:eastAsia="Palatino Linotype" w:hAnsi="Palatino Linotype" w:cs="Palatino Linotype"/>
          <w:sz w:val="20"/>
          <w:szCs w:val="20"/>
        </w:rPr>
      </w:pPr>
    </w:p>
    <w:p w:rsidR="0085062C" w:rsidRDefault="0085062C">
      <w:pPr>
        <w:spacing w:before="240" w:after="240" w:line="360" w:lineRule="auto"/>
        <w:jc w:val="both"/>
        <w:rPr>
          <w:rFonts w:ascii="Palatino Linotype" w:eastAsia="Palatino Linotype" w:hAnsi="Palatino Linotype" w:cs="Palatino Linotype"/>
          <w:sz w:val="20"/>
          <w:szCs w:val="20"/>
        </w:rPr>
      </w:pPr>
    </w:p>
    <w:sectPr w:rsidR="0085062C">
      <w:head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04C" w:rsidRDefault="0022204C">
      <w:r>
        <w:separator/>
      </w:r>
    </w:p>
  </w:endnote>
  <w:endnote w:type="continuationSeparator" w:id="0">
    <w:p w:rsidR="0022204C" w:rsidRDefault="0022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32" w:rsidRDefault="00385A3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077A5">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077A5">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rsidR="00385A32" w:rsidRDefault="00385A3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32" w:rsidRDefault="00385A3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077A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077A5">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rsidR="00385A32" w:rsidRDefault="00385A3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04C" w:rsidRDefault="0022204C">
      <w:r>
        <w:separator/>
      </w:r>
    </w:p>
  </w:footnote>
  <w:footnote w:type="continuationSeparator" w:id="0">
    <w:p w:rsidR="0022204C" w:rsidRDefault="00222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32" w:rsidRDefault="00385A32">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-396399</wp:posOffset>
          </wp:positionV>
          <wp:extent cx="7809865" cy="10165715"/>
          <wp:effectExtent l="0" t="0" r="0" b="0"/>
          <wp:wrapNone/>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385A32">
      <w:tc>
        <w:tcPr>
          <w:tcW w:w="2489" w:type="dxa"/>
          <w:shd w:val="clear" w:color="auto" w:fill="auto"/>
        </w:tcPr>
        <w:p w:rsidR="00385A32" w:rsidRDefault="00385A3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385A32" w:rsidRDefault="00385A32">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10354/INFOEM/IP/RR/2022</w:t>
          </w:r>
        </w:p>
      </w:tc>
    </w:tr>
    <w:tr w:rsidR="00385A32">
      <w:trPr>
        <w:trHeight w:val="228"/>
      </w:trPr>
      <w:tc>
        <w:tcPr>
          <w:tcW w:w="2489" w:type="dxa"/>
          <w:shd w:val="clear" w:color="auto" w:fill="auto"/>
          <w:vAlign w:val="center"/>
        </w:tcPr>
        <w:p w:rsidR="00385A32" w:rsidRDefault="00385A3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385A32" w:rsidRDefault="00385A32">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w:t>
          </w:r>
        </w:p>
      </w:tc>
    </w:tr>
    <w:tr w:rsidR="00385A32">
      <w:tc>
        <w:tcPr>
          <w:tcW w:w="2489" w:type="dxa"/>
          <w:shd w:val="clear" w:color="auto" w:fill="auto"/>
          <w:vAlign w:val="center"/>
        </w:tcPr>
        <w:p w:rsidR="00385A32" w:rsidRDefault="00385A3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385A32" w:rsidRDefault="00385A32">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85A32" w:rsidRDefault="00385A3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32" w:rsidRDefault="00385A3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953" w:type="dxa"/>
      <w:tblInd w:w="3261" w:type="dxa"/>
      <w:tblLayout w:type="fixed"/>
      <w:tblLook w:val="0400" w:firstRow="0" w:lastRow="0" w:firstColumn="0" w:lastColumn="0" w:noHBand="0" w:noVBand="1"/>
    </w:tblPr>
    <w:tblGrid>
      <w:gridCol w:w="2551"/>
      <w:gridCol w:w="3402"/>
    </w:tblGrid>
    <w:tr w:rsidR="00385A32">
      <w:tc>
        <w:tcPr>
          <w:tcW w:w="2551" w:type="dxa"/>
          <w:shd w:val="clear" w:color="auto" w:fill="auto"/>
          <w:vAlign w:val="center"/>
        </w:tcPr>
        <w:p w:rsidR="00385A32" w:rsidRDefault="00385A3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385A32" w:rsidRDefault="00385A32">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10354/INFOEM/IP/RR/2022</w:t>
          </w:r>
        </w:p>
      </w:tc>
    </w:tr>
    <w:tr w:rsidR="00385A32">
      <w:trPr>
        <w:trHeight w:val="130"/>
      </w:trPr>
      <w:tc>
        <w:tcPr>
          <w:tcW w:w="2551" w:type="dxa"/>
          <w:shd w:val="clear" w:color="auto" w:fill="auto"/>
          <w:vAlign w:val="center"/>
        </w:tcPr>
        <w:p w:rsidR="00385A32" w:rsidRDefault="00385A3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385A32" w:rsidRDefault="001077A5" w:rsidP="001077A5">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XXXXXXX XXXXXXXX X</w:t>
          </w:r>
        </w:p>
      </w:tc>
    </w:tr>
    <w:tr w:rsidR="00385A32">
      <w:trPr>
        <w:trHeight w:val="228"/>
      </w:trPr>
      <w:tc>
        <w:tcPr>
          <w:tcW w:w="2551" w:type="dxa"/>
          <w:shd w:val="clear" w:color="auto" w:fill="auto"/>
          <w:vAlign w:val="center"/>
        </w:tcPr>
        <w:p w:rsidR="00385A32" w:rsidRDefault="00385A3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385A32" w:rsidRDefault="00385A32">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w:t>
          </w:r>
        </w:p>
      </w:tc>
    </w:tr>
    <w:tr w:rsidR="00385A32">
      <w:tc>
        <w:tcPr>
          <w:tcW w:w="2551" w:type="dxa"/>
          <w:shd w:val="clear" w:color="auto" w:fill="auto"/>
          <w:vAlign w:val="center"/>
        </w:tcPr>
        <w:p w:rsidR="00385A32" w:rsidRDefault="00385A3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385A32" w:rsidRDefault="00385A3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85A32" w:rsidRDefault="00385A3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-1175382</wp:posOffset>
          </wp:positionH>
          <wp:positionV relativeFrom="paragraph">
            <wp:posOffset>-1325242</wp:posOffset>
          </wp:positionV>
          <wp:extent cx="7809865" cy="10165715"/>
          <wp:effectExtent l="0" t="0" r="0" b="0"/>
          <wp:wrapNone/>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32" w:rsidRDefault="00385A3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385A32" w:rsidRDefault="00385A3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652383"/>
    <w:multiLevelType w:val="hybridMultilevel"/>
    <w:tmpl w:val="46384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5224F51"/>
    <w:multiLevelType w:val="multilevel"/>
    <w:tmpl w:val="5894C026"/>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1221853"/>
    <w:multiLevelType w:val="multilevel"/>
    <w:tmpl w:val="BCDCC814"/>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47C45F25"/>
    <w:multiLevelType w:val="multilevel"/>
    <w:tmpl w:val="A8148E0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3F43560"/>
    <w:multiLevelType w:val="multilevel"/>
    <w:tmpl w:val="D4CC3AC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6F02C0E"/>
    <w:multiLevelType w:val="multilevel"/>
    <w:tmpl w:val="9FE0E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7DBC76C7"/>
    <w:multiLevelType w:val="multilevel"/>
    <w:tmpl w:val="FFD41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6"/>
  </w:num>
  <w:num w:numId="4">
    <w:abstractNumId w:val="7"/>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62C"/>
    <w:rsid w:val="001077A5"/>
    <w:rsid w:val="0022204C"/>
    <w:rsid w:val="00236E5B"/>
    <w:rsid w:val="002A1CBA"/>
    <w:rsid w:val="002E01CA"/>
    <w:rsid w:val="00385A32"/>
    <w:rsid w:val="0085062C"/>
    <w:rsid w:val="00A66B29"/>
    <w:rsid w:val="00B044BF"/>
    <w:rsid w:val="00B35676"/>
    <w:rsid w:val="00CD11E6"/>
    <w:rsid w:val="00EE5FA6"/>
    <w:rsid w:val="00FE0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B1EE4C-4FBE-475C-AFAC-E702AC2D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facebook.com/GobCuautitlanMe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U37/r4Qc+CnKHiKTR7KK4dTg==">AMUW2mVxAQppmFT/T017dCVwsAPQXylfY2yRa48K1Yy7yZ/QHSvHpFkmkVrAdci8xWrqL7mUkwKgbM+olEfAlIWxoFX036vR7e6vLdkQEpz/1auxEaqWgsY3wAvZHSS5/pk3MIE591xD5QRW0snBFXLidvkG6p5z5bXmhT3vE+qbm4bnuKnq+5l4HYSER9t+GapHisUc4jl1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14750</Words>
  <Characters>81127</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2022-10-20T15:46:00Z</cp:lastPrinted>
  <dcterms:created xsi:type="dcterms:W3CDTF">2022-11-04T21:35:00Z</dcterms:created>
  <dcterms:modified xsi:type="dcterms:W3CDTF">2022-11-04T21:35:00Z</dcterms:modified>
</cp:coreProperties>
</file>