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18D59A9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A9412E">
        <w:rPr>
          <w:rFonts w:ascii="Palatino Linotype" w:eastAsia="Times New Roman" w:hAnsi="Palatino Linotype" w:cs="Arial"/>
          <w:color w:val="000000"/>
          <w:sz w:val="24"/>
          <w:szCs w:val="24"/>
          <w:lang w:eastAsia="es-MX"/>
        </w:rPr>
        <w:t>tres</w:t>
      </w:r>
      <w:r w:rsidR="00CF2D0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w:t>
      </w:r>
      <w:r w:rsidR="005C4F1D">
        <w:rPr>
          <w:rFonts w:ascii="Palatino Linotype" w:eastAsia="Times New Roman" w:hAnsi="Palatino Linotype" w:cs="Arial"/>
          <w:color w:val="000000"/>
          <w:sz w:val="24"/>
          <w:szCs w:val="24"/>
          <w:lang w:eastAsia="es-MX"/>
        </w:rPr>
        <w:t xml:space="preserve"> agosto</w:t>
      </w:r>
      <w:r>
        <w:rPr>
          <w:rFonts w:ascii="Palatino Linotype" w:eastAsia="Times New Roman" w:hAnsi="Palatino Linotype" w:cs="Arial"/>
          <w:color w:val="000000"/>
          <w:sz w:val="24"/>
          <w:szCs w:val="24"/>
          <w:lang w:eastAsia="es-MX"/>
        </w:rPr>
        <w:t xml:space="preserve"> 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1E3DC26B" w:rsidR="00DB52AF" w:rsidRPr="0010165E" w:rsidRDefault="00DB52AF" w:rsidP="00DB52AF">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00672B13">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w:t>
      </w:r>
      <w:r w:rsidR="007342D6">
        <w:rPr>
          <w:rFonts w:ascii="Palatino Linotype" w:hAnsi="Palatino Linotype" w:cs="Arial"/>
          <w:sz w:val="24"/>
          <w:szCs w:val="24"/>
        </w:rPr>
        <w:t>s</w:t>
      </w:r>
      <w:r w:rsidRPr="0010165E">
        <w:rPr>
          <w:rFonts w:ascii="Palatino Linotype" w:hAnsi="Palatino Linotype" w:cs="Arial"/>
          <w:sz w:val="24"/>
          <w:szCs w:val="24"/>
        </w:rPr>
        <w:t xml:space="preserve"> con motivo de</w:t>
      </w:r>
      <w:r w:rsidR="00672B13">
        <w:rPr>
          <w:rFonts w:ascii="Palatino Linotype" w:hAnsi="Palatino Linotype" w:cs="Arial"/>
          <w:sz w:val="24"/>
          <w:szCs w:val="24"/>
        </w:rPr>
        <w:t>l</w:t>
      </w:r>
      <w:r w:rsidR="007342D6">
        <w:rPr>
          <w:rFonts w:ascii="Palatino Linotype" w:hAnsi="Palatino Linotype" w:cs="Arial"/>
          <w:sz w:val="24"/>
          <w:szCs w:val="24"/>
        </w:rPr>
        <w:t xml:space="preserve"> </w:t>
      </w:r>
      <w:r w:rsidRPr="0010165E">
        <w:rPr>
          <w:rFonts w:ascii="Palatino Linotype" w:hAnsi="Palatino Linotype" w:cs="Arial"/>
          <w:sz w:val="24"/>
          <w:szCs w:val="24"/>
        </w:rPr>
        <w:t xml:space="preserve">recurso de revisión con número </w:t>
      </w:r>
      <w:bookmarkStart w:id="0" w:name="_Hlk107776858"/>
      <w:r w:rsidRPr="0010165E">
        <w:rPr>
          <w:rFonts w:ascii="Palatino Linotype" w:hAnsi="Palatino Linotype" w:cs="Arial"/>
          <w:b/>
          <w:bCs/>
          <w:sz w:val="24"/>
          <w:szCs w:val="24"/>
          <w:lang w:eastAsia="es-MX"/>
        </w:rPr>
        <w:t>0</w:t>
      </w:r>
      <w:r w:rsidR="00C506EE">
        <w:rPr>
          <w:rFonts w:ascii="Palatino Linotype" w:hAnsi="Palatino Linotype" w:cs="Arial"/>
          <w:b/>
          <w:bCs/>
          <w:sz w:val="24"/>
          <w:szCs w:val="24"/>
          <w:lang w:eastAsia="es-MX"/>
        </w:rPr>
        <w:t>7955</w:t>
      </w:r>
      <w:r>
        <w:rPr>
          <w:rFonts w:ascii="Palatino Linotype" w:hAnsi="Palatino Linotype" w:cs="Arial"/>
          <w:b/>
          <w:bCs/>
          <w:sz w:val="24"/>
          <w:szCs w:val="24"/>
          <w:lang w:eastAsia="es-MX"/>
        </w:rPr>
        <w:t>/INFOEM/IP/RR/2022</w:t>
      </w:r>
      <w:bookmarkEnd w:id="0"/>
      <w:r w:rsidR="00672B13">
        <w:rPr>
          <w:rFonts w:ascii="Palatino Linotype" w:hAnsi="Palatino Linotype" w:cs="Arial"/>
          <w:sz w:val="24"/>
          <w:szCs w:val="24"/>
        </w:rPr>
        <w:t>,</w:t>
      </w:r>
      <w:r w:rsidR="00672B13" w:rsidRPr="00667998">
        <w:rPr>
          <w:rFonts w:ascii="Palatino Linotype" w:hAnsi="Palatino Linotype" w:cs="Arial"/>
          <w:sz w:val="24"/>
          <w:szCs w:val="24"/>
        </w:rPr>
        <w:t xml:space="preserve"> interpuesto por</w:t>
      </w:r>
      <w:r w:rsidR="00672B13">
        <w:rPr>
          <w:rFonts w:ascii="Palatino Linotype" w:hAnsi="Palatino Linotype" w:cs="Arial"/>
          <w:sz w:val="24"/>
          <w:szCs w:val="24"/>
        </w:rPr>
        <w:t xml:space="preserve"> </w:t>
      </w:r>
      <w:r w:rsidR="00672B13">
        <w:rPr>
          <w:rFonts w:ascii="Palatino Linotype" w:hAnsi="Palatino Linotype" w:cs="Arial"/>
          <w:b/>
          <w:sz w:val="24"/>
          <w:szCs w:val="24"/>
        </w:rPr>
        <w:t>persona que no proporcionó nombre para ser identificada</w:t>
      </w:r>
      <w:r w:rsidR="00672B13">
        <w:rPr>
          <w:rFonts w:ascii="Palatino Linotype" w:hAnsi="Palatino Linotype" w:cs="Arial"/>
          <w:sz w:val="24"/>
          <w:szCs w:val="24"/>
        </w:rPr>
        <w:t>,</w:t>
      </w:r>
      <w:r w:rsidR="00672B13">
        <w:rPr>
          <w:rFonts w:ascii="Palatino Linotype" w:hAnsi="Palatino Linotype" w:cs="Arial"/>
          <w:b/>
          <w:sz w:val="24"/>
          <w:szCs w:val="24"/>
        </w:rPr>
        <w:t xml:space="preserve"> </w:t>
      </w:r>
      <w:r w:rsidR="00672B13" w:rsidRPr="00667998">
        <w:rPr>
          <w:rFonts w:ascii="Palatino Linotype" w:hAnsi="Palatino Linotype" w:cs="Arial"/>
          <w:sz w:val="24"/>
          <w:szCs w:val="24"/>
        </w:rPr>
        <w:t xml:space="preserve">en lo sucesivo </w:t>
      </w:r>
      <w:r w:rsidR="00672B13">
        <w:rPr>
          <w:rFonts w:ascii="Palatino Linotype" w:hAnsi="Palatino Linotype" w:cs="Arial"/>
          <w:b/>
          <w:bCs/>
          <w:sz w:val="24"/>
          <w:szCs w:val="24"/>
        </w:rPr>
        <w:t xml:space="preserve">la parte </w:t>
      </w:r>
      <w:r w:rsidR="00672B13"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C506EE">
        <w:rPr>
          <w:rFonts w:ascii="Palatino Linotype" w:hAnsi="Palatino Linotype" w:cs="Arial"/>
          <w:b/>
          <w:sz w:val="24"/>
          <w:szCs w:val="24"/>
        </w:rPr>
        <w:t>Ozumba</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2CC145E" w14:textId="77777777" w:rsidR="00DB52AF" w:rsidRPr="0010165E"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10165E" w:rsidRDefault="00DB52AF" w:rsidP="00DB52AF">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379B7A74" w14:textId="77777777" w:rsidR="00DB52AF" w:rsidRPr="0010165E" w:rsidRDefault="00DB52AF" w:rsidP="00DB52AF">
      <w:pPr>
        <w:spacing w:after="0" w:line="360" w:lineRule="auto"/>
        <w:rPr>
          <w:rFonts w:ascii="Palatino Linotype" w:hAnsi="Palatino Linotype" w:cs="Arial"/>
          <w:b/>
          <w:sz w:val="24"/>
          <w:szCs w:val="24"/>
        </w:rPr>
      </w:pPr>
    </w:p>
    <w:p w14:paraId="62B58DC1" w14:textId="5D0EC552" w:rsidR="00DB52AF"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C506EE">
        <w:rPr>
          <w:rFonts w:ascii="Palatino Linotype" w:hAnsi="Palatino Linotype" w:cs="Arial"/>
          <w:sz w:val="24"/>
          <w:szCs w:val="24"/>
        </w:rPr>
        <w:t>veintiuno</w:t>
      </w:r>
      <w:r w:rsidR="00672B13">
        <w:rPr>
          <w:rFonts w:ascii="Palatino Linotype" w:hAnsi="Palatino Linotype" w:cs="Arial"/>
          <w:sz w:val="24"/>
          <w:szCs w:val="24"/>
        </w:rPr>
        <w:t xml:space="preserve"> </w:t>
      </w:r>
      <w:r>
        <w:rPr>
          <w:rFonts w:ascii="Palatino Linotype" w:hAnsi="Palatino Linotype" w:cs="Arial"/>
          <w:sz w:val="24"/>
          <w:szCs w:val="24"/>
        </w:rPr>
        <w:t>de abril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sidR="00672B13">
        <w:rPr>
          <w:rFonts w:ascii="Palatino Linotype" w:hAnsi="Palatino Linotype" w:cs="Arial"/>
          <w:sz w:val="24"/>
          <w:szCs w:val="24"/>
        </w:rPr>
        <w:t>d</w:t>
      </w:r>
      <w:r w:rsidRPr="0010165E">
        <w:rPr>
          <w:rFonts w:ascii="Palatino Linotype" w:hAnsi="Palatino Linotype" w:cs="Arial"/>
          <w:sz w:val="24"/>
          <w:szCs w:val="24"/>
        </w:rPr>
        <w:t xml:space="preserve"> de acceso a </w:t>
      </w:r>
      <w:r w:rsidR="003D29DA" w:rsidRPr="0010165E">
        <w:rPr>
          <w:rFonts w:ascii="Palatino Linotype" w:hAnsi="Palatino Linotype" w:cs="Arial"/>
          <w:sz w:val="24"/>
          <w:szCs w:val="24"/>
        </w:rPr>
        <w:t>la información pública</w:t>
      </w:r>
      <w:r w:rsidR="003D29DA">
        <w:rPr>
          <w:rFonts w:ascii="Palatino Linotype" w:hAnsi="Palatino Linotype" w:cs="Arial"/>
          <w:sz w:val="24"/>
          <w:szCs w:val="24"/>
        </w:rPr>
        <w:t xml:space="preserve"> </w:t>
      </w:r>
      <w:r w:rsidR="003D29DA" w:rsidRPr="0010165E">
        <w:rPr>
          <w:rFonts w:ascii="Palatino Linotype" w:hAnsi="Palatino Linotype" w:cs="Arial"/>
          <w:sz w:val="24"/>
          <w:szCs w:val="24"/>
        </w:rPr>
        <w:t>registrada</w:t>
      </w:r>
      <w:r w:rsidRPr="0010165E">
        <w:rPr>
          <w:rFonts w:ascii="Palatino Linotype" w:hAnsi="Palatino Linotype" w:cs="Arial"/>
          <w:sz w:val="24"/>
          <w:szCs w:val="24"/>
        </w:rPr>
        <w:t xml:space="preserve"> bajo </w:t>
      </w:r>
      <w:r w:rsidR="00672B13">
        <w:rPr>
          <w:rFonts w:ascii="Palatino Linotype" w:hAnsi="Palatino Linotype" w:cs="Arial"/>
          <w:sz w:val="24"/>
          <w:szCs w:val="24"/>
        </w:rPr>
        <w:t>el</w:t>
      </w:r>
      <w:r w:rsidRPr="0010165E">
        <w:rPr>
          <w:rFonts w:ascii="Palatino Linotype" w:hAnsi="Palatino Linotype" w:cs="Arial"/>
          <w:sz w:val="24"/>
          <w:szCs w:val="24"/>
        </w:rPr>
        <w:t xml:space="preserve"> número </w:t>
      </w:r>
      <w:r w:rsidR="00C506EE" w:rsidRPr="00C506EE">
        <w:rPr>
          <w:rFonts w:ascii="Palatino Linotype" w:hAnsi="Palatino Linotype"/>
          <w:b/>
          <w:bCs/>
          <w:sz w:val="24"/>
          <w:szCs w:val="24"/>
        </w:rPr>
        <w:t>00055/OZUMBA/IP/2022</w:t>
      </w:r>
      <w:r w:rsidR="00C506EE">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09566B55" w14:textId="77777777" w:rsidR="007A3E3A" w:rsidRPr="003D29DA" w:rsidRDefault="007A3E3A" w:rsidP="00DB52AF">
      <w:pPr>
        <w:spacing w:after="0" w:line="360" w:lineRule="auto"/>
        <w:jc w:val="both"/>
        <w:rPr>
          <w:rFonts w:ascii="Palatino Linotype" w:hAnsi="Palatino Linotype" w:cs="Arial"/>
          <w:i/>
          <w:sz w:val="24"/>
          <w:szCs w:val="24"/>
        </w:rPr>
      </w:pPr>
    </w:p>
    <w:p w14:paraId="6A0C083E" w14:textId="3BDF981F" w:rsidR="00DB52AF" w:rsidRPr="003D29DA" w:rsidRDefault="00C506EE" w:rsidP="003D29DA">
      <w:pPr>
        <w:tabs>
          <w:tab w:val="left" w:pos="5647"/>
        </w:tabs>
        <w:spacing w:after="0" w:line="360" w:lineRule="auto"/>
        <w:ind w:left="567" w:right="850"/>
        <w:jc w:val="both"/>
        <w:rPr>
          <w:rFonts w:ascii="Palatino Linotype" w:eastAsia="Times New Roman" w:hAnsi="Palatino Linotype" w:cs="Times New Roman"/>
          <w:sz w:val="24"/>
          <w:szCs w:val="24"/>
          <w:lang w:eastAsia="es-ES"/>
        </w:rPr>
      </w:pPr>
      <w:r>
        <w:rPr>
          <w:rFonts w:ascii="Palatino Linotype" w:hAnsi="Palatino Linotype"/>
          <w:i/>
          <w:color w:val="000000"/>
          <w:sz w:val="24"/>
          <w:szCs w:val="24"/>
        </w:rPr>
        <w:t>“</w:t>
      </w:r>
      <w:r w:rsidRPr="00C506EE">
        <w:rPr>
          <w:rFonts w:ascii="Palatino Linotype" w:hAnsi="Palatino Linotype"/>
          <w:i/>
          <w:color w:val="000000"/>
          <w:sz w:val="24"/>
          <w:szCs w:val="24"/>
        </w:rPr>
        <w:t>solicito todas las actas de cabildo ordinarias como extraordinarias debidamente legibles de los meses de septiembre a diciembre del año 2021, así como su publicación en la gaceta municipal.</w:t>
      </w:r>
      <w:r>
        <w:rPr>
          <w:rFonts w:ascii="Palatino Linotype" w:hAnsi="Palatino Linotype"/>
          <w:i/>
          <w:color w:val="000000"/>
          <w:sz w:val="24"/>
          <w:szCs w:val="24"/>
        </w:rPr>
        <w:t>”</w:t>
      </w:r>
      <w:r w:rsidR="003D29DA" w:rsidRPr="009A1107">
        <w:rPr>
          <w:rFonts w:ascii="Palatino Linotype" w:hAnsi="Palatino Linotype"/>
          <w:sz w:val="24"/>
          <w:szCs w:val="24"/>
        </w:rPr>
        <w:t xml:space="preserve"> </w:t>
      </w:r>
      <w:r w:rsidR="003D29DA">
        <w:rPr>
          <w:rFonts w:ascii="Palatino Linotype" w:hAnsi="Palatino Linotype"/>
          <w:color w:val="000000"/>
          <w:sz w:val="24"/>
          <w:szCs w:val="24"/>
        </w:rPr>
        <w:t>(Sic)</w:t>
      </w:r>
    </w:p>
    <w:p w14:paraId="7DCCFAED" w14:textId="3BC3539A" w:rsidR="007A3E3A" w:rsidRPr="003D29DA"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EC57DF">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EC57DF"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5B00CCD6" w:rsidR="00DB52AF" w:rsidRPr="0016590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lastRenderedPageBreak/>
        <w:t>SEGUNDO</w:t>
      </w:r>
      <w:r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43F1D8FA"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3D29DA">
        <w:rPr>
          <w:rFonts w:ascii="Palatino Linotype" w:hAnsi="Palatino Linotype" w:cs="Arial"/>
          <w:sz w:val="24"/>
          <w:szCs w:val="24"/>
        </w:rPr>
        <w:t>once</w:t>
      </w:r>
      <w:r>
        <w:rPr>
          <w:rFonts w:ascii="Palatino Linotype" w:hAnsi="Palatino Linotype" w:cs="Arial"/>
          <w:sz w:val="24"/>
          <w:szCs w:val="24"/>
        </w:rPr>
        <w:t xml:space="preserve"> de mayo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1" w:name="_Hlk107778012"/>
      <w:r w:rsidRPr="0010165E">
        <w:rPr>
          <w:rFonts w:ascii="Palatino Linotype" w:hAnsi="Palatino Linotype" w:cs="Arial"/>
          <w:b/>
          <w:bCs/>
          <w:sz w:val="24"/>
          <w:szCs w:val="24"/>
          <w:lang w:eastAsia="es-MX"/>
        </w:rPr>
        <w:t>0</w:t>
      </w:r>
      <w:r w:rsidR="00C506EE">
        <w:rPr>
          <w:rFonts w:ascii="Palatino Linotype" w:hAnsi="Palatino Linotype" w:cs="Arial"/>
          <w:b/>
          <w:bCs/>
          <w:sz w:val="24"/>
          <w:szCs w:val="24"/>
          <w:lang w:eastAsia="es-MX"/>
        </w:rPr>
        <w:t>7955/</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1"/>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20FE3131" w:rsidR="00DB52AF" w:rsidRPr="00C506EE" w:rsidRDefault="003D29DA" w:rsidP="00DB52AF">
      <w:pPr>
        <w:spacing w:after="0" w:line="240" w:lineRule="auto"/>
        <w:ind w:left="567" w:right="567"/>
        <w:jc w:val="both"/>
        <w:rPr>
          <w:rFonts w:ascii="Palatino Linotype" w:hAnsi="Palatino Linotype"/>
          <w:i/>
          <w:color w:val="000000"/>
          <w:sz w:val="24"/>
          <w:szCs w:val="24"/>
        </w:rPr>
      </w:pPr>
      <w:r w:rsidRPr="00C506EE">
        <w:rPr>
          <w:rFonts w:ascii="Palatino Linotype" w:hAnsi="Palatino Linotype"/>
          <w:i/>
          <w:color w:val="000000"/>
          <w:sz w:val="24"/>
          <w:szCs w:val="24"/>
        </w:rPr>
        <w:t>“</w:t>
      </w:r>
      <w:r w:rsidR="00C506EE" w:rsidRPr="00C506EE">
        <w:rPr>
          <w:rFonts w:ascii="Palatino Linotype" w:hAnsi="Palatino Linotype"/>
          <w:i/>
          <w:color w:val="000000"/>
          <w:sz w:val="24"/>
          <w:szCs w:val="24"/>
        </w:rPr>
        <w:t>La falta de respuesta a mi solicitud de informacion</w:t>
      </w:r>
      <w:r w:rsidR="00864333" w:rsidRPr="00C506EE">
        <w:rPr>
          <w:rFonts w:ascii="Palatino Linotype" w:hAnsi="Palatino Linotype"/>
          <w:i/>
          <w:color w:val="000000"/>
          <w:sz w:val="24"/>
          <w:szCs w:val="24"/>
        </w:rPr>
        <w:t>”</w:t>
      </w:r>
      <w:r w:rsidR="00DB52AF" w:rsidRPr="00C506EE">
        <w:rPr>
          <w:rFonts w:ascii="Palatino Linotype" w:hAnsi="Palatino Linotype"/>
          <w:i/>
          <w:color w:val="000000"/>
          <w:sz w:val="24"/>
          <w:szCs w:val="24"/>
        </w:rPr>
        <w:t xml:space="preserve"> (sic)</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3BA7136A" w:rsidR="00DB52AF" w:rsidRPr="00C506EE" w:rsidRDefault="00864333" w:rsidP="00C506EE">
      <w:pPr>
        <w:ind w:left="567" w:right="281"/>
        <w:jc w:val="both"/>
        <w:rPr>
          <w:rFonts w:ascii="Palatino Linotype" w:hAnsi="Palatino Linotype" w:cs="Arial"/>
          <w:i/>
          <w:sz w:val="24"/>
          <w:szCs w:val="24"/>
        </w:rPr>
      </w:pPr>
      <w:r w:rsidRPr="00C506EE">
        <w:rPr>
          <w:rFonts w:ascii="Palatino Linotype" w:hAnsi="Palatino Linotype"/>
          <w:i/>
          <w:color w:val="000000"/>
          <w:sz w:val="24"/>
          <w:szCs w:val="24"/>
        </w:rPr>
        <w:t>“</w:t>
      </w:r>
      <w:r w:rsidR="00C506EE" w:rsidRPr="00C506EE">
        <w:rPr>
          <w:rFonts w:ascii="Palatino Linotype" w:hAnsi="Palatino Linotype"/>
          <w:i/>
          <w:color w:val="000000"/>
          <w:sz w:val="24"/>
          <w:szCs w:val="24"/>
        </w:rPr>
        <w:t>s</w:t>
      </w:r>
      <w:r w:rsidR="00C506EE" w:rsidRPr="00C506EE">
        <w:rPr>
          <w:rFonts w:ascii="Palatino Linotype" w:eastAsia="Times New Roman" w:hAnsi="Palatino Linotype" w:cs="Times New Roman"/>
          <w:i/>
          <w:sz w:val="24"/>
          <w:szCs w:val="24"/>
          <w:lang w:eastAsia="es-MX"/>
        </w:rPr>
        <w:t>e me niega mi derecho constitucional a la rendicion de cuentas y acceso a la informacion publica, por parte del h. ayuntamiento de ozumba, el cual recibe recursos publicos, los cuales pagamos los ciudadanos con nuestros impuestos.</w:t>
      </w:r>
      <w:r w:rsidRPr="00C506EE">
        <w:rPr>
          <w:rFonts w:ascii="Palatino Linotype" w:hAnsi="Palatino Linotype"/>
          <w:i/>
          <w:color w:val="000000"/>
          <w:sz w:val="24"/>
          <w:szCs w:val="24"/>
        </w:rPr>
        <w:t>”</w:t>
      </w:r>
      <w:r w:rsidRPr="00C506EE">
        <w:rPr>
          <w:rFonts w:ascii="Palatino Linotype" w:hAnsi="Palatino Linotype" w:cs="Arial"/>
          <w:i/>
          <w:sz w:val="24"/>
          <w:szCs w:val="24"/>
        </w:rPr>
        <w:t xml:space="preserve"> </w:t>
      </w:r>
      <w:r w:rsidR="00CF2D0F" w:rsidRPr="00C506EE">
        <w:rPr>
          <w:rFonts w:ascii="Palatino Linotype" w:hAnsi="Palatino Linotype" w:cs="Arial"/>
          <w:i/>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4204B3FC"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C506EE">
        <w:rPr>
          <w:rFonts w:ascii="Palatino Linotype" w:hAnsi="Palatino Linotype" w:cs="Arial"/>
          <w:sz w:val="24"/>
          <w:szCs w:val="24"/>
        </w:rPr>
        <w:t>diecisiete</w:t>
      </w:r>
      <w:r>
        <w:rPr>
          <w:rFonts w:ascii="Palatino Linotype" w:hAnsi="Palatino Linotype" w:cs="Arial"/>
          <w:sz w:val="24"/>
          <w:szCs w:val="24"/>
        </w:rPr>
        <w:t xml:space="preserve"> de mayo de dos mil veintidós</w:t>
      </w:r>
      <w:r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 xml:space="preserve">Ley de Transparencia </w:t>
      </w:r>
      <w:r w:rsidRPr="0010165E">
        <w:rPr>
          <w:rFonts w:ascii="Palatino Linotype" w:eastAsia="Times New Roman" w:hAnsi="Palatino Linotype" w:cs="Times New Roman"/>
          <w:sz w:val="24"/>
          <w:szCs w:val="24"/>
          <w:lang w:val="es-ES" w:eastAsia="es-ES"/>
        </w:rPr>
        <w:lastRenderedPageBreak/>
        <w:t>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07B6D064"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B67315">
        <w:rPr>
          <w:rFonts w:ascii="Palatino Linotype" w:eastAsia="Times New Roman" w:hAnsi="Palatino Linotype" w:cs="Arial"/>
          <w:sz w:val="24"/>
          <w:szCs w:val="24"/>
          <w:lang w:val="es-ES" w:eastAsia="es-ES"/>
        </w:rPr>
        <w:t>veinticuatro</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w:t>
      </w:r>
      <w:r w:rsidR="004670EC">
        <w:rPr>
          <w:rFonts w:ascii="Palatino Linotype" w:eastAsia="Times New Roman" w:hAnsi="Palatino Linotype" w:cs="Arial"/>
          <w:sz w:val="24"/>
          <w:szCs w:val="24"/>
          <w:lang w:val="es-ES" w:eastAsia="es-ES"/>
        </w:rPr>
        <w:t xml:space="preserve">mayo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DA6DEB" w:rsidRPr="0010165E">
        <w:rPr>
          <w:rFonts w:ascii="Palatino Linotype" w:hAnsi="Palatino Linotype" w:cs="Arial"/>
          <w:b/>
          <w:bCs/>
          <w:sz w:val="24"/>
          <w:szCs w:val="24"/>
          <w:lang w:eastAsia="es-MX"/>
        </w:rPr>
        <w:t>0</w:t>
      </w:r>
      <w:r w:rsidR="00B67315">
        <w:rPr>
          <w:rFonts w:ascii="Palatino Linotype" w:hAnsi="Palatino Linotype" w:cs="Arial"/>
          <w:b/>
          <w:bCs/>
          <w:sz w:val="24"/>
          <w:szCs w:val="24"/>
          <w:lang w:eastAsia="es-MX"/>
        </w:rPr>
        <w:t>7955</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77777777"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de igual manera </w:t>
      </w:r>
      <w:r w:rsidR="00F26B6E">
        <w:rPr>
          <w:rFonts w:ascii="Palatino Linotype" w:hAnsi="Palatino Linotype" w:cs="Arial"/>
          <w:b/>
          <w:sz w:val="24"/>
          <w:szCs w:val="24"/>
        </w:rPr>
        <w:t xml:space="preserve">El Recurrente </w:t>
      </w:r>
      <w:r w:rsidR="00F26B6E">
        <w:rPr>
          <w:rFonts w:ascii="Palatino Linotype" w:hAnsi="Palatino Linotype" w:cs="Arial"/>
          <w:sz w:val="24"/>
          <w:szCs w:val="24"/>
        </w:rPr>
        <w:t xml:space="preserve">fue omiso en presentar alegatos, pruebas o manifestación alguna.  </w:t>
      </w:r>
    </w:p>
    <w:p w14:paraId="7E3B17B1" w14:textId="77777777" w:rsidR="00F26B6E" w:rsidRDefault="00F26B6E" w:rsidP="00DB52AF">
      <w:pPr>
        <w:spacing w:after="0" w:line="360" w:lineRule="auto"/>
        <w:jc w:val="both"/>
        <w:rPr>
          <w:rFonts w:ascii="Palatino Linotype" w:hAnsi="Palatino Linotype" w:cs="Arial"/>
          <w:sz w:val="24"/>
          <w:szCs w:val="24"/>
        </w:rPr>
      </w:pPr>
    </w:p>
    <w:p w14:paraId="6923198B" w14:textId="77777777"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Default="00DB52AF" w:rsidP="00DB52AF">
      <w:pPr>
        <w:spacing w:after="0" w:line="360" w:lineRule="auto"/>
        <w:jc w:val="both"/>
        <w:rPr>
          <w:rFonts w:ascii="Palatino Linotype" w:hAnsi="Palatino Linotype" w:cs="Arial"/>
          <w:sz w:val="24"/>
          <w:szCs w:val="24"/>
        </w:rPr>
      </w:pP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5A8D3CAC"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B67315">
        <w:rPr>
          <w:rFonts w:ascii="Palatino Linotype" w:hAnsi="Palatino Linotype" w:cs="Arial"/>
          <w:sz w:val="24"/>
          <w:szCs w:val="24"/>
        </w:rPr>
        <w:t xml:space="preserve">quince </w:t>
      </w:r>
      <w:r w:rsidR="00CF2D0F">
        <w:rPr>
          <w:rFonts w:ascii="Palatino Linotype" w:hAnsi="Palatino Linotype" w:cs="Arial"/>
          <w:sz w:val="24"/>
          <w:szCs w:val="24"/>
        </w:rPr>
        <w:t xml:space="preserve"> de junio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Default="00CF2D0F" w:rsidP="00F75BB1">
      <w:pPr>
        <w:spacing w:after="0" w:line="360" w:lineRule="auto"/>
        <w:jc w:val="both"/>
        <w:rPr>
          <w:rFonts w:ascii="Palatino Linotype" w:hAnsi="Palatino Linotype" w:cs="Arial"/>
          <w:bCs/>
          <w:sz w:val="24"/>
          <w:szCs w:val="24"/>
        </w:rPr>
      </w:pPr>
    </w:p>
    <w:p w14:paraId="70D01CC6" w14:textId="213FEC36" w:rsidR="000D7A2F" w:rsidRPr="005C4F1D" w:rsidRDefault="000D7A2F" w:rsidP="000D7A2F">
      <w:pPr>
        <w:spacing w:line="360" w:lineRule="auto"/>
        <w:jc w:val="both"/>
        <w:rPr>
          <w:rFonts w:ascii="Palatino Linotype" w:hAnsi="Palatino Linotype"/>
          <w:sz w:val="24"/>
          <w:szCs w:val="24"/>
        </w:rPr>
      </w:pPr>
      <w:r>
        <w:rPr>
          <w:rFonts w:ascii="Palatino Linotype" w:hAnsi="Palatino Linotype"/>
          <w:b/>
          <w:sz w:val="28"/>
          <w:szCs w:val="28"/>
        </w:rPr>
        <w:t>OCTAVO</w:t>
      </w:r>
      <w:r w:rsidRPr="006E47EC">
        <w:rPr>
          <w:rFonts w:ascii="Palatino Linotype" w:hAnsi="Palatino Linotype"/>
          <w:b/>
          <w:sz w:val="28"/>
          <w:szCs w:val="28"/>
        </w:rPr>
        <w:t xml:space="preserve">. - </w:t>
      </w:r>
      <w:r w:rsidRPr="005C4F1D">
        <w:rPr>
          <w:rFonts w:ascii="Palatino Linotype" w:hAnsi="Palatino Linotype"/>
          <w:sz w:val="24"/>
          <w:szCs w:val="24"/>
        </w:rPr>
        <w:t xml:space="preserve">Así, en fecha </w:t>
      </w:r>
      <w:r w:rsidR="00C5567A" w:rsidRPr="005C4F1D">
        <w:rPr>
          <w:rFonts w:ascii="Palatino Linotype" w:hAnsi="Palatino Linotype"/>
          <w:sz w:val="24"/>
          <w:szCs w:val="24"/>
        </w:rPr>
        <w:t>siete</w:t>
      </w:r>
      <w:r w:rsidRPr="005C4F1D">
        <w:rPr>
          <w:rFonts w:ascii="Palatino Linotype" w:hAnsi="Palatino Linotype"/>
          <w:sz w:val="24"/>
          <w:szCs w:val="24"/>
        </w:rPr>
        <w:t xml:space="preserve"> de </w:t>
      </w:r>
      <w:r w:rsidR="005C4F1D" w:rsidRPr="005C4F1D">
        <w:rPr>
          <w:rFonts w:ascii="Palatino Linotype" w:hAnsi="Palatino Linotype"/>
          <w:sz w:val="24"/>
          <w:szCs w:val="24"/>
        </w:rPr>
        <w:t>julio de</w:t>
      </w:r>
      <w:r w:rsidRPr="005C4F1D">
        <w:rPr>
          <w:rFonts w:ascii="Palatino Linotype" w:hAnsi="Palatino Linotype"/>
          <w:sz w:val="24"/>
          <w:szCs w:val="24"/>
        </w:rPr>
        <w:t xml:space="preserve"> dos mil veintidós, en el expediente electrónico del recurso de revisión se amplió plazo para dictar resolución, en términos del artículo 181 de la Ley de Transparencia y Acceso a la Información del Estado de México y Municipios, </w:t>
      </w:r>
      <w:r w:rsidRPr="005C4F1D">
        <w:rPr>
          <w:rFonts w:ascii="Palatino Linotype" w:hAnsi="Palatino Linotype" w:cs="Tahoma"/>
          <w:sz w:val="24"/>
          <w:szCs w:val="24"/>
        </w:rPr>
        <w:t>acto que fue notificado a las partes, mediante el Sistema de Acceso a la Información Mexiquense (SAIMEX).</w:t>
      </w:r>
    </w:p>
    <w:p w14:paraId="6E5F76BC" w14:textId="77777777" w:rsidR="00C5567A" w:rsidRDefault="00C5567A" w:rsidP="000D7A2F">
      <w:pPr>
        <w:spacing w:line="360" w:lineRule="auto"/>
        <w:jc w:val="both"/>
        <w:rPr>
          <w:rFonts w:ascii="Palatino Linotype" w:hAnsi="Palatino Linotype" w:cstheme="majorHAnsi"/>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53147E9"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10165E">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09BBC7B9" w:rsidR="00DB52AF" w:rsidRPr="00FE647B" w:rsidRDefault="00DB52AF" w:rsidP="00DB52AF">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r w:rsidR="00BC22EB" w:rsidRPr="00FE647B">
        <w:rPr>
          <w:rFonts w:ascii="Palatino Linotype" w:hAnsi="Palatino Linotype" w:cs="Arial"/>
          <w:sz w:val="24"/>
          <w:szCs w:val="24"/>
        </w:rPr>
        <w:t>que,</w:t>
      </w:r>
      <w:r w:rsidRPr="00FE647B">
        <w:rPr>
          <w:rFonts w:ascii="Palatino Linotype" w:hAnsi="Palatino Linotype" w:cs="Arial"/>
          <w:sz w:val="24"/>
          <w:szCs w:val="24"/>
        </w:rPr>
        <w:t xml:space="preserve"> en el presente caso, al haber sido presentado el recurso de revisión vía SAIMEX, dicho requisito resulta innecesario.</w:t>
      </w:r>
    </w:p>
    <w:p w14:paraId="6F87AAEB"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0165E">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w:t>
      </w:r>
      <w:r w:rsidRPr="0010165E">
        <w:rPr>
          <w:rFonts w:ascii="Palatino Linotype" w:eastAsia="Times New Roman" w:hAnsi="Palatino Linotype" w:cs="Arial"/>
          <w:sz w:val="24"/>
          <w:szCs w:val="24"/>
          <w:lang w:val="es-ES" w:eastAsia="es-ES"/>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sz w:val="24"/>
          <w:szCs w:val="24"/>
          <w:lang w:val="es-ES" w:eastAsia="es-MX"/>
        </w:rPr>
        <w:t>la</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45A3C82"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p>
    <w:p w14:paraId="54D02F14"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51AAE2A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C669C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DD4BED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AA7694" w14:textId="77777777" w:rsidR="00DB52AF" w:rsidRPr="0010165E" w:rsidRDefault="00DB52AF" w:rsidP="00DB52A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0C3A0BFC"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Pr>
          <w:rFonts w:ascii="Palatino Linotype" w:hAnsi="Palatino Linotype"/>
          <w:sz w:val="24"/>
          <w:szCs w:val="24"/>
        </w:rPr>
        <w:t xml:space="preserve">el particular solicitó: </w:t>
      </w:r>
    </w:p>
    <w:p w14:paraId="29C298C3" w14:textId="78A32A56" w:rsidR="00392C4E" w:rsidRDefault="00392C4E" w:rsidP="00392C4E">
      <w:pPr>
        <w:tabs>
          <w:tab w:val="left" w:pos="5647"/>
        </w:tabs>
        <w:spacing w:after="0" w:line="360" w:lineRule="auto"/>
        <w:ind w:left="567" w:right="850"/>
        <w:jc w:val="both"/>
        <w:rPr>
          <w:rFonts w:ascii="Palatino Linotype" w:hAnsi="Palatino Linotype"/>
          <w:color w:val="000000"/>
          <w:sz w:val="24"/>
          <w:szCs w:val="24"/>
        </w:rPr>
      </w:pPr>
      <w:r>
        <w:rPr>
          <w:rFonts w:ascii="Palatino Linotype" w:hAnsi="Palatino Linotype"/>
          <w:i/>
          <w:color w:val="000000"/>
          <w:sz w:val="24"/>
          <w:szCs w:val="24"/>
        </w:rPr>
        <w:t>“</w:t>
      </w:r>
      <w:r w:rsidRPr="00C506EE">
        <w:rPr>
          <w:rFonts w:ascii="Palatino Linotype" w:hAnsi="Palatino Linotype"/>
          <w:i/>
          <w:color w:val="000000"/>
          <w:sz w:val="24"/>
          <w:szCs w:val="24"/>
        </w:rPr>
        <w:t>solicito todas las actas de cabildo ordinarias como extraordinarias debidamente legibles de los meses de septiembre a diciembre del año 2021, así como su publicación en la gaceta municipal.</w:t>
      </w:r>
      <w:r>
        <w:rPr>
          <w:rFonts w:ascii="Palatino Linotype" w:hAnsi="Palatino Linotype"/>
          <w:i/>
          <w:color w:val="000000"/>
          <w:sz w:val="24"/>
          <w:szCs w:val="24"/>
        </w:rPr>
        <w:t>”</w:t>
      </w:r>
      <w:r w:rsidRPr="009A1107">
        <w:rPr>
          <w:rFonts w:ascii="Palatino Linotype" w:hAnsi="Palatino Linotype"/>
          <w:sz w:val="24"/>
          <w:szCs w:val="24"/>
        </w:rPr>
        <w:t xml:space="preserve"> </w:t>
      </w:r>
      <w:r>
        <w:rPr>
          <w:rFonts w:ascii="Palatino Linotype" w:hAnsi="Palatino Linotype"/>
          <w:color w:val="000000"/>
          <w:sz w:val="24"/>
          <w:szCs w:val="24"/>
        </w:rPr>
        <w:t>(Sic)</w:t>
      </w:r>
    </w:p>
    <w:p w14:paraId="4B9DE2E4" w14:textId="77777777" w:rsidR="00392C4E" w:rsidRDefault="00392C4E" w:rsidP="00392C4E">
      <w:pPr>
        <w:spacing w:after="0" w:line="360" w:lineRule="auto"/>
        <w:jc w:val="both"/>
        <w:rPr>
          <w:rFonts w:ascii="Palatino Linotype" w:hAnsi="Palatino Linotype"/>
          <w:sz w:val="24"/>
          <w:szCs w:val="24"/>
        </w:rPr>
      </w:pPr>
      <w:r>
        <w:rPr>
          <w:rFonts w:ascii="Palatino Linotype" w:hAnsi="Palatino Linotype" w:cs="Arial"/>
          <w:sz w:val="24"/>
        </w:rPr>
        <w:lastRenderedPageBreak/>
        <w:t>En ese tenor,</w:t>
      </w:r>
      <w:r w:rsidRPr="00FB50E0">
        <w:rPr>
          <w:rFonts w:ascii="Palatino Linotype" w:hAnsi="Palatino Linotype" w:cs="Arial"/>
          <w:sz w:val="24"/>
        </w:rPr>
        <w:t xml:space="preserve"> resulta necesario hacer estudio del marco normativo que rige el actuar del </w:t>
      </w:r>
      <w:r w:rsidRPr="00FB50E0">
        <w:rPr>
          <w:rFonts w:ascii="Palatino Linotype" w:hAnsi="Palatino Linotype" w:cs="Arial"/>
          <w:b/>
          <w:sz w:val="24"/>
        </w:rPr>
        <w:t>Sujeto Obligado</w:t>
      </w:r>
      <w:r w:rsidRPr="00FB50E0">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Pr>
          <w:rFonts w:ascii="Palatino Linotype" w:hAnsi="Palatino Linotype" w:cs="Arial"/>
          <w:sz w:val="24"/>
        </w:rPr>
        <w:t>se analiza lo establecido en</w:t>
      </w:r>
      <w:r w:rsidRPr="007F57A9">
        <w:rPr>
          <w:rFonts w:ascii="Palatino Linotype" w:hAnsi="Palatino Linotype" w:cs="Arial"/>
          <w:sz w:val="24"/>
        </w:rPr>
        <w:t xml:space="preserve"> </w:t>
      </w:r>
      <w:r>
        <w:rPr>
          <w:rFonts w:ascii="Palatino Linotype" w:hAnsi="Palatino Linotype" w:cs="Arial"/>
          <w:sz w:val="24"/>
        </w:rPr>
        <w:t xml:space="preserve">el artículo 15 de la </w:t>
      </w:r>
      <w:r w:rsidRPr="00FB50E0">
        <w:rPr>
          <w:rFonts w:ascii="Palatino Linotype" w:hAnsi="Palatino Linotype" w:cs="Arial"/>
          <w:sz w:val="24"/>
        </w:rPr>
        <w:t>Ley Orgánica Municipal del Estado de México</w:t>
      </w:r>
      <w:r>
        <w:rPr>
          <w:rFonts w:ascii="Palatino Linotype" w:hAnsi="Palatino Linotype" w:cs="Arial"/>
          <w:sz w:val="24"/>
        </w:rPr>
        <w:t>, que establece que c</w:t>
      </w:r>
      <w:r w:rsidRPr="007F57A9">
        <w:rPr>
          <w:rFonts w:ascii="Palatino Linotype" w:hAnsi="Palatino Linotype"/>
          <w:sz w:val="24"/>
          <w:szCs w:val="24"/>
        </w:rPr>
        <w:t>ada municipio será gobernado por un ayuntamiento de elección popular directa y no habrá ninguna autoridad intermedia entre éste y el Gobierno del Estado.</w:t>
      </w:r>
    </w:p>
    <w:p w14:paraId="03163394" w14:textId="77777777" w:rsidR="00392C4E" w:rsidRDefault="00392C4E" w:rsidP="00392C4E">
      <w:pPr>
        <w:spacing w:after="0" w:line="360" w:lineRule="auto"/>
        <w:jc w:val="both"/>
        <w:rPr>
          <w:rFonts w:ascii="Palatino Linotype" w:hAnsi="Palatino Linotype"/>
          <w:sz w:val="24"/>
          <w:szCs w:val="24"/>
        </w:rPr>
      </w:pPr>
    </w:p>
    <w:p w14:paraId="05C553B7" w14:textId="77777777" w:rsidR="00392C4E" w:rsidRPr="007F57A9" w:rsidRDefault="00392C4E" w:rsidP="00392C4E">
      <w:pPr>
        <w:pStyle w:val="Textosinformato"/>
        <w:jc w:val="both"/>
        <w:rPr>
          <w:rFonts w:ascii="Palatino Linotype" w:hAnsi="Palatino Linotype"/>
          <w:b/>
          <w:sz w:val="24"/>
          <w:szCs w:val="24"/>
        </w:rPr>
      </w:pPr>
      <w:r w:rsidRPr="007F57A9">
        <w:rPr>
          <w:rFonts w:ascii="Palatino Linotype" w:hAnsi="Palatino Linotype"/>
          <w:sz w:val="24"/>
          <w:szCs w:val="24"/>
        </w:rPr>
        <w:t xml:space="preserve">Así mismo el </w:t>
      </w:r>
      <w:r>
        <w:rPr>
          <w:rFonts w:ascii="Palatino Linotype" w:hAnsi="Palatino Linotype"/>
          <w:sz w:val="24"/>
          <w:szCs w:val="24"/>
        </w:rPr>
        <w:t>a</w:t>
      </w:r>
      <w:r w:rsidRPr="007F57A9">
        <w:rPr>
          <w:rFonts w:ascii="Palatino Linotype" w:hAnsi="Palatino Linotype"/>
          <w:sz w:val="24"/>
          <w:szCs w:val="24"/>
        </w:rPr>
        <w:t>rtículo 28 de la citada ley establece que:</w:t>
      </w:r>
    </w:p>
    <w:p w14:paraId="7E2947A1" w14:textId="77777777" w:rsidR="00392C4E" w:rsidRPr="007F57A9" w:rsidRDefault="00392C4E" w:rsidP="00392C4E">
      <w:pPr>
        <w:pStyle w:val="Textosinformato"/>
        <w:jc w:val="both"/>
        <w:rPr>
          <w:rFonts w:ascii="Palatino Linotype" w:hAnsi="Palatino Linotype"/>
          <w:b/>
          <w:sz w:val="24"/>
          <w:szCs w:val="24"/>
        </w:rPr>
      </w:pPr>
    </w:p>
    <w:p w14:paraId="10ADEC82" w14:textId="77777777" w:rsidR="00392C4E" w:rsidRPr="005A3250" w:rsidRDefault="00392C4E" w:rsidP="00392C4E">
      <w:pPr>
        <w:pStyle w:val="Textosinformato"/>
        <w:tabs>
          <w:tab w:val="left" w:pos="426"/>
        </w:tabs>
        <w:ind w:left="630" w:right="283"/>
        <w:jc w:val="both"/>
        <w:rPr>
          <w:rFonts w:ascii="Palatino Linotype" w:hAnsi="Palatino Linotype"/>
          <w:i/>
          <w:sz w:val="24"/>
          <w:szCs w:val="24"/>
        </w:rPr>
      </w:pPr>
      <w:r w:rsidRPr="005A3250">
        <w:rPr>
          <w:rFonts w:ascii="Palatino Linotype" w:hAnsi="Palatino Linotype"/>
          <w:b/>
          <w:i/>
          <w:sz w:val="24"/>
          <w:szCs w:val="24"/>
        </w:rPr>
        <w:t>“Articulo 28.-</w:t>
      </w:r>
      <w:r w:rsidRPr="005A3250">
        <w:rPr>
          <w:rFonts w:ascii="Palatino Linotype" w:hAnsi="Palatino Linotype"/>
          <w:i/>
          <w:sz w:val="24"/>
          <w:szCs w:val="24"/>
        </w:rPr>
        <w:t xml:space="preserve"> Los ayuntamientos sesionarán </w:t>
      </w:r>
      <w:r w:rsidRPr="0062152A">
        <w:rPr>
          <w:rFonts w:ascii="Palatino Linotype" w:hAnsi="Palatino Linotype"/>
          <w:b/>
          <w:i/>
          <w:sz w:val="24"/>
          <w:szCs w:val="24"/>
        </w:rPr>
        <w:t>cuando menos una vez cada ocho días</w:t>
      </w:r>
      <w:r w:rsidRPr="005A3250">
        <w:rPr>
          <w:rFonts w:ascii="Palatino Linotype" w:hAnsi="Palatino Linotype"/>
          <w:i/>
          <w:sz w:val="24"/>
          <w:szCs w:val="24"/>
        </w:rPr>
        <w:t xml:space="preserve"> o cuantas veces sea necesario en asuntos de urgente resolución, a petición de la mayoría de sus miembros y podrán declararse en sesión permanente cuando la importancia del asunto lo requiera.</w:t>
      </w:r>
    </w:p>
    <w:p w14:paraId="7B56F9AF" w14:textId="77777777" w:rsidR="00392C4E" w:rsidRPr="005A3250" w:rsidRDefault="00392C4E" w:rsidP="00392C4E">
      <w:pPr>
        <w:pStyle w:val="Textosinformato"/>
        <w:ind w:left="630"/>
        <w:jc w:val="both"/>
        <w:rPr>
          <w:rFonts w:ascii="Palatino Linotype" w:hAnsi="Palatino Linotype"/>
          <w:i/>
          <w:sz w:val="24"/>
          <w:szCs w:val="24"/>
        </w:rPr>
      </w:pPr>
    </w:p>
    <w:p w14:paraId="52B5B332" w14:textId="77777777" w:rsidR="00392C4E" w:rsidRPr="0062152A" w:rsidRDefault="00392C4E" w:rsidP="00392C4E">
      <w:pPr>
        <w:spacing w:line="276" w:lineRule="auto"/>
        <w:ind w:left="630"/>
        <w:jc w:val="both"/>
        <w:rPr>
          <w:rFonts w:ascii="Palatino Linotype" w:hAnsi="Palatino Linotype" w:cs="Arial"/>
          <w:b/>
          <w:i/>
          <w:sz w:val="24"/>
          <w:szCs w:val="24"/>
        </w:rPr>
      </w:pPr>
      <w:r w:rsidRPr="0062152A">
        <w:rPr>
          <w:rFonts w:ascii="Palatino Linotype" w:hAnsi="Palatino Linotype" w:cs="Arial"/>
          <w:b/>
          <w:i/>
          <w:sz w:val="24"/>
          <w:szCs w:val="24"/>
        </w:rPr>
        <w:t>Las sesiones de los ayuntamientos serán públicas y deberán transmitirse a través de la página de internet del municipio.</w:t>
      </w:r>
    </w:p>
    <w:p w14:paraId="1FA8727D" w14:textId="77777777" w:rsidR="00392C4E" w:rsidRPr="005A3250" w:rsidRDefault="00392C4E" w:rsidP="00392C4E">
      <w:pPr>
        <w:pStyle w:val="Textosinformato"/>
        <w:ind w:left="630"/>
        <w:jc w:val="both"/>
        <w:rPr>
          <w:rFonts w:ascii="Palatino Linotype" w:hAnsi="Palatino Linotype"/>
          <w:i/>
          <w:sz w:val="24"/>
          <w:szCs w:val="24"/>
        </w:rPr>
      </w:pPr>
    </w:p>
    <w:p w14:paraId="1C3CD96A" w14:textId="77777777" w:rsidR="00392C4E" w:rsidRPr="005A3250" w:rsidRDefault="00392C4E" w:rsidP="00392C4E">
      <w:pPr>
        <w:pStyle w:val="Textosinformato"/>
        <w:ind w:left="630"/>
        <w:jc w:val="both"/>
        <w:rPr>
          <w:rFonts w:ascii="Palatino Linotype" w:hAnsi="Palatino Linotype"/>
          <w:i/>
          <w:sz w:val="24"/>
          <w:szCs w:val="24"/>
        </w:rPr>
      </w:pPr>
      <w:r w:rsidRPr="005A3250">
        <w:rPr>
          <w:rFonts w:ascii="Palatino Linotype" w:hAnsi="Palatino Linotype"/>
          <w:i/>
          <w:sz w:val="24"/>
          <w:szCs w:val="24"/>
        </w:rPr>
        <w:t>Las sesiones de los ayuntamientos se celebrarán en la sala de cabildos; y cuando la solemnidad del caso lo requiera, en el recinto previamente declarado oficial para tal objeto…”</w:t>
      </w:r>
    </w:p>
    <w:p w14:paraId="656D6D3B" w14:textId="77777777" w:rsidR="00392C4E" w:rsidRDefault="00392C4E" w:rsidP="00392C4E">
      <w:pPr>
        <w:pStyle w:val="Textosinformato"/>
        <w:jc w:val="both"/>
        <w:rPr>
          <w:rFonts w:ascii="Palatino Linotype" w:hAnsi="Palatino Linotype"/>
          <w:sz w:val="24"/>
          <w:szCs w:val="24"/>
        </w:rPr>
      </w:pPr>
    </w:p>
    <w:p w14:paraId="32045357" w14:textId="77777777" w:rsidR="00392C4E" w:rsidRDefault="00392C4E" w:rsidP="00392C4E">
      <w:pPr>
        <w:pStyle w:val="Textosinformato"/>
        <w:spacing w:line="360" w:lineRule="auto"/>
        <w:jc w:val="both"/>
        <w:rPr>
          <w:rFonts w:ascii="Palatino Linotype" w:hAnsi="Palatino Linotype"/>
          <w:sz w:val="24"/>
          <w:szCs w:val="24"/>
        </w:rPr>
      </w:pPr>
      <w:r>
        <w:rPr>
          <w:rFonts w:ascii="Palatino Linotype" w:hAnsi="Palatino Linotype"/>
          <w:sz w:val="24"/>
          <w:szCs w:val="24"/>
        </w:rPr>
        <w:t>Del precepto legal citado se advierte que los Ayuntamientos como órganos colegiados deliberantes sesionarán de manera pública y con una periodicidad de cuando menos una vez cada ocho días. Por su parte el artículo 30 de la multicitada ley dispone:</w:t>
      </w:r>
    </w:p>
    <w:p w14:paraId="6AFE0173" w14:textId="77777777" w:rsidR="00392C4E" w:rsidRPr="007F57A9" w:rsidRDefault="00392C4E" w:rsidP="00392C4E">
      <w:pPr>
        <w:pStyle w:val="Textosinformato"/>
        <w:jc w:val="both"/>
        <w:rPr>
          <w:rFonts w:ascii="Palatino Linotype" w:hAnsi="Palatino Linotype"/>
          <w:sz w:val="24"/>
          <w:szCs w:val="24"/>
        </w:rPr>
      </w:pPr>
    </w:p>
    <w:p w14:paraId="2D8A989B" w14:textId="58C80EC2" w:rsidR="00392C4E" w:rsidRDefault="00392C4E" w:rsidP="00392C4E">
      <w:pPr>
        <w:spacing w:line="276" w:lineRule="auto"/>
        <w:ind w:left="567" w:right="283"/>
        <w:jc w:val="both"/>
        <w:rPr>
          <w:rFonts w:ascii="Palatino Linotype" w:hAnsi="Palatino Linotype" w:cs="Arial"/>
          <w:i/>
          <w:sz w:val="24"/>
          <w:szCs w:val="24"/>
        </w:rPr>
      </w:pPr>
      <w:r w:rsidRPr="00052646">
        <w:rPr>
          <w:rFonts w:ascii="Palatino Linotype" w:hAnsi="Palatino Linotype" w:cs="Arial"/>
          <w:b/>
          <w:i/>
          <w:sz w:val="24"/>
          <w:szCs w:val="24"/>
        </w:rPr>
        <w:t>“Artículo 30.</w:t>
      </w:r>
      <w:r w:rsidRPr="00052646">
        <w:rPr>
          <w:rFonts w:ascii="Palatino Linotype" w:hAnsi="Palatino Linotype" w:cs="Arial"/>
          <w:i/>
          <w:sz w:val="24"/>
          <w:szCs w:val="24"/>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w:t>
      </w:r>
      <w:r w:rsidRPr="00052646">
        <w:rPr>
          <w:rFonts w:ascii="Palatino Linotype" w:hAnsi="Palatino Linotype" w:cs="Arial"/>
          <w:i/>
          <w:sz w:val="24"/>
          <w:szCs w:val="24"/>
        </w:rPr>
        <w:lastRenderedPageBreak/>
        <w:t>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w:t>
      </w:r>
      <w:r w:rsidRPr="005A3250">
        <w:rPr>
          <w:rFonts w:ascii="Palatino Linotype" w:hAnsi="Palatino Linotype" w:cs="Arial"/>
          <w:i/>
          <w:sz w:val="24"/>
          <w:szCs w:val="24"/>
        </w:rPr>
        <w:t xml:space="preserve"> sello </w:t>
      </w:r>
      <w:r w:rsidRPr="00052646">
        <w:rPr>
          <w:rFonts w:ascii="Palatino Linotype" w:hAnsi="Palatino Linotype" w:cs="Arial"/>
          <w:i/>
          <w:sz w:val="24"/>
          <w:szCs w:val="24"/>
        </w:rPr>
        <w:t>electrónico de los integrantes del Ayuntamiento tendrá el carácter de copia certificada.</w:t>
      </w:r>
    </w:p>
    <w:p w14:paraId="0DEB0C96" w14:textId="77777777" w:rsidR="002B2EB0" w:rsidRPr="00052646" w:rsidRDefault="002B2EB0" w:rsidP="00392C4E">
      <w:pPr>
        <w:spacing w:line="276" w:lineRule="auto"/>
        <w:ind w:left="567" w:right="283"/>
        <w:jc w:val="both"/>
        <w:rPr>
          <w:rFonts w:ascii="Palatino Linotype" w:hAnsi="Palatino Linotype" w:cs="Arial"/>
          <w:i/>
          <w:sz w:val="24"/>
          <w:szCs w:val="24"/>
        </w:rPr>
      </w:pPr>
    </w:p>
    <w:p w14:paraId="4D82A73C" w14:textId="0D4E7D62" w:rsidR="00392C4E" w:rsidRDefault="00392C4E" w:rsidP="00392C4E">
      <w:pPr>
        <w:ind w:left="567" w:right="283"/>
        <w:jc w:val="both"/>
        <w:rPr>
          <w:rFonts w:ascii="Palatino Linotype" w:hAnsi="Palatino Linotype" w:cs="Arial"/>
          <w:b/>
          <w:i/>
          <w:sz w:val="24"/>
          <w:szCs w:val="24"/>
        </w:rPr>
      </w:pPr>
      <w:r w:rsidRPr="00052646">
        <w:rPr>
          <w:rFonts w:ascii="Palatino Linotype" w:hAnsi="Palatino Linotype" w:cs="Arial"/>
          <w:b/>
          <w:i/>
          <w:sz w:val="24"/>
          <w:szCs w:val="24"/>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172CD67F" w14:textId="77777777" w:rsidR="002B2EB0" w:rsidRPr="00052646" w:rsidRDefault="002B2EB0" w:rsidP="00392C4E">
      <w:pPr>
        <w:ind w:left="567" w:right="283"/>
        <w:jc w:val="both"/>
        <w:rPr>
          <w:rFonts w:ascii="Palatino Linotype" w:hAnsi="Palatino Linotype" w:cs="Arial"/>
          <w:b/>
          <w:i/>
          <w:sz w:val="24"/>
          <w:szCs w:val="24"/>
        </w:rPr>
      </w:pPr>
    </w:p>
    <w:p w14:paraId="28569346" w14:textId="77777777" w:rsidR="00392C4E" w:rsidRPr="005A3250" w:rsidRDefault="00392C4E" w:rsidP="00392C4E">
      <w:pPr>
        <w:spacing w:line="276" w:lineRule="auto"/>
        <w:ind w:left="567" w:right="425"/>
        <w:jc w:val="both"/>
        <w:rPr>
          <w:rFonts w:ascii="Palatino Linotype" w:hAnsi="Palatino Linotype" w:cs="Arial"/>
          <w:i/>
          <w:sz w:val="24"/>
          <w:szCs w:val="24"/>
        </w:rPr>
      </w:pPr>
      <w:r w:rsidRPr="005A3250">
        <w:rPr>
          <w:rFonts w:ascii="Palatino Linotype" w:hAnsi="Palatino Linotype" w:cs="Arial"/>
          <w:i/>
          <w:sz w:val="24"/>
          <w:szCs w:val="24"/>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1C5C9C2E" w14:textId="77777777" w:rsidR="00392C4E" w:rsidRPr="003C4DBD" w:rsidRDefault="00392C4E" w:rsidP="00392C4E">
      <w:pPr>
        <w:spacing w:line="276" w:lineRule="auto"/>
        <w:ind w:left="567" w:right="425"/>
        <w:jc w:val="both"/>
        <w:rPr>
          <w:rFonts w:ascii="Palatino Linotype" w:hAnsi="Palatino Linotype" w:cs="Arial"/>
          <w:sz w:val="24"/>
          <w:szCs w:val="24"/>
        </w:rPr>
      </w:pPr>
    </w:p>
    <w:p w14:paraId="69930988" w14:textId="21D30B62" w:rsidR="00392C4E" w:rsidRDefault="00392C4E" w:rsidP="00392C4E">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Ordenamientos normativos citados, que acreditan que </w:t>
      </w:r>
      <w:r>
        <w:rPr>
          <w:rFonts w:ascii="Palatino Linotype" w:hAnsi="Palatino Linotype" w:cs="Arial"/>
          <w:sz w:val="24"/>
          <w:szCs w:val="24"/>
        </w:rPr>
        <w:t xml:space="preserve">el </w:t>
      </w:r>
      <w:r w:rsidRPr="00383FEA">
        <w:rPr>
          <w:rFonts w:ascii="Palatino Linotype" w:hAnsi="Palatino Linotype" w:cs="Arial"/>
          <w:b/>
          <w:sz w:val="24"/>
          <w:szCs w:val="24"/>
        </w:rPr>
        <w:t>Sujeto obligado</w:t>
      </w:r>
      <w:r>
        <w:rPr>
          <w:rFonts w:ascii="Palatino Linotype" w:hAnsi="Palatino Linotype" w:cs="Arial"/>
          <w:sz w:val="24"/>
          <w:szCs w:val="24"/>
        </w:rPr>
        <w:t xml:space="preserve"> como parte de su actividad y para documentar los acuerdos tomados en los asuntos de su competencia en su calidad de órgano deliberante, </w:t>
      </w:r>
      <w:r w:rsidR="002B2EB0">
        <w:rPr>
          <w:rFonts w:ascii="Palatino Linotype" w:hAnsi="Palatino Linotype" w:cs="Arial"/>
          <w:sz w:val="24"/>
          <w:szCs w:val="24"/>
        </w:rPr>
        <w:t>necesariamente genera</w:t>
      </w:r>
      <w:r>
        <w:rPr>
          <w:rFonts w:ascii="Palatino Linotype" w:hAnsi="Palatino Linotype" w:cs="Arial"/>
          <w:sz w:val="24"/>
          <w:szCs w:val="24"/>
        </w:rPr>
        <w:t xml:space="preserve"> las correspondientes actas en las que se asientan las sesiones del Ayuntamiento o Cabildo, por lo que es factible facilitar la consulta de los mismos, junto con el acta de la sesión del cabildo que corresponda.</w:t>
      </w:r>
    </w:p>
    <w:p w14:paraId="48E1A556" w14:textId="77777777" w:rsidR="00392C4E" w:rsidRDefault="00392C4E" w:rsidP="00392C4E">
      <w:pPr>
        <w:spacing w:after="0" w:line="360" w:lineRule="auto"/>
        <w:jc w:val="both"/>
        <w:rPr>
          <w:rFonts w:ascii="Palatino Linotype" w:hAnsi="Palatino Linotype" w:cs="Arial"/>
          <w:sz w:val="24"/>
          <w:szCs w:val="24"/>
        </w:rPr>
      </w:pPr>
    </w:p>
    <w:p w14:paraId="1390A28C" w14:textId="5F4EF9EA" w:rsidR="00392C4E" w:rsidRDefault="00392C4E" w:rsidP="00392C4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Dicha información reviste el carácter de pública según el artículo 94 fracción II inciso </w:t>
      </w:r>
      <w:r w:rsidR="00B92815">
        <w:rPr>
          <w:rFonts w:ascii="Palatino Linotype" w:hAnsi="Palatino Linotype" w:cs="Arial"/>
          <w:sz w:val="24"/>
          <w:szCs w:val="24"/>
        </w:rPr>
        <w:t xml:space="preserve">b </w:t>
      </w:r>
      <w:r>
        <w:rPr>
          <w:rFonts w:ascii="Palatino Linotype" w:hAnsi="Palatino Linotype" w:cs="Arial"/>
          <w:sz w:val="24"/>
          <w:szCs w:val="24"/>
        </w:rPr>
        <w:t>de la Ley de Transparencia y Acceso a la Información Pública del Estado de México y Municipios.</w:t>
      </w:r>
    </w:p>
    <w:p w14:paraId="2EB88138" w14:textId="77777777" w:rsidR="00392C4E" w:rsidRDefault="00392C4E" w:rsidP="00392C4E">
      <w:pPr>
        <w:spacing w:after="0" w:line="360" w:lineRule="auto"/>
        <w:jc w:val="both"/>
        <w:rPr>
          <w:rFonts w:ascii="Palatino Linotype" w:hAnsi="Palatino Linotype" w:cs="Arial"/>
          <w:sz w:val="24"/>
          <w:szCs w:val="24"/>
        </w:rPr>
      </w:pPr>
    </w:p>
    <w:p w14:paraId="77420932" w14:textId="02D171E1" w:rsidR="00392C4E" w:rsidRPr="006D3583" w:rsidRDefault="00392C4E" w:rsidP="00392C4E">
      <w:pPr>
        <w:spacing w:after="0" w:line="360" w:lineRule="auto"/>
        <w:ind w:left="567" w:right="283"/>
        <w:jc w:val="both"/>
        <w:rPr>
          <w:rFonts w:ascii="Palatino Linotype" w:hAnsi="Palatino Linotype"/>
          <w:b/>
          <w:i/>
          <w:sz w:val="24"/>
          <w:szCs w:val="24"/>
        </w:rPr>
      </w:pPr>
      <w:r w:rsidRPr="006D3583">
        <w:rPr>
          <w:rFonts w:ascii="Palatino Linotype" w:hAnsi="Palatino Linotype"/>
          <w:b/>
          <w:i/>
          <w:sz w:val="24"/>
          <w:szCs w:val="24"/>
        </w:rPr>
        <w:t xml:space="preserve">Artículo 94. Además de las obligaciones de transparencia común a que se refiere el Capítulo II de este Título, los sujetos obligados del Poder Ejecutivo Local y </w:t>
      </w:r>
      <w:r w:rsidR="00B92815" w:rsidRPr="006D3583">
        <w:rPr>
          <w:rFonts w:ascii="Palatino Linotype" w:hAnsi="Palatino Linotype"/>
          <w:b/>
          <w:i/>
          <w:sz w:val="24"/>
          <w:szCs w:val="24"/>
        </w:rPr>
        <w:t>municipales</w:t>
      </w:r>
      <w:r w:rsidRPr="006D3583">
        <w:rPr>
          <w:rFonts w:ascii="Palatino Linotype" w:hAnsi="Palatino Linotype"/>
          <w:b/>
          <w:i/>
          <w:sz w:val="24"/>
          <w:szCs w:val="24"/>
        </w:rPr>
        <w:t xml:space="preserve"> deberán poner a disposición del público y actualizar la siguiente información:</w:t>
      </w:r>
    </w:p>
    <w:p w14:paraId="3B67CAC9" w14:textId="77777777" w:rsidR="00392C4E" w:rsidRPr="006D3583" w:rsidRDefault="00392C4E" w:rsidP="00392C4E">
      <w:pPr>
        <w:pStyle w:val="Prrafodelista"/>
        <w:numPr>
          <w:ilvl w:val="0"/>
          <w:numId w:val="3"/>
        </w:numPr>
        <w:spacing w:line="360" w:lineRule="auto"/>
        <w:ind w:left="567" w:right="283" w:firstLine="0"/>
        <w:jc w:val="both"/>
        <w:rPr>
          <w:rFonts w:ascii="Palatino Linotype" w:hAnsi="Palatino Linotype"/>
          <w:i/>
        </w:rPr>
      </w:pPr>
      <w:r w:rsidRPr="006D3583">
        <w:rPr>
          <w:rFonts w:ascii="Palatino Linotype" w:hAnsi="Palatino Linotype"/>
          <w:i/>
        </w:rPr>
        <w:t xml:space="preserve"> (…)</w:t>
      </w:r>
    </w:p>
    <w:p w14:paraId="17DB522B" w14:textId="77777777" w:rsidR="00392C4E" w:rsidRPr="006D3583" w:rsidRDefault="00392C4E" w:rsidP="00392C4E">
      <w:pPr>
        <w:pStyle w:val="Prrafodelista"/>
        <w:numPr>
          <w:ilvl w:val="0"/>
          <w:numId w:val="3"/>
        </w:numPr>
        <w:spacing w:line="360" w:lineRule="auto"/>
        <w:ind w:left="567" w:right="283" w:firstLine="0"/>
        <w:jc w:val="both"/>
        <w:rPr>
          <w:rFonts w:ascii="Palatino Linotype" w:hAnsi="Palatino Linotype"/>
          <w:i/>
        </w:rPr>
      </w:pPr>
      <w:r w:rsidRPr="006D3583">
        <w:rPr>
          <w:rFonts w:ascii="Palatino Linotype" w:hAnsi="Palatino Linotype"/>
          <w:i/>
        </w:rPr>
        <w:t>Adicionalmente en el caso de los municipios:</w:t>
      </w:r>
    </w:p>
    <w:p w14:paraId="53EC0A98" w14:textId="77777777" w:rsidR="00392C4E" w:rsidRPr="006D3583" w:rsidRDefault="00392C4E" w:rsidP="00392C4E">
      <w:pPr>
        <w:pStyle w:val="Prrafodelista"/>
        <w:spacing w:line="360" w:lineRule="auto"/>
        <w:ind w:left="851" w:right="283"/>
        <w:jc w:val="both"/>
        <w:rPr>
          <w:rFonts w:ascii="Palatino Linotype" w:hAnsi="Palatino Linotype"/>
          <w:i/>
        </w:rPr>
      </w:pPr>
      <w:r w:rsidRPr="006D3583">
        <w:rPr>
          <w:rFonts w:ascii="Palatino Linotype" w:hAnsi="Palatino Linotype"/>
          <w:i/>
        </w:rPr>
        <w:t xml:space="preserve">a) El contenido de las gacetas municipales, las cuales deberán comprender los resolutivos y acuerdos aprobados por los ayuntamientos; </w:t>
      </w:r>
    </w:p>
    <w:p w14:paraId="215F544B" w14:textId="77777777" w:rsidR="00392C4E" w:rsidRPr="00C31FE8" w:rsidRDefault="00392C4E" w:rsidP="00392C4E">
      <w:pPr>
        <w:pStyle w:val="Prrafodelista"/>
        <w:spacing w:line="360" w:lineRule="auto"/>
        <w:ind w:left="851" w:right="283"/>
        <w:jc w:val="both"/>
        <w:rPr>
          <w:rFonts w:ascii="Palatino Linotype" w:hAnsi="Palatino Linotype"/>
          <w:b/>
          <w:i/>
        </w:rPr>
      </w:pPr>
      <w:r w:rsidRPr="00C31FE8">
        <w:rPr>
          <w:rFonts w:ascii="Palatino Linotype" w:hAnsi="Palatino Linotype"/>
          <w:b/>
          <w:i/>
        </w:rPr>
        <w:t xml:space="preserve">b) Las actas de sesiones de cabildo, los controles de asistencia de los integrantes del Ayuntamiento a las sesiones de cabildo y el sentido de votación de los miembros del cabildo sobre las iniciativas o acuerdos; </w:t>
      </w:r>
    </w:p>
    <w:p w14:paraId="61318A60" w14:textId="77777777" w:rsidR="00392C4E" w:rsidRPr="006D3583" w:rsidRDefault="00392C4E" w:rsidP="00392C4E">
      <w:pPr>
        <w:pStyle w:val="Prrafodelista"/>
        <w:spacing w:line="360" w:lineRule="auto"/>
        <w:ind w:left="851" w:right="283"/>
        <w:jc w:val="both"/>
        <w:rPr>
          <w:rFonts w:ascii="Palatino Linotype" w:hAnsi="Palatino Linotype"/>
          <w:i/>
        </w:rPr>
      </w:pPr>
      <w:r w:rsidRPr="006D3583">
        <w:rPr>
          <w:rFonts w:ascii="Palatino Linotype" w:hAnsi="Palatino Linotype"/>
          <w:i/>
        </w:rPr>
        <w:t xml:space="preserve">c) Los Participaciones y Aportaciones derivadas de la Ley de Coordinación Fiscal; </w:t>
      </w:r>
    </w:p>
    <w:p w14:paraId="44966981" w14:textId="77777777" w:rsidR="00392C4E" w:rsidRDefault="00392C4E" w:rsidP="00392C4E">
      <w:pPr>
        <w:pStyle w:val="Prrafodelista"/>
        <w:spacing w:line="360" w:lineRule="auto"/>
        <w:ind w:left="851" w:right="283"/>
        <w:jc w:val="both"/>
        <w:rPr>
          <w:rFonts w:ascii="Palatino Linotype" w:hAnsi="Palatino Linotype"/>
          <w:i/>
        </w:rPr>
      </w:pPr>
      <w:r w:rsidRPr="006D3583">
        <w:rPr>
          <w:rFonts w:ascii="Palatino Linotype" w:hAnsi="Palatino Linotype"/>
          <w:i/>
        </w:rPr>
        <w:t>d) Los recursos federales establecidos en el Título Segundo. Del Federalismo del Presupuesto de Egresos de la Federación en sus conceptos de: a. Subsidios federales; y b. Recursos del Ramo 23. Provisiones Salariales y Económicas.</w:t>
      </w:r>
    </w:p>
    <w:p w14:paraId="595A5187" w14:textId="77777777" w:rsidR="00392C4E" w:rsidRPr="00FB50E0" w:rsidRDefault="00392C4E" w:rsidP="00392C4E">
      <w:pPr>
        <w:spacing w:after="0" w:line="360" w:lineRule="auto"/>
        <w:jc w:val="both"/>
        <w:rPr>
          <w:rFonts w:ascii="Palatino Linotype" w:eastAsia="Times New Roman" w:hAnsi="Palatino Linotype" w:cs="Times New Roman"/>
          <w:sz w:val="24"/>
          <w:szCs w:val="24"/>
          <w:lang w:val="es-ES" w:eastAsia="es-ES"/>
        </w:rPr>
      </w:pPr>
    </w:p>
    <w:p w14:paraId="78F695CF" w14:textId="77777777" w:rsidR="00392C4E" w:rsidRDefault="00392C4E" w:rsidP="00392C4E">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w:t>
      </w:r>
      <w:r w:rsidRPr="00FB50E0">
        <w:rPr>
          <w:rFonts w:ascii="Palatino Linotype" w:hAnsi="Palatino Linotype" w:cs="Arial"/>
          <w:sz w:val="24"/>
          <w:szCs w:val="24"/>
        </w:rPr>
        <w:lastRenderedPageBreak/>
        <w:t>Protección de Datos Personales en Posesión de Sujetos Obligados del Estado de México y Municipios.</w:t>
      </w:r>
    </w:p>
    <w:p w14:paraId="269C0CA5" w14:textId="77777777" w:rsidR="00392C4E" w:rsidRPr="003D29DA" w:rsidRDefault="00392C4E" w:rsidP="00392C4E">
      <w:pPr>
        <w:tabs>
          <w:tab w:val="left" w:pos="5647"/>
        </w:tabs>
        <w:spacing w:after="0" w:line="360" w:lineRule="auto"/>
        <w:ind w:left="567" w:right="850"/>
        <w:jc w:val="both"/>
        <w:rPr>
          <w:rFonts w:ascii="Palatino Linotype" w:eastAsia="Times New Roman" w:hAnsi="Palatino Linotype" w:cs="Times New Roman"/>
          <w:sz w:val="24"/>
          <w:szCs w:val="24"/>
          <w:lang w:eastAsia="es-ES"/>
        </w:rPr>
      </w:pPr>
    </w:p>
    <w:p w14:paraId="450AF3DF" w14:textId="77777777" w:rsidR="00392C4E" w:rsidRDefault="00392C4E" w:rsidP="00392C4E">
      <w:pPr>
        <w:spacing w:after="0" w:line="360" w:lineRule="auto"/>
        <w:jc w:val="both"/>
        <w:rPr>
          <w:rFonts w:ascii="Palatino Linotype" w:hAnsi="Palatino Linotype" w:cs="Arial"/>
          <w:sz w:val="24"/>
          <w:szCs w:val="24"/>
        </w:rPr>
      </w:pPr>
      <w:r w:rsidRPr="00FB50E0">
        <w:rPr>
          <w:rFonts w:ascii="Palatino Linotype" w:hAnsi="Palatino Linotype" w:cs="Arial"/>
          <w:sz w:val="24"/>
          <w:szCs w:val="24"/>
        </w:rPr>
        <w:t xml:space="preserve">Con base en los ordenamientos citados, se acredita que existe fuente obligacional dentro del marco normativo del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14:paraId="0439E85C" w14:textId="77777777" w:rsidR="00B92815" w:rsidRDefault="00B9281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16FCA" w14:textId="7E0440E1"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w:t>
      </w:r>
      <w:r w:rsidR="00BC22EB" w:rsidRPr="0010165E">
        <w:rPr>
          <w:rFonts w:ascii="Palatino Linotype" w:eastAsia="Times New Roman" w:hAnsi="Palatino Linotype" w:cs="Arial"/>
          <w:sz w:val="24"/>
          <w:szCs w:val="24"/>
          <w:lang w:val="es-ES" w:eastAsia="es-ES"/>
        </w:rPr>
        <w:t>que,</w:t>
      </w:r>
      <w:r w:rsidRPr="0010165E">
        <w:rPr>
          <w:rFonts w:ascii="Palatino Linotype" w:eastAsia="Times New Roman" w:hAnsi="Palatino Linotype" w:cs="Arial"/>
          <w:sz w:val="24"/>
          <w:szCs w:val="24"/>
          <w:lang w:val="es-ES" w:eastAsia="es-ES"/>
        </w:rPr>
        <w:t xml:space="preserv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w:t>
      </w:r>
      <w:r w:rsidRPr="0010165E">
        <w:rPr>
          <w:rFonts w:ascii="Palatino Linotype" w:hAnsi="Palatino Linotype" w:cs="Arial"/>
          <w:sz w:val="24"/>
          <w:szCs w:val="24"/>
        </w:rPr>
        <w:lastRenderedPageBreak/>
        <w:t>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10165E">
        <w:rPr>
          <w:rFonts w:ascii="Palatino Linotype" w:hAnsi="Palatino Linotype"/>
          <w:sz w:val="24"/>
          <w:szCs w:val="24"/>
        </w:rPr>
        <w:lastRenderedPageBreak/>
        <w:t xml:space="preserve">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lastRenderedPageBreak/>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55E017C6"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BC22EB" w:rsidRPr="00BC22EB">
        <w:rPr>
          <w:rFonts w:ascii="Palatino Linotype" w:hAnsi="Palatino Linotype"/>
          <w:b/>
          <w:bCs/>
          <w:sz w:val="24"/>
          <w:szCs w:val="24"/>
        </w:rPr>
        <w:t>00055</w:t>
      </w:r>
      <w:r w:rsidR="00156080" w:rsidRPr="00BC22EB">
        <w:rPr>
          <w:rFonts w:ascii="Palatino Linotype" w:hAnsi="Palatino Linotype"/>
          <w:b/>
          <w:bCs/>
          <w:sz w:val="24"/>
          <w:szCs w:val="24"/>
        </w:rPr>
        <w:t>/OZUMBA/IP/2022</w:t>
      </w:r>
      <w:r w:rsidR="00156080">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el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5F757D66"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lastRenderedPageBreak/>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BC22EB" w:rsidRPr="00156080">
        <w:rPr>
          <w:rFonts w:ascii="Verdana" w:hAnsi="Verdana"/>
          <w:b/>
          <w:bCs/>
          <w:color w:val="FF0000"/>
        </w:rPr>
        <w:t xml:space="preserve"> </w:t>
      </w:r>
      <w:r w:rsidR="00BC22EB" w:rsidRPr="00BC22EB">
        <w:rPr>
          <w:rFonts w:ascii="Palatino Linotype" w:hAnsi="Palatino Linotype"/>
          <w:b/>
          <w:bCs/>
          <w:sz w:val="24"/>
          <w:szCs w:val="24"/>
        </w:rPr>
        <w:t>00055</w:t>
      </w:r>
      <w:r w:rsidR="00156080" w:rsidRPr="00BC22EB">
        <w:rPr>
          <w:rFonts w:ascii="Palatino Linotype" w:hAnsi="Palatino Linotype"/>
          <w:b/>
          <w:bCs/>
          <w:sz w:val="24"/>
          <w:szCs w:val="24"/>
        </w:rPr>
        <w:t>/</w:t>
      </w:r>
      <w:r w:rsidR="00156080" w:rsidRPr="00156080">
        <w:rPr>
          <w:rFonts w:ascii="Palatino Linotype" w:hAnsi="Palatino Linotype"/>
          <w:b/>
          <w:bCs/>
          <w:sz w:val="24"/>
          <w:szCs w:val="24"/>
        </w:rPr>
        <w:t>OZUMBA/IP/2022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35D5715C"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lastRenderedPageBreak/>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199DB623"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0345AB08" w14:textId="118D56DA"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LA VIGESIM</w:t>
      </w:r>
      <w:r w:rsidR="00CF2D0F" w:rsidRPr="00BC22EB">
        <w:rPr>
          <w:rFonts w:ascii="Palatino Linotype" w:hAnsi="Palatino Linotype" w:cs="Arial"/>
          <w:sz w:val="24"/>
          <w:szCs w:val="24"/>
        </w:rPr>
        <w:t>A</w:t>
      </w:r>
      <w:r w:rsidR="00BC22EB" w:rsidRPr="00BC22EB">
        <w:rPr>
          <w:rFonts w:ascii="Palatino Linotype" w:hAnsi="Palatino Linotype" w:cs="Arial"/>
          <w:sz w:val="24"/>
          <w:szCs w:val="24"/>
        </w:rPr>
        <w:t xml:space="preserve"> SÉPTIMA</w:t>
      </w:r>
      <w:r w:rsidR="00024064" w:rsidRPr="00BC22EB">
        <w:rPr>
          <w:rFonts w:ascii="Palatino Linotype" w:hAnsi="Palatino Linotype" w:cs="Arial"/>
          <w:sz w:val="24"/>
          <w:szCs w:val="24"/>
        </w:rPr>
        <w:t xml:space="preserve"> SESIÓN ORDINARIA CELEBRADA EL </w:t>
      </w:r>
      <w:r w:rsidR="00BC22EB" w:rsidRPr="00BC22EB">
        <w:rPr>
          <w:rFonts w:ascii="Palatino Linotype" w:hAnsi="Palatino Linotype" w:cs="Arial"/>
          <w:sz w:val="24"/>
          <w:szCs w:val="24"/>
        </w:rPr>
        <w:t>TRES DE AGOSTO</w:t>
      </w:r>
      <w:r w:rsidRPr="00BC22EB">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p>
    <w:p w14:paraId="22BF169E" w14:textId="7777777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14:paraId="28D79E1E" w14:textId="362BE6F7" w:rsidR="00176155" w:rsidRDefault="00DB52AF" w:rsidP="00DB52AF">
      <w:pPr>
        <w:spacing w:after="0" w:line="360" w:lineRule="auto"/>
        <w:jc w:val="both"/>
        <w:rPr>
          <w:rFonts w:ascii="Palatino Linotype" w:hAnsi="Palatino Linotype" w:cs="Arial"/>
          <w:sz w:val="20"/>
        </w:rPr>
      </w:pPr>
      <w:r w:rsidRPr="0010165E">
        <w:rPr>
          <w:rFonts w:ascii="Palatino Linotype" w:hAnsi="Palatino Linotype" w:cs="Arial"/>
          <w:sz w:val="24"/>
          <w:szCs w:val="24"/>
        </w:rPr>
        <w:t>-----------------------------------------------------------------------------------------------------------------</w:t>
      </w:r>
      <w:r w:rsidR="00F26B6E">
        <w:rPr>
          <w:rFonts w:ascii="Palatino Linotype" w:hAnsi="Palatino Linotype" w:cs="Arial"/>
          <w:sz w:val="24"/>
          <w:szCs w:val="24"/>
        </w:rPr>
        <w:t>----------------------------------------------------------------------------------</w:t>
      </w:r>
      <w:r w:rsidR="00A9412E">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A9412E">
      <w:bookmarkStart w:id="2" w:name="_GoBack"/>
      <w:bookmarkEnd w:id="2"/>
    </w:p>
    <w:sectPr w:rsidR="00EF5006" w:rsidSect="004670EC">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BEBF3" w14:textId="77777777" w:rsidR="009F34D1" w:rsidRDefault="009F34D1" w:rsidP="00DB52AF">
      <w:pPr>
        <w:spacing w:after="0" w:line="240" w:lineRule="auto"/>
      </w:pPr>
      <w:r>
        <w:separator/>
      </w:r>
    </w:p>
  </w:endnote>
  <w:endnote w:type="continuationSeparator" w:id="0">
    <w:p w14:paraId="752EDFBC" w14:textId="77777777" w:rsidR="009F34D1" w:rsidRDefault="009F34D1"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12E">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12E">
              <w:rPr>
                <w:rFonts w:ascii="Palatino Linotype" w:hAnsi="Palatino Linotype"/>
                <w:bCs/>
                <w:noProof/>
                <w:sz w:val="20"/>
              </w:rPr>
              <w:t>28</w:t>
            </w:r>
            <w:r>
              <w:rPr>
                <w:rFonts w:ascii="Palatino Linotype" w:hAnsi="Palatino Linotype"/>
                <w:bCs/>
                <w:noProof/>
                <w:sz w:val="20"/>
              </w:rPr>
              <w:fldChar w:fldCharType="end"/>
            </w:r>
          </w:p>
        </w:sdtContent>
      </w:sdt>
    </w:sdtContent>
  </w:sdt>
  <w:p w14:paraId="0CDE4F13" w14:textId="77777777" w:rsidR="002C0311" w:rsidRDefault="00A941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1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12E">
      <w:rPr>
        <w:rFonts w:ascii="Palatino Linotype" w:hAnsi="Palatino Linotype"/>
        <w:bCs/>
        <w:noProof/>
        <w:sz w:val="20"/>
      </w:rPr>
      <w:t>29</w:t>
    </w:r>
    <w:r>
      <w:rPr>
        <w:rFonts w:ascii="Palatino Linotype" w:hAnsi="Palatino Linotype"/>
        <w:bCs/>
        <w:noProof/>
        <w:sz w:val="20"/>
      </w:rPr>
      <w:fldChar w:fldCharType="end"/>
    </w:r>
  </w:p>
  <w:p w14:paraId="3D338257" w14:textId="77777777" w:rsidR="002C0311" w:rsidRDefault="00A941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0AED" w14:textId="77777777" w:rsidR="009F34D1" w:rsidRDefault="009F34D1" w:rsidP="00DB52AF">
      <w:pPr>
        <w:spacing w:after="0" w:line="240" w:lineRule="auto"/>
      </w:pPr>
      <w:r>
        <w:separator/>
      </w:r>
    </w:p>
  </w:footnote>
  <w:footnote w:type="continuationSeparator" w:id="0">
    <w:p w14:paraId="5A9C4CD2" w14:textId="77777777" w:rsidR="009F34D1" w:rsidRDefault="009F34D1"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68CFA27C"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761ED2" w:rsidRPr="00641471">
            <w:rPr>
              <w:rFonts w:ascii="Palatino Linotype" w:hAnsi="Palatino Linotype" w:cs="Arial"/>
              <w:b/>
              <w:bCs/>
              <w:sz w:val="24"/>
              <w:lang w:eastAsia="es-MX"/>
            </w:rPr>
            <w:t>0</w:t>
          </w:r>
          <w:r w:rsidR="00C506EE">
            <w:rPr>
              <w:rFonts w:ascii="Palatino Linotype" w:hAnsi="Palatino Linotype" w:cs="Arial"/>
              <w:b/>
              <w:bCs/>
              <w:sz w:val="24"/>
              <w:lang w:eastAsia="es-MX"/>
            </w:rPr>
            <w:t>7955</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66C35AB5" w:rsidR="002C0311" w:rsidRPr="00641471" w:rsidRDefault="00C506EE" w:rsidP="00C506EE">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Pr>
              <w:rFonts w:ascii="Palatino Linotype" w:hAnsi="Palatino Linotype" w:cs="Arial"/>
              <w:b/>
              <w:szCs w:val="20"/>
            </w:rPr>
            <w:t>Ozumba</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4C7D8D75"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761ED2" w:rsidRPr="00641471">
            <w:rPr>
              <w:rFonts w:ascii="Palatino Linotype" w:hAnsi="Palatino Linotype" w:cs="Arial"/>
              <w:b/>
              <w:bCs/>
              <w:sz w:val="24"/>
              <w:lang w:eastAsia="es-MX"/>
            </w:rPr>
            <w:t>0</w:t>
          </w:r>
          <w:r w:rsidR="00C506EE">
            <w:rPr>
              <w:rFonts w:ascii="Palatino Linotype" w:hAnsi="Palatino Linotype" w:cs="Arial"/>
              <w:b/>
              <w:bCs/>
              <w:sz w:val="24"/>
              <w:lang w:eastAsia="es-MX"/>
            </w:rPr>
            <w:t>7955</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511805B" w:rsidR="002C0311" w:rsidRPr="00641471" w:rsidRDefault="009A1107" w:rsidP="00C506EE">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C506EE">
            <w:rPr>
              <w:rFonts w:ascii="Palatino Linotype" w:hAnsi="Palatino Linotype" w:cs="Arial"/>
              <w:b/>
              <w:szCs w:val="20"/>
            </w:rPr>
            <w:t>Ozumba</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6F128833" w:rsidR="002C0311" w:rsidRPr="00641471" w:rsidRDefault="00D0018B" w:rsidP="00672B13">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A9412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36F8B"/>
    <w:rsid w:val="00065DD5"/>
    <w:rsid w:val="00090E4D"/>
    <w:rsid w:val="000931DA"/>
    <w:rsid w:val="000D7A2F"/>
    <w:rsid w:val="00123996"/>
    <w:rsid w:val="00156080"/>
    <w:rsid w:val="00176155"/>
    <w:rsid w:val="00260C70"/>
    <w:rsid w:val="0027094A"/>
    <w:rsid w:val="002B2EB0"/>
    <w:rsid w:val="002F0703"/>
    <w:rsid w:val="002F4897"/>
    <w:rsid w:val="00392C4E"/>
    <w:rsid w:val="003D29DA"/>
    <w:rsid w:val="004670EC"/>
    <w:rsid w:val="004E08E6"/>
    <w:rsid w:val="004F596D"/>
    <w:rsid w:val="00502CDD"/>
    <w:rsid w:val="00546392"/>
    <w:rsid w:val="005C4F1D"/>
    <w:rsid w:val="0064175D"/>
    <w:rsid w:val="00672B13"/>
    <w:rsid w:val="006E69E5"/>
    <w:rsid w:val="00715CB6"/>
    <w:rsid w:val="00733405"/>
    <w:rsid w:val="007342D6"/>
    <w:rsid w:val="00761ED2"/>
    <w:rsid w:val="0076383D"/>
    <w:rsid w:val="007A3E3A"/>
    <w:rsid w:val="007B092B"/>
    <w:rsid w:val="007D763C"/>
    <w:rsid w:val="00824475"/>
    <w:rsid w:val="00827E36"/>
    <w:rsid w:val="00864333"/>
    <w:rsid w:val="008A73E2"/>
    <w:rsid w:val="00902AF3"/>
    <w:rsid w:val="00911026"/>
    <w:rsid w:val="009A1107"/>
    <w:rsid w:val="009F34D1"/>
    <w:rsid w:val="00A03F77"/>
    <w:rsid w:val="00A9412E"/>
    <w:rsid w:val="00AA1583"/>
    <w:rsid w:val="00B626D4"/>
    <w:rsid w:val="00B67315"/>
    <w:rsid w:val="00B92815"/>
    <w:rsid w:val="00BC22EB"/>
    <w:rsid w:val="00C2240D"/>
    <w:rsid w:val="00C506EE"/>
    <w:rsid w:val="00C5567A"/>
    <w:rsid w:val="00C64277"/>
    <w:rsid w:val="00C65A9D"/>
    <w:rsid w:val="00CC4919"/>
    <w:rsid w:val="00CF2D0F"/>
    <w:rsid w:val="00D0018B"/>
    <w:rsid w:val="00D30ECB"/>
    <w:rsid w:val="00DA2AA3"/>
    <w:rsid w:val="00DA6DEB"/>
    <w:rsid w:val="00DB52AF"/>
    <w:rsid w:val="00DE1FE8"/>
    <w:rsid w:val="00DE59D8"/>
    <w:rsid w:val="00E25131"/>
    <w:rsid w:val="00E32619"/>
    <w:rsid w:val="00E80756"/>
    <w:rsid w:val="00E949C6"/>
    <w:rsid w:val="00F26B6E"/>
    <w:rsid w:val="00F75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4732-7319-4D60-BB46-3588A18D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6964</Words>
  <Characters>38302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2022-07-12T21:46:00Z</dcterms:created>
  <dcterms:modified xsi:type="dcterms:W3CDTF">2022-08-04T15:27:00Z</dcterms:modified>
</cp:coreProperties>
</file>