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0E7B47">
        <w:rPr>
          <w:rFonts w:ascii="Palatino Linotype" w:eastAsia="Palatino Linotype" w:hAnsi="Palatino Linotype" w:cs="Palatino Linotype"/>
          <w:b/>
        </w:rPr>
        <w:t>doce</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de octubre del dos mil veintidós</w:t>
      </w:r>
      <w:r w:rsidRPr="000E7B47">
        <w:rPr>
          <w:rFonts w:ascii="Palatino Linotype" w:eastAsia="Palatino Linotype" w:hAnsi="Palatino Linotype" w:cs="Palatino Linotype"/>
        </w:rPr>
        <w:t>.</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Visto</w:t>
      </w:r>
      <w:r w:rsidRPr="000E7B47">
        <w:rPr>
          <w:rFonts w:ascii="Palatino Linotype" w:eastAsia="Palatino Linotype" w:hAnsi="Palatino Linotype" w:cs="Palatino Linotype"/>
        </w:rPr>
        <w:t xml:space="preserve"> el expediente relativo al recurso de revisión </w:t>
      </w:r>
      <w:r w:rsidRPr="000E7B47">
        <w:rPr>
          <w:rFonts w:ascii="Palatino Linotype" w:eastAsia="Palatino Linotype" w:hAnsi="Palatino Linotype" w:cs="Palatino Linotype"/>
          <w:b/>
        </w:rPr>
        <w:t>08789/INFOEM/IP/RR/2022</w:t>
      </w:r>
      <w:r w:rsidRPr="000E7B47">
        <w:rPr>
          <w:rFonts w:ascii="Palatino Linotype" w:eastAsia="Palatino Linotype" w:hAnsi="Palatino Linotype" w:cs="Palatino Linotype"/>
        </w:rPr>
        <w:t>, interpuesto por</w:t>
      </w:r>
      <w:r w:rsidR="00CB55D9">
        <w:rPr>
          <w:rFonts w:ascii="Palatino Linotype" w:eastAsia="Palatino Linotype" w:hAnsi="Palatino Linotype" w:cs="Palatino Linotype"/>
          <w:b/>
        </w:rPr>
        <w:t xml:space="preserve"> XXXX XXXXXXX</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 xml:space="preserve">a quien en lo sucesivo se le denominará </w:t>
      </w:r>
      <w:r w:rsidRPr="000E7B47">
        <w:rPr>
          <w:rFonts w:ascii="Palatino Linotype" w:eastAsia="Palatino Linotype" w:hAnsi="Palatino Linotype" w:cs="Palatino Linotype"/>
          <w:b/>
        </w:rPr>
        <w:t>el</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b/>
        </w:rPr>
        <w:t>Recurrente</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rPr>
        <w:t>en contra de la respuesta a su solicitud de información pública con número de folio</w:t>
      </w:r>
      <w:r w:rsidRPr="000E7B47">
        <w:rPr>
          <w:rFonts w:ascii="Verdana" w:eastAsia="Verdana" w:hAnsi="Verdana" w:cs="Verdana"/>
          <w:b/>
        </w:rPr>
        <w:t> </w:t>
      </w:r>
      <w:r w:rsidRPr="000E7B47">
        <w:rPr>
          <w:rFonts w:ascii="Palatino Linotype" w:eastAsia="Palatino Linotype" w:hAnsi="Palatino Linotype" w:cs="Palatino Linotype"/>
          <w:b/>
        </w:rPr>
        <w:t>00094/LAPAZ/IP/2022,</w:t>
      </w:r>
      <w:r w:rsidRPr="000E7B47">
        <w:rPr>
          <w:rFonts w:ascii="Palatino Linotype" w:eastAsia="Palatino Linotype" w:hAnsi="Palatino Linotype" w:cs="Palatino Linotype"/>
        </w:rPr>
        <w:t xml:space="preserve"> otorgada por el </w:t>
      </w:r>
      <w:r w:rsidRPr="000E7B47">
        <w:rPr>
          <w:rFonts w:ascii="Palatino Linotype" w:eastAsia="Palatino Linotype" w:hAnsi="Palatino Linotype" w:cs="Palatino Linotype"/>
          <w:b/>
        </w:rPr>
        <w:t>Ayuntamiento de la Paz</w:t>
      </w:r>
      <w:r w:rsidRPr="000E7B47">
        <w:rPr>
          <w:rFonts w:ascii="Palatino Linotype" w:eastAsia="Palatino Linotype" w:hAnsi="Palatino Linotype" w:cs="Palatino Linotype"/>
        </w:rPr>
        <w:t xml:space="preserve">, en lo sucesivo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 xml:space="preserve">se procede a dictar la presente resolución, con base en lo siguiente. </w:t>
      </w:r>
    </w:p>
    <w:p w:rsidR="00ED1301" w:rsidRPr="000E7B47" w:rsidRDefault="00BE0E91">
      <w:pPr>
        <w:pStyle w:val="Ttulo2"/>
        <w:spacing w:before="240" w:after="240" w:line="360" w:lineRule="auto"/>
        <w:jc w:val="center"/>
        <w:rPr>
          <w:rFonts w:ascii="Palatino Linotype" w:eastAsia="Palatino Linotype" w:hAnsi="Palatino Linotype" w:cs="Palatino Linotype"/>
          <w:b/>
          <w:color w:val="auto"/>
          <w:sz w:val="24"/>
          <w:szCs w:val="24"/>
        </w:rPr>
      </w:pPr>
      <w:r w:rsidRPr="000E7B47">
        <w:rPr>
          <w:rFonts w:ascii="Palatino Linotype" w:eastAsia="Palatino Linotype" w:hAnsi="Palatino Linotype" w:cs="Palatino Linotype"/>
          <w:b/>
          <w:color w:val="auto"/>
          <w:sz w:val="24"/>
          <w:szCs w:val="24"/>
        </w:rPr>
        <w:t>I. A N T E C E D E N T E S:</w:t>
      </w:r>
    </w:p>
    <w:p w:rsidR="00ED1301" w:rsidRPr="000E7B47" w:rsidRDefault="00BE0E91">
      <w:pPr>
        <w:spacing w:before="240" w:after="240" w:line="360" w:lineRule="auto"/>
        <w:jc w:val="both"/>
        <w:rPr>
          <w:rFonts w:ascii="Palatino Linotype" w:eastAsia="Palatino Linotype" w:hAnsi="Palatino Linotype" w:cs="Palatino Linotype"/>
          <w:b/>
        </w:rPr>
      </w:pPr>
      <w:r w:rsidRPr="000E7B47">
        <w:rPr>
          <w:rFonts w:ascii="Palatino Linotype" w:eastAsia="Palatino Linotype" w:hAnsi="Palatino Linotype" w:cs="Palatino Linotype"/>
          <w:b/>
        </w:rPr>
        <w:t>1. Solicitud de acceso a la información.</w:t>
      </w:r>
      <w:r w:rsidRPr="000E7B47">
        <w:rPr>
          <w:rFonts w:ascii="Palatino Linotype" w:eastAsia="Palatino Linotype" w:hAnsi="Palatino Linotype" w:cs="Palatino Linotype"/>
          <w:b/>
          <w:sz w:val="22"/>
          <w:szCs w:val="22"/>
        </w:rPr>
        <w:t xml:space="preserve"> El</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veintitrés de marzo del dos mil veintidós,</w:t>
      </w:r>
      <w:r w:rsidRPr="000E7B47">
        <w:rPr>
          <w:rFonts w:ascii="Palatino Linotype" w:eastAsia="Palatino Linotype" w:hAnsi="Palatino Linotype" w:cs="Palatino Linotype"/>
        </w:rPr>
        <w:t xml:space="preserve"> el ahora </w:t>
      </w:r>
      <w:r w:rsidRPr="000E7B47">
        <w:rPr>
          <w:rFonts w:ascii="Palatino Linotype" w:eastAsia="Palatino Linotype" w:hAnsi="Palatino Linotype" w:cs="Palatino Linotype"/>
          <w:b/>
        </w:rPr>
        <w:t>Recurrente</w:t>
      </w:r>
      <w:r w:rsidRPr="000E7B47">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sidRPr="000E7B47">
        <w:rPr>
          <w:rFonts w:ascii="Palatino Linotype" w:eastAsia="Palatino Linotype" w:hAnsi="Palatino Linotype" w:cs="Palatino Linotype"/>
          <w:b/>
        </w:rPr>
        <w:t>SAIMEX,</w:t>
      </w:r>
      <w:r w:rsidRPr="000E7B47">
        <w:rPr>
          <w:rFonts w:ascii="Palatino Linotype" w:eastAsia="Palatino Linotype" w:hAnsi="Palatino Linotype" w:cs="Palatino Linotype"/>
        </w:rPr>
        <w:t xml:space="preserve"> la solicitud de acceso a la información pública, a la que se le asignó el número</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de folio</w:t>
      </w:r>
      <w:r w:rsidRPr="000E7B47">
        <w:rPr>
          <w:rFonts w:ascii="Palatino Linotype" w:eastAsia="Palatino Linotype" w:hAnsi="Palatino Linotype" w:cs="Palatino Linotype"/>
          <w:b/>
        </w:rPr>
        <w:t xml:space="preserve"> 00094/LAPAZ/IP/2022, </w:t>
      </w:r>
      <w:r w:rsidRPr="000E7B47">
        <w:rPr>
          <w:rFonts w:ascii="Palatino Linotype" w:eastAsia="Palatino Linotype" w:hAnsi="Palatino Linotype" w:cs="Palatino Linotype"/>
        </w:rPr>
        <w:t>a través de la cual requirió  lo siguiente:</w:t>
      </w:r>
    </w:p>
    <w:p w:rsidR="00ED1301" w:rsidRPr="000E7B47" w:rsidRDefault="00BE0E91">
      <w:pPr>
        <w:spacing w:before="240" w:after="240" w:line="276"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“Solicito de manera atenta se me resuelvan las siguientes cuestiones </w:t>
      </w:r>
      <w:r w:rsidRPr="000E7B47">
        <w:rPr>
          <w:rFonts w:ascii="Palatino Linotype" w:eastAsia="Palatino Linotype" w:hAnsi="Palatino Linotype" w:cs="Palatino Linotype"/>
          <w:b/>
          <w:i/>
          <w:sz w:val="22"/>
          <w:szCs w:val="22"/>
        </w:rPr>
        <w:t xml:space="preserve">1. ¿Existe y se opera un Comisión de Honor y Justicia de los cuerpos de Seguridad Pública? ¿Quiénes la integran? Especificar número, nombres, cargos y sueldos y fecha de última sesión 2. ¿Se cuenta con indicadores de medición y seguimiento del personal de policía municipal con participación de instancias ciudadanas? 3. ¿El municipio ha gestionado la incorporación de sus elementos de </w:t>
      </w:r>
      <w:r w:rsidRPr="000E7B47">
        <w:rPr>
          <w:rFonts w:ascii="Palatino Linotype" w:eastAsia="Palatino Linotype" w:hAnsi="Palatino Linotype" w:cs="Palatino Linotype"/>
          <w:b/>
          <w:i/>
          <w:sz w:val="22"/>
          <w:szCs w:val="22"/>
        </w:rPr>
        <w:lastRenderedPageBreak/>
        <w:t>seguridad a la licencia colectiva para la portación de armamento? 4. ¿Se cuenta con la información referente a la incidencia de delitos y de faltas administrativas? Favor de anexar información desde enero 2022 a la fecha de recepción de la presente 5. ¿Se operan programas para la prevención de conductas antisociales? 6. ¿Se tiene coordinación interinstitucional con otros órdenes de gobierno en materia de seguridad pública y de qué forma? 7. ¿Se cuenta con índices e identificación de zonas conflictivas y cuál es la metodología? 8. ¿Se cuenta con un programa de atención especializada para zonas conflictivas? 9. ¿Existen vínculos de coparticipación con la sociedad y cuáles son? 10. ¿Se operan programas para medir el nivel de denuncias ciudadanas 11. ¿Se reportan sus incidencias a través del Informe Policial Homologado? 12. ¿Cómo se comportan las incidencias de faltas administrativas? 13. ¿Cuenta con un diagnóstico integral de seguridad pública que permita identificar las causas del problema?</w:t>
      </w:r>
      <w:r w:rsidRPr="000E7B47">
        <w:rPr>
          <w:rFonts w:ascii="Palatino Linotype" w:eastAsia="Palatino Linotype" w:hAnsi="Palatino Linotype" w:cs="Palatino Linotype"/>
          <w:i/>
          <w:sz w:val="22"/>
          <w:szCs w:val="22"/>
        </w:rPr>
        <w:t>” (Sic) (Énfasis añadido)</w:t>
      </w:r>
    </w:p>
    <w:p w:rsidR="00ED1301" w:rsidRPr="000E7B47" w:rsidRDefault="00BE0E91">
      <w:pPr>
        <w:spacing w:before="240" w:after="240" w:line="360" w:lineRule="auto"/>
        <w:jc w:val="both"/>
        <w:rPr>
          <w:rFonts w:ascii="Palatino Linotype" w:eastAsia="Palatino Linotype" w:hAnsi="Palatino Linotype" w:cs="Palatino Linotype"/>
          <w:b/>
        </w:rPr>
      </w:pPr>
      <w:r w:rsidRPr="000E7B47">
        <w:rPr>
          <w:rFonts w:ascii="Palatino Linotype" w:eastAsia="Palatino Linotype" w:hAnsi="Palatino Linotype" w:cs="Palatino Linotype"/>
          <w:b/>
        </w:rPr>
        <w:t>Modalidad de entrega de la información</w:t>
      </w:r>
      <w:r w:rsidRPr="000E7B47">
        <w:rPr>
          <w:rFonts w:ascii="Palatino Linotype" w:eastAsia="Palatino Linotype" w:hAnsi="Palatino Linotype" w:cs="Palatino Linotype"/>
        </w:rPr>
        <w:t xml:space="preserve">: vía </w:t>
      </w:r>
      <w:r w:rsidRPr="000E7B47">
        <w:rPr>
          <w:rFonts w:ascii="Palatino Linotype" w:eastAsia="Palatino Linotype" w:hAnsi="Palatino Linotype" w:cs="Palatino Linotype"/>
          <w:b/>
        </w:rPr>
        <w:t>SAIMEX y correo electrónico.</w:t>
      </w:r>
    </w:p>
    <w:p w:rsidR="00ED1301" w:rsidRPr="000E7B47" w:rsidRDefault="00BE0E91">
      <w:pPr>
        <w:spacing w:before="240" w:after="240" w:line="360" w:lineRule="auto"/>
        <w:jc w:val="center"/>
        <w:rPr>
          <w:rFonts w:ascii="Palatino Linotype" w:eastAsia="Palatino Linotype" w:hAnsi="Palatino Linotype" w:cs="Palatino Linotype"/>
          <w:b/>
        </w:rPr>
      </w:pPr>
      <w:r w:rsidRPr="000E7B47">
        <w:rPr>
          <w:rFonts w:ascii="Palatino Linotype" w:eastAsia="Palatino Linotype" w:hAnsi="Palatino Linotype" w:cs="Palatino Linotype"/>
          <w:b/>
          <w:noProof/>
          <w:lang w:val="es-MX"/>
        </w:rPr>
        <w:drawing>
          <wp:inline distT="0" distB="0" distL="0" distR="0">
            <wp:extent cx="5400675" cy="523875"/>
            <wp:effectExtent l="0" t="0" r="0" b="0"/>
            <wp:docPr id="3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00675" cy="523875"/>
                    </a:xfrm>
                    <a:prstGeom prst="rect">
                      <a:avLst/>
                    </a:prstGeom>
                    <a:ln/>
                  </pic:spPr>
                </pic:pic>
              </a:graphicData>
            </a:graphic>
          </wp:inline>
        </w:drawing>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2. Solicitud de aclaración.  </w:t>
      </w:r>
      <w:r w:rsidRPr="000E7B47">
        <w:rPr>
          <w:rFonts w:ascii="Palatino Linotype" w:eastAsia="Palatino Linotype" w:hAnsi="Palatino Linotype" w:cs="Palatino Linotype"/>
        </w:rPr>
        <w:t xml:space="preserve">El </w:t>
      </w:r>
      <w:r w:rsidRPr="000E7B47">
        <w:rPr>
          <w:rFonts w:ascii="Palatino Linotype" w:eastAsia="Palatino Linotype" w:hAnsi="Palatino Linotype" w:cs="Palatino Linotype"/>
          <w:b/>
        </w:rPr>
        <w:t>treinta de marzo de dos mil veintidós</w:t>
      </w:r>
      <w:r w:rsidRPr="000E7B47">
        <w:rPr>
          <w:rFonts w:ascii="Palatino Linotype" w:eastAsia="Palatino Linotype" w:hAnsi="Palatino Linotype" w:cs="Palatino Linotype"/>
        </w:rPr>
        <w:t xml:space="preserve">, el </w:t>
      </w:r>
      <w:r w:rsidRPr="000E7B47">
        <w:rPr>
          <w:rFonts w:ascii="Palatino Linotype" w:eastAsia="Palatino Linotype" w:hAnsi="Palatino Linotype" w:cs="Palatino Linotype"/>
          <w:b/>
        </w:rPr>
        <w:t xml:space="preserve">Sujeto Obligado </w:t>
      </w:r>
      <w:r w:rsidRPr="000E7B47">
        <w:rPr>
          <w:rFonts w:ascii="Palatino Linotype" w:eastAsia="Palatino Linotype" w:hAnsi="Palatino Linotype" w:cs="Palatino Linotype"/>
        </w:rPr>
        <w:t xml:space="preserve">requirió al particular la aclaración a su solicitud de información de la siguiente manera: </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“Con fundamento en el </w:t>
      </w:r>
      <w:proofErr w:type="spellStart"/>
      <w:r w:rsidRPr="000E7B47">
        <w:rPr>
          <w:rFonts w:ascii="Palatino Linotype" w:eastAsia="Palatino Linotype" w:hAnsi="Palatino Linotype" w:cs="Palatino Linotype"/>
          <w:i/>
          <w:sz w:val="22"/>
          <w:szCs w:val="22"/>
        </w:rPr>
        <w:t>articulo</w:t>
      </w:r>
      <w:proofErr w:type="spellEnd"/>
      <w:r w:rsidRPr="000E7B47">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w:t>
      </w:r>
      <w:r w:rsidRPr="000E7B47">
        <w:rPr>
          <w:rFonts w:ascii="Palatino Linotype" w:eastAsia="Palatino Linotype" w:hAnsi="Palatino Linotype" w:cs="Palatino Linotype"/>
          <w:i/>
          <w:sz w:val="22"/>
          <w:szCs w:val="22"/>
        </w:rPr>
        <w:lastRenderedPageBreak/>
        <w:t xml:space="preserve">permito solicitar a usted las siguientes aclaraciones: • </w:t>
      </w:r>
      <w:r w:rsidRPr="000E7B47">
        <w:rPr>
          <w:rFonts w:ascii="Palatino Linotype" w:eastAsia="Palatino Linotype" w:hAnsi="Palatino Linotype" w:cs="Palatino Linotype"/>
          <w:b/>
          <w:i/>
          <w:sz w:val="22"/>
          <w:szCs w:val="22"/>
        </w:rPr>
        <w:t xml:space="preserve">Respecto del numeral 1, ¿De qué periodo de tiempo requiere los sueldos? • Respecto al numeral 3, ¿A qué se refiere con “elementos de seguridad”? </w:t>
      </w:r>
      <w:r w:rsidRPr="000E7B47">
        <w:rPr>
          <w:rFonts w:ascii="Palatino Linotype" w:eastAsia="Palatino Linotype" w:hAnsi="Palatino Linotype" w:cs="Palatino Linotype"/>
          <w:i/>
          <w:sz w:val="22"/>
          <w:szCs w:val="22"/>
        </w:rPr>
        <w:t>Sin otro particular, quedo atenta a la respuesta de la solicitud y aclaraciones requeridas.</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ATENTAMENTE</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MTRA. GUADALUPE DEL PILAR CASTELLANOS GUERRERO” (Sic) (Énfasis añadido)</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3. Aclaración. </w:t>
      </w:r>
      <w:r w:rsidRPr="000E7B47">
        <w:rPr>
          <w:rFonts w:ascii="Palatino Linotype" w:eastAsia="Palatino Linotype" w:hAnsi="Palatino Linotype" w:cs="Palatino Linotype"/>
        </w:rPr>
        <w:t xml:space="preserve">El </w:t>
      </w:r>
      <w:r w:rsidRPr="000E7B47">
        <w:rPr>
          <w:rFonts w:ascii="Palatino Linotype" w:eastAsia="Palatino Linotype" w:hAnsi="Palatino Linotype" w:cs="Palatino Linotype"/>
          <w:b/>
        </w:rPr>
        <w:t xml:space="preserve">siete de abril de dos mil veintidós, </w:t>
      </w:r>
      <w:r w:rsidRPr="000E7B47">
        <w:rPr>
          <w:rFonts w:ascii="Palatino Linotype" w:eastAsia="Palatino Linotype" w:hAnsi="Palatino Linotype" w:cs="Palatino Linotype"/>
        </w:rPr>
        <w:t xml:space="preserve">la solicitante desahogó el requerimiento de aclaración en los siguientes términos: </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“Respecto a la aclaración </w:t>
      </w:r>
      <w:r w:rsidRPr="000E7B47">
        <w:rPr>
          <w:rFonts w:ascii="Palatino Linotype" w:eastAsia="Palatino Linotype" w:hAnsi="Palatino Linotype" w:cs="Palatino Linotype"/>
          <w:b/>
          <w:i/>
          <w:sz w:val="22"/>
          <w:szCs w:val="22"/>
          <w:u w:val="single"/>
        </w:rPr>
        <w:t>del numeral 1, solicito la información correspondiente a partir de 01 de enero del 2022 hasta la fecha del día de hoy (07/04/2022) Contestando a su pregunta respecto al numeral 3, con “elementos de seguridad”, me refiero a la policía municipal</w:t>
      </w:r>
      <w:r w:rsidRPr="000E7B47">
        <w:rPr>
          <w:rFonts w:ascii="Palatino Linotype" w:eastAsia="Palatino Linotype" w:hAnsi="Palatino Linotype" w:cs="Palatino Linotype"/>
          <w:i/>
          <w:sz w:val="22"/>
          <w:szCs w:val="22"/>
        </w:rPr>
        <w:t>.” (Sic) (Énfasis añadido)</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4. Prórroga. </w:t>
      </w:r>
      <w:r w:rsidRPr="000E7B47">
        <w:rPr>
          <w:rFonts w:ascii="Palatino Linotype" w:eastAsia="Palatino Linotype" w:hAnsi="Palatino Linotype" w:cs="Palatino Linotype"/>
        </w:rPr>
        <w:t xml:space="preserve">El </w:t>
      </w:r>
      <w:r w:rsidRPr="000E7B47">
        <w:rPr>
          <w:rFonts w:ascii="Palatino Linotype" w:eastAsia="Palatino Linotype" w:hAnsi="Palatino Linotype" w:cs="Palatino Linotype"/>
          <w:b/>
        </w:rPr>
        <w:t>seis de mayo de la presente anualidad</w:t>
      </w:r>
      <w:r w:rsidRPr="000E7B47">
        <w:rPr>
          <w:rFonts w:ascii="Palatino Linotype" w:eastAsia="Palatino Linotype" w:hAnsi="Palatino Linotype" w:cs="Palatino Linotype"/>
        </w:rPr>
        <w:t xml:space="preserv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notificó la prórroga para atender la solicitud de información, medularmente de la siguiente manera: </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Se aprueba la </w:t>
      </w:r>
      <w:proofErr w:type="spellStart"/>
      <w:r w:rsidRPr="000E7B47">
        <w:rPr>
          <w:rFonts w:ascii="Palatino Linotype" w:eastAsia="Palatino Linotype" w:hAnsi="Palatino Linotype" w:cs="Palatino Linotype"/>
          <w:i/>
          <w:sz w:val="22"/>
          <w:szCs w:val="22"/>
        </w:rPr>
        <w:t>Prorroga</w:t>
      </w:r>
      <w:proofErr w:type="spellEnd"/>
      <w:r w:rsidRPr="000E7B47">
        <w:rPr>
          <w:rFonts w:ascii="Palatino Linotype" w:eastAsia="Palatino Linotype" w:hAnsi="Palatino Linotype" w:cs="Palatino Linotype"/>
          <w:i/>
          <w:sz w:val="22"/>
          <w:szCs w:val="22"/>
        </w:rPr>
        <w:t xml:space="preserve"> solicitada mediante Sesión de Comité de Transparencia</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MTRA. GUADALUPE DEL PILAR CASTELLANOS GUERRERO</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Responsable de la Unidad de Transparencia” (Sic)</w:t>
      </w:r>
    </w:p>
    <w:p w:rsidR="00ED1301" w:rsidRPr="000E7B47" w:rsidRDefault="00BE0E91">
      <w:pPr>
        <w:spacing w:before="240" w:after="240" w:line="276"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Archivos adjuntos: </w:t>
      </w:r>
    </w:p>
    <w:p w:rsidR="00ED1301" w:rsidRPr="000E7B47" w:rsidRDefault="00BE0E91">
      <w:pPr>
        <w:spacing w:before="240" w:after="240" w:line="276"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b/>
          <w:i/>
          <w:sz w:val="22"/>
          <w:szCs w:val="22"/>
        </w:rPr>
        <w:t xml:space="preserve">“Acta de la </w:t>
      </w:r>
      <w:proofErr w:type="spellStart"/>
      <w:r w:rsidRPr="000E7B47">
        <w:rPr>
          <w:rFonts w:ascii="Palatino Linotype" w:eastAsia="Palatino Linotype" w:hAnsi="Palatino Linotype" w:cs="Palatino Linotype"/>
          <w:b/>
          <w:i/>
          <w:sz w:val="22"/>
          <w:szCs w:val="22"/>
        </w:rPr>
        <w:t>Decimo</w:t>
      </w:r>
      <w:proofErr w:type="spellEnd"/>
      <w:r w:rsidRPr="000E7B47">
        <w:rPr>
          <w:rFonts w:ascii="Palatino Linotype" w:eastAsia="Palatino Linotype" w:hAnsi="Palatino Linotype" w:cs="Palatino Linotype"/>
          <w:b/>
          <w:i/>
          <w:sz w:val="22"/>
          <w:szCs w:val="22"/>
        </w:rPr>
        <w:t xml:space="preserve"> Tercera </w:t>
      </w:r>
      <w:proofErr w:type="spellStart"/>
      <w:r w:rsidRPr="000E7B47">
        <w:rPr>
          <w:rFonts w:ascii="Palatino Linotype" w:eastAsia="Palatino Linotype" w:hAnsi="Palatino Linotype" w:cs="Palatino Linotype"/>
          <w:b/>
          <w:i/>
          <w:sz w:val="22"/>
          <w:szCs w:val="22"/>
        </w:rPr>
        <w:t>Sesion</w:t>
      </w:r>
      <w:proofErr w:type="spellEnd"/>
      <w:r w:rsidRPr="000E7B47">
        <w:rPr>
          <w:rFonts w:ascii="Palatino Linotype" w:eastAsia="Palatino Linotype" w:hAnsi="Palatino Linotype" w:cs="Palatino Linotype"/>
          <w:b/>
          <w:i/>
          <w:sz w:val="22"/>
          <w:szCs w:val="22"/>
        </w:rPr>
        <w:t xml:space="preserve"> Extraordinaria.pdf”: </w:t>
      </w:r>
      <w:r w:rsidRPr="000E7B47">
        <w:rPr>
          <w:rFonts w:ascii="Palatino Linotype" w:eastAsia="Palatino Linotype" w:hAnsi="Palatino Linotype" w:cs="Palatino Linotype"/>
        </w:rPr>
        <w:t xml:space="preserve">Consiste en el Acta de la Décima Tercera Sesión Extraordinaria del Comité de Transparencia, por la cual se aprobó la prórroga para atender la presente solicitud de información, en razón de que la Titular de la Unidad de Transparencia remitió diversos oficios de turno para atención a las solicitudes de información. </w:t>
      </w:r>
    </w:p>
    <w:p w:rsidR="00ED1301" w:rsidRPr="000E7B47" w:rsidRDefault="00BE0E91">
      <w:pPr>
        <w:spacing w:before="240" w:after="240" w:line="276"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inline distT="0" distB="0" distL="0" distR="0">
            <wp:extent cx="4677927" cy="5964976"/>
            <wp:effectExtent l="0" t="0" r="0" b="0"/>
            <wp:docPr id="3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677927" cy="5964976"/>
                    </a:xfrm>
                    <a:prstGeom prst="rect">
                      <a:avLst/>
                    </a:prstGeom>
                    <a:ln/>
                  </pic:spPr>
                </pic:pic>
              </a:graphicData>
            </a:graphic>
          </wp:inline>
        </w:drawing>
      </w:r>
      <w:r w:rsidRPr="000E7B47">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1079500</wp:posOffset>
                </wp:positionH>
                <wp:positionV relativeFrom="paragraph">
                  <wp:posOffset>5283200</wp:posOffset>
                </wp:positionV>
                <wp:extent cx="904875" cy="171450"/>
                <wp:effectExtent l="0" t="0" r="0" b="0"/>
                <wp:wrapNone/>
                <wp:docPr id="295" name="Rectángulo 295"/>
                <wp:cNvGraphicFramePr/>
                <a:graphic xmlns:a="http://schemas.openxmlformats.org/drawingml/2006/main">
                  <a:graphicData uri="http://schemas.microsoft.com/office/word/2010/wordprocessingShape">
                    <wps:wsp>
                      <wps:cNvSpPr/>
                      <wps:spPr>
                        <a:xfrm>
                          <a:off x="4907850" y="3708563"/>
                          <a:ext cx="876300" cy="142875"/>
                        </a:xfrm>
                        <a:prstGeom prst="rect">
                          <a:avLst/>
                        </a:prstGeom>
                        <a:noFill/>
                        <a:ln w="28575" cap="flat" cmpd="sng">
                          <a:solidFill>
                            <a:srgbClr val="002060"/>
                          </a:solidFill>
                          <a:prstDash val="solid"/>
                          <a:round/>
                          <a:headEnd type="none" w="sm" len="sm"/>
                          <a:tailEnd type="none" w="sm" len="sm"/>
                        </a:ln>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5" o:spid="_x0000_s1026" style="position:absolute;left:0;text-align:left;margin-left:85pt;margin-top:416pt;width:71.2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" filled="f" strokecolor="#002060" strokeweight="2.25pt">
                <v:stroke startarrowwidth="narrow" startarrowlength="short" endarrowwidth="narrow" endarrowlength="short" joinstyle="round"/>
                <v:textbox inset="2.53958mm,2.53958mm,2.53958mm,2.53958mm">
                  <w:txbxContent>
                    <w:p w:rsidR="00CB55D9" w:rsidRDefault="00CB55D9">
                      <w:pPr>
                        <w:textDirection w:val="btLr"/>
                      </w:pPr>
                    </w:p>
                  </w:txbxContent>
                </v:textbox>
              </v:rect>
            </w:pict>
          </mc:Fallback>
        </mc:AlternateContent>
      </w:r>
    </w:p>
    <w:p w:rsidR="00ED1301" w:rsidRPr="000E7B47" w:rsidRDefault="00ED1301">
      <w:pPr>
        <w:spacing w:before="240" w:after="240" w:line="276" w:lineRule="auto"/>
        <w:ind w:left="567" w:right="567"/>
        <w:jc w:val="both"/>
        <w:rPr>
          <w:rFonts w:ascii="Palatino Linotype" w:eastAsia="Palatino Linotype" w:hAnsi="Palatino Linotype" w:cs="Palatino Linotype"/>
        </w:rPr>
      </w:pPr>
    </w:p>
    <w:p w:rsidR="00ED1301" w:rsidRPr="000E7B47" w:rsidRDefault="00BE0E91">
      <w:pPr>
        <w:spacing w:before="240" w:after="240" w:line="276"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inline distT="0" distB="0" distL="0" distR="0">
            <wp:extent cx="4222104" cy="5174701"/>
            <wp:effectExtent l="0" t="0" r="0" b="0"/>
            <wp:docPr id="3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222104" cy="5174701"/>
                    </a:xfrm>
                    <a:prstGeom prst="rect">
                      <a:avLst/>
                    </a:prstGeom>
                    <a:ln/>
                  </pic:spPr>
                </pic:pic>
              </a:graphicData>
            </a:graphic>
          </wp:inline>
        </w:drawing>
      </w:r>
    </w:p>
    <w:p w:rsidR="00ED1301" w:rsidRPr="000E7B47" w:rsidRDefault="00BE0E91">
      <w:pPr>
        <w:spacing w:before="240" w:after="240" w:line="276"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inline distT="0" distB="0" distL="0" distR="0">
            <wp:extent cx="4872526" cy="5587048"/>
            <wp:effectExtent l="0" t="0" r="0" b="0"/>
            <wp:docPr id="3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72526" cy="5587048"/>
                    </a:xfrm>
                    <a:prstGeom prst="rect">
                      <a:avLst/>
                    </a:prstGeom>
                    <a:ln/>
                  </pic:spPr>
                </pic:pic>
              </a:graphicData>
            </a:graphic>
          </wp:inline>
        </w:drawing>
      </w:r>
      <w:r w:rsidRPr="000E7B47">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3060700</wp:posOffset>
                </wp:positionH>
                <wp:positionV relativeFrom="paragraph">
                  <wp:posOffset>2286000</wp:posOffset>
                </wp:positionV>
                <wp:extent cx="828675" cy="133350"/>
                <wp:effectExtent l="0" t="0" r="0" b="0"/>
                <wp:wrapNone/>
                <wp:docPr id="299" name="Rectángulo 299"/>
                <wp:cNvGraphicFramePr/>
                <a:graphic xmlns:a="http://schemas.openxmlformats.org/drawingml/2006/main">
                  <a:graphicData uri="http://schemas.microsoft.com/office/word/2010/wordprocessingShape">
                    <wps:wsp>
                      <wps:cNvSpPr/>
                      <wps:spPr>
                        <a:xfrm>
                          <a:off x="4941188" y="3722850"/>
                          <a:ext cx="809625" cy="114300"/>
                        </a:xfrm>
                        <a:prstGeom prst="rect">
                          <a:avLst/>
                        </a:prstGeom>
                        <a:noFill/>
                        <a:ln w="19050" cap="flat" cmpd="sng">
                          <a:solidFill>
                            <a:srgbClr val="002060"/>
                          </a:solidFill>
                          <a:prstDash val="solid"/>
                          <a:round/>
                          <a:headEnd type="none" w="sm" len="sm"/>
                          <a:tailEnd type="none" w="sm" len="sm"/>
                        </a:ln>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9" o:spid="_x0000_s1027" style="position:absolute;left:0;text-align:left;margin-left:241pt;margin-top:180pt;width:65.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" filled="f" strokecolor="#002060" strokeweight="1.5pt">
                <v:stroke startarrowwidth="narrow" startarrowlength="short" endarrowwidth="narrow" endarrowlength="short" joinstyle="round"/>
                <v:textbox inset="2.53958mm,2.53958mm,2.53958mm,2.53958mm">
                  <w:txbxContent>
                    <w:p w:rsidR="00CB55D9" w:rsidRDefault="00CB55D9">
                      <w:pPr>
                        <w:textDirection w:val="btLr"/>
                      </w:pPr>
                    </w:p>
                  </w:txbxContent>
                </v:textbox>
              </v:rect>
            </w:pict>
          </mc:Fallback>
        </mc:AlternateConten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5. Respuesta. </w:t>
      </w:r>
      <w:r w:rsidRPr="000E7B47">
        <w:rPr>
          <w:rFonts w:ascii="Palatino Linotype" w:eastAsia="Palatino Linotype" w:hAnsi="Palatino Linotype" w:cs="Palatino Linotype"/>
        </w:rPr>
        <w:t xml:space="preserve">El </w:t>
      </w:r>
      <w:r w:rsidRPr="000E7B47">
        <w:rPr>
          <w:rFonts w:ascii="Palatino Linotype" w:eastAsia="Palatino Linotype" w:hAnsi="Palatino Linotype" w:cs="Palatino Linotype"/>
          <w:b/>
        </w:rPr>
        <w:t>diecisiete de mayo del dos mil veintidós</w:t>
      </w:r>
      <w:r w:rsidRPr="000E7B47">
        <w:rPr>
          <w:rFonts w:ascii="Palatino Linotype" w:eastAsia="Palatino Linotype" w:hAnsi="Palatino Linotype" w:cs="Palatino Linotype"/>
        </w:rPr>
        <w:t xml:space="preserv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otorgó, a través del </w:t>
      </w:r>
      <w:r w:rsidRPr="000E7B47">
        <w:rPr>
          <w:rFonts w:ascii="Palatino Linotype" w:eastAsia="Palatino Linotype" w:hAnsi="Palatino Linotype" w:cs="Palatino Linotype"/>
          <w:b/>
        </w:rPr>
        <w:t>SAIMEX</w:t>
      </w:r>
      <w:r w:rsidRPr="000E7B47">
        <w:rPr>
          <w:rFonts w:ascii="Palatino Linotype" w:eastAsia="Palatino Linotype" w:hAnsi="Palatino Linotype" w:cs="Palatino Linotype"/>
        </w:rPr>
        <w:t>, la respuesta a la solicitud de acceso a la información en los siguientes términos:</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Se anexa respuesta en formato .</w:t>
      </w:r>
      <w:proofErr w:type="spellStart"/>
      <w:r w:rsidRPr="000E7B47">
        <w:rPr>
          <w:rFonts w:ascii="Palatino Linotype" w:eastAsia="Palatino Linotype" w:hAnsi="Palatino Linotype" w:cs="Palatino Linotype"/>
          <w:i/>
          <w:sz w:val="22"/>
          <w:szCs w:val="22"/>
        </w:rPr>
        <w:t>Pdf</w:t>
      </w:r>
      <w:proofErr w:type="spellEnd"/>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ATENTAMENTE</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MTRA. GUADALUPE DEL PILAR CASTELLANOS GUERRERO “(Sic)</w:t>
      </w:r>
    </w:p>
    <w:p w:rsidR="00ED1301" w:rsidRPr="000E7B47" w:rsidRDefault="00BE0E91">
      <w:pPr>
        <w:spacing w:before="240" w:after="240" w:line="360" w:lineRule="auto"/>
        <w:ind w:right="567"/>
        <w:jc w:val="both"/>
        <w:rPr>
          <w:rFonts w:ascii="Palatino Linotype" w:eastAsia="Palatino Linotype" w:hAnsi="Palatino Linotype" w:cs="Palatino Linotype"/>
        </w:rPr>
      </w:pPr>
      <w:r w:rsidRPr="000E7B47">
        <w:rPr>
          <w:rFonts w:ascii="Palatino Linotype" w:eastAsia="Palatino Linotype" w:hAnsi="Palatino Linotype" w:cs="Palatino Linotype"/>
          <w:b/>
        </w:rPr>
        <w:t>Archivos adjuntos:</w:t>
      </w:r>
      <w:r w:rsidRPr="000E7B47">
        <w:rPr>
          <w:rFonts w:ascii="Palatino Linotype" w:eastAsia="Palatino Linotype" w:hAnsi="Palatino Linotype" w:cs="Palatino Linotype"/>
        </w:rPr>
        <w:t xml:space="preserve"> </w:t>
      </w:r>
    </w:p>
    <w:p w:rsidR="00ED1301" w:rsidRPr="000E7B47" w:rsidRDefault="00BE0E91">
      <w:pPr>
        <w:spacing w:before="240" w:after="240" w:line="360"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b/>
          <w:i/>
          <w:sz w:val="22"/>
          <w:szCs w:val="22"/>
        </w:rPr>
        <w:t xml:space="preserve">“Respuesta a Solicitud 00094.pdf”: </w:t>
      </w:r>
      <w:r w:rsidRPr="000E7B47">
        <w:rPr>
          <w:rFonts w:ascii="Palatino Linotype" w:eastAsia="Palatino Linotype" w:hAnsi="Palatino Linotype" w:cs="Palatino Linotype"/>
        </w:rPr>
        <w:t xml:space="preserve">Oficios signados por el Presidente de la Comisión de Honor y Justicia, así como del Coordinador de Prevención del Delito de la Paz, Estado de México, mediante el cual se otorgan respuestas a diversas preguntas. </w:t>
      </w:r>
    </w:p>
    <w:p w:rsidR="00ED1301" w:rsidRPr="000E7B47" w:rsidRDefault="00BE0E91">
      <w:pPr>
        <w:spacing w:before="240" w:after="240" w:line="360" w:lineRule="auto"/>
        <w:ind w:left="567" w:right="567"/>
        <w:rPr>
          <w:rFonts w:ascii="Palatino Linotype" w:eastAsia="Palatino Linotype" w:hAnsi="Palatino Linotype" w:cs="Palatino Linotype"/>
          <w:sz w:val="22"/>
          <w:szCs w:val="22"/>
        </w:rPr>
      </w:pPr>
      <w:r w:rsidRPr="000E7B47">
        <w:rPr>
          <w:rFonts w:ascii="Palatino Linotype" w:eastAsia="Palatino Linotype" w:hAnsi="Palatino Linotype" w:cs="Palatino Linotype"/>
          <w:noProof/>
          <w:sz w:val="22"/>
          <w:szCs w:val="22"/>
          <w:lang w:val="es-MX"/>
        </w:rPr>
        <w:lastRenderedPageBreak/>
        <w:drawing>
          <wp:inline distT="0" distB="0" distL="0" distR="0">
            <wp:extent cx="5250851" cy="6899267"/>
            <wp:effectExtent l="0" t="0" r="0" b="0"/>
            <wp:docPr id="3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50851" cy="6899267"/>
                    </a:xfrm>
                    <a:prstGeom prst="rect">
                      <a:avLst/>
                    </a:prstGeom>
                    <a:ln/>
                  </pic:spPr>
                </pic:pic>
              </a:graphicData>
            </a:graphic>
          </wp:inline>
        </w:drawing>
      </w:r>
    </w:p>
    <w:p w:rsidR="00ED1301" w:rsidRPr="000E7B47" w:rsidRDefault="00BE0E91">
      <w:pPr>
        <w:spacing w:before="240" w:after="240" w:line="360" w:lineRule="auto"/>
        <w:ind w:left="567" w:right="567"/>
        <w:rPr>
          <w:rFonts w:ascii="Palatino Linotype" w:eastAsia="Palatino Linotype" w:hAnsi="Palatino Linotype" w:cs="Palatino Linotype"/>
          <w:sz w:val="22"/>
          <w:szCs w:val="22"/>
        </w:rPr>
      </w:pPr>
      <w:r w:rsidRPr="000E7B47">
        <w:rPr>
          <w:rFonts w:ascii="Palatino Linotype" w:eastAsia="Palatino Linotype" w:hAnsi="Palatino Linotype" w:cs="Palatino Linotype"/>
          <w:noProof/>
          <w:sz w:val="22"/>
          <w:szCs w:val="22"/>
          <w:lang w:val="es-MX"/>
        </w:rPr>
        <w:lastRenderedPageBreak/>
        <w:drawing>
          <wp:inline distT="0" distB="0" distL="0" distR="0">
            <wp:extent cx="5095875" cy="6334125"/>
            <wp:effectExtent l="0" t="0" r="0" b="0"/>
            <wp:docPr id="3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095875" cy="6334125"/>
                    </a:xfrm>
                    <a:prstGeom prst="rect">
                      <a:avLst/>
                    </a:prstGeom>
                    <a:ln/>
                  </pic:spPr>
                </pic:pic>
              </a:graphicData>
            </a:graphic>
          </wp:inline>
        </w:drawing>
      </w:r>
    </w:p>
    <w:p w:rsidR="00ED1301" w:rsidRPr="000E7B47" w:rsidRDefault="00BE0E91">
      <w:pPr>
        <w:spacing w:before="240" w:after="240" w:line="360" w:lineRule="auto"/>
        <w:ind w:left="567" w:right="567"/>
        <w:rPr>
          <w:rFonts w:ascii="Palatino Linotype" w:eastAsia="Palatino Linotype" w:hAnsi="Palatino Linotype" w:cs="Palatino Linotype"/>
          <w:sz w:val="22"/>
          <w:szCs w:val="22"/>
        </w:rPr>
      </w:pPr>
      <w:r w:rsidRPr="000E7B47">
        <w:rPr>
          <w:rFonts w:ascii="Palatino Linotype" w:eastAsia="Palatino Linotype" w:hAnsi="Palatino Linotype" w:cs="Palatino Linotype"/>
          <w:noProof/>
          <w:sz w:val="22"/>
          <w:szCs w:val="22"/>
          <w:lang w:val="es-MX"/>
        </w:rPr>
        <w:lastRenderedPageBreak/>
        <w:drawing>
          <wp:inline distT="0" distB="0" distL="0" distR="0">
            <wp:extent cx="5233512" cy="6850974"/>
            <wp:effectExtent l="0" t="0" r="0" b="0"/>
            <wp:docPr id="30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233512" cy="6850974"/>
                    </a:xfrm>
                    <a:prstGeom prst="rect">
                      <a:avLst/>
                    </a:prstGeom>
                    <a:ln/>
                  </pic:spPr>
                </pic:pic>
              </a:graphicData>
            </a:graphic>
          </wp:inline>
        </w:drawing>
      </w:r>
    </w:p>
    <w:p w:rsidR="00ED1301" w:rsidRPr="000E7B47" w:rsidRDefault="00BE0E91">
      <w:pPr>
        <w:spacing w:before="240" w:after="240" w:line="360" w:lineRule="auto"/>
        <w:ind w:left="567" w:right="567"/>
        <w:rPr>
          <w:rFonts w:ascii="Palatino Linotype" w:eastAsia="Palatino Linotype" w:hAnsi="Palatino Linotype" w:cs="Palatino Linotype"/>
          <w:sz w:val="22"/>
          <w:szCs w:val="22"/>
        </w:rPr>
      </w:pPr>
      <w:r w:rsidRPr="000E7B47">
        <w:rPr>
          <w:rFonts w:ascii="Palatino Linotype" w:eastAsia="Palatino Linotype" w:hAnsi="Palatino Linotype" w:cs="Palatino Linotype"/>
          <w:noProof/>
          <w:sz w:val="22"/>
          <w:szCs w:val="22"/>
          <w:lang w:val="es-MX"/>
        </w:rPr>
        <w:lastRenderedPageBreak/>
        <w:drawing>
          <wp:inline distT="0" distB="0" distL="0" distR="0">
            <wp:extent cx="4676775" cy="4676775"/>
            <wp:effectExtent l="0" t="0" r="0" b="0"/>
            <wp:docPr id="3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676775" cy="4676775"/>
                    </a:xfrm>
                    <a:prstGeom prst="rect">
                      <a:avLst/>
                    </a:prstGeom>
                    <a:ln/>
                  </pic:spPr>
                </pic:pic>
              </a:graphicData>
            </a:graphic>
          </wp:inline>
        </w:drawing>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6. Recurso de revisión.</w:t>
      </w:r>
      <w:r w:rsidRPr="000E7B47">
        <w:rPr>
          <w:rFonts w:ascii="Palatino Linotype" w:eastAsia="Palatino Linotype" w:hAnsi="Palatino Linotype" w:cs="Palatino Linotype"/>
          <w:b/>
          <w:sz w:val="22"/>
          <w:szCs w:val="22"/>
        </w:rPr>
        <w:t xml:space="preserve"> </w:t>
      </w:r>
      <w:r w:rsidRPr="000E7B47">
        <w:rPr>
          <w:rFonts w:ascii="Palatino Linotype" w:eastAsia="Palatino Linotype" w:hAnsi="Palatino Linotype" w:cs="Palatino Linotype"/>
        </w:rPr>
        <w:t xml:space="preserve">Inconforme con la respuesta recibida, </w:t>
      </w:r>
      <w:r w:rsidRPr="000E7B47">
        <w:rPr>
          <w:rFonts w:ascii="Palatino Linotype" w:eastAsia="Palatino Linotype" w:hAnsi="Palatino Linotype" w:cs="Palatino Linotype"/>
          <w:b/>
        </w:rPr>
        <w:t>el Recurrente</w:t>
      </w:r>
      <w:r w:rsidRPr="000E7B47">
        <w:rPr>
          <w:rFonts w:ascii="Palatino Linotype" w:eastAsia="Palatino Linotype" w:hAnsi="Palatino Linotype" w:cs="Palatino Linotype"/>
        </w:rPr>
        <w:t xml:space="preserve"> interpuso el </w:t>
      </w:r>
      <w:r w:rsidRPr="000E7B47">
        <w:rPr>
          <w:rFonts w:ascii="Palatino Linotype" w:eastAsia="Palatino Linotype" w:hAnsi="Palatino Linotype" w:cs="Palatino Linotype"/>
          <w:b/>
        </w:rPr>
        <w:t>veintitrés de mayo del año dos mil veintidós</w:t>
      </w:r>
      <w:r w:rsidRPr="000E7B47">
        <w:rPr>
          <w:rFonts w:ascii="Palatino Linotype" w:eastAsia="Palatino Linotype" w:hAnsi="Palatino Linotype" w:cs="Palatino Linotype"/>
        </w:rPr>
        <w:t>, el presente medio de impugnación expresando las siguientes manifestaciones:</w:t>
      </w:r>
    </w:p>
    <w:p w:rsidR="00ED1301" w:rsidRPr="000E7B47" w:rsidRDefault="00BE0E91">
      <w:pPr>
        <w:spacing w:before="240" w:after="240" w:line="360" w:lineRule="auto"/>
        <w:ind w:left="567" w:right="567"/>
        <w:rPr>
          <w:rFonts w:ascii="Palatino Linotype" w:eastAsia="Palatino Linotype" w:hAnsi="Palatino Linotype" w:cs="Palatino Linotype"/>
          <w:b/>
        </w:rPr>
      </w:pPr>
      <w:r w:rsidRPr="000E7B47">
        <w:rPr>
          <w:rFonts w:ascii="Palatino Linotype" w:eastAsia="Palatino Linotype" w:hAnsi="Palatino Linotype" w:cs="Palatino Linotype"/>
          <w:b/>
        </w:rPr>
        <w:t>a) Acto impugnado.</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“Se realizó una solicitud de acceso a la información pública el día 23 de marzo del presente año, solicitando al Ayuntamiento de la Paz información de orden público y carácter administrativo. Dado que se dio una </w:t>
      </w:r>
      <w:proofErr w:type="spellStart"/>
      <w:r w:rsidRPr="000E7B47">
        <w:rPr>
          <w:rFonts w:ascii="Palatino Linotype" w:eastAsia="Palatino Linotype" w:hAnsi="Palatino Linotype" w:cs="Palatino Linotype"/>
          <w:i/>
          <w:sz w:val="22"/>
          <w:szCs w:val="22"/>
        </w:rPr>
        <w:t>prorroga</w:t>
      </w:r>
      <w:proofErr w:type="spellEnd"/>
      <w:r w:rsidRPr="000E7B47">
        <w:rPr>
          <w:rFonts w:ascii="Palatino Linotype" w:eastAsia="Palatino Linotype" w:hAnsi="Palatino Linotype" w:cs="Palatino Linotype"/>
          <w:i/>
          <w:sz w:val="22"/>
          <w:szCs w:val="22"/>
        </w:rPr>
        <w:t xml:space="preserve"> para dar contestación a mi solicitud con folio 00094/LAPAZ/IP/2022, el 17 de mayo del 2022 </w:t>
      </w:r>
      <w:r w:rsidRPr="000E7B47">
        <w:rPr>
          <w:rFonts w:ascii="Palatino Linotype" w:eastAsia="Palatino Linotype" w:hAnsi="Palatino Linotype" w:cs="Palatino Linotype"/>
          <w:b/>
          <w:i/>
          <w:sz w:val="22"/>
          <w:szCs w:val="22"/>
          <w:u w:val="single"/>
        </w:rPr>
        <w:t xml:space="preserve">la Mtra. Guadalupe del Pilar Castellanos Guerrero no respondió la siguiente </w:t>
      </w:r>
      <w:r w:rsidRPr="000E7B47">
        <w:rPr>
          <w:rFonts w:ascii="Palatino Linotype" w:eastAsia="Palatino Linotype" w:hAnsi="Palatino Linotype" w:cs="Palatino Linotype"/>
          <w:b/>
          <w:i/>
          <w:sz w:val="22"/>
          <w:szCs w:val="22"/>
          <w:u w:val="single"/>
        </w:rPr>
        <w:lastRenderedPageBreak/>
        <w:t>pregunta “¿Existe y se opera un Comisión de Honor y Justicia de los cuerpos de Seguridad Pública? ¿Quiénes la integran? Especificar número, nombres, cargos y sueldos y fecha de última sesión” puesto que no me brindó los sueldos de los integrantes de la Comisión de Honor y Justica de los cuerpos de Seguridad Pública, argumentando que no se cuenta con esa información</w:t>
      </w:r>
      <w:r w:rsidRPr="000E7B47">
        <w:rPr>
          <w:rFonts w:ascii="Palatino Linotype" w:eastAsia="Palatino Linotype" w:hAnsi="Palatino Linotype" w:cs="Palatino Linotype"/>
          <w:i/>
          <w:sz w:val="22"/>
          <w:szCs w:val="22"/>
        </w:rPr>
        <w:t xml:space="preserve">, lo cual no se considera un fundamento valido, ya que de acuerdo con el artículo 53 de la Ley de Transparencia y Acceso a la Información Pública del Estado de México y Municipios en su fracción IV, indica que se debió realizar los </w:t>
      </w:r>
      <w:proofErr w:type="spellStart"/>
      <w:r w:rsidRPr="000E7B47">
        <w:rPr>
          <w:rFonts w:ascii="Palatino Linotype" w:eastAsia="Palatino Linotype" w:hAnsi="Palatino Linotype" w:cs="Palatino Linotype"/>
          <w:i/>
          <w:sz w:val="22"/>
          <w:szCs w:val="22"/>
        </w:rPr>
        <w:t>tramites</w:t>
      </w:r>
      <w:proofErr w:type="spellEnd"/>
      <w:r w:rsidRPr="000E7B47">
        <w:rPr>
          <w:rFonts w:ascii="Palatino Linotype" w:eastAsia="Palatino Linotype" w:hAnsi="Palatino Linotype" w:cs="Palatino Linotype"/>
          <w:i/>
          <w:sz w:val="22"/>
          <w:szCs w:val="22"/>
        </w:rPr>
        <w:t xml:space="preserve"> internos necesarios para que se pudiera obtener dicha información a su vez, se incumple con el artículo 9° dado que no se está siguiendo el principio de eficacia.” (Sic) (Énfasis añadido)</w:t>
      </w:r>
    </w:p>
    <w:p w:rsidR="00ED1301" w:rsidRPr="000E7B47" w:rsidRDefault="00BE0E91">
      <w:pPr>
        <w:spacing w:before="240" w:after="240" w:line="360" w:lineRule="auto"/>
        <w:ind w:left="567" w:right="567"/>
        <w:jc w:val="both"/>
        <w:rPr>
          <w:rFonts w:ascii="Palatino Linotype" w:eastAsia="Palatino Linotype" w:hAnsi="Palatino Linotype" w:cs="Palatino Linotype"/>
          <w:b/>
        </w:rPr>
      </w:pPr>
      <w:r w:rsidRPr="000E7B47">
        <w:rPr>
          <w:rFonts w:ascii="Palatino Linotype" w:eastAsia="Palatino Linotype" w:hAnsi="Palatino Linotype" w:cs="Palatino Linotype"/>
          <w:b/>
        </w:rPr>
        <w:t>b) Razones o motivos de inconformidad.</w:t>
      </w:r>
    </w:p>
    <w:p w:rsidR="00ED1301" w:rsidRPr="000E7B47" w:rsidRDefault="00BE0E91">
      <w:pPr>
        <w:spacing w:before="240" w:after="240" w:line="276"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i/>
          <w:sz w:val="22"/>
          <w:szCs w:val="22"/>
        </w:rPr>
        <w:t xml:space="preserve">“No se </w:t>
      </w:r>
      <w:proofErr w:type="spellStart"/>
      <w:r w:rsidRPr="000E7B47">
        <w:rPr>
          <w:rFonts w:ascii="Palatino Linotype" w:eastAsia="Palatino Linotype" w:hAnsi="Palatino Linotype" w:cs="Palatino Linotype"/>
          <w:i/>
          <w:sz w:val="22"/>
          <w:szCs w:val="22"/>
        </w:rPr>
        <w:t>brindo</w:t>
      </w:r>
      <w:proofErr w:type="spellEnd"/>
      <w:r w:rsidRPr="000E7B47">
        <w:rPr>
          <w:rFonts w:ascii="Palatino Linotype" w:eastAsia="Palatino Linotype" w:hAnsi="Palatino Linotype" w:cs="Palatino Linotype"/>
          <w:i/>
          <w:sz w:val="22"/>
          <w:szCs w:val="22"/>
        </w:rPr>
        <w:t xml:space="preserve"> la información que requiero, siendo esta de orden público, por lo que: 1. Se ha vulnerado el derecho al acceso de información pública que protege nuestra Constitución Política de los Estados Unidos Mexicanos en sus artículos 6° y 8° así como también los artículos 4° y 7° de la Ley de Transparencia y Acceso a la Información Pública del Estado de México y Municipios. 2. Incumple con el artículo 53 de la Ley de Transparencia y Acceso a la Información Pública del Estado de México y Municipios en sus fracciones II, IV y V. 3. No cumple con el artículo 9° de la Ley de Transparencia y Acceso a la Información Pública del Estado de México y Municipios en su principio de eficacia, contemplado en su numeral II." (Sic) </w:t>
      </w:r>
      <w:r w:rsidRPr="000E7B47">
        <w:rPr>
          <w:rFonts w:ascii="Palatino Linotype" w:eastAsia="Palatino Linotype" w:hAnsi="Palatino Linotype" w:cs="Palatino Linotype"/>
          <w:b/>
          <w:sz w:val="22"/>
          <w:szCs w:val="22"/>
        </w:rPr>
        <w:t xml:space="preserve">Archivos adjuntos: </w:t>
      </w:r>
    </w:p>
    <w:p w:rsidR="00ED1301" w:rsidRPr="000E7B47" w:rsidRDefault="00BE0E91">
      <w:pPr>
        <w:spacing w:before="240" w:after="240" w:line="360"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b/>
          <w:i/>
        </w:rPr>
        <w:t xml:space="preserve">“Recurso de revisión. Folio 00094.pdf”: </w:t>
      </w:r>
      <w:r w:rsidRPr="000E7B47">
        <w:rPr>
          <w:rFonts w:ascii="Palatino Linotype" w:eastAsia="Palatino Linotype" w:hAnsi="Palatino Linotype" w:cs="Palatino Linotype"/>
        </w:rPr>
        <w:t xml:space="preserve">Documento de cuatro fojas en el que se aprecia el escrito de recurso de revisión del particular, se insertan capturas de pantalla con los argumentos centrales de su inconformidad: </w:t>
      </w:r>
    </w:p>
    <w:p w:rsidR="00ED1301" w:rsidRPr="000E7B47" w:rsidRDefault="00007F80">
      <w:pPr>
        <w:spacing w:before="240" w:after="240" w:line="360" w:lineRule="auto"/>
        <w:ind w:left="567" w:right="567"/>
        <w:jc w:val="both"/>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anchor distT="0" distB="0" distL="114300" distR="114300" simplePos="0" relativeHeight="251664384" behindDoc="0" locked="0" layoutInCell="1" allowOverlap="1">
            <wp:simplePos x="0" y="0"/>
            <wp:positionH relativeFrom="column">
              <wp:posOffset>929640</wp:posOffset>
            </wp:positionH>
            <wp:positionV relativeFrom="paragraph">
              <wp:posOffset>2334260</wp:posOffset>
            </wp:positionV>
            <wp:extent cx="3886200" cy="5181600"/>
            <wp:effectExtent l="0" t="0" r="0" b="0"/>
            <wp:wrapTopAndBottom/>
            <wp:docPr id="3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886200" cy="5181600"/>
                    </a:xfrm>
                    <a:prstGeom prst="rect">
                      <a:avLst/>
                    </a:prstGeom>
                    <a:ln/>
                  </pic:spPr>
                </pic:pic>
              </a:graphicData>
            </a:graphic>
            <wp14:sizeRelH relativeFrom="page">
              <wp14:pctWidth>0</wp14:pctWidth>
            </wp14:sizeRelH>
            <wp14:sizeRelV relativeFrom="page">
              <wp14:pctHeight>0</wp14:pctHeight>
            </wp14:sizeRelV>
          </wp:anchor>
        </w:drawing>
      </w:r>
      <w:r w:rsidR="00BE0E91" w:rsidRPr="000E7B47">
        <w:rPr>
          <w:rFonts w:ascii="Palatino Linotype" w:eastAsia="Palatino Linotype" w:hAnsi="Palatino Linotype" w:cs="Palatino Linotype"/>
          <w:noProof/>
          <w:lang w:val="es-MX"/>
        </w:rPr>
        <w:drawing>
          <wp:inline distT="0" distB="0" distL="0" distR="0">
            <wp:extent cx="5133975" cy="2228850"/>
            <wp:effectExtent l="0" t="0" r="9525" b="0"/>
            <wp:docPr id="3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7"/>
                    <a:srcRect t="68336"/>
                    <a:stretch/>
                  </pic:blipFill>
                  <pic:spPr bwMode="auto">
                    <a:xfrm>
                      <a:off x="0" y="0"/>
                      <a:ext cx="5133975" cy="2228850"/>
                    </a:xfrm>
                    <a:prstGeom prst="rect">
                      <a:avLst/>
                    </a:prstGeom>
                    <a:ln>
                      <a:noFill/>
                    </a:ln>
                    <a:extLst>
                      <a:ext uri="{53640926-AAD7-44D8-BBD7-CCE9431645EC}">
                        <a14:shadowObscured xmlns:a14="http://schemas.microsoft.com/office/drawing/2010/main"/>
                      </a:ext>
                    </a:extLst>
                  </pic:spPr>
                </pic:pic>
              </a:graphicData>
            </a:graphic>
          </wp:inline>
        </w:drawing>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lastRenderedPageBreak/>
        <w:t xml:space="preserve">7. Turno. </w:t>
      </w:r>
      <w:r w:rsidRPr="000E7B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0E7B47">
        <w:rPr>
          <w:rFonts w:ascii="Palatino Linotype" w:eastAsia="Palatino Linotype" w:hAnsi="Palatino Linotype" w:cs="Palatino Linotype"/>
          <w:b/>
        </w:rPr>
        <w:t>Comisionada Guadalupe Ramírez Peña</w:t>
      </w:r>
      <w:r w:rsidRPr="000E7B47">
        <w:rPr>
          <w:rFonts w:ascii="Palatino Linotype" w:eastAsia="Palatino Linotype" w:hAnsi="Palatino Linotype" w:cs="Palatino Linotype"/>
        </w:rPr>
        <w:t xml:space="preserve"> para su análisis, estudio, elaboración del proyecto y presentación ante el Pleno de este Instituto.</w:t>
      </w:r>
    </w:p>
    <w:p w:rsidR="00ED1301" w:rsidRPr="000E7B47" w:rsidRDefault="00BE0E91">
      <w:pPr>
        <w:spacing w:before="240" w:after="240" w:line="360" w:lineRule="auto"/>
        <w:jc w:val="both"/>
      </w:pPr>
      <w:r w:rsidRPr="000E7B47">
        <w:rPr>
          <w:rFonts w:ascii="Palatino Linotype" w:eastAsia="Palatino Linotype" w:hAnsi="Palatino Linotype" w:cs="Palatino Linotype"/>
          <w:b/>
        </w:rPr>
        <w:t xml:space="preserve">8. Admisión. </w:t>
      </w:r>
      <w:r w:rsidRPr="000E7B47">
        <w:rPr>
          <w:rFonts w:ascii="Palatino Linotype" w:eastAsia="Palatino Linotype" w:hAnsi="Palatino Linotype" w:cs="Palatino Linotype"/>
        </w:rPr>
        <w:t xml:space="preserve">Mediante auto de fecha </w:t>
      </w:r>
      <w:r w:rsidRPr="000E7B47">
        <w:rPr>
          <w:rFonts w:ascii="Palatino Linotype" w:eastAsia="Palatino Linotype" w:hAnsi="Palatino Linotype" w:cs="Palatino Linotype"/>
          <w:b/>
        </w:rPr>
        <w:t>veintiséis de mayo del dos mil veintidós</w:t>
      </w:r>
      <w:r w:rsidRPr="000E7B47">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ED1301" w:rsidRPr="000E7B47" w:rsidRDefault="00BE0E91">
      <w:pPr>
        <w:widowControl w:val="0"/>
        <w:tabs>
          <w:tab w:val="left" w:pos="709"/>
        </w:tabs>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9. Manifestaciones.</w:t>
      </w:r>
      <w:r w:rsidRPr="000E7B47">
        <w:rPr>
          <w:rFonts w:ascii="Palatino Linotype" w:eastAsia="Palatino Linotype" w:hAnsi="Palatino Linotype" w:cs="Palatino Linotype"/>
          <w:b/>
          <w:sz w:val="28"/>
          <w:szCs w:val="28"/>
        </w:rPr>
        <w:t xml:space="preserve"> </w:t>
      </w:r>
      <w:r w:rsidRPr="000E7B47">
        <w:rPr>
          <w:rFonts w:ascii="Palatino Linotype" w:eastAsia="Palatino Linotype" w:hAnsi="Palatino Linotype" w:cs="Palatino Linotype"/>
        </w:rPr>
        <w:t xml:space="preserve">De las constancias que integran el expediente en que se actúan se advierte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rindió su informe justificado, el </w:t>
      </w:r>
      <w:r w:rsidRPr="000E7B47">
        <w:rPr>
          <w:rFonts w:ascii="Palatino Linotype" w:eastAsia="Palatino Linotype" w:hAnsi="Palatino Linotype" w:cs="Palatino Linotype"/>
          <w:b/>
        </w:rPr>
        <w:t>seis de junio de dos mil veintidós</w:t>
      </w:r>
      <w:r w:rsidRPr="000E7B47">
        <w:rPr>
          <w:rFonts w:ascii="Palatino Linotype" w:eastAsia="Palatino Linotype" w:hAnsi="Palatino Linotype" w:cs="Palatino Linotype"/>
        </w:rPr>
        <w:t xml:space="preserve">, mediante el archivo electrónico </w:t>
      </w:r>
      <w:r w:rsidRPr="000E7B47">
        <w:rPr>
          <w:rFonts w:ascii="Palatino Linotype" w:eastAsia="Palatino Linotype" w:hAnsi="Palatino Linotype" w:cs="Palatino Linotype"/>
          <w:b/>
          <w:i/>
        </w:rPr>
        <w:t xml:space="preserve">“rr94.pdf”, </w:t>
      </w:r>
      <w:r w:rsidRPr="000E7B47">
        <w:rPr>
          <w:rFonts w:ascii="Palatino Linotype" w:eastAsia="Palatino Linotype" w:hAnsi="Palatino Linotype" w:cs="Palatino Linotype"/>
        </w:rPr>
        <w:t xml:space="preserve">el cual ratifica la respuesta vertida inicialmente por el </w:t>
      </w:r>
      <w:r w:rsidRPr="000E7B47">
        <w:rPr>
          <w:rFonts w:ascii="Palatino Linotype" w:eastAsia="Palatino Linotype" w:hAnsi="Palatino Linotype" w:cs="Palatino Linotype"/>
          <w:b/>
        </w:rPr>
        <w:t xml:space="preserve">Sujeto Obligado, </w:t>
      </w:r>
      <w:r w:rsidRPr="000E7B47">
        <w:rPr>
          <w:rFonts w:ascii="Palatino Linotype" w:eastAsia="Palatino Linotype" w:hAnsi="Palatino Linotype" w:cs="Palatino Linotype"/>
        </w:rPr>
        <w:t>debe precisarse que este documento fue puesto a la vista del particular mediante acuerdo emitido por la Comisionada Ponente el</w:t>
      </w:r>
      <w:r w:rsidRPr="000E7B47">
        <w:rPr>
          <w:rFonts w:ascii="Palatino Linotype" w:eastAsia="Palatino Linotype" w:hAnsi="Palatino Linotype" w:cs="Palatino Linotype"/>
          <w:b/>
        </w:rPr>
        <w:t xml:space="preserve"> veintinueve de septiembre de dos mil veintidós</w:t>
      </w:r>
      <w:r w:rsidRPr="000E7B47">
        <w:rPr>
          <w:rFonts w:ascii="Palatino Linotype" w:eastAsia="Palatino Linotype" w:hAnsi="Palatino Linotype" w:cs="Palatino Linotype"/>
        </w:rPr>
        <w:t>, asimismo, por cuanto hace a</w:t>
      </w:r>
      <w:r w:rsidRPr="000E7B47">
        <w:rPr>
          <w:rFonts w:ascii="Palatino Linotype" w:eastAsia="Palatino Linotype" w:hAnsi="Palatino Linotype" w:cs="Palatino Linotype"/>
          <w:b/>
        </w:rPr>
        <w:t>l Recurrente</w:t>
      </w:r>
      <w:r w:rsidRPr="000E7B47">
        <w:rPr>
          <w:rFonts w:ascii="Palatino Linotype" w:eastAsia="Palatino Linotype" w:hAnsi="Palatino Linotype" w:cs="Palatino Linotype"/>
        </w:rPr>
        <w:t xml:space="preserve"> se tiene que fue omisa en emitir pronunciamiento alguno que a su derecho convenga, por lo tanto, se tiene por </w:t>
      </w:r>
      <w:proofErr w:type="spellStart"/>
      <w:r w:rsidRPr="000E7B47">
        <w:rPr>
          <w:rFonts w:ascii="Palatino Linotype" w:eastAsia="Palatino Linotype" w:hAnsi="Palatino Linotype" w:cs="Palatino Linotype"/>
        </w:rPr>
        <w:t>precluido</w:t>
      </w:r>
      <w:proofErr w:type="spellEnd"/>
      <w:r w:rsidRPr="000E7B47">
        <w:rPr>
          <w:rFonts w:ascii="Palatino Linotype" w:eastAsia="Palatino Linotype" w:hAnsi="Palatino Linotype" w:cs="Palatino Linotype"/>
        </w:rPr>
        <w:t xml:space="preserve"> su derecho para tal efecto. </w:t>
      </w:r>
    </w:p>
    <w:p w:rsidR="00ED1301" w:rsidRPr="000E7B47" w:rsidRDefault="00BE0E91">
      <w:pPr>
        <w:widowControl w:val="0"/>
        <w:tabs>
          <w:tab w:val="left" w:pos="709"/>
        </w:tabs>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inline distT="0" distB="0" distL="0" distR="0">
            <wp:extent cx="5391150" cy="2333625"/>
            <wp:effectExtent l="0" t="0" r="0" b="0"/>
            <wp:docPr id="3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391150" cy="2333625"/>
                    </a:xfrm>
                    <a:prstGeom prst="rect">
                      <a:avLst/>
                    </a:prstGeom>
                    <a:ln/>
                  </pic:spPr>
                </pic:pic>
              </a:graphicData>
            </a:graphic>
          </wp:inline>
        </w:drawing>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10.- Ampliación del plazo para emitir resolución.</w:t>
      </w:r>
      <w:r w:rsidRPr="000E7B47">
        <w:rPr>
          <w:rFonts w:ascii="Palatino Linotype" w:eastAsia="Palatino Linotype" w:hAnsi="Palatino Linotype" w:cs="Palatino Linotype"/>
        </w:rPr>
        <w:t xml:space="preserve"> El </w:t>
      </w:r>
      <w:r w:rsidRPr="000E7B47">
        <w:rPr>
          <w:rFonts w:ascii="Palatino Linotype" w:eastAsia="Palatino Linotype" w:hAnsi="Palatino Linotype" w:cs="Palatino Linotype"/>
          <w:b/>
        </w:rPr>
        <w:t>veintinueve de septiembre de dos mil veintidós</w:t>
      </w:r>
      <w:r w:rsidRPr="000E7B47">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w:t>
      </w:r>
      <w:r w:rsidRPr="000E7B47">
        <w:rPr>
          <w:rFonts w:ascii="Palatino Linotype" w:eastAsia="Palatino Linotype" w:hAnsi="Palatino Linotype" w:cs="Palatino Linotype"/>
        </w:rPr>
        <w:lastRenderedPageBreak/>
        <w:t>medir la razonabilidad de asuntos conforme a los parámetros establecidos por diversos órganos jurisdiccionales federales, aplicables también en procedimientos análogos, como el que nos ocupa.</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0E7B47">
        <w:rPr>
          <w:rFonts w:ascii="Palatino Linotype" w:eastAsia="Palatino Linotype" w:hAnsi="Palatino Linotype" w:cs="Palatino Linotype"/>
        </w:rPr>
        <w:t>su resolución atentos</w:t>
      </w:r>
      <w:proofErr w:type="gramEnd"/>
      <w:r w:rsidRPr="000E7B47">
        <w:rPr>
          <w:rFonts w:ascii="Palatino Linotype" w:eastAsia="Palatino Linotype" w:hAnsi="Palatino Linotype" w:cs="Palatino Linotype"/>
        </w:rPr>
        <w:t xml:space="preserve"> a los siguientes criterios: </w:t>
      </w:r>
      <w:r w:rsidRPr="000E7B47">
        <w:br/>
      </w:r>
    </w:p>
    <w:p w:rsidR="00ED1301" w:rsidRPr="000E7B47" w:rsidRDefault="00BE0E91">
      <w:pPr>
        <w:numPr>
          <w:ilvl w:val="0"/>
          <w:numId w:val="1"/>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E7B47">
        <w:rPr>
          <w:rFonts w:ascii="Palatino Linotype" w:eastAsia="Palatino Linotype" w:hAnsi="Palatino Linotype" w:cs="Palatino Linotype"/>
        </w:rPr>
        <w:t>Complejidad del Asunto: La complejidad de la prueba, la pluralidad de sujetos procesales, el tiempo transcurrido, las características y contexto del recurso. </w:t>
      </w:r>
      <w:r w:rsidRPr="000E7B47">
        <w:br/>
      </w:r>
    </w:p>
    <w:p w:rsidR="00ED1301" w:rsidRPr="000E7B47" w:rsidRDefault="00BE0E91">
      <w:pPr>
        <w:numPr>
          <w:ilvl w:val="0"/>
          <w:numId w:val="2"/>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E7B47">
        <w:rPr>
          <w:rFonts w:ascii="Palatino Linotype" w:eastAsia="Palatino Linotype" w:hAnsi="Palatino Linotype" w:cs="Palatino Linotype"/>
        </w:rPr>
        <w:t>Actividad Procesal del interesado. Acciones u omisiones del interesado.</w:t>
      </w:r>
    </w:p>
    <w:p w:rsidR="00ED1301" w:rsidRPr="000E7B47" w:rsidRDefault="00ED1301">
      <w:pPr>
        <w:spacing w:line="360" w:lineRule="auto"/>
      </w:pPr>
    </w:p>
    <w:p w:rsidR="00ED1301" w:rsidRPr="000E7B47" w:rsidRDefault="00BE0E91">
      <w:pPr>
        <w:numPr>
          <w:ilvl w:val="0"/>
          <w:numId w:val="5"/>
        </w:numPr>
        <w:pBdr>
          <w:top w:val="nil"/>
          <w:left w:val="nil"/>
          <w:bottom w:val="nil"/>
          <w:right w:val="nil"/>
          <w:between w:val="nil"/>
        </w:pBdr>
        <w:spacing w:line="360" w:lineRule="auto"/>
        <w:ind w:left="927"/>
        <w:jc w:val="both"/>
        <w:rPr>
          <w:rFonts w:ascii="Palatino Linotype" w:eastAsia="Palatino Linotype" w:hAnsi="Palatino Linotype" w:cs="Palatino Linotype"/>
        </w:rPr>
      </w:pPr>
      <w:r w:rsidRPr="000E7B47">
        <w:rPr>
          <w:rFonts w:ascii="Palatino Linotype" w:eastAsia="Palatino Linotype" w:hAnsi="Palatino Linotype" w:cs="Palatino Linotype"/>
        </w:rPr>
        <w:t>Conducta de la Autoridad: Las Acciones u omisiones realizadas en el procedimiento. Así como si la autoridad actuó con la debida diligencia.</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ind w:left="567"/>
        <w:jc w:val="both"/>
      </w:pPr>
      <w:r w:rsidRPr="000E7B47">
        <w:rPr>
          <w:rFonts w:ascii="Palatino Linotype" w:eastAsia="Palatino Linotype" w:hAnsi="Palatino Linotype" w:cs="Palatino Linotype"/>
        </w:rPr>
        <w:t>d) La afectación generada en la situación jurídica de la persona involucrada en el proceso: Violación a sus derechos humanos.</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Argumento que encuentra sustento en la jurisprudencia P</w:t>
      </w:r>
      <w:proofErr w:type="gramStart"/>
      <w:r w:rsidRPr="000E7B47">
        <w:rPr>
          <w:rFonts w:ascii="Palatino Linotype" w:eastAsia="Palatino Linotype" w:hAnsi="Palatino Linotype" w:cs="Palatino Linotype"/>
        </w:rPr>
        <w:t>./</w:t>
      </w:r>
      <w:proofErr w:type="gramEnd"/>
      <w:r w:rsidRPr="000E7B47">
        <w:rPr>
          <w:rFonts w:ascii="Palatino Linotype" w:eastAsia="Palatino Linotype" w:hAnsi="Palatino Linotype" w:cs="Palatino Linotype"/>
        </w:rPr>
        <w:t xml:space="preserve">J. 32/92 emitida por el Pleno de la Suprema Corte de Justicia de la Nación de rubro </w:t>
      </w:r>
      <w:r w:rsidRPr="000E7B4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E7B47">
        <w:rPr>
          <w:rFonts w:ascii="Palatino Linotype" w:eastAsia="Palatino Linotype" w:hAnsi="Palatino Linotype" w:cs="Palatino Linotype"/>
        </w:rPr>
        <w:t>, visible en la Gaceta del Seminario Judicial de la Federación con el registro digital 205635.</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w:t>
      </w:r>
      <w:r w:rsidRPr="000E7B47">
        <w:rPr>
          <w:rFonts w:ascii="Palatino Linotype" w:eastAsia="Palatino Linotype" w:hAnsi="Palatino Linotype" w:cs="Palatino Linotype"/>
        </w:rPr>
        <w:lastRenderedPageBreak/>
        <w:t>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 </w:t>
      </w:r>
      <w:r w:rsidRPr="000E7B47">
        <w:rPr>
          <w:rFonts w:ascii="Palatino Linotype" w:eastAsia="Palatino Linotype" w:hAnsi="Palatino Linotype" w:cs="Palatino Linotype"/>
          <w:i/>
        </w:rPr>
        <w:t>“PLAZO RAZONABLE PARA RESOLVER. DIMENSIÓN Y EFECTOS DE ESTE CONCEPTO CUANDO SE ADUCE EXCESIVA CARGA DE TRABAJO.”</w:t>
      </w:r>
      <w:r w:rsidRPr="000E7B47">
        <w:rPr>
          <w:rFonts w:ascii="Palatino Linotype" w:eastAsia="Palatino Linotype" w:hAnsi="Palatino Linotype" w:cs="Palatino Linotype"/>
        </w:rPr>
        <w:t xml:space="preserve"> consultable en el Seminario Judicial de la Federación y su gaceta, con el registro digital 2002351.</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i/>
        </w:rPr>
        <w:t>“PLAZO RAZONABLE PARA RESOLVER. CONCEPTO Y ELEMENTOS QUE LO INTEGRAN A LA LUZ DEL DERECHO INTERNACIONAL DE LOS DERECHOS HUMANOS.”</w:t>
      </w:r>
      <w:r w:rsidRPr="000E7B47">
        <w:rPr>
          <w:rFonts w:ascii="Palatino Linotype" w:eastAsia="Palatino Linotype" w:hAnsi="Palatino Linotype" w:cs="Palatino Linotype"/>
        </w:rPr>
        <w:t>, visible en el Seminario Judicial de la Federación y su gaceta, con el registro digital 2002350.</w:t>
      </w:r>
    </w:p>
    <w:p w:rsidR="00ED1301" w:rsidRPr="000E7B47" w:rsidRDefault="00ED1301">
      <w:pPr>
        <w:spacing w:line="360" w:lineRule="auto"/>
      </w:pPr>
    </w:p>
    <w:p w:rsidR="00ED1301" w:rsidRPr="000E7B47" w:rsidRDefault="00BE0E91">
      <w:pPr>
        <w:pBdr>
          <w:top w:val="nil"/>
          <w:left w:val="nil"/>
          <w:bottom w:val="nil"/>
          <w:right w:val="nil"/>
          <w:between w:val="nil"/>
        </w:pBdr>
        <w:spacing w:line="360" w:lineRule="auto"/>
        <w:jc w:val="both"/>
      </w:pPr>
      <w:r w:rsidRPr="000E7B4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ED1301" w:rsidRPr="000E7B47" w:rsidRDefault="00BE0E91">
      <w:pPr>
        <w:spacing w:before="240" w:after="240" w:line="360" w:lineRule="auto"/>
        <w:jc w:val="both"/>
        <w:rPr>
          <w:rFonts w:ascii="Palatino Linotype" w:eastAsia="Palatino Linotype" w:hAnsi="Palatino Linotype" w:cs="Palatino Linotype"/>
          <w:b/>
          <w:sz w:val="28"/>
          <w:szCs w:val="28"/>
        </w:rPr>
      </w:pPr>
      <w:r w:rsidRPr="000E7B47">
        <w:rPr>
          <w:rFonts w:ascii="Palatino Linotype" w:eastAsia="Palatino Linotype" w:hAnsi="Palatino Linotype" w:cs="Palatino Linotype"/>
          <w:b/>
        </w:rPr>
        <w:t xml:space="preserve">11. Cierre de Instrucción. </w:t>
      </w:r>
      <w:r w:rsidRPr="000E7B47">
        <w:rPr>
          <w:rFonts w:ascii="Palatino Linotype" w:eastAsia="Palatino Linotype" w:hAnsi="Palatino Linotype" w:cs="Palatino Linotype"/>
        </w:rPr>
        <w:t xml:space="preserve">El </w:t>
      </w:r>
      <w:r w:rsidR="00695BC8" w:rsidRPr="000E7B47">
        <w:rPr>
          <w:rFonts w:ascii="Palatino Linotype" w:eastAsia="Palatino Linotype" w:hAnsi="Palatino Linotype" w:cs="Palatino Linotype"/>
          <w:b/>
        </w:rPr>
        <w:t>once</w:t>
      </w:r>
      <w:r w:rsidRPr="000E7B47">
        <w:rPr>
          <w:rFonts w:ascii="Palatino Linotype" w:eastAsia="Palatino Linotype" w:hAnsi="Palatino Linotype" w:cs="Palatino Linotype"/>
          <w:b/>
        </w:rPr>
        <w:t xml:space="preserve"> de octubre del año dos mil veintidós</w:t>
      </w:r>
      <w:r w:rsidRPr="000E7B47">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w:t>
      </w:r>
      <w:r w:rsidRPr="000E7B47">
        <w:rPr>
          <w:rFonts w:ascii="Palatino Linotype" w:eastAsia="Palatino Linotype" w:hAnsi="Palatino Linotype" w:cs="Palatino Linotype"/>
        </w:rPr>
        <w:lastRenderedPageBreak/>
        <w:t xml:space="preserve">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0E7B47">
        <w:rPr>
          <w:rFonts w:ascii="Palatino Linotype" w:eastAsia="Palatino Linotype" w:hAnsi="Palatino Linotype" w:cs="Palatino Linotype"/>
          <w:b/>
          <w:sz w:val="28"/>
          <w:szCs w:val="28"/>
        </w:rPr>
        <w:t xml:space="preserve"> </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ED1301" w:rsidRPr="000E7B47" w:rsidRDefault="00BE0E91">
      <w:pPr>
        <w:pStyle w:val="Ttulo2"/>
        <w:spacing w:before="240" w:after="240" w:line="360" w:lineRule="auto"/>
        <w:jc w:val="center"/>
        <w:rPr>
          <w:rFonts w:ascii="Palatino Linotype" w:eastAsia="Palatino Linotype" w:hAnsi="Palatino Linotype" w:cs="Palatino Linotype"/>
          <w:b/>
          <w:color w:val="auto"/>
          <w:sz w:val="24"/>
          <w:szCs w:val="24"/>
        </w:rPr>
      </w:pPr>
      <w:r w:rsidRPr="000E7B47">
        <w:rPr>
          <w:rFonts w:ascii="Palatino Linotype" w:eastAsia="Palatino Linotype" w:hAnsi="Palatino Linotype" w:cs="Palatino Linotype"/>
          <w:b/>
          <w:color w:val="auto"/>
          <w:sz w:val="24"/>
          <w:szCs w:val="24"/>
        </w:rPr>
        <w:t>II. C O N S I D E R A N D O S:</w:t>
      </w:r>
    </w:p>
    <w:p w:rsidR="00ED1301" w:rsidRPr="000E7B47" w:rsidRDefault="00BE0E91">
      <w:pPr>
        <w:spacing w:before="240" w:after="240" w:line="360" w:lineRule="auto"/>
        <w:jc w:val="both"/>
        <w:rPr>
          <w:rFonts w:ascii="Palatino Linotype" w:eastAsia="Palatino Linotype" w:hAnsi="Palatino Linotype" w:cs="Palatino Linotype"/>
          <w:b/>
        </w:rPr>
      </w:pPr>
      <w:r w:rsidRPr="000E7B47">
        <w:rPr>
          <w:rFonts w:ascii="Palatino Linotype" w:eastAsia="Palatino Linotype" w:hAnsi="Palatino Linotype" w:cs="Palatino Linotype"/>
          <w:b/>
        </w:rPr>
        <w:t>Primero. Competencia</w:t>
      </w:r>
      <w:r w:rsidRPr="000E7B47">
        <w:rPr>
          <w:rFonts w:ascii="Palatino Linotype" w:eastAsia="Palatino Linotype" w:hAnsi="Palatino Linotype" w:cs="Palatino Linotype"/>
          <w:b/>
          <w:sz w:val="22"/>
          <w:szCs w:val="22"/>
        </w:rPr>
        <w:t xml:space="preserve">. </w:t>
      </w:r>
      <w:r w:rsidRPr="000E7B4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Segundo. Oportunidad y </w:t>
      </w:r>
      <w:proofErr w:type="spellStart"/>
      <w:r w:rsidRPr="000E7B47">
        <w:rPr>
          <w:rFonts w:ascii="Palatino Linotype" w:eastAsia="Palatino Linotype" w:hAnsi="Palatino Linotype" w:cs="Palatino Linotype"/>
          <w:b/>
        </w:rPr>
        <w:t>Procedibilidad</w:t>
      </w:r>
      <w:proofErr w:type="spellEnd"/>
      <w:r w:rsidRPr="000E7B47">
        <w:rPr>
          <w:rFonts w:ascii="Palatino Linotype" w:eastAsia="Palatino Linotype" w:hAnsi="Palatino Linotype" w:cs="Palatino Linotype"/>
          <w:b/>
        </w:rPr>
        <w:t xml:space="preserve"> del Recurso de Revisión</w:t>
      </w:r>
      <w:r w:rsidRPr="000E7B47">
        <w:rPr>
          <w:rFonts w:ascii="Palatino Linotype" w:eastAsia="Palatino Linotype" w:hAnsi="Palatino Linotype" w:cs="Palatino Linotype"/>
        </w:rPr>
        <w:t xml:space="preserve">. Previo al estudio del fondo del asunto, se procede a analizar los requisitos de oportunidad y </w:t>
      </w:r>
      <w:proofErr w:type="spellStart"/>
      <w:r w:rsidRPr="000E7B47">
        <w:rPr>
          <w:rFonts w:ascii="Palatino Linotype" w:eastAsia="Palatino Linotype" w:hAnsi="Palatino Linotype" w:cs="Palatino Linotype"/>
        </w:rPr>
        <w:t>procedibilidad</w:t>
      </w:r>
      <w:proofErr w:type="spellEnd"/>
      <w:r w:rsidRPr="000E7B47">
        <w:rPr>
          <w:rFonts w:ascii="Palatino Linotype" w:eastAsia="Palatino Linotype" w:hAnsi="Palatino Linotype" w:cs="Palatino Linotype"/>
        </w:rPr>
        <w:t xml:space="preserve"> que debe reunir el recurso de revisión interpuesto, previstos en </w:t>
      </w:r>
      <w:r w:rsidRPr="000E7B47">
        <w:rPr>
          <w:rFonts w:ascii="Palatino Linotype" w:eastAsia="Palatino Linotype" w:hAnsi="Palatino Linotype" w:cs="Palatino Linotype"/>
        </w:rPr>
        <w:lastRenderedPageBreak/>
        <w:t>los artículos 178 y 180 de la Ley de Transparencia y Acceso a la Información Pública del Estado de México y Municipios.</w:t>
      </w:r>
    </w:p>
    <w:p w:rsidR="00ED1301" w:rsidRPr="000E7B47" w:rsidRDefault="00BE0E91">
      <w:pPr>
        <w:spacing w:before="240" w:after="240" w:line="360" w:lineRule="auto"/>
        <w:jc w:val="both"/>
        <w:rPr>
          <w:rFonts w:ascii="Palatino Linotype" w:eastAsia="Palatino Linotype" w:hAnsi="Palatino Linotype" w:cs="Palatino Linotype"/>
          <w:b/>
        </w:rPr>
      </w:pPr>
      <w:r w:rsidRPr="000E7B4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remitió su respuesta a la solicitud de información el día </w:t>
      </w:r>
      <w:r w:rsidRPr="000E7B47">
        <w:rPr>
          <w:rFonts w:ascii="Palatino Linotype" w:eastAsia="Palatino Linotype" w:hAnsi="Palatino Linotype" w:cs="Palatino Linotype"/>
          <w:b/>
        </w:rPr>
        <w:t xml:space="preserve">diecisiete de mayo de dos mil veintidós, </w:t>
      </w:r>
      <w:r w:rsidRPr="000E7B47">
        <w:rPr>
          <w:rFonts w:ascii="Palatino Linotype" w:eastAsia="Palatino Linotype" w:hAnsi="Palatino Linotype" w:cs="Palatino Linotype"/>
        </w:rPr>
        <w:t xml:space="preserve">mientras que el recurso de revisión interpuesto por </w:t>
      </w:r>
      <w:r w:rsidRPr="000E7B47">
        <w:rPr>
          <w:rFonts w:ascii="Palatino Linotype" w:eastAsia="Palatino Linotype" w:hAnsi="Palatino Linotype" w:cs="Palatino Linotype"/>
          <w:b/>
        </w:rPr>
        <w:t>el Recurrente</w:t>
      </w:r>
      <w:r w:rsidRPr="000E7B47">
        <w:rPr>
          <w:rFonts w:ascii="Palatino Linotype" w:eastAsia="Palatino Linotype" w:hAnsi="Palatino Linotype" w:cs="Palatino Linotype"/>
        </w:rPr>
        <w:t xml:space="preserve">, se tuvo por presentado el día </w:t>
      </w:r>
      <w:r w:rsidRPr="000E7B47">
        <w:rPr>
          <w:rFonts w:ascii="Palatino Linotype" w:eastAsia="Palatino Linotype" w:hAnsi="Palatino Linotype" w:cs="Palatino Linotype"/>
          <w:b/>
        </w:rPr>
        <w:t>veintitrés de mayo de dos mil veintidós</w:t>
      </w:r>
      <w:r w:rsidRPr="000E7B47">
        <w:rPr>
          <w:rFonts w:ascii="Palatino Linotype" w:eastAsia="Palatino Linotype" w:hAnsi="Palatino Linotype" w:cs="Palatino Linotype"/>
        </w:rPr>
        <w:t xml:space="preserve">, esto es, al </w:t>
      </w:r>
      <w:r w:rsidRPr="000E7B47">
        <w:rPr>
          <w:rFonts w:ascii="Palatino Linotype" w:eastAsia="Palatino Linotype" w:hAnsi="Palatino Linotype" w:cs="Palatino Linotype"/>
          <w:b/>
        </w:rPr>
        <w:t>cuarto día hábil</w:t>
      </w:r>
      <w:r w:rsidRPr="000E7B47">
        <w:rPr>
          <w:rFonts w:ascii="Palatino Linotype" w:eastAsia="Palatino Linotype" w:hAnsi="Palatino Linotype" w:cs="Palatino Linotype"/>
        </w:rPr>
        <w:t xml:space="preserve"> en que tuvo conocimiento de la respuesta impugnada</w:t>
      </w:r>
      <w:r w:rsidRPr="000E7B47">
        <w:rPr>
          <w:rFonts w:ascii="Palatino Linotype" w:eastAsia="Palatino Linotype" w:hAnsi="Palatino Linotype" w:cs="Palatino Linotype"/>
          <w:b/>
        </w:rPr>
        <w:t>.</w:t>
      </w:r>
    </w:p>
    <w:p w:rsidR="00ED1301" w:rsidRPr="000E7B47" w:rsidRDefault="00BE0E9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Asimismo, por cuanto hace a la </w:t>
      </w:r>
      <w:proofErr w:type="spellStart"/>
      <w:r w:rsidRPr="000E7B47">
        <w:rPr>
          <w:rFonts w:ascii="Palatino Linotype" w:eastAsia="Palatino Linotype" w:hAnsi="Palatino Linotype" w:cs="Palatino Linotype"/>
        </w:rPr>
        <w:t>procedibilidad</w:t>
      </w:r>
      <w:proofErr w:type="spellEnd"/>
      <w:r w:rsidRPr="000E7B47">
        <w:rPr>
          <w:rFonts w:ascii="Palatino Linotype" w:eastAsia="Palatino Linotype" w:hAnsi="Palatino Linotype" w:cs="Palatino Linotype"/>
        </w:rPr>
        <w:t xml:space="preserve"> del  recurso de revisión, es de suma importancia señalar que </w:t>
      </w:r>
      <w:r w:rsidRPr="000E7B47">
        <w:rPr>
          <w:rFonts w:ascii="Palatino Linotype" w:eastAsia="Palatino Linotype" w:hAnsi="Palatino Linotype" w:cs="Palatino Linotype"/>
          <w:b/>
        </w:rPr>
        <w:t>el Recurrente</w:t>
      </w:r>
      <w:r w:rsidRPr="000E7B47">
        <w:rPr>
          <w:rFonts w:ascii="Palatino Linotype" w:eastAsia="Palatino Linotype" w:hAnsi="Palatino Linotype" w:cs="Palatino Linotype"/>
        </w:rPr>
        <w:t>, únicamente señaló como nombre “</w:t>
      </w:r>
      <w:r w:rsidR="00CB55D9">
        <w:rPr>
          <w:rFonts w:ascii="Palatino Linotype" w:eastAsia="Palatino Linotype" w:hAnsi="Palatino Linotype" w:cs="Palatino Linotype"/>
          <w:b/>
        </w:rPr>
        <w:t>XXXX XXXXXXX</w:t>
      </w:r>
      <w:r w:rsidRPr="000E7B47">
        <w:rPr>
          <w:rFonts w:ascii="Palatino Linotype" w:eastAsia="Palatino Linotype" w:hAnsi="Palatino Linotype" w:cs="Palatino Linotype"/>
        </w:rPr>
        <w:t>” ,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D1301" w:rsidRPr="000E7B47" w:rsidRDefault="00BE0E9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D1301" w:rsidRPr="000E7B47" w:rsidRDefault="00BE0E91">
      <w:pPr>
        <w:spacing w:before="240" w:after="240" w:line="360" w:lineRule="auto"/>
        <w:ind w:right="-93"/>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Así las cosas, por cuanto hace a la </w:t>
      </w:r>
      <w:proofErr w:type="spellStart"/>
      <w:r w:rsidRPr="000E7B47">
        <w:rPr>
          <w:rFonts w:ascii="Palatino Linotype" w:eastAsia="Palatino Linotype" w:hAnsi="Palatino Linotype" w:cs="Palatino Linotype"/>
        </w:rPr>
        <w:t>procedibilidad</w:t>
      </w:r>
      <w:proofErr w:type="spellEnd"/>
      <w:r w:rsidRPr="000E7B47">
        <w:rPr>
          <w:rFonts w:ascii="Palatino Linotype" w:eastAsia="Palatino Linotype" w:hAnsi="Palatino Linotype" w:cs="Palatino Linotype"/>
        </w:rPr>
        <w:t xml:space="preserve"> del recurso de revisión, una vez realizado el análisis del formato de interposición del mismo, se concluye la </w:t>
      </w:r>
      <w:r w:rsidRPr="000E7B47">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rsidR="00ED1301" w:rsidRPr="000E7B47" w:rsidRDefault="00BE0E9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E7B47">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Artículo 179</w:t>
      </w:r>
      <w:r w:rsidRPr="000E7B47">
        <w:rPr>
          <w:rFonts w:ascii="Palatino Linotype" w:eastAsia="Palatino Linotype" w:hAnsi="Palatino Linotype" w:cs="Palatino Linotype"/>
          <w:b/>
          <w:sz w:val="22"/>
          <w:szCs w:val="22"/>
        </w:rPr>
        <w:t>.-</w:t>
      </w:r>
      <w:r w:rsidRPr="000E7B47">
        <w:rPr>
          <w:rFonts w:ascii="Palatino Linotype" w:eastAsia="Palatino Linotype" w:hAnsi="Palatino Linotype" w:cs="Palatino Linotype"/>
          <w:sz w:val="22"/>
          <w:szCs w:val="22"/>
        </w:rPr>
        <w:t xml:space="preserve"> </w:t>
      </w:r>
      <w:r w:rsidRPr="000E7B4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ED1301" w:rsidRPr="000E7B47" w:rsidRDefault="00BE0E91">
      <w:pPr>
        <w:spacing w:before="240" w:after="240" w:line="276" w:lineRule="auto"/>
        <w:ind w:left="567" w:right="902"/>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V. La entrega de información incompleta;</w:t>
      </w:r>
      <w:r w:rsidRPr="000E7B47">
        <w:rPr>
          <w:rFonts w:ascii="Palatino Linotype" w:eastAsia="Palatino Linotype" w:hAnsi="Palatino Linotype" w:cs="Palatino Linotype"/>
          <w:i/>
          <w:sz w:val="22"/>
          <w:szCs w:val="22"/>
        </w:rPr>
        <w:t>”    (Sic)</w:t>
      </w:r>
    </w:p>
    <w:p w:rsidR="00ED1301" w:rsidRPr="000E7B47" w:rsidRDefault="00BE0E91">
      <w:pPr>
        <w:spacing w:before="240" w:after="240" w:line="276" w:lineRule="auto"/>
        <w:ind w:left="567"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(Énfasis añadido)              </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 xml:space="preserve">Tercero. Materia de la revisión. </w:t>
      </w:r>
      <w:r w:rsidRPr="000E7B4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E7B4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E7B47">
        <w:rPr>
          <w:rFonts w:ascii="Palatino Linotype" w:eastAsia="Palatino Linotype" w:hAnsi="Palatino Linotype" w:cs="Palatino Linotype"/>
        </w:rPr>
        <w:t xml:space="preserve">de </w:t>
      </w:r>
      <w:r w:rsidRPr="000E7B47">
        <w:rPr>
          <w:rFonts w:ascii="Palatino Linotype" w:eastAsia="Palatino Linotype" w:hAnsi="Palatino Linotype" w:cs="Palatino Linotype"/>
          <w:b/>
        </w:rPr>
        <w:t>la Recurrente</w:t>
      </w:r>
      <w:r w:rsidRPr="000E7B47">
        <w:rPr>
          <w:rFonts w:ascii="Palatino Linotype" w:eastAsia="Palatino Linotype" w:hAnsi="Palatino Linotype" w:cs="Palatino Linotype"/>
        </w:rPr>
        <w:t>, o en su defecto, en caso de ser procedente, ordenar la entrega de información oportuna.</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b/>
        </w:rPr>
        <w:t xml:space="preserve">Cuarto. Estudio del asunto. </w:t>
      </w:r>
      <w:r w:rsidRPr="000E7B47">
        <w:rPr>
          <w:rFonts w:ascii="Palatino Linotype" w:eastAsia="Palatino Linotype" w:hAnsi="Palatino Linotype" w:cs="Palatino Linotype"/>
        </w:rPr>
        <w:t xml:space="preserve">Antes de entrar al análisis de los pronunciamientos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en la respuesta proporcionada, es necesario mencionar que </w:t>
      </w:r>
      <w:r w:rsidRPr="000E7B47">
        <w:rPr>
          <w:rFonts w:ascii="Palatino Linotype" w:eastAsia="Palatino Linotype" w:hAnsi="Palatino Linotype" w:cs="Palatino Linotype"/>
        </w:rPr>
        <w:lastRenderedPageBreak/>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D1301" w:rsidRPr="000E7B47" w:rsidRDefault="00BE0E91">
      <w:pPr>
        <w:pBdr>
          <w:top w:val="nil"/>
          <w:left w:val="nil"/>
          <w:bottom w:val="nil"/>
          <w:right w:val="nil"/>
          <w:between w:val="nil"/>
        </w:pBdr>
        <w:spacing w:before="240" w:after="240"/>
        <w:ind w:left="851" w:right="850"/>
        <w:jc w:val="both"/>
      </w:pPr>
      <w:r w:rsidRPr="000E7B4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7B4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ED1301" w:rsidRPr="000E7B47" w:rsidRDefault="00BE0E91">
      <w:pPr>
        <w:pBdr>
          <w:top w:val="nil"/>
          <w:left w:val="nil"/>
          <w:bottom w:val="nil"/>
          <w:right w:val="nil"/>
          <w:between w:val="nil"/>
        </w:pBdr>
        <w:spacing w:before="240" w:after="240"/>
        <w:ind w:left="851" w:right="850"/>
        <w:jc w:val="both"/>
      </w:pPr>
      <w:r w:rsidRPr="000E7B4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ED1301" w:rsidRPr="000E7B47" w:rsidRDefault="00BE0E91">
      <w:pPr>
        <w:pBdr>
          <w:top w:val="nil"/>
          <w:left w:val="nil"/>
          <w:bottom w:val="nil"/>
          <w:right w:val="nil"/>
          <w:between w:val="nil"/>
        </w:pBdr>
        <w:spacing w:before="240" w:after="240"/>
        <w:ind w:left="851" w:right="850"/>
        <w:jc w:val="both"/>
      </w:pPr>
      <w:r w:rsidRPr="000E7B4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7B4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ED1301" w:rsidRPr="000E7B47" w:rsidRDefault="00BE0E91">
      <w:pPr>
        <w:pBdr>
          <w:top w:val="nil"/>
          <w:left w:val="nil"/>
          <w:bottom w:val="nil"/>
          <w:right w:val="nil"/>
          <w:between w:val="nil"/>
        </w:pBdr>
        <w:spacing w:before="240" w:after="240"/>
        <w:ind w:left="851" w:right="850"/>
        <w:jc w:val="both"/>
      </w:pPr>
      <w:r w:rsidRPr="000E7B47">
        <w:rPr>
          <w:rFonts w:ascii="Palatino Linotype" w:eastAsia="Palatino Linotype" w:hAnsi="Palatino Linotype" w:cs="Palatino Linotype"/>
          <w:i/>
          <w:sz w:val="22"/>
          <w:szCs w:val="22"/>
        </w:rPr>
        <w:t>[…]</w:t>
      </w:r>
    </w:p>
    <w:p w:rsidR="00ED1301" w:rsidRPr="000E7B47" w:rsidRDefault="00BE0E91">
      <w:pPr>
        <w:pBdr>
          <w:top w:val="nil"/>
          <w:left w:val="nil"/>
          <w:bottom w:val="nil"/>
          <w:right w:val="nil"/>
          <w:between w:val="nil"/>
        </w:pBdr>
        <w:spacing w:before="240" w:after="240"/>
        <w:ind w:left="851" w:right="901"/>
        <w:jc w:val="both"/>
      </w:pPr>
      <w:r w:rsidRPr="000E7B47">
        <w:rPr>
          <w:rFonts w:ascii="Palatino Linotype" w:eastAsia="Palatino Linotype" w:hAnsi="Palatino Linotype" w:cs="Palatino Linotype"/>
          <w:b/>
          <w:i/>
          <w:sz w:val="22"/>
          <w:szCs w:val="22"/>
        </w:rPr>
        <w:t>“Artículo 6o.</w:t>
      </w:r>
    </w:p>
    <w:p w:rsidR="00ED1301" w:rsidRPr="000E7B47" w:rsidRDefault="00BE0E91">
      <w:pPr>
        <w:pBdr>
          <w:top w:val="nil"/>
          <w:left w:val="nil"/>
          <w:bottom w:val="nil"/>
          <w:right w:val="nil"/>
          <w:between w:val="nil"/>
        </w:pBdr>
        <w:spacing w:before="240" w:after="240"/>
        <w:ind w:left="851" w:right="901"/>
        <w:jc w:val="both"/>
      </w:pPr>
      <w:r w:rsidRPr="000E7B47">
        <w:rPr>
          <w:rFonts w:ascii="Palatino Linotype" w:eastAsia="Palatino Linotype" w:hAnsi="Palatino Linotype" w:cs="Palatino Linotype"/>
          <w:i/>
          <w:sz w:val="22"/>
          <w:szCs w:val="22"/>
        </w:rPr>
        <w:t>[...]</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b/>
          <w:i/>
          <w:sz w:val="22"/>
          <w:szCs w:val="22"/>
        </w:rPr>
        <w:t xml:space="preserve">A. Para el ejercicio del derecho de acceso a la información, la Federación y </w:t>
      </w:r>
      <w:r w:rsidRPr="000E7B47">
        <w:rPr>
          <w:rFonts w:ascii="Palatino Linotype" w:eastAsia="Palatino Linotype" w:hAnsi="Palatino Linotype" w:cs="Palatino Linotype"/>
          <w:b/>
          <w:i/>
          <w:sz w:val="22"/>
          <w:szCs w:val="22"/>
          <w:u w:val="single"/>
        </w:rPr>
        <w:t>las entidades federativas</w:t>
      </w:r>
      <w:r w:rsidRPr="000E7B47">
        <w:rPr>
          <w:rFonts w:ascii="Palatino Linotype" w:eastAsia="Palatino Linotype" w:hAnsi="Palatino Linotype" w:cs="Palatino Linotype"/>
          <w:b/>
          <w:i/>
          <w:sz w:val="22"/>
          <w:szCs w:val="22"/>
        </w:rPr>
        <w:t>,</w:t>
      </w:r>
      <w:r w:rsidRPr="000E7B47">
        <w:rPr>
          <w:rFonts w:ascii="Palatino Linotype" w:eastAsia="Palatino Linotype" w:hAnsi="Palatino Linotype" w:cs="Palatino Linotype"/>
          <w:i/>
          <w:sz w:val="22"/>
          <w:szCs w:val="22"/>
        </w:rPr>
        <w:t xml:space="preserve"> en el ámbito de sus respectivas competencias, se regirán por los siguientes principios y bases:</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 xml:space="preserve">I. </w:t>
      </w:r>
      <w:r w:rsidRPr="000E7B4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7B47">
        <w:rPr>
          <w:rFonts w:ascii="Palatino Linotype" w:eastAsia="Palatino Linotype" w:hAnsi="Palatino Linotype" w:cs="Palatino Linotype"/>
          <w:i/>
          <w:sz w:val="22"/>
          <w:szCs w:val="22"/>
        </w:rPr>
        <w:t xml:space="preserve"> Ejecutivo, Legislativo </w:t>
      </w:r>
      <w:r w:rsidRPr="000E7B47">
        <w:rPr>
          <w:rFonts w:ascii="Palatino Linotype" w:eastAsia="Palatino Linotype" w:hAnsi="Palatino Linotype" w:cs="Palatino Linotype"/>
          <w:b/>
          <w:i/>
          <w:sz w:val="22"/>
          <w:szCs w:val="22"/>
          <w:u w:val="single"/>
        </w:rPr>
        <w:t>y Judicial</w:t>
      </w:r>
      <w:r w:rsidRPr="000E7B47">
        <w:rPr>
          <w:rFonts w:ascii="Palatino Linotype" w:eastAsia="Palatino Linotype" w:hAnsi="Palatino Linotype" w:cs="Palatino Linotype"/>
          <w:i/>
          <w:sz w:val="22"/>
          <w:szCs w:val="22"/>
        </w:rPr>
        <w:t xml:space="preserve">, </w:t>
      </w:r>
      <w:r w:rsidRPr="000E7B47">
        <w:rPr>
          <w:rFonts w:ascii="Palatino Linotype" w:eastAsia="Palatino Linotype" w:hAnsi="Palatino Linotype" w:cs="Palatino Linotype"/>
          <w:i/>
          <w:sz w:val="22"/>
          <w:szCs w:val="22"/>
        </w:rPr>
        <w:lastRenderedPageBreak/>
        <w:t xml:space="preserve">órganos autónomos, partidos políticos, fideicomisos y fondos públicos, así como de cualquier persona física, moral o sindicato que reciba y ejerza recursos públicos o realice actos de autoridad en el ámbito federal, estatal y municipal, </w:t>
      </w:r>
      <w:r w:rsidRPr="000E7B47">
        <w:rPr>
          <w:rFonts w:ascii="Palatino Linotype" w:eastAsia="Palatino Linotype" w:hAnsi="Palatino Linotype" w:cs="Palatino Linotype"/>
          <w:b/>
          <w:i/>
          <w:sz w:val="22"/>
          <w:szCs w:val="22"/>
        </w:rPr>
        <w:t>es pública y sólo podrá ser reservada temporalmente por razones de interés público y seguridad nacional,</w:t>
      </w:r>
      <w:r w:rsidRPr="000E7B4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 xml:space="preserve">III. </w:t>
      </w:r>
      <w:r w:rsidRPr="000E7B4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7B47">
        <w:rPr>
          <w:rFonts w:ascii="Palatino Linotype" w:eastAsia="Palatino Linotype" w:hAnsi="Palatino Linotype" w:cs="Palatino Linotype"/>
          <w:i/>
          <w:sz w:val="22"/>
          <w:szCs w:val="22"/>
        </w:rPr>
        <w:t xml:space="preserve"> a sus datos personales o a la rectificación de éstos.</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 xml:space="preserve">IV. </w:t>
      </w:r>
      <w:r w:rsidRPr="000E7B4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b/>
          <w:i/>
          <w:sz w:val="22"/>
          <w:szCs w:val="22"/>
        </w:rPr>
        <w:t xml:space="preserve">V. </w:t>
      </w:r>
      <w:r w:rsidRPr="000E7B4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 xml:space="preserve">VI. </w:t>
      </w:r>
      <w:r w:rsidRPr="000E7B4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ED1301" w:rsidRPr="000E7B47" w:rsidRDefault="00BE0E91">
      <w:pPr>
        <w:pBdr>
          <w:top w:val="nil"/>
          <w:left w:val="nil"/>
          <w:bottom w:val="nil"/>
          <w:right w:val="nil"/>
          <w:between w:val="nil"/>
        </w:pBdr>
        <w:spacing w:before="240" w:after="240"/>
        <w:ind w:left="851" w:right="851"/>
        <w:jc w:val="both"/>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 xml:space="preserve">VII. </w:t>
      </w:r>
      <w:r w:rsidRPr="000E7B4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w:t>
      </w:r>
      <w:r w:rsidRPr="000E7B47">
        <w:rPr>
          <w:rFonts w:ascii="Palatino Linotype" w:eastAsia="Palatino Linotype" w:hAnsi="Palatino Linotype" w:cs="Palatino Linotype"/>
        </w:rPr>
        <w:lastRenderedPageBreak/>
        <w:t>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D1301" w:rsidRPr="000E7B47" w:rsidRDefault="00BE0E91">
      <w:pPr>
        <w:pBdr>
          <w:top w:val="nil"/>
          <w:left w:val="nil"/>
          <w:bottom w:val="nil"/>
          <w:right w:val="nil"/>
          <w:between w:val="nil"/>
        </w:pBdr>
        <w:spacing w:before="240" w:after="240"/>
        <w:ind w:left="709" w:right="760"/>
        <w:jc w:val="both"/>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Artículo 4</w:t>
      </w:r>
      <w:r w:rsidRPr="000E7B4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ED1301" w:rsidRPr="000E7B47" w:rsidRDefault="00BE0E91">
      <w:pPr>
        <w:pBdr>
          <w:top w:val="nil"/>
          <w:left w:val="nil"/>
          <w:bottom w:val="nil"/>
          <w:right w:val="nil"/>
          <w:between w:val="nil"/>
        </w:pBdr>
        <w:spacing w:before="240" w:after="240"/>
        <w:ind w:left="709" w:right="760"/>
        <w:jc w:val="both"/>
      </w:pPr>
      <w:r w:rsidRPr="000E7B4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D1301" w:rsidRPr="000E7B47" w:rsidRDefault="00BE0E91">
      <w:pPr>
        <w:pBdr>
          <w:top w:val="nil"/>
          <w:left w:val="nil"/>
          <w:bottom w:val="nil"/>
          <w:right w:val="nil"/>
          <w:between w:val="nil"/>
        </w:pBdr>
        <w:spacing w:before="240" w:after="240"/>
        <w:ind w:left="709" w:right="760"/>
        <w:jc w:val="both"/>
      </w:pPr>
      <w:r w:rsidRPr="000E7B4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D1301" w:rsidRPr="000E7B47" w:rsidRDefault="00BE0E91">
      <w:pPr>
        <w:pBdr>
          <w:top w:val="nil"/>
          <w:left w:val="nil"/>
          <w:bottom w:val="nil"/>
          <w:right w:val="nil"/>
          <w:between w:val="nil"/>
        </w:pBdr>
        <w:spacing w:before="240" w:after="240"/>
        <w:ind w:left="567" w:right="758"/>
        <w:jc w:val="both"/>
      </w:pPr>
      <w:r w:rsidRPr="000E7B47">
        <w:rPr>
          <w:rFonts w:ascii="Palatino Linotype" w:eastAsia="Palatino Linotype" w:hAnsi="Palatino Linotype" w:cs="Palatino Linotype"/>
          <w:i/>
          <w:sz w:val="22"/>
          <w:szCs w:val="22"/>
        </w:rPr>
        <w:lastRenderedPageBreak/>
        <w:t>“</w:t>
      </w:r>
      <w:r w:rsidRPr="000E7B47">
        <w:rPr>
          <w:rFonts w:ascii="Palatino Linotype" w:eastAsia="Palatino Linotype" w:hAnsi="Palatino Linotype" w:cs="Palatino Linotype"/>
          <w:b/>
          <w:i/>
          <w:sz w:val="22"/>
          <w:szCs w:val="22"/>
        </w:rPr>
        <w:t>Artículo 12</w:t>
      </w:r>
      <w:r w:rsidRPr="000E7B4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ED1301" w:rsidRPr="000E7B47" w:rsidRDefault="00BE0E91">
      <w:pPr>
        <w:pBdr>
          <w:top w:val="nil"/>
          <w:left w:val="nil"/>
          <w:bottom w:val="nil"/>
          <w:right w:val="nil"/>
          <w:between w:val="nil"/>
        </w:pBdr>
        <w:spacing w:before="240" w:after="240"/>
        <w:ind w:left="567" w:right="758"/>
        <w:jc w:val="both"/>
      </w:pPr>
      <w:r w:rsidRPr="000E7B4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E7B47">
        <w:rPr>
          <w:rFonts w:ascii="Palatino Linotype" w:eastAsia="Palatino Linotype" w:hAnsi="Palatino Linotype" w:cs="Palatino Linotype"/>
          <w:i/>
        </w:rPr>
        <w:t>ad hoc</w:t>
      </w:r>
      <w:r w:rsidRPr="000E7B4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b/>
          <w:i/>
          <w:sz w:val="22"/>
          <w:szCs w:val="22"/>
        </w:rPr>
        <w:t>03/17</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b/>
          <w:i/>
          <w:sz w:val="22"/>
          <w:szCs w:val="22"/>
        </w:rPr>
        <w:t>“NO EXISTE OBLIGACIÓN DE ELABORAR DOCUMENTOS AD HOC PARA ATENDER LAS SOLICITUDES DE ACCESO A LA INFORMACIÓN.</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D1301" w:rsidRPr="000E7B47" w:rsidRDefault="00BE0E91">
      <w:pPr>
        <w:pBdr>
          <w:top w:val="nil"/>
          <w:left w:val="nil"/>
          <w:bottom w:val="nil"/>
          <w:right w:val="nil"/>
          <w:between w:val="nil"/>
        </w:pBdr>
        <w:spacing w:before="240" w:after="240" w:line="360" w:lineRule="auto"/>
        <w:ind w:right="49"/>
        <w:jc w:val="both"/>
      </w:pPr>
      <w:r w:rsidRPr="000E7B4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 xml:space="preserve">Artículo 3. </w:t>
      </w:r>
      <w:r w:rsidRPr="000E7B47">
        <w:rPr>
          <w:rFonts w:ascii="Palatino Linotype" w:eastAsia="Palatino Linotype" w:hAnsi="Palatino Linotype" w:cs="Palatino Linotype"/>
          <w:i/>
          <w:sz w:val="22"/>
          <w:szCs w:val="22"/>
        </w:rPr>
        <w:t>Para los efectos de la presente Ley se entenderá por:</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i/>
          <w:sz w:val="22"/>
          <w:szCs w:val="22"/>
        </w:rPr>
        <w:lastRenderedPageBreak/>
        <w:t>…</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b/>
          <w:i/>
          <w:sz w:val="22"/>
          <w:szCs w:val="22"/>
        </w:rPr>
        <w:t>XI. Documento:</w:t>
      </w:r>
      <w:r w:rsidRPr="000E7B4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E7B47">
        <w:rPr>
          <w:rFonts w:ascii="Palatino Linotype" w:eastAsia="Palatino Linotype" w:hAnsi="Palatino Linotype" w:cs="Palatino Linotype"/>
          <w:b/>
          <w:i/>
          <w:sz w:val="22"/>
          <w:szCs w:val="22"/>
        </w:rPr>
        <w:t>…</w:t>
      </w:r>
      <w:r w:rsidRPr="000E7B47">
        <w:rPr>
          <w:rFonts w:ascii="Palatino Linotype" w:eastAsia="Palatino Linotype" w:hAnsi="Palatino Linotype" w:cs="Palatino Linotype"/>
          <w:i/>
          <w:sz w:val="22"/>
          <w:szCs w:val="22"/>
        </w:rPr>
        <w:t>” (Sic)</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b/>
          <w:sz w:val="22"/>
          <w:szCs w:val="22"/>
        </w:rPr>
        <w:t>“</w:t>
      </w:r>
      <w:r w:rsidRPr="000E7B47">
        <w:rPr>
          <w:rFonts w:ascii="Palatino Linotype" w:eastAsia="Palatino Linotype" w:hAnsi="Palatino Linotype" w:cs="Palatino Linotype"/>
          <w:b/>
          <w:i/>
          <w:sz w:val="22"/>
          <w:szCs w:val="22"/>
        </w:rPr>
        <w:t>CRITERIO 0002-11</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E7B4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D1301" w:rsidRPr="000E7B47" w:rsidRDefault="00BE0E91">
      <w:pPr>
        <w:pBdr>
          <w:top w:val="nil"/>
          <w:left w:val="nil"/>
          <w:bottom w:val="nil"/>
          <w:right w:val="nil"/>
          <w:between w:val="nil"/>
        </w:pBdr>
        <w:spacing w:before="240" w:after="240"/>
        <w:ind w:left="567" w:right="567"/>
        <w:jc w:val="both"/>
      </w:pPr>
      <w:r w:rsidRPr="000E7B4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D1301" w:rsidRPr="000E7B47" w:rsidRDefault="00BE0E91">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ED1301" w:rsidRPr="000E7B47" w:rsidRDefault="00BE0E91">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ED1301" w:rsidRPr="000E7B47" w:rsidRDefault="00BE0E91">
      <w:pPr>
        <w:pBdr>
          <w:top w:val="nil"/>
          <w:left w:val="nil"/>
          <w:bottom w:val="nil"/>
          <w:right w:val="nil"/>
          <w:between w:val="nil"/>
        </w:pBdr>
        <w:spacing w:before="240" w:after="240"/>
        <w:ind w:left="567" w:right="567" w:hanging="284"/>
        <w:jc w:val="both"/>
      </w:pPr>
      <w:r w:rsidRPr="000E7B47">
        <w:rPr>
          <w:rFonts w:ascii="Palatino Linotype" w:eastAsia="Palatino Linotype" w:hAnsi="Palatino Linotype" w:cs="Palatino Linotype"/>
          <w:i/>
          <w:sz w:val="22"/>
          <w:szCs w:val="22"/>
        </w:rPr>
        <w:lastRenderedPageBreak/>
        <w:t xml:space="preserve">3. </w:t>
      </w:r>
      <w:r w:rsidRPr="000E7B4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 xml:space="preserve">De ahí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ED1301" w:rsidRPr="000E7B47" w:rsidRDefault="00BE0E91">
      <w:pPr>
        <w:pBdr>
          <w:top w:val="nil"/>
          <w:left w:val="nil"/>
          <w:bottom w:val="nil"/>
          <w:right w:val="nil"/>
          <w:between w:val="nil"/>
        </w:pBdr>
        <w:spacing w:before="240" w:after="240" w:line="360" w:lineRule="auto"/>
        <w:jc w:val="both"/>
      </w:pPr>
      <w:r w:rsidRPr="000E7B47">
        <w:rPr>
          <w:rFonts w:ascii="Palatino Linotype" w:eastAsia="Palatino Linotype" w:hAnsi="Palatino Linotype" w:cs="Palatino Linotype"/>
        </w:rPr>
        <w:t xml:space="preserve">Ahora bien, para profundizar en el estudio del presente asunto, es conveniente recordar que la solicitante requirió al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le proporcionara respuesta a los siguientes planteamientos:</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1. ¿Existe y se opera un Comisión de Honor y Justicia de los cuerpos de Seguridad Pública? ¿Quiénes la integran? Especificar número, nombres, cargos y sueldos y fecha de última sesión</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 2. ¿Se cuenta con indicadores de medición y seguimiento del personal de policía municipal con participación de instancias ciudadanas?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3. ¿El municipio ha gestionado la incorporación de sus elementos de seguridad a la licencia colectiva para la portación de armamento?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4. ¿Se cuenta con la información referente a la incidencia de delitos y de faltas administrativas? Favor de anexar información desde enero 2022 a la fecha de recepción de la presente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lastRenderedPageBreak/>
        <w:t xml:space="preserve">5. ¿Se operan programas para la prevención de conductas antisociales?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6. ¿Se tiene coordinación interinstitucional con otros órdenes de gobierno en materia de seguridad pública y de qué forma?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7. ¿Se cuenta con índices e identificación de zonas conflictivas y cuál es la metodología?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8. ¿Se cuenta con un programa de atención especializada para zonas conflictivas?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9. ¿Existen vínculos de coparticipación con la sociedad y cuáles son?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10. ¿Se operan programas para medir el nivel de denuncias ciudadanas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11. ¿Se reportan sus incidencias a través del Informe Policial Homologado? </w:t>
      </w:r>
    </w:p>
    <w:p w:rsidR="00ED1301" w:rsidRPr="000E7B47" w:rsidRDefault="00BE0E91">
      <w:pPr>
        <w:spacing w:before="240" w:after="240" w:line="360"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12. ¿Cómo se comportan las incidencias de faltas administrativas? </w:t>
      </w:r>
    </w:p>
    <w:p w:rsidR="00ED1301" w:rsidRPr="000E7B47" w:rsidRDefault="00BE0E91">
      <w:pPr>
        <w:spacing w:before="240" w:after="240" w:line="360" w:lineRule="auto"/>
        <w:ind w:left="567"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b/>
          <w:sz w:val="22"/>
          <w:szCs w:val="22"/>
        </w:rPr>
        <w:t>13. ¿Cuenta con un diagnóstico integral de seguridad pública que permita identificar las causas del problema?</w:t>
      </w:r>
    </w:p>
    <w:p w:rsidR="00ED1301" w:rsidRPr="000E7B47" w:rsidRDefault="00BE0E91">
      <w:pPr>
        <w:spacing w:before="240" w:after="240" w:line="360" w:lineRule="auto"/>
        <w:ind w:right="49"/>
        <w:jc w:val="both"/>
        <w:rPr>
          <w:rFonts w:ascii="Palatino Linotype" w:eastAsia="Palatino Linotype" w:hAnsi="Palatino Linotype" w:cs="Palatino Linotype"/>
          <w:i/>
        </w:rPr>
      </w:pPr>
      <w:r w:rsidRPr="000E7B47">
        <w:rPr>
          <w:rFonts w:ascii="Palatino Linotype" w:eastAsia="Palatino Linotype" w:hAnsi="Palatino Linotype" w:cs="Palatino Linotype"/>
        </w:rPr>
        <w:t xml:space="preserve">Posteriormente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requirió al particular que aclarara algunos puntos de sus planteamientos: </w:t>
      </w:r>
      <w:r w:rsidRPr="000E7B47">
        <w:rPr>
          <w:rFonts w:ascii="Palatino Linotype" w:eastAsia="Palatino Linotype" w:hAnsi="Palatino Linotype" w:cs="Palatino Linotype"/>
          <w:b/>
          <w:i/>
          <w:u w:val="single"/>
        </w:rPr>
        <w:t>• Respecto del numeral 1, ¿De qué periodo de tiempo requiere los sueldos? • Respecto al numeral 3, ¿A qué se refiere con “elementos de seguridad”?,</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rPr>
        <w:t xml:space="preserve">mismos que la particular atendió de la siguiente manera: </w:t>
      </w:r>
      <w:r w:rsidRPr="000E7B47">
        <w:rPr>
          <w:rFonts w:ascii="Palatino Linotype" w:eastAsia="Palatino Linotype" w:hAnsi="Palatino Linotype" w:cs="Palatino Linotype"/>
          <w:i/>
        </w:rPr>
        <w:t>“Respecto a la aclaración del</w:t>
      </w:r>
      <w:r w:rsidRPr="000E7B47">
        <w:rPr>
          <w:rFonts w:ascii="Palatino Linotype" w:eastAsia="Palatino Linotype" w:hAnsi="Palatino Linotype" w:cs="Palatino Linotype"/>
          <w:b/>
          <w:i/>
          <w:u w:val="single"/>
        </w:rPr>
        <w:t xml:space="preserve"> numeral 1, solicito la información correspondiente a partir de 01 de enero del 2022 hasta la fecha del día de hoy (07/04/2022) </w:t>
      </w:r>
      <w:r w:rsidRPr="000E7B47">
        <w:rPr>
          <w:rFonts w:ascii="Palatino Linotype" w:eastAsia="Palatino Linotype" w:hAnsi="Palatino Linotype" w:cs="Palatino Linotype"/>
          <w:i/>
        </w:rPr>
        <w:t>Contestando a su pregunta</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b/>
          <w:i/>
          <w:u w:val="single"/>
        </w:rPr>
        <w:t>respecto al numeral 3, con “elementos de seguridad”, me refiero a la policía municipal.”</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i/>
        </w:rPr>
        <w:t>(Sic) (Énfasis añadido)</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En respuesta a la solicitud de información,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remitió el archivo electrónico </w:t>
      </w:r>
      <w:r w:rsidRPr="000E7B47">
        <w:rPr>
          <w:rFonts w:ascii="Palatino Linotype" w:eastAsia="Palatino Linotype" w:hAnsi="Palatino Linotype" w:cs="Palatino Linotype"/>
          <w:b/>
          <w:i/>
        </w:rPr>
        <w:t xml:space="preserve">“Respuesta a Solicitud 00094.pdf”, </w:t>
      </w:r>
      <w:r w:rsidRPr="000E7B47">
        <w:rPr>
          <w:rFonts w:ascii="Palatino Linotype" w:eastAsia="Palatino Linotype" w:hAnsi="Palatino Linotype" w:cs="Palatino Linotype"/>
        </w:rPr>
        <w:t xml:space="preserve">en el cual se aprecian dos oficios signados por el Presidente de la Comisión de Honor y Justicia, así como del Coordinador de Prevención del Delito de la Paz, Estado de México, mediante el cual se otorgan respuestas a diversas preguntas. </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Conocida la respuesta, </w:t>
      </w:r>
      <w:r w:rsidRPr="000E7B47">
        <w:rPr>
          <w:rFonts w:ascii="Palatino Linotype" w:eastAsia="Palatino Linotype" w:hAnsi="Palatino Linotype" w:cs="Palatino Linotype"/>
          <w:b/>
        </w:rPr>
        <w:t>el</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Recurrente</w:t>
      </w:r>
      <w:r w:rsidRPr="000E7B47">
        <w:rPr>
          <w:rFonts w:ascii="Palatino Linotype" w:eastAsia="Palatino Linotype" w:hAnsi="Palatino Linotype" w:cs="Palatino Linotype"/>
        </w:rPr>
        <w:t xml:space="preserve"> interpuso el recurso de revisión que nos ocupa, expresando medularmente en su acto impugnado lo siguiente: </w:t>
      </w:r>
      <w:r w:rsidRPr="000E7B47">
        <w:rPr>
          <w:rFonts w:ascii="Palatino Linotype" w:eastAsia="Palatino Linotype" w:hAnsi="Palatino Linotype" w:cs="Palatino Linotype"/>
          <w:i/>
          <w:sz w:val="22"/>
          <w:szCs w:val="22"/>
        </w:rPr>
        <w:t xml:space="preserve">“…la Mtra. Guadalupe del Pilar Castellanos Guerrero no respondió la siguiente pregunta “¿Existe y se opera un Comisión de Honor y Justicia de los cuerpos de Seguridad Pública? ¿Quiénes la integran? Especificar número, nombres, cargos y sueldos y fecha de última sesión” </w:t>
      </w:r>
      <w:r w:rsidRPr="000E7B47">
        <w:rPr>
          <w:rFonts w:ascii="Palatino Linotype" w:eastAsia="Palatino Linotype" w:hAnsi="Palatino Linotype" w:cs="Palatino Linotype"/>
          <w:b/>
          <w:i/>
          <w:sz w:val="22"/>
          <w:szCs w:val="22"/>
          <w:u w:val="single"/>
        </w:rPr>
        <w:t>puesto que no me brindó los sueldos de los integrantes de la Comisión de Honor y Justica de los cuerpos de Seguridad Pública</w:t>
      </w:r>
      <w:r w:rsidRPr="000E7B47">
        <w:rPr>
          <w:rFonts w:ascii="Palatino Linotype" w:eastAsia="Palatino Linotype" w:hAnsi="Palatino Linotype" w:cs="Palatino Linotype"/>
          <w:i/>
          <w:sz w:val="22"/>
          <w:szCs w:val="22"/>
        </w:rPr>
        <w:t xml:space="preserve">, argumentando que no se cuenta con esa información, lo cual no se considera un fundamento valido...” (Sic) (Énfasis añadido)  </w:t>
      </w:r>
      <w:r w:rsidRPr="000E7B47">
        <w:rPr>
          <w:rFonts w:ascii="Palatino Linotype" w:eastAsia="Palatino Linotype" w:hAnsi="Palatino Linotype" w:cs="Palatino Linotype"/>
        </w:rPr>
        <w:t xml:space="preserve">por lo cual se advierte que se inconforma por la entrega de información incompleta. </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Bajo este tenor, las respuestas a los doce planteamientos restantes, se tiene que no fueron impugnados, por lo que consecuentemente deben declararse consentidas, toda vez que, al no haber realizado manifestaciones de inconformidad al respecto, se infiere que la información proporcionada por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satisface estos puntos de la solicitud presentada.</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Lo anterior es así, debido a que cuando un </w:t>
      </w:r>
      <w:r w:rsidRPr="000E7B47">
        <w:rPr>
          <w:rFonts w:ascii="Palatino Linotype" w:eastAsia="Palatino Linotype" w:hAnsi="Palatino Linotype" w:cs="Palatino Linotype"/>
          <w:b/>
        </w:rPr>
        <w:t>Recurrente</w:t>
      </w:r>
      <w:r w:rsidRPr="000E7B47">
        <w:rPr>
          <w:rFonts w:ascii="Palatino Linotype" w:eastAsia="Palatino Linotype" w:hAnsi="Palatino Linotype" w:cs="Palatino Linotype"/>
        </w:rPr>
        <w:t xml:space="preserve"> impugna la respuesta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w:t>
      </w:r>
      <w:r w:rsidRPr="000E7B47">
        <w:rPr>
          <w:rFonts w:ascii="Palatino Linotype" w:eastAsia="Palatino Linotype" w:hAnsi="Palatino Linotype" w:cs="Palatino Linotype"/>
          <w:b/>
        </w:rPr>
        <w:t>el Recurrente</w:t>
      </w:r>
      <w:r w:rsidRPr="000E7B47">
        <w:rPr>
          <w:rFonts w:ascii="Palatino Linotype" w:eastAsia="Palatino Linotype" w:hAnsi="Palatino Linotype" w:cs="Palatino Linotype"/>
        </w:rPr>
        <w:t xml:space="preserve"> está conforme con la información entregada al no contravenir la misma. Sirve de Apoyo a lo anterior, por analogía la Tesis </w:t>
      </w:r>
      <w:r w:rsidRPr="000E7B47">
        <w:rPr>
          <w:rFonts w:ascii="Palatino Linotype" w:eastAsia="Palatino Linotype" w:hAnsi="Palatino Linotype" w:cs="Palatino Linotype"/>
        </w:rPr>
        <w:lastRenderedPageBreak/>
        <w:t>Jurisprudencial Número 3ª./J.7/91, Publicada en el Semanario Judicial de la Federación y su Gaceta bajo el número de registro 174,177, que establece lo siguiente:</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“REVISIÓN EN AMPARO. LOS RESOLUTIVOS NO COMBATIDOS DEBEN DECLARARSE FIRMES. </w:t>
      </w:r>
      <w:r w:rsidRPr="000E7B4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Consecuentemente, se reitera que la parte de la solicitud que no fue impugnada debe declararse consentida por </w:t>
      </w:r>
      <w:r w:rsidRPr="000E7B47">
        <w:rPr>
          <w:rFonts w:ascii="Palatino Linotype" w:eastAsia="Palatino Linotype" w:hAnsi="Palatino Linotype" w:cs="Palatino Linotype"/>
          <w:b/>
        </w:rPr>
        <w:t>el Recurrente</w:t>
      </w:r>
      <w:r w:rsidRPr="000E7B47">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ED1301" w:rsidRPr="000E7B47" w:rsidRDefault="00BE0E91">
      <w:pPr>
        <w:spacing w:before="240" w:after="240" w:line="276" w:lineRule="auto"/>
        <w:ind w:left="567" w:right="900"/>
        <w:jc w:val="both"/>
        <w:rPr>
          <w:rFonts w:ascii="Palatino Linotype" w:eastAsia="Palatino Linotype" w:hAnsi="Palatino Linotype" w:cs="Palatino Linotype"/>
        </w:rPr>
      </w:pPr>
      <w:r w:rsidRPr="000E7B47">
        <w:rPr>
          <w:rFonts w:ascii="Palatino Linotype" w:eastAsia="Palatino Linotype" w:hAnsi="Palatino Linotype" w:cs="Palatino Linotype"/>
          <w:b/>
          <w:i/>
          <w:smallCaps/>
          <w:sz w:val="22"/>
          <w:szCs w:val="22"/>
        </w:rPr>
        <w:t xml:space="preserve">“ACTOS CONSENTIDOS. SON LOS QUE NO SE IMPUGNAN MEDIANTE EL RECURSO IDÓNEO. </w:t>
      </w:r>
      <w:r w:rsidRPr="000E7B47">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Ahora bien, a efecto de garantizar el efectivo ejercicio del derecho de acceso a la información pública que asiste a la particular, resulta conveniente precisar que el presente análisis versará respecto del </w:t>
      </w:r>
      <w:r w:rsidRPr="000E7B47">
        <w:rPr>
          <w:rFonts w:ascii="Palatino Linotype" w:eastAsia="Palatino Linotype" w:hAnsi="Palatino Linotype" w:cs="Palatino Linotype"/>
          <w:b/>
        </w:rPr>
        <w:t xml:space="preserve">sueldo de los integrantes de la Comisión de Honor y Justicia, </w:t>
      </w:r>
      <w:r w:rsidRPr="000E7B47">
        <w:rPr>
          <w:rFonts w:ascii="Palatino Linotype" w:eastAsia="Palatino Linotype" w:hAnsi="Palatino Linotype" w:cs="Palatino Linotype"/>
        </w:rPr>
        <w:t>que refirió por cuanto hace al planteamiento número 1 consistente en:</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w:t>
      </w:r>
      <w:r w:rsidRPr="000E7B47">
        <w:rPr>
          <w:rFonts w:ascii="Palatino Linotype" w:eastAsia="Palatino Linotype" w:hAnsi="Palatino Linotype" w:cs="Palatino Linotype"/>
          <w:i/>
        </w:rPr>
        <w:t xml:space="preserve">1. ¿Existe y se opera un Comisión de Honor y Justicia de los cuerpos de Seguridad Pública? ¿Quiénes la integran? </w:t>
      </w:r>
      <w:r w:rsidRPr="000E7B47">
        <w:rPr>
          <w:rFonts w:ascii="Palatino Linotype" w:eastAsia="Palatino Linotype" w:hAnsi="Palatino Linotype" w:cs="Palatino Linotype"/>
          <w:b/>
          <w:i/>
        </w:rPr>
        <w:t>Especificar</w:t>
      </w:r>
      <w:r w:rsidRPr="000E7B47">
        <w:rPr>
          <w:rFonts w:ascii="Palatino Linotype" w:eastAsia="Palatino Linotype" w:hAnsi="Palatino Linotype" w:cs="Palatino Linotype"/>
          <w:i/>
        </w:rPr>
        <w:t xml:space="preserve"> número, nombres, cargos y </w:t>
      </w:r>
      <w:r w:rsidRPr="000E7B47">
        <w:rPr>
          <w:rFonts w:ascii="Palatino Linotype" w:eastAsia="Palatino Linotype" w:hAnsi="Palatino Linotype" w:cs="Palatino Linotype"/>
          <w:b/>
          <w:i/>
        </w:rPr>
        <w:t xml:space="preserve">sueldos </w:t>
      </w:r>
      <w:r w:rsidRPr="000E7B47">
        <w:rPr>
          <w:rFonts w:ascii="Palatino Linotype" w:eastAsia="Palatino Linotype" w:hAnsi="Palatino Linotype" w:cs="Palatino Linotype"/>
          <w:i/>
        </w:rPr>
        <w:t xml:space="preserve">y fecha de última sesión” (Sic), </w:t>
      </w:r>
      <w:r w:rsidRPr="000E7B47">
        <w:rPr>
          <w:rFonts w:ascii="Palatino Linotype" w:eastAsia="Palatino Linotype" w:hAnsi="Palatino Linotype" w:cs="Palatino Linotype"/>
        </w:rPr>
        <w:t xml:space="preserve">lo anterior en virtud de que su inconformidad versa de la siguiente manera: </w:t>
      </w:r>
      <w:r w:rsidRPr="000E7B47">
        <w:rPr>
          <w:rFonts w:ascii="Palatino Linotype" w:eastAsia="Palatino Linotype" w:hAnsi="Palatino Linotype" w:cs="Palatino Linotype"/>
          <w:i/>
          <w:sz w:val="22"/>
          <w:szCs w:val="22"/>
        </w:rPr>
        <w:t xml:space="preserve">“…la Mtra. Guadalupe del Pilar Castellanos Guerrero no respondió la siguiente pregunta “¿Existe y se opera un Comisión de Honor y Justicia de los cuerpos de Seguridad Pública? ¿Quiénes la integran? Especificar número, nombres, cargos y sueldos y fecha de última sesión” </w:t>
      </w:r>
      <w:r w:rsidRPr="000E7B47">
        <w:rPr>
          <w:rFonts w:ascii="Palatino Linotype" w:eastAsia="Palatino Linotype" w:hAnsi="Palatino Linotype" w:cs="Palatino Linotype"/>
          <w:b/>
          <w:i/>
          <w:sz w:val="22"/>
          <w:szCs w:val="22"/>
          <w:u w:val="single"/>
        </w:rPr>
        <w:t>puesto que no me brindó los sueldos de los integrantes de la Comisión de Honor y Justica de los cuerpos de Seguridad Pública</w:t>
      </w:r>
      <w:r w:rsidRPr="000E7B47">
        <w:rPr>
          <w:rFonts w:ascii="Palatino Linotype" w:eastAsia="Palatino Linotype" w:hAnsi="Palatino Linotype" w:cs="Palatino Linotype"/>
          <w:i/>
          <w:sz w:val="22"/>
          <w:szCs w:val="22"/>
        </w:rPr>
        <w:t xml:space="preserve">, argumentando que no se cuenta con esa información, lo cual no se considera un fundamento valido...” (Sic) (Énfasis añadido)  </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Una vez determinadas las posturas de las partes dentro del expediente electrónico, se procede al análisis de la información, con la finalidad de determinar si existe una expresión documental que pudiera atender dichos puntos y en su caso, ordenar la entrega de la misma: </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Para iniciar el análisis del presente apartado, conviene analizar el planteamiento, así como los pronunciamientos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de la siguiente manera: </w:t>
      </w:r>
    </w:p>
    <w:p w:rsidR="00ED1301" w:rsidRPr="000E7B47" w:rsidRDefault="00BE0E91">
      <w:pPr>
        <w:spacing w:before="240" w:after="240" w:line="276" w:lineRule="auto"/>
        <w:ind w:left="567"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1. ¿Existe y se opera un Comisión de Honor y Justicia de los cuerpos de Seguridad Pública? </w:t>
      </w:r>
    </w:p>
    <w:p w:rsidR="00ED1301" w:rsidRPr="000E7B47" w:rsidRDefault="00BE0E91">
      <w:pPr>
        <w:spacing w:before="240" w:after="240" w:line="276" w:lineRule="auto"/>
        <w:ind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Presidente de Honor y Justicia: </w:t>
      </w:r>
      <w:r w:rsidRPr="000E7B47">
        <w:rPr>
          <w:rFonts w:ascii="Palatino Linotype" w:eastAsia="Palatino Linotype" w:hAnsi="Palatino Linotype" w:cs="Palatino Linotype"/>
          <w:sz w:val="22"/>
          <w:szCs w:val="22"/>
        </w:rPr>
        <w:t xml:space="preserve">Existe una Comisión de Honor y Justicia y opera en la dirección de seguridad pública de los Reyes la Paz. </w:t>
      </w:r>
    </w:p>
    <w:p w:rsidR="00ED1301" w:rsidRPr="000E7B47" w:rsidRDefault="00BE0E91">
      <w:pPr>
        <w:spacing w:before="240" w:after="240" w:line="276" w:lineRule="auto"/>
        <w:ind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lastRenderedPageBreak/>
        <w:t>¿Quiénes la integran? Especificar número,  nombres, cargos y sueldos y fecha de última sesión</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b/>
          <w:sz w:val="22"/>
          <w:szCs w:val="22"/>
        </w:rPr>
        <w:t xml:space="preserve">Presidente de Honor y Justicia: </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Alfonso Melgarejo Jiménez, presidente de la comisión de honor y justicia</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Sergio Aldo Serrano Ortiz, secretario de la comisión de honor y justicia</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Evangelina Hernández Rojas, vocal de la comisión de honor y justicia</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proofErr w:type="spellStart"/>
      <w:r w:rsidRPr="000E7B47">
        <w:rPr>
          <w:rFonts w:ascii="Palatino Linotype" w:eastAsia="Palatino Linotype" w:hAnsi="Palatino Linotype" w:cs="Palatino Linotype"/>
          <w:sz w:val="22"/>
          <w:szCs w:val="22"/>
        </w:rPr>
        <w:t>Jasael</w:t>
      </w:r>
      <w:proofErr w:type="spellEnd"/>
      <w:r w:rsidRPr="000E7B47">
        <w:rPr>
          <w:rFonts w:ascii="Palatino Linotype" w:eastAsia="Palatino Linotype" w:hAnsi="Palatino Linotype" w:cs="Palatino Linotype"/>
          <w:sz w:val="22"/>
          <w:szCs w:val="22"/>
        </w:rPr>
        <w:t xml:space="preserve"> Rodríguez Vázquez, encargado del despacho jurídico de la comisión de honor y justicia</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 xml:space="preserve">Hugo Arturo Muñoz </w:t>
      </w:r>
      <w:proofErr w:type="spellStart"/>
      <w:r w:rsidRPr="000E7B47">
        <w:rPr>
          <w:rFonts w:ascii="Palatino Linotype" w:eastAsia="Palatino Linotype" w:hAnsi="Palatino Linotype" w:cs="Palatino Linotype"/>
          <w:sz w:val="22"/>
          <w:szCs w:val="22"/>
        </w:rPr>
        <w:t>Muñoz</w:t>
      </w:r>
      <w:proofErr w:type="spellEnd"/>
      <w:r w:rsidRPr="000E7B47">
        <w:rPr>
          <w:rFonts w:ascii="Palatino Linotype" w:eastAsia="Palatino Linotype" w:hAnsi="Palatino Linotype" w:cs="Palatino Linotype"/>
          <w:sz w:val="22"/>
          <w:szCs w:val="22"/>
        </w:rPr>
        <w:t>, notificador de la comisión de honor y justicia</w:t>
      </w:r>
    </w:p>
    <w:p w:rsidR="00ED1301" w:rsidRPr="000E7B47" w:rsidRDefault="00BE0E91">
      <w:pPr>
        <w:spacing w:before="240" w:after="240" w:line="276" w:lineRule="auto"/>
        <w:ind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La última sesión se llevó a cabo el 20 de abril de 2022.</w:t>
      </w:r>
    </w:p>
    <w:p w:rsidR="00ED1301" w:rsidRPr="000E7B47" w:rsidRDefault="00BE0E91">
      <w:pPr>
        <w:spacing w:before="240" w:after="240" w:line="276" w:lineRule="auto"/>
        <w:ind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En cuanto a los sueldos que percibe cada integrante de la comisión no se cuenta con esta información. </w:t>
      </w:r>
    </w:p>
    <w:p w:rsidR="00ED1301" w:rsidRPr="000E7B47" w:rsidRDefault="00BE0E91">
      <w:pPr>
        <w:spacing w:before="240" w:after="240" w:line="276" w:lineRule="auto"/>
        <w:ind w:right="567"/>
        <w:jc w:val="both"/>
        <w:rPr>
          <w:rFonts w:ascii="Palatino Linotype" w:eastAsia="Palatino Linotype" w:hAnsi="Palatino Linotype" w:cs="Palatino Linotype"/>
          <w:b/>
          <w:sz w:val="22"/>
          <w:szCs w:val="22"/>
        </w:rPr>
      </w:pPr>
      <w:r w:rsidRPr="000E7B47">
        <w:rPr>
          <w:rFonts w:ascii="Palatino Linotype" w:eastAsia="Palatino Linotype" w:hAnsi="Palatino Linotype" w:cs="Palatino Linotype"/>
          <w:b/>
          <w:sz w:val="22"/>
          <w:szCs w:val="22"/>
        </w:rPr>
        <w:t xml:space="preserve">Lo anterior con fundamento en el artículo 169 de la Ley de Transparencia y Acceso a la Información Pública del Estado de México y Municipios, y de más relativos y aplicables. </w:t>
      </w:r>
    </w:p>
    <w:p w:rsidR="00ED1301" w:rsidRPr="000E7B47" w:rsidRDefault="00BE0E91">
      <w:pPr>
        <w:spacing w:after="16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Teniendo esta premisa en cuenta, resulta importante señalar que de conformidad con el artículo 160 de la Ley de Seguridad del Estado de México, la Comisión de Honor y Justicia se integrará de la siguiente manera: </w:t>
      </w:r>
    </w:p>
    <w:p w:rsidR="00ED1301" w:rsidRPr="000E7B47" w:rsidRDefault="00BE0E91">
      <w:pPr>
        <w:spacing w:after="16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“Artículo 160.- </w:t>
      </w:r>
      <w:r w:rsidRPr="000E7B47">
        <w:rPr>
          <w:rFonts w:ascii="Palatino Linotype" w:eastAsia="Palatino Linotype" w:hAnsi="Palatino Linotype" w:cs="Palatino Linotype"/>
          <w:b/>
          <w:i/>
          <w:sz w:val="22"/>
          <w:szCs w:val="22"/>
        </w:rPr>
        <w:t>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w:t>
      </w:r>
      <w:r w:rsidRPr="000E7B47">
        <w:rPr>
          <w:rFonts w:ascii="Palatino Linotype" w:eastAsia="Palatino Linotype" w:hAnsi="Palatino Linotype" w:cs="Palatino Linotype"/>
          <w:i/>
          <w:sz w:val="22"/>
          <w:szCs w:val="22"/>
        </w:rPr>
        <w:t xml:space="preserve"> de conformidad con lo establecido en el artículo 123, apartado B, fracción XIII de la Constitución Federal y la Ley General, cuando incumplan: </w:t>
      </w:r>
    </w:p>
    <w:p w:rsidR="00ED1301" w:rsidRPr="000E7B47" w:rsidRDefault="00BE0E91">
      <w:pPr>
        <w:spacing w:after="16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 xml:space="preserve">I. Con los requisitos de permanencia que se establecen en la Ley General, esta Ley y demás disposiciones legales aplicables; </w:t>
      </w:r>
    </w:p>
    <w:p w:rsidR="00ED1301" w:rsidRPr="000E7B47" w:rsidRDefault="00BE0E91">
      <w:pPr>
        <w:spacing w:after="16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II. Con las obligaciones establecidas en la Ley General, esta Ley y los ordenamientos jurídicos internos que rigen su actuar; y </w:t>
      </w:r>
    </w:p>
    <w:p w:rsidR="00ED1301" w:rsidRPr="000E7B47" w:rsidRDefault="00BE0E91">
      <w:pPr>
        <w:spacing w:after="16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III. Con el régimen disciplinario establecido en esta Ley.</w:t>
      </w:r>
    </w:p>
    <w:p w:rsidR="00ED1301" w:rsidRPr="000E7B47" w:rsidRDefault="00BE0E91">
      <w:pPr>
        <w:spacing w:after="16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Artículo 161.- </w:t>
      </w:r>
      <w:r w:rsidRPr="000E7B47">
        <w:rPr>
          <w:rFonts w:ascii="Palatino Linotype" w:eastAsia="Palatino Linotype" w:hAnsi="Palatino Linotype" w:cs="Palatino Linotype"/>
          <w:b/>
          <w:i/>
          <w:sz w:val="22"/>
          <w:szCs w:val="22"/>
          <w:u w:val="single"/>
        </w:rPr>
        <w:t>Las Instituciones Policiales establecerán una Comisión de Honor y Justicia, que estará integrada por</w:t>
      </w:r>
      <w:r w:rsidRPr="000E7B47">
        <w:rPr>
          <w:rFonts w:ascii="Palatino Linotype" w:eastAsia="Palatino Linotype" w:hAnsi="Palatino Linotype" w:cs="Palatino Linotype"/>
          <w:b/>
          <w:i/>
          <w:sz w:val="22"/>
          <w:szCs w:val="22"/>
        </w:rPr>
        <w:t xml:space="preserve">: </w:t>
      </w:r>
    </w:p>
    <w:p w:rsidR="00ED1301" w:rsidRPr="000E7B47" w:rsidRDefault="00BE0E91">
      <w:pPr>
        <w:spacing w:after="16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I. Un presidente que tendrá voto de calidad; </w:t>
      </w:r>
    </w:p>
    <w:p w:rsidR="00ED1301" w:rsidRPr="000E7B47" w:rsidRDefault="00BE0E91">
      <w:pPr>
        <w:spacing w:after="16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II. Un secretario que será el </w:t>
      </w:r>
      <w:r w:rsidRPr="000E7B47">
        <w:rPr>
          <w:rFonts w:ascii="Palatino Linotype" w:eastAsia="Palatino Linotype" w:hAnsi="Palatino Linotype" w:cs="Palatino Linotype"/>
          <w:b/>
          <w:i/>
          <w:sz w:val="22"/>
          <w:szCs w:val="22"/>
          <w:u w:val="single"/>
        </w:rPr>
        <w:t>titular del jurídico de la Institución</w:t>
      </w:r>
      <w:r w:rsidRPr="000E7B47">
        <w:rPr>
          <w:rFonts w:ascii="Palatino Linotype" w:eastAsia="Palatino Linotype" w:hAnsi="Palatino Linotype" w:cs="Palatino Linotype"/>
          <w:b/>
          <w:i/>
          <w:sz w:val="22"/>
          <w:szCs w:val="22"/>
        </w:rPr>
        <w:t xml:space="preserve"> y contará con voz y voto; y </w:t>
      </w:r>
    </w:p>
    <w:p w:rsidR="00ED1301" w:rsidRPr="000E7B47" w:rsidRDefault="00BE0E91">
      <w:pPr>
        <w:spacing w:after="16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III. </w:t>
      </w:r>
      <w:r w:rsidRPr="000E7B47">
        <w:rPr>
          <w:rFonts w:ascii="Palatino Linotype" w:eastAsia="Palatino Linotype" w:hAnsi="Palatino Linotype" w:cs="Palatino Linotype"/>
          <w:b/>
          <w:i/>
          <w:sz w:val="22"/>
          <w:szCs w:val="22"/>
          <w:u w:val="single"/>
        </w:rPr>
        <w:t>Un representante de la unidad operativa de investigación, prevención o reacción según sea el caso</w:t>
      </w:r>
      <w:r w:rsidRPr="000E7B47">
        <w:rPr>
          <w:rFonts w:ascii="Palatino Linotype" w:eastAsia="Palatino Linotype" w:hAnsi="Palatino Linotype" w:cs="Palatino Linotype"/>
          <w:b/>
          <w:i/>
          <w:sz w:val="22"/>
          <w:szCs w:val="22"/>
        </w:rPr>
        <w:t xml:space="preserve">. </w:t>
      </w:r>
    </w:p>
    <w:p w:rsidR="00ED1301" w:rsidRPr="000E7B47" w:rsidRDefault="00BE0E91">
      <w:pPr>
        <w:spacing w:after="16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El presidente y el representante serán designados por el titular de la dependencia</w:t>
      </w:r>
      <w:r w:rsidRPr="000E7B47">
        <w:rPr>
          <w:rFonts w:ascii="Palatino Linotype" w:eastAsia="Palatino Linotype" w:hAnsi="Palatino Linotype" w:cs="Palatino Linotype"/>
          <w:i/>
          <w:sz w:val="22"/>
          <w:szCs w:val="22"/>
        </w:rPr>
        <w:t>.” (Sic)</w:t>
      </w:r>
    </w:p>
    <w:p w:rsidR="00ED1301" w:rsidRPr="000E7B47" w:rsidRDefault="00ED1301">
      <w:pPr>
        <w:spacing w:after="160" w:line="360" w:lineRule="auto"/>
        <w:jc w:val="both"/>
        <w:rPr>
          <w:rFonts w:ascii="Palatino Linotype" w:eastAsia="Palatino Linotype" w:hAnsi="Palatino Linotype" w:cs="Palatino Linotype"/>
        </w:rPr>
      </w:pPr>
    </w:p>
    <w:p w:rsidR="00ED1301" w:rsidRPr="000E7B47" w:rsidRDefault="00BE0E91">
      <w:pPr>
        <w:spacing w:after="16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Ahora bien, de lo anteriormente citado, se advierte que la Comisión de Honor y Justicia se conforma de un presidente, el cual es designado por el Titular de la dependencia, posteriormente el secretario es quien funge como titular jurídico de la institución y además cuenta con un representante de la unidad operativa de investigación, prevención o reacción, según sea el caso, por lo que se advierte que se trata de servidores públicos que forman parte de la administración pública municipal del Ayuntamiento de la Paz, lo anterior encuentra sustento en la siguiente ilustración: </w:t>
      </w:r>
    </w:p>
    <w:p w:rsidR="00ED1301" w:rsidRPr="000E7B47" w:rsidRDefault="00BE0E91">
      <w:pPr>
        <w:spacing w:after="160" w:line="360" w:lineRule="auto"/>
        <w:jc w:val="center"/>
        <w:rPr>
          <w:rFonts w:ascii="Palatino Linotype" w:eastAsia="Palatino Linotype" w:hAnsi="Palatino Linotype" w:cs="Palatino Linotype"/>
        </w:rPr>
      </w:pPr>
      <w:r w:rsidRPr="000E7B47">
        <w:rPr>
          <w:rFonts w:ascii="Palatino Linotype" w:eastAsia="Palatino Linotype" w:hAnsi="Palatino Linotype" w:cs="Palatino Linotype"/>
          <w:noProof/>
          <w:lang w:val="es-MX"/>
        </w:rPr>
        <w:lastRenderedPageBreak/>
        <w:drawing>
          <wp:inline distT="0" distB="0" distL="0" distR="0">
            <wp:extent cx="5400675" cy="5210175"/>
            <wp:effectExtent l="0" t="0" r="0" b="0"/>
            <wp:docPr id="3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00675" cy="5210175"/>
                    </a:xfrm>
                    <a:prstGeom prst="rect">
                      <a:avLst/>
                    </a:prstGeom>
                    <a:ln/>
                  </pic:spPr>
                </pic:pic>
              </a:graphicData>
            </a:graphic>
          </wp:inline>
        </w:drawing>
      </w:r>
      <w:r w:rsidRPr="000E7B47">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1282700</wp:posOffset>
                </wp:positionH>
                <wp:positionV relativeFrom="paragraph">
                  <wp:posOffset>2603500</wp:posOffset>
                </wp:positionV>
                <wp:extent cx="1600200" cy="361950"/>
                <wp:effectExtent l="0" t="0" r="0" b="0"/>
                <wp:wrapNone/>
                <wp:docPr id="296" name="Rectángulo 296"/>
                <wp:cNvGraphicFramePr/>
                <a:graphic xmlns:a="http://schemas.openxmlformats.org/drawingml/2006/main">
                  <a:graphicData uri="http://schemas.microsoft.com/office/word/2010/wordprocessingShape">
                    <wps:wsp>
                      <wps:cNvSpPr/>
                      <wps:spPr>
                        <a:xfrm>
                          <a:off x="4564950" y="3618075"/>
                          <a:ext cx="1562100" cy="323850"/>
                        </a:xfrm>
                        <a:prstGeom prst="rect">
                          <a:avLst/>
                        </a:prstGeom>
                        <a:noFill/>
                        <a:ln w="38100" cap="flat" cmpd="sng">
                          <a:solidFill>
                            <a:srgbClr val="002060"/>
                          </a:solidFill>
                          <a:prstDash val="solid"/>
                          <a:round/>
                          <a:headEnd type="none" w="sm" len="sm"/>
                          <a:tailEnd type="none" w="sm" len="sm"/>
                        </a:ln>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6" o:spid="_x0000_s1028" style="position:absolute;left:0;text-align:left;margin-left:101pt;margin-top:205pt;width:126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" filled="f" strokecolor="#002060" strokeweight="3pt">
                <v:stroke startarrowwidth="narrow" startarrowlength="short" endarrowwidth="narrow" endarrowlength="short" joinstyle="round"/>
                <v:textbox inset="2.53958mm,2.53958mm,2.53958mm,2.53958mm">
                  <w:txbxContent>
                    <w:p w:rsidR="00CB55D9" w:rsidRDefault="00CB55D9">
                      <w:pPr>
                        <w:textDirection w:val="btLr"/>
                      </w:pPr>
                    </w:p>
                  </w:txbxContent>
                </v:textbox>
              </v:rect>
            </w:pict>
          </mc:Fallback>
        </mc:AlternateContent>
      </w:r>
      <w:r w:rsidRPr="000E7B47">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1485900</wp:posOffset>
                </wp:positionH>
                <wp:positionV relativeFrom="paragraph">
                  <wp:posOffset>1016000</wp:posOffset>
                </wp:positionV>
                <wp:extent cx="1314450" cy="285750"/>
                <wp:effectExtent l="0" t="0" r="0" b="0"/>
                <wp:wrapNone/>
                <wp:docPr id="298" name="Rectángulo 298"/>
                <wp:cNvGraphicFramePr/>
                <a:graphic xmlns:a="http://schemas.openxmlformats.org/drawingml/2006/main">
                  <a:graphicData uri="http://schemas.microsoft.com/office/word/2010/wordprocessingShape">
                    <wps:wsp>
                      <wps:cNvSpPr/>
                      <wps:spPr>
                        <a:xfrm>
                          <a:off x="4703063" y="3651413"/>
                          <a:ext cx="1285875" cy="257175"/>
                        </a:xfrm>
                        <a:prstGeom prst="rect">
                          <a:avLst/>
                        </a:prstGeom>
                        <a:noFill/>
                        <a:ln w="28575" cap="flat" cmpd="sng">
                          <a:solidFill>
                            <a:srgbClr val="002060"/>
                          </a:solidFill>
                          <a:prstDash val="solid"/>
                          <a:round/>
                          <a:headEnd type="none" w="sm" len="sm"/>
                          <a:tailEnd type="none" w="sm" len="sm"/>
                        </a:ln>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8" o:spid="_x0000_s1029" style="position:absolute;left:0;text-align:left;margin-left:117pt;margin-top:80pt;width:103.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" filled="f" strokecolor="#002060" strokeweight="2.25pt">
                <v:stroke startarrowwidth="narrow" startarrowlength="short" endarrowwidth="narrow" endarrowlength="short" joinstyle="round"/>
                <v:textbox inset="2.53958mm,2.53958mm,2.53958mm,2.53958mm">
                  <w:txbxContent>
                    <w:p w:rsidR="00CB55D9" w:rsidRDefault="00CB55D9">
                      <w:pPr>
                        <w:textDirection w:val="btLr"/>
                      </w:pPr>
                    </w:p>
                  </w:txbxContent>
                </v:textbox>
              </v:rect>
            </w:pict>
          </mc:Fallback>
        </mc:AlternateContent>
      </w:r>
    </w:p>
    <w:p w:rsidR="00ED1301" w:rsidRPr="000E7B47" w:rsidRDefault="00BE0E91">
      <w:pPr>
        <w:spacing w:after="16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Bajo esta lógica, en efecto, se tiene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fue omiso en otorgar respuesta a este punto de la pregunta, toda vez que se limitó únicamente a referir que no se contaba con la información, sin que se vislumbre un turno a las unidades administrativas competentes, consecuentemente, no se satisfizo en su totalidad el derecho de acceso el derecho de acceso a la información pública del ahora </w:t>
      </w:r>
      <w:r w:rsidRPr="000E7B47">
        <w:rPr>
          <w:rFonts w:ascii="Palatino Linotype" w:eastAsia="Palatino Linotype" w:hAnsi="Palatino Linotype" w:cs="Palatino Linotype"/>
          <w:b/>
        </w:rPr>
        <w:t>Recurrente</w:t>
      </w:r>
      <w:r w:rsidRPr="000E7B47">
        <w:rPr>
          <w:rFonts w:ascii="Palatino Linotype" w:eastAsia="Palatino Linotype" w:hAnsi="Palatino Linotype" w:cs="Palatino Linotype"/>
        </w:rPr>
        <w:t xml:space="preserve">, al incumplir con el principio de exhaustividad, toda vez que no se advierte una correcta búsqueda exhaustiva y razonable de la información </w:t>
      </w:r>
      <w:r w:rsidRPr="000E7B47">
        <w:rPr>
          <w:rFonts w:ascii="Palatino Linotype" w:eastAsia="Palatino Linotype" w:hAnsi="Palatino Linotype" w:cs="Palatino Linotype"/>
        </w:rPr>
        <w:lastRenderedPageBreak/>
        <w:t xml:space="preserve">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Jefatura de Nómina que depende de la Dirección de Administración,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w:t>
      </w:r>
      <w:r w:rsidRPr="000E7B47">
        <w:rPr>
          <w:rFonts w:ascii="Palatino Linotype" w:eastAsia="Palatino Linotype" w:hAnsi="Palatino Linotype" w:cs="Palatino Linotype"/>
        </w:rPr>
        <w:lastRenderedPageBreak/>
        <w:t xml:space="preserve">búsqueda exhaustiva y razonable de la documentación solicitada, con el fin de que proporcionen las expresiones documentales que se encuentren en sus archivos o que estén constreñidos a elaborar;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En este orden de ideas, se reitera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Dirección de Administración, ello de conformidad con lo previsto por la Ley Orgánica Municipal, pues en su artículo 95, delega una serie de atribuciones a esta unidad administrativa, tal como se desprende de la siguiente cita:</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“Artículo 72.- La Dirección de Administración tendrá las siguientes atribuciones:</w:t>
      </w:r>
    </w:p>
    <w:p w:rsidR="00ED1301" w:rsidRPr="000E7B47" w:rsidRDefault="00BE0E91">
      <w:pPr>
        <w:spacing w:before="240" w:after="240" w:line="276" w:lineRule="auto"/>
        <w:ind w:left="567" w:right="567"/>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I. Planear, coordinar, y </w:t>
      </w:r>
      <w:r w:rsidRPr="000E7B47">
        <w:rPr>
          <w:rFonts w:ascii="Palatino Linotype" w:eastAsia="Palatino Linotype" w:hAnsi="Palatino Linotype" w:cs="Palatino Linotype"/>
          <w:b/>
          <w:i/>
          <w:sz w:val="22"/>
          <w:szCs w:val="22"/>
          <w:u w:val="single"/>
        </w:rPr>
        <w:t>controlar la administración de los recursos económicos</w:t>
      </w:r>
      <w:r w:rsidRPr="000E7B47">
        <w:rPr>
          <w:rFonts w:ascii="Palatino Linotype" w:eastAsia="Palatino Linotype" w:hAnsi="Palatino Linotype" w:cs="Palatino Linotype"/>
          <w:b/>
          <w:i/>
          <w:sz w:val="22"/>
          <w:szCs w:val="22"/>
        </w:rPr>
        <w:t xml:space="preserve">, técnicos y materiales </w:t>
      </w:r>
      <w:r w:rsidRPr="000E7B47">
        <w:rPr>
          <w:rFonts w:ascii="Palatino Linotype" w:eastAsia="Palatino Linotype" w:hAnsi="Palatino Linotype" w:cs="Palatino Linotype"/>
          <w:i/>
          <w:sz w:val="22"/>
          <w:szCs w:val="22"/>
        </w:rPr>
        <w:t>que requieran las Dependencias;</w:t>
      </w:r>
    </w:p>
    <w:p w:rsidR="00ED1301" w:rsidRPr="000E7B47" w:rsidRDefault="00BE0E91">
      <w:pPr>
        <w:spacing w:before="240" w:after="24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lastRenderedPageBreak/>
        <w:t xml:space="preserve">II. Coordinar con las Dependencias las solicitudes de apoyos económicos, técnicos y materiales previa </w:t>
      </w:r>
      <w:proofErr w:type="spellStart"/>
      <w:r w:rsidRPr="000E7B47">
        <w:rPr>
          <w:rFonts w:ascii="Palatino Linotype" w:eastAsia="Palatino Linotype" w:hAnsi="Palatino Linotype" w:cs="Palatino Linotype"/>
          <w:b/>
          <w:i/>
          <w:sz w:val="22"/>
          <w:szCs w:val="22"/>
        </w:rPr>
        <w:t>presupuestación</w:t>
      </w:r>
      <w:proofErr w:type="spellEnd"/>
      <w:r w:rsidRPr="000E7B47">
        <w:rPr>
          <w:rFonts w:ascii="Palatino Linotype" w:eastAsia="Palatino Linotype" w:hAnsi="Palatino Linotype" w:cs="Palatino Linotype"/>
          <w:b/>
          <w:i/>
          <w:sz w:val="22"/>
          <w:szCs w:val="22"/>
        </w:rPr>
        <w:t>;</w:t>
      </w:r>
    </w:p>
    <w:p w:rsidR="00ED1301" w:rsidRPr="000E7B47" w:rsidRDefault="00BE0E91">
      <w:pPr>
        <w:spacing w:before="240" w:after="240" w:line="276" w:lineRule="auto"/>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w:t>
      </w:r>
    </w:p>
    <w:p w:rsidR="00ED1301" w:rsidRPr="000E7B47" w:rsidRDefault="00BE0E91">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Por otra parte, respecto al ámbito competencial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para generar, poseer o administrar la información solicitada, conviene referir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ED1301" w:rsidRPr="000E7B47" w:rsidRDefault="00ED130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D1301" w:rsidRPr="000E7B47" w:rsidRDefault="00BE0E91">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ED1301" w:rsidRPr="000E7B47" w:rsidRDefault="00ED1301">
      <w:pPr>
        <w:spacing w:line="360" w:lineRule="auto"/>
        <w:jc w:val="both"/>
        <w:rPr>
          <w:rFonts w:ascii="Palatino Linotype" w:eastAsia="Palatino Linotype" w:hAnsi="Palatino Linotype" w:cs="Palatino Linotype"/>
        </w:rPr>
      </w:pPr>
    </w:p>
    <w:p w:rsidR="00ED1301" w:rsidRPr="000E7B47" w:rsidRDefault="00BE0E91">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ED1301" w:rsidRPr="000E7B47" w:rsidRDefault="00BE0E91">
      <w:pPr>
        <w:spacing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220 K.-</w:t>
      </w:r>
      <w:r w:rsidRPr="000E7B47">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 xml:space="preserve">II. </w:t>
      </w:r>
      <w:r w:rsidRPr="000E7B47">
        <w:rPr>
          <w:rFonts w:ascii="Palatino Linotype" w:eastAsia="Palatino Linotype" w:hAnsi="Palatino Linotype" w:cs="Palatino Linotype"/>
          <w:i/>
          <w:sz w:val="22"/>
          <w:szCs w:val="22"/>
          <w:u w:val="single"/>
        </w:rPr>
        <w:t>Recibos de pagos</w:t>
      </w:r>
      <w:r w:rsidRPr="000E7B47">
        <w:rPr>
          <w:rFonts w:ascii="Palatino Linotype" w:eastAsia="Palatino Linotype" w:hAnsi="Palatino Linotype" w:cs="Palatino Linotype"/>
          <w:i/>
          <w:sz w:val="22"/>
          <w:szCs w:val="22"/>
        </w:rPr>
        <w:t xml:space="preserve"> de salarios o las constancias documentales del pago de salario cuando sea por depósito o mediante información electrónica;</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III. Controles de asistencia o la información magnética o electrónica de asistencia de los servidores públicos;</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V. Los demás que señalen las leyes.</w:t>
      </w:r>
    </w:p>
    <w:p w:rsidR="00ED1301" w:rsidRPr="000E7B47" w:rsidRDefault="00BE0E91">
      <w:pPr>
        <w:spacing w:before="240" w:after="240"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ED1301" w:rsidRPr="000E7B47" w:rsidRDefault="00BE0E91">
      <w:pPr>
        <w:spacing w:before="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ED1301" w:rsidRPr="000E7B47" w:rsidRDefault="00ED1301">
      <w:pPr>
        <w:spacing w:line="360" w:lineRule="auto"/>
        <w:jc w:val="both"/>
        <w:rPr>
          <w:rFonts w:ascii="Palatino Linotype" w:eastAsia="Palatino Linotype" w:hAnsi="Palatino Linotype" w:cs="Palatino Linotype"/>
        </w:rPr>
      </w:pPr>
    </w:p>
    <w:p w:rsidR="00ED1301" w:rsidRPr="000E7B47" w:rsidRDefault="00BE0E91">
      <w:pPr>
        <w:tabs>
          <w:tab w:val="right" w:pos="8505"/>
        </w:tabs>
        <w:spacing w:after="240" w:line="360" w:lineRule="auto"/>
        <w:jc w:val="both"/>
      </w:pPr>
      <w:r w:rsidRPr="000E7B47">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w:t>
      </w:r>
      <w:r w:rsidRPr="000E7B47">
        <w:t xml:space="preserve"> </w:t>
      </w:r>
      <w:r w:rsidRPr="000E7B47">
        <w:rPr>
          <w:rFonts w:ascii="Palatino Linotype" w:eastAsia="Palatino Linotype" w:hAnsi="Palatino Linotype" w:cs="Palatino Linotype"/>
        </w:rPr>
        <w:t xml:space="preserve">es </w:t>
      </w:r>
      <w:r w:rsidRPr="000E7B47">
        <w:rPr>
          <w:rFonts w:ascii="Palatino Linotype" w:eastAsia="Palatino Linotype" w:hAnsi="Palatino Linotype" w:cs="Palatino Linotype"/>
        </w:rPr>
        <w:lastRenderedPageBreak/>
        <w:t>considerado como ente fiscalizable, como así lo señala el artículo 4 fracción II de la Ley de Fiscalización Superior del Estado de México, el cual señala:</w:t>
      </w:r>
    </w:p>
    <w:p w:rsidR="00ED1301" w:rsidRPr="000E7B47" w:rsidRDefault="00BE0E91">
      <w:pPr>
        <w:spacing w:before="240" w:after="240"/>
        <w:ind w:left="567"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rPr>
        <w:t>“</w:t>
      </w:r>
      <w:r w:rsidRPr="000E7B47">
        <w:rPr>
          <w:rFonts w:ascii="Palatino Linotype" w:eastAsia="Palatino Linotype" w:hAnsi="Palatino Linotype" w:cs="Palatino Linotype"/>
          <w:b/>
          <w:i/>
          <w:sz w:val="22"/>
          <w:szCs w:val="22"/>
        </w:rPr>
        <w:t xml:space="preserve">Artículo 4. </w:t>
      </w:r>
      <w:r w:rsidRPr="000E7B47">
        <w:rPr>
          <w:rFonts w:ascii="Palatino Linotype" w:eastAsia="Palatino Linotype" w:hAnsi="Palatino Linotype" w:cs="Palatino Linotype"/>
          <w:i/>
          <w:sz w:val="22"/>
          <w:szCs w:val="22"/>
        </w:rPr>
        <w:t>Son sujetos de fiscalización:</w:t>
      </w:r>
    </w:p>
    <w:p w:rsidR="00ED1301" w:rsidRPr="000E7B47" w:rsidRDefault="00BE0E91">
      <w:pPr>
        <w:spacing w:before="240" w:after="240"/>
        <w:ind w:left="567" w:right="851"/>
        <w:jc w:val="both"/>
        <w:rPr>
          <w:i/>
          <w:sz w:val="22"/>
          <w:szCs w:val="22"/>
        </w:rPr>
      </w:pPr>
      <w:r w:rsidRPr="000E7B47">
        <w:rPr>
          <w:rFonts w:ascii="Palatino Linotype" w:eastAsia="Palatino Linotype" w:hAnsi="Palatino Linotype" w:cs="Palatino Linotype"/>
          <w:i/>
          <w:sz w:val="22"/>
          <w:szCs w:val="22"/>
        </w:rPr>
        <w:t>…</w:t>
      </w:r>
    </w:p>
    <w:p w:rsidR="00ED1301" w:rsidRPr="000E7B47" w:rsidRDefault="00BE0E91">
      <w:pPr>
        <w:numPr>
          <w:ilvl w:val="0"/>
          <w:numId w:val="3"/>
        </w:numPr>
        <w:spacing w:before="240" w:after="240"/>
        <w:ind w:left="567" w:right="851" w:hanging="1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Los municipios del Estado de México…” (Sic)</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ED1301" w:rsidRPr="000E7B47" w:rsidRDefault="00BE0E91">
      <w:pPr>
        <w:spacing w:before="240" w:after="240"/>
        <w:ind w:left="851" w:right="851"/>
        <w:jc w:val="both"/>
        <w:rPr>
          <w:i/>
          <w:sz w:val="22"/>
          <w:szCs w:val="22"/>
        </w:rPr>
      </w:pPr>
      <w:r w:rsidRPr="000E7B47">
        <w:rPr>
          <w:rFonts w:ascii="Palatino Linotype" w:eastAsia="Palatino Linotype" w:hAnsi="Palatino Linotype" w:cs="Palatino Linotype"/>
          <w:b/>
          <w:i/>
          <w:sz w:val="22"/>
          <w:szCs w:val="22"/>
        </w:rPr>
        <w:t xml:space="preserve">“Artículo 8. </w:t>
      </w:r>
      <w:r w:rsidRPr="000E7B47">
        <w:rPr>
          <w:rFonts w:ascii="Palatino Linotype" w:eastAsia="Palatino Linotype" w:hAnsi="Palatino Linotype" w:cs="Palatino Linotype"/>
          <w:i/>
          <w:sz w:val="22"/>
          <w:szCs w:val="22"/>
        </w:rPr>
        <w:t>El Órgano Superior tendrá las siguientes atribuciones:</w:t>
      </w:r>
    </w:p>
    <w:p w:rsidR="00ED1301" w:rsidRPr="000E7B47" w:rsidRDefault="00BE0E91">
      <w:pPr>
        <w:spacing w:before="240" w:after="240"/>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ED1301" w:rsidRPr="000E7B47" w:rsidRDefault="00BE0E91">
      <w:pPr>
        <w:spacing w:before="240" w:after="240"/>
        <w:ind w:left="851" w:right="851"/>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XI. Establecer los lineamientos</w:t>
      </w:r>
      <w:r w:rsidRPr="000E7B47">
        <w:rPr>
          <w:rFonts w:ascii="Palatino Linotype" w:eastAsia="Palatino Linotype" w:hAnsi="Palatino Linotype" w:cs="Palatino Linotype"/>
          <w:i/>
          <w:sz w:val="22"/>
          <w:szCs w:val="22"/>
        </w:rPr>
        <w:t xml:space="preserve">, criterios, procedimientos, métodos y sistemas </w:t>
      </w:r>
      <w:r w:rsidRPr="000E7B47">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sz w:val="22"/>
          <w:szCs w:val="22"/>
        </w:rPr>
        <w:t>” (</w:t>
      </w:r>
      <w:r w:rsidRPr="000E7B47">
        <w:rPr>
          <w:rFonts w:ascii="Palatino Linotype" w:eastAsia="Palatino Linotype" w:hAnsi="Palatino Linotype" w:cs="Palatino Linotype"/>
          <w:i/>
          <w:sz w:val="22"/>
          <w:szCs w:val="22"/>
        </w:rPr>
        <w:t>Sic)</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cuatro relativo a la información de la nómina, como se advierte en las siguientes imágenes. </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noProof/>
          <w:lang w:val="es-MX"/>
        </w:rPr>
        <w:lastRenderedPageBreak/>
        <w:drawing>
          <wp:inline distT="0" distB="0" distL="0" distR="0">
            <wp:extent cx="5441950" cy="3568700"/>
            <wp:effectExtent l="0" t="0" r="0" b="0"/>
            <wp:docPr id="3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23986" t="26966" r="3142" b="13257"/>
                    <a:stretch>
                      <a:fillRect/>
                    </a:stretch>
                  </pic:blipFill>
                  <pic:spPr>
                    <a:xfrm>
                      <a:off x="0" y="0"/>
                      <a:ext cx="5441950" cy="3568700"/>
                    </a:xfrm>
                    <a:prstGeom prst="rect">
                      <a:avLst/>
                    </a:prstGeom>
                    <a:ln/>
                  </pic:spPr>
                </pic:pic>
              </a:graphicData>
            </a:graphic>
          </wp:inline>
        </w:drawing>
      </w:r>
      <w:r w:rsidRPr="000E7B47">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1714500</wp:posOffset>
                </wp:positionV>
                <wp:extent cx="5410200" cy="342900"/>
                <wp:effectExtent l="0" t="0" r="0" b="0"/>
                <wp:wrapNone/>
                <wp:docPr id="297" name="Rectángulo 297"/>
                <wp:cNvGraphicFramePr/>
                <a:graphic xmlns:a="http://schemas.openxmlformats.org/drawingml/2006/main">
                  <a:graphicData uri="http://schemas.microsoft.com/office/word/2010/wordprocessingShape">
                    <wps:wsp>
                      <wps:cNvSpPr/>
                      <wps:spPr>
                        <a:xfrm>
                          <a:off x="2655188" y="3622838"/>
                          <a:ext cx="5381625" cy="3143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901"/>
                            </a:srgbClr>
                          </a:outerShdw>
                        </a:effectLst>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7" o:spid="_x0000_s1030" style="position:absolute;left:0;text-align:left;margin-left:-1pt;margin-top:135pt;width:426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" filled="f" strokecolor="#002060" strokeweight="2.25pt">
                <v:stroke startarrowwidth="narrow" startarrowlength="short" endarrowwidth="narrow" endarrowlength="short" joinstyle="round"/>
                <v:shadow on="t" color="black" opacity="22872f" origin=",.5" offset="0,.63889mm"/>
                <v:textbox inset="2.53958mm,2.53958mm,2.53958mm,2.53958mm">
                  <w:txbxContent>
                    <w:p w:rsidR="00CB55D9" w:rsidRDefault="00CB55D9">
                      <w:pPr>
                        <w:textDirection w:val="btLr"/>
                      </w:pPr>
                    </w:p>
                  </w:txbxContent>
                </v:textbox>
              </v:rect>
            </w:pict>
          </mc:Fallback>
        </mc:AlternateContent>
      </w:r>
      <w:r w:rsidRPr="000E7B47">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-12699</wp:posOffset>
                </wp:positionH>
                <wp:positionV relativeFrom="paragraph">
                  <wp:posOffset>2692400</wp:posOffset>
                </wp:positionV>
                <wp:extent cx="5410200" cy="762000"/>
                <wp:effectExtent l="0" t="0" r="0" b="0"/>
                <wp:wrapNone/>
                <wp:docPr id="294" name="Rectángulo 294"/>
                <wp:cNvGraphicFramePr/>
                <a:graphic xmlns:a="http://schemas.openxmlformats.org/drawingml/2006/main">
                  <a:graphicData uri="http://schemas.microsoft.com/office/word/2010/wordprocessingShape">
                    <wps:wsp>
                      <wps:cNvSpPr/>
                      <wps:spPr>
                        <a:xfrm>
                          <a:off x="2655188" y="3413288"/>
                          <a:ext cx="5381625" cy="7334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901"/>
                            </a:srgbClr>
                          </a:outerShdw>
                        </a:effectLst>
                      </wps:spPr>
                      <wps:txbx>
                        <w:txbxContent>
                          <w:p w:rsidR="00CB55D9" w:rsidRDefault="00CB55D9">
                            <w:pPr>
                              <w:textDirection w:val="btLr"/>
                            </w:pPr>
                          </w:p>
                        </w:txbxContent>
                      </wps:txbx>
                      <wps:bodyPr spcFirstLastPara="1" wrap="square" lIns="91425" tIns="91425" rIns="91425" bIns="91425" anchor="ctr" anchorCtr="0">
                        <a:noAutofit/>
                      </wps:bodyPr>
                    </wps:wsp>
                  </a:graphicData>
                </a:graphic>
              </wp:anchor>
            </w:drawing>
          </mc:Choice>
          <mc:Fallback>
            <w:pict>
              <v:rect id="Rectángulo 294" o:spid="_x0000_s1031" style="position:absolute;left:0;text-align:left;margin-left:-1pt;margin-top:212pt;width:426pt;height:6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" filled="f" strokecolor="#002060" strokeweight="2.25pt">
                <v:stroke startarrowwidth="narrow" startarrowlength="short" endarrowwidth="narrow" endarrowlength="short" joinstyle="round"/>
                <v:shadow on="t" color="black" opacity="22872f" origin=",.5" offset="0,.63889mm"/>
                <v:textbox inset="2.53958mm,2.53958mm,2.53958mm,2.53958mm">
                  <w:txbxContent>
                    <w:p w:rsidR="00CB55D9" w:rsidRDefault="00CB55D9">
                      <w:pPr>
                        <w:textDirection w:val="btLr"/>
                      </w:pPr>
                    </w:p>
                  </w:txbxContent>
                </v:textbox>
              </v:rect>
            </w:pict>
          </mc:Fallback>
        </mc:AlternateContent>
      </w:r>
    </w:p>
    <w:p w:rsidR="00ED1301" w:rsidRPr="000E7B47" w:rsidRDefault="00BE0E91">
      <w:pPr>
        <w:spacing w:before="240" w:line="360" w:lineRule="auto"/>
        <w:jc w:val="both"/>
        <w:rPr>
          <w:rFonts w:ascii="Palatino Linotype" w:eastAsia="Palatino Linotype" w:hAnsi="Palatino Linotype" w:cs="Palatino Linotype"/>
        </w:rPr>
      </w:pPr>
      <w:r w:rsidRPr="000E7B47">
        <w:rPr>
          <w:noProof/>
          <w:lang w:val="es-MX"/>
        </w:rPr>
        <w:lastRenderedPageBreak/>
        <w:drawing>
          <wp:inline distT="0" distB="0" distL="0" distR="0">
            <wp:extent cx="5609305" cy="7380664"/>
            <wp:effectExtent l="0" t="0" r="0" b="0"/>
            <wp:docPr id="3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34623" t="19010" r="36354" b="13095"/>
                    <a:stretch>
                      <a:fillRect/>
                    </a:stretch>
                  </pic:blipFill>
                  <pic:spPr>
                    <a:xfrm>
                      <a:off x="0" y="0"/>
                      <a:ext cx="5609305" cy="7380664"/>
                    </a:xfrm>
                    <a:prstGeom prst="rect">
                      <a:avLst/>
                    </a:prstGeom>
                    <a:ln/>
                  </pic:spPr>
                </pic:pic>
              </a:graphicData>
            </a:graphic>
          </wp:inline>
        </w:drawing>
      </w:r>
    </w:p>
    <w:p w:rsidR="00ED1301" w:rsidRPr="000E7B47" w:rsidRDefault="00BE0E91">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En observancia a las imágenes anteriores, se acredita que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rsidR="00ED1301" w:rsidRPr="000E7B47" w:rsidRDefault="00BE0E91">
      <w:pPr>
        <w:spacing w:before="240" w:after="240"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En resumen, la conciliación de nómina y los recibos de pago o de nómina, son los documentos idóneos que </w:t>
      </w:r>
      <w:r w:rsidR="005E45B7" w:rsidRPr="000E7B47">
        <w:rPr>
          <w:rFonts w:ascii="Palatino Linotype" w:eastAsia="Palatino Linotype" w:hAnsi="Palatino Linotype" w:cs="Palatino Linotype"/>
        </w:rPr>
        <w:t xml:space="preserve">se generan de manera quincenal o mensual y </w:t>
      </w:r>
      <w:r w:rsidRPr="000E7B47">
        <w:rPr>
          <w:rFonts w:ascii="Palatino Linotype" w:eastAsia="Palatino Linotype" w:hAnsi="Palatino Linotype" w:cs="Palatino Linotype"/>
        </w:rPr>
        <w:t xml:space="preserve">de manera enunciativa mas no limitativa </w:t>
      </w:r>
      <w:r w:rsidR="005E45B7" w:rsidRPr="000E7B47">
        <w:rPr>
          <w:rFonts w:ascii="Palatino Linotype" w:eastAsia="Palatino Linotype" w:hAnsi="Palatino Linotype" w:cs="Palatino Linotype"/>
        </w:rPr>
        <w:t xml:space="preserve">pudieran satisfacer lo requerido por el particular, en virtud de que </w:t>
      </w:r>
      <w:r w:rsidRPr="000E7B47">
        <w:rPr>
          <w:rFonts w:ascii="Palatino Linotype" w:eastAsia="Palatino Linotype" w:hAnsi="Palatino Linotype" w:cs="Palatino Linotype"/>
        </w:rPr>
        <w:t xml:space="preserve">contienen los salarios de los integrantes de la Comisión de Honor y Justicia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y que debe ser</w:t>
      </w:r>
      <w:r w:rsidRPr="000E7B47">
        <w:rPr>
          <w:rFonts w:ascii="Palatino Linotype" w:eastAsia="Palatino Linotype" w:hAnsi="Palatino Linotype" w:cs="Palatino Linotype"/>
          <w:b/>
        </w:rPr>
        <w:t xml:space="preserve"> </w:t>
      </w:r>
      <w:r w:rsidRPr="000E7B47">
        <w:rPr>
          <w:rFonts w:ascii="Palatino Linotype" w:eastAsia="Palatino Linotype" w:hAnsi="Palatino Linotype" w:cs="Palatino Linotype"/>
        </w:rPr>
        <w:t xml:space="preserve">generada, administrada o poseída de acuerdo a lo establecido en el presente considerando; por lo que resulta procedente ordenar al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su entrega salvaguardando los datos personales que contenga, de conformidad con el considerando quinto. </w:t>
      </w:r>
    </w:p>
    <w:p w:rsidR="00ED1301" w:rsidRPr="000E7B47" w:rsidRDefault="00BE0E91">
      <w:pPr>
        <w:spacing w:before="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D1301" w:rsidRPr="000E7B47" w:rsidRDefault="00BE0E91">
      <w:pPr>
        <w:spacing w:after="240"/>
        <w:ind w:left="851" w:right="851"/>
        <w:jc w:val="both"/>
        <w:rPr>
          <w:rFonts w:ascii="Palatino Linotype" w:eastAsia="Palatino Linotype" w:hAnsi="Palatino Linotype" w:cs="Palatino Linotype"/>
          <w:i/>
          <w:sz w:val="22"/>
          <w:szCs w:val="22"/>
          <w:u w:val="single"/>
        </w:rPr>
      </w:pPr>
      <w:r w:rsidRPr="000E7B47">
        <w:rPr>
          <w:rFonts w:ascii="Palatino Linotype" w:eastAsia="Palatino Linotype" w:hAnsi="Palatino Linotype" w:cs="Palatino Linotype"/>
          <w:b/>
          <w:i/>
          <w:sz w:val="22"/>
          <w:szCs w:val="22"/>
          <w:u w:val="single"/>
        </w:rPr>
        <w:lastRenderedPageBreak/>
        <w:t>“Artículo 7. El Estado de México garantizará el efectivo acceso de toda persona a la información en posesión de cualquier entidad,</w:t>
      </w:r>
      <w:r w:rsidRPr="000E7B47">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0E7B47">
        <w:rPr>
          <w:rFonts w:ascii="Palatino Linotype" w:eastAsia="Palatino Linotype" w:hAnsi="Palatino Linotype" w:cs="Palatino Linotype"/>
          <w:b/>
          <w:i/>
          <w:sz w:val="22"/>
          <w:szCs w:val="22"/>
          <w:u w:val="single"/>
        </w:rPr>
        <w:t>que reciba y ejerza recursos públicos</w:t>
      </w:r>
      <w:r w:rsidRPr="000E7B47">
        <w:rPr>
          <w:rFonts w:ascii="Palatino Linotype" w:eastAsia="Palatino Linotype" w:hAnsi="Palatino Linotype" w:cs="Palatino Linotype"/>
          <w:i/>
          <w:sz w:val="22"/>
          <w:szCs w:val="22"/>
        </w:rPr>
        <w:t xml:space="preserve"> o realice actos de autoridad </w:t>
      </w:r>
      <w:r w:rsidRPr="000E7B47">
        <w:rPr>
          <w:rFonts w:ascii="Palatino Linotype" w:eastAsia="Palatino Linotype" w:hAnsi="Palatino Linotype" w:cs="Palatino Linotype"/>
          <w:b/>
          <w:i/>
          <w:sz w:val="22"/>
          <w:szCs w:val="22"/>
          <w:u w:val="single"/>
        </w:rPr>
        <w:t>en el ámbito de competencia del Estado de México y sus municipios</w:t>
      </w:r>
      <w:r w:rsidRPr="000E7B47">
        <w:rPr>
          <w:rFonts w:ascii="Palatino Linotype" w:eastAsia="Palatino Linotype" w:hAnsi="Palatino Linotype" w:cs="Palatino Linotype"/>
          <w:i/>
          <w:sz w:val="22"/>
          <w:szCs w:val="22"/>
          <w:u w:val="single"/>
        </w:rPr>
        <w:t>.</w:t>
      </w:r>
    </w:p>
    <w:p w:rsidR="00ED1301" w:rsidRPr="000E7B47" w:rsidRDefault="00BE0E91">
      <w:pPr>
        <w:spacing w:before="240" w:after="240"/>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ED1301" w:rsidRPr="000E7B47" w:rsidRDefault="00BE0E91">
      <w:pPr>
        <w:spacing w:before="240" w:after="240"/>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ED1301" w:rsidRPr="000E7B47" w:rsidRDefault="00BE0E91">
      <w:pPr>
        <w:spacing w:before="240" w:after="240"/>
        <w:ind w:left="851" w:right="851"/>
        <w:jc w:val="both"/>
        <w:rPr>
          <w:rFonts w:ascii="Palatino Linotype" w:eastAsia="Palatino Linotype" w:hAnsi="Palatino Linotype" w:cs="Palatino Linotype"/>
          <w:b/>
          <w:i/>
          <w:sz w:val="22"/>
          <w:szCs w:val="22"/>
          <w:u w:val="single"/>
        </w:rPr>
      </w:pPr>
      <w:r w:rsidRPr="000E7B47">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ED1301" w:rsidRPr="000E7B47" w:rsidRDefault="00BE0E91">
      <w:pPr>
        <w:spacing w:before="240" w:after="240"/>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ED1301" w:rsidRPr="000E7B47" w:rsidRDefault="00BE0E91">
      <w:pPr>
        <w:spacing w:before="240" w:after="240"/>
        <w:ind w:left="851" w:right="851"/>
        <w:jc w:val="both"/>
        <w:rPr>
          <w:rFonts w:ascii="Palatino Linotype" w:eastAsia="Palatino Linotype" w:hAnsi="Palatino Linotype" w:cs="Palatino Linotype"/>
          <w:b/>
          <w:i/>
          <w:sz w:val="22"/>
          <w:szCs w:val="22"/>
          <w:u w:val="single"/>
        </w:rPr>
      </w:pPr>
      <w:r w:rsidRPr="000E7B47">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D1301" w:rsidRPr="000E7B47" w:rsidRDefault="00BE0E91">
      <w:pPr>
        <w:spacing w:before="240" w:after="240"/>
        <w:ind w:left="851" w:right="851"/>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0E7B47">
        <w:rPr>
          <w:rFonts w:ascii="Palatino Linotype" w:eastAsia="Palatino Linotype" w:hAnsi="Palatino Linotype" w:cs="Palatino Linotype"/>
          <w:b/>
          <w:i/>
          <w:sz w:val="22"/>
          <w:szCs w:val="22"/>
        </w:rPr>
        <w:t xml:space="preserve"> [Sic]</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0E7B47">
        <w:rPr>
          <w:rFonts w:ascii="Palatino Linotype" w:eastAsia="Palatino Linotype" w:hAnsi="Palatino Linotype" w:cs="Palatino Linotype"/>
          <w:b/>
        </w:rPr>
        <w:t>01/2003</w:t>
      </w:r>
      <w:r w:rsidRPr="000E7B47">
        <w:rPr>
          <w:rFonts w:ascii="Palatino Linotype" w:eastAsia="Palatino Linotype" w:hAnsi="Palatino Linotype" w:cs="Palatino Linotype"/>
        </w:rPr>
        <w:t xml:space="preserve"> y </w:t>
      </w:r>
      <w:r w:rsidRPr="000E7B47">
        <w:rPr>
          <w:rFonts w:ascii="Palatino Linotype" w:eastAsia="Palatino Linotype" w:hAnsi="Palatino Linotype" w:cs="Palatino Linotype"/>
          <w:b/>
        </w:rPr>
        <w:t>02/2003</w:t>
      </w:r>
      <w:r w:rsidRPr="000E7B47">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ED1301" w:rsidRPr="000E7B47" w:rsidRDefault="00BE0E91">
      <w:pPr>
        <w:spacing w:before="240" w:after="240"/>
        <w:ind w:left="851" w:right="851"/>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“Criterio 01/2003.</w:t>
      </w:r>
    </w:p>
    <w:p w:rsidR="00ED1301" w:rsidRPr="000E7B47" w:rsidRDefault="00BE0E91">
      <w:pPr>
        <w:spacing w:before="240" w:after="240"/>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0E7B47">
        <w:rPr>
          <w:rFonts w:ascii="Palatino Linotype" w:eastAsia="Palatino Linotype" w:hAnsi="Palatino Linotype" w:cs="Palatino Linotype"/>
          <w:i/>
          <w:sz w:val="22"/>
          <w:szCs w:val="22"/>
        </w:rPr>
        <w:t xml:space="preserve"> </w:t>
      </w:r>
    </w:p>
    <w:p w:rsidR="00ED1301" w:rsidRPr="000E7B47" w:rsidRDefault="00BE0E91">
      <w:pPr>
        <w:spacing w:before="240" w:after="240"/>
        <w:ind w:left="851" w:right="851"/>
        <w:jc w:val="both"/>
        <w:rPr>
          <w:rFonts w:ascii="Palatino Linotype" w:eastAsia="Palatino Linotype" w:hAnsi="Palatino Linotype" w:cs="Palatino Linotype"/>
          <w:i/>
          <w:sz w:val="22"/>
          <w:szCs w:val="22"/>
          <w:u w:val="single"/>
        </w:rPr>
      </w:pPr>
      <w:r w:rsidRPr="000E7B47">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E7B47">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E7B47">
        <w:rPr>
          <w:rFonts w:ascii="Palatino Linotype" w:eastAsia="Palatino Linotype" w:hAnsi="Palatino Linotype" w:cs="Palatino Linotype"/>
          <w:i/>
          <w:sz w:val="22"/>
          <w:szCs w:val="22"/>
          <w:u w:val="single"/>
        </w:rPr>
        <w:t>…”</w:t>
      </w:r>
    </w:p>
    <w:p w:rsidR="00ED1301" w:rsidRPr="000E7B47" w:rsidRDefault="00BE0E91">
      <w:pPr>
        <w:spacing w:before="240" w:after="240" w:line="276" w:lineRule="auto"/>
        <w:ind w:left="851" w:right="851"/>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“Criterio 02/2003.</w:t>
      </w:r>
    </w:p>
    <w:p w:rsidR="00ED1301" w:rsidRPr="000E7B47" w:rsidRDefault="00BE0E91">
      <w:pPr>
        <w:spacing w:before="240" w:after="240" w:line="276" w:lineRule="auto"/>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0E7B47">
        <w:rPr>
          <w:rFonts w:ascii="Palatino Linotype" w:eastAsia="Palatino Linotype" w:hAnsi="Palatino Linotype" w:cs="Palatino Linotype"/>
          <w:i/>
          <w:sz w:val="22"/>
          <w:szCs w:val="22"/>
        </w:rPr>
        <w:t xml:space="preserve"> </w:t>
      </w:r>
    </w:p>
    <w:p w:rsidR="00ED1301" w:rsidRPr="000E7B47" w:rsidRDefault="00BE0E91">
      <w:pPr>
        <w:spacing w:before="240" w:line="276" w:lineRule="auto"/>
        <w:ind w:left="851" w:right="851"/>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E7B47">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E7B47">
        <w:rPr>
          <w:rFonts w:ascii="Palatino Linotype" w:eastAsia="Palatino Linotype" w:hAnsi="Palatino Linotype" w:cs="Palatino Linotype"/>
          <w:i/>
          <w:sz w:val="22"/>
          <w:szCs w:val="22"/>
        </w:rPr>
        <w:t xml:space="preserve"> el sistema de compensación…” </w:t>
      </w:r>
      <w:r w:rsidRPr="000E7B47">
        <w:rPr>
          <w:rFonts w:ascii="Palatino Linotype" w:eastAsia="Palatino Linotype" w:hAnsi="Palatino Linotype" w:cs="Palatino Linotype"/>
          <w:b/>
          <w:i/>
          <w:sz w:val="22"/>
          <w:szCs w:val="22"/>
        </w:rPr>
        <w:t>[Sic]</w:t>
      </w:r>
    </w:p>
    <w:p w:rsidR="00ED1301" w:rsidRPr="000E7B47" w:rsidRDefault="00ED1301">
      <w:pPr>
        <w:spacing w:line="360" w:lineRule="auto"/>
        <w:jc w:val="both"/>
        <w:rPr>
          <w:rFonts w:ascii="Palatino Linotype" w:eastAsia="Palatino Linotype" w:hAnsi="Palatino Linotype" w:cs="Palatino Linotype"/>
        </w:rPr>
      </w:pPr>
    </w:p>
    <w:p w:rsidR="00ED1301" w:rsidRPr="000E7B47" w:rsidRDefault="00BE0E91">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A mayor abundamiento, cabe mencionar que, el artículo 70 de la Ley General de Transparencia y Acceso a la Información Pública dispone lo siguiente: </w:t>
      </w:r>
    </w:p>
    <w:p w:rsidR="00ED1301" w:rsidRPr="000E7B47" w:rsidRDefault="00ED1301">
      <w:pPr>
        <w:spacing w:line="360" w:lineRule="auto"/>
        <w:jc w:val="both"/>
        <w:rPr>
          <w:rFonts w:ascii="Palatino Linotype" w:eastAsia="Palatino Linotype" w:hAnsi="Palatino Linotype" w:cs="Palatino Linotype"/>
        </w:rPr>
      </w:pP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70</w:t>
      </w:r>
      <w:r w:rsidRPr="000E7B47">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 </w:t>
      </w: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D1301" w:rsidRPr="000E7B47" w:rsidRDefault="00ED1301">
      <w:pPr>
        <w:spacing w:line="360" w:lineRule="auto"/>
        <w:jc w:val="both"/>
      </w:pPr>
    </w:p>
    <w:p w:rsidR="00ED1301" w:rsidRPr="000E7B47" w:rsidRDefault="00BE0E91">
      <w:pPr>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ED1301" w:rsidRPr="000E7B47" w:rsidRDefault="00ED1301">
      <w:pPr>
        <w:spacing w:line="360" w:lineRule="auto"/>
        <w:ind w:right="49"/>
        <w:jc w:val="both"/>
        <w:rPr>
          <w:rFonts w:ascii="Palatino Linotype" w:eastAsia="Palatino Linotype" w:hAnsi="Palatino Linotype" w:cs="Palatino Linotype"/>
        </w:rPr>
      </w:pP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92</w:t>
      </w:r>
      <w:r w:rsidRPr="000E7B47">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ED1301" w:rsidRPr="000E7B47" w:rsidRDefault="00BE0E91">
      <w:pPr>
        <w:spacing w:line="276" w:lineRule="auto"/>
        <w:ind w:left="851" w:right="900"/>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(Sic)</w:t>
      </w:r>
    </w:p>
    <w:p w:rsidR="00ED1301" w:rsidRPr="000E7B47" w:rsidRDefault="00ED1301">
      <w:pPr>
        <w:spacing w:line="276" w:lineRule="auto"/>
        <w:jc w:val="both"/>
        <w:rPr>
          <w:sz w:val="22"/>
          <w:szCs w:val="22"/>
        </w:rPr>
      </w:pPr>
    </w:p>
    <w:p w:rsidR="00ED1301" w:rsidRPr="000E7B47" w:rsidRDefault="00BE0E91">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953798" w:rsidRPr="000E7B47" w:rsidRDefault="00953798">
      <w:pPr>
        <w:spacing w:line="360" w:lineRule="auto"/>
        <w:jc w:val="both"/>
        <w:rPr>
          <w:rFonts w:ascii="Palatino Linotype" w:eastAsia="Palatino Linotype" w:hAnsi="Palatino Linotype" w:cs="Palatino Linotype"/>
        </w:rPr>
      </w:pPr>
    </w:p>
    <w:p w:rsidR="00ED1301" w:rsidRPr="000E7B47" w:rsidRDefault="00BE0E91">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Finalmente, cabe señalar que los documentos que de manera enunciativa mas no limitativa pueden colmar lo solicitado, es la nómina o los recibos de nómina de los integrantes de la Comisión de Honor y Justicia, por lo que es procedente ordenar la entrega de los documentos en que conste el sueldo de los servidores públicos referidos, generados del 1 de enero al</w:t>
      </w:r>
      <w:r w:rsidR="005E45B7" w:rsidRPr="000E7B47">
        <w:rPr>
          <w:rFonts w:ascii="Palatino Linotype" w:eastAsia="Palatino Linotype" w:hAnsi="Palatino Linotype" w:cs="Palatino Linotype"/>
        </w:rPr>
        <w:t xml:space="preserve"> 31 de marzo de 2022, en virtud de que como se abordó en líneas argumentativas anteriores, los soportes documentales que pudieran entregarse se generan de manera quincenal, por lo tanto, no es procedente la entrega al siete de abril como refirió el particular en su requerimiento de aclaración.</w:t>
      </w:r>
    </w:p>
    <w:p w:rsidR="00ED1301" w:rsidRPr="000E7B47" w:rsidRDefault="00ED1301">
      <w:pPr>
        <w:spacing w:line="360" w:lineRule="auto"/>
        <w:jc w:val="both"/>
        <w:rPr>
          <w:rFonts w:ascii="Palatino Linotype" w:eastAsia="Palatino Linotype" w:hAnsi="Palatino Linotype" w:cs="Palatino Linotype"/>
        </w:rPr>
      </w:pPr>
      <w:bookmarkStart w:id="0" w:name="_heading=h.30j0zll" w:colFirst="0" w:colLast="0"/>
      <w:bookmarkEnd w:id="0"/>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Quinto. Versión Pública. C</w:t>
      </w:r>
      <w:r w:rsidRPr="000E7B47">
        <w:rPr>
          <w:rFonts w:ascii="Palatino Linotype" w:eastAsia="Palatino Linotype" w:hAnsi="Palatino Linotype" w:cs="Palatino Linotype"/>
        </w:rPr>
        <w:t>omo fue debidamente apuntado, el</w:t>
      </w:r>
      <w:r w:rsidRPr="000E7B47">
        <w:rPr>
          <w:rFonts w:ascii="Palatino Linotype" w:eastAsia="Palatino Linotype" w:hAnsi="Palatino Linotype" w:cs="Palatino Linotype"/>
          <w:b/>
        </w:rPr>
        <w:t> Sujeto Obligado</w:t>
      </w:r>
      <w:r w:rsidRPr="000E7B47">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hd w:val="clear" w:color="auto" w:fill="FFFFFF"/>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p>
    <w:p w:rsidR="00007F80" w:rsidRPr="000E7B47" w:rsidRDefault="00007F80" w:rsidP="00007F80">
      <w:pPr>
        <w:spacing w:line="276" w:lineRule="auto"/>
        <w:ind w:left="993" w:right="1041"/>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 “Artículo 3. Para los efectos de la presente Ley se entenderá por:</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IX. Datos personales:</w:t>
      </w:r>
      <w:r w:rsidRPr="000E7B47">
        <w:rPr>
          <w:rFonts w:ascii="Palatino Linotype" w:eastAsia="Palatino Linotype" w:hAnsi="Palatino Linotype" w:cs="Palatino Linotype"/>
          <w:i/>
          <w:sz w:val="22"/>
          <w:szCs w:val="22"/>
        </w:rPr>
        <w:t xml:space="preserve"> </w:t>
      </w:r>
      <w:r w:rsidRPr="000E7B47">
        <w:rPr>
          <w:rFonts w:ascii="Palatino Linotype" w:eastAsia="Palatino Linotype" w:hAnsi="Palatino Linotype" w:cs="Palatino Linotype"/>
          <w:b/>
          <w:i/>
          <w:sz w:val="22"/>
          <w:szCs w:val="22"/>
        </w:rPr>
        <w:t>La información concerniente a una persona, identificada o identificable</w:t>
      </w:r>
      <w:r w:rsidRPr="000E7B47">
        <w:rPr>
          <w:rFonts w:ascii="Palatino Linotype" w:eastAsia="Palatino Linotype" w:hAnsi="Palatino Linotype" w:cs="Palatino Linotype"/>
          <w:i/>
          <w:sz w:val="22"/>
          <w:szCs w:val="22"/>
        </w:rPr>
        <w:t xml:space="preserve"> según lo dispuesto por la Ley de Protección de Datos Personales del Estado de México;</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XX. Información clasificada:</w:t>
      </w:r>
      <w:r w:rsidRPr="000E7B47">
        <w:rPr>
          <w:rFonts w:ascii="Palatino Linotype" w:eastAsia="Palatino Linotype" w:hAnsi="Palatino Linotype" w:cs="Palatino Linotype"/>
          <w:i/>
          <w:sz w:val="22"/>
          <w:szCs w:val="22"/>
        </w:rPr>
        <w:t xml:space="preserve"> Aquella considerada por la presente Ley como reservada o confidencial;</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XXXII. Protección de Datos Personales:</w:t>
      </w:r>
      <w:r w:rsidRPr="000E7B4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lastRenderedPageBreak/>
        <w:t>XLV. Versión pública</w:t>
      </w:r>
      <w:r w:rsidRPr="000E7B4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6.</w:t>
      </w:r>
      <w:r w:rsidRPr="000E7B4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7F80" w:rsidRPr="000E7B47" w:rsidRDefault="00007F80" w:rsidP="00007F80">
      <w:pPr>
        <w:spacing w:line="360" w:lineRule="auto"/>
        <w:ind w:left="993" w:right="1041"/>
        <w:jc w:val="both"/>
        <w:rPr>
          <w:rFonts w:ascii="Palatino Linotype" w:eastAsia="Palatino Linotype" w:hAnsi="Palatino Linotype" w:cs="Palatino Linotype"/>
          <w:i/>
          <w:sz w:val="22"/>
          <w:szCs w:val="22"/>
        </w:rPr>
      </w:pP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b/>
          <w:i/>
          <w:sz w:val="22"/>
          <w:szCs w:val="22"/>
        </w:rPr>
        <w:t>Artículo 49.</w:t>
      </w:r>
      <w:r w:rsidRPr="000E7B47">
        <w:rPr>
          <w:rFonts w:ascii="Palatino Linotype" w:eastAsia="Palatino Linotype" w:hAnsi="Palatino Linotype" w:cs="Palatino Linotype"/>
          <w:i/>
          <w:sz w:val="22"/>
          <w:szCs w:val="22"/>
        </w:rPr>
        <w:t> Los Comités de Transparencia tendrán las siguientes atribuciones:</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VIII</w:t>
      </w:r>
      <w:r w:rsidRPr="000E7B47">
        <w:rPr>
          <w:rFonts w:ascii="Palatino Linotype" w:eastAsia="Palatino Linotype" w:hAnsi="Palatino Linotype" w:cs="Palatino Linotype"/>
          <w:i/>
          <w:sz w:val="22"/>
          <w:szCs w:val="22"/>
        </w:rPr>
        <w:t>. Aprobar, modificar o revocar la clasificación de la información;</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Artículo 91. </w:t>
      </w:r>
      <w:r w:rsidRPr="000E7B4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p>
    <w:p w:rsidR="00007F80" w:rsidRPr="000E7B47" w:rsidRDefault="00007F80" w:rsidP="00007F80">
      <w:pPr>
        <w:spacing w:line="276" w:lineRule="auto"/>
        <w:ind w:left="993" w:right="1041"/>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“Artículo 137.</w:t>
      </w:r>
      <w:r w:rsidRPr="000E7B4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7F80" w:rsidRPr="000E7B47" w:rsidRDefault="00007F80" w:rsidP="00007F80">
      <w:pPr>
        <w:spacing w:line="276" w:lineRule="auto"/>
        <w:ind w:left="993" w:right="1041"/>
        <w:jc w:val="both"/>
        <w:rPr>
          <w:rFonts w:ascii="Palatino Linotype" w:eastAsia="Palatino Linotype" w:hAnsi="Palatino Linotype" w:cs="Palatino Linotype"/>
          <w:b/>
          <w:i/>
          <w:sz w:val="22"/>
          <w:szCs w:val="22"/>
        </w:rPr>
      </w:pP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143</w:t>
      </w:r>
      <w:r w:rsidRPr="000E7B4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I.</w:t>
      </w:r>
      <w:r w:rsidRPr="000E7B4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007F80" w:rsidRPr="000E7B47" w:rsidRDefault="00007F80" w:rsidP="00007F80">
      <w:pPr>
        <w:spacing w:line="360" w:lineRule="auto"/>
        <w:ind w:left="993" w:right="1041"/>
        <w:jc w:val="both"/>
        <w:rPr>
          <w:rFonts w:ascii="Palatino Linotype" w:eastAsia="Palatino Linotype" w:hAnsi="Palatino Linotype" w:cs="Palatino Linotype"/>
          <w:i/>
          <w:sz w:val="22"/>
          <w:szCs w:val="22"/>
        </w:rPr>
      </w:pPr>
    </w:p>
    <w:p w:rsidR="00007F80" w:rsidRPr="000E7B47" w:rsidRDefault="00007F80" w:rsidP="00007F80">
      <w:pPr>
        <w:spacing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7F80" w:rsidRPr="000E7B47" w:rsidRDefault="00007F80" w:rsidP="00007F80">
      <w:pPr>
        <w:spacing w:line="360" w:lineRule="auto"/>
        <w:ind w:right="51"/>
        <w:jc w:val="both"/>
        <w:rPr>
          <w:rFonts w:ascii="Palatino Linotype" w:eastAsia="Palatino Linotype" w:hAnsi="Palatino Linotype" w:cs="Palatino Linotype"/>
        </w:rPr>
      </w:pPr>
    </w:p>
    <w:p w:rsidR="00007F80" w:rsidRPr="000E7B47" w:rsidRDefault="00007F80" w:rsidP="00007F80">
      <w:pPr>
        <w:spacing w:line="360" w:lineRule="auto"/>
        <w:ind w:right="50"/>
        <w:jc w:val="both"/>
        <w:rPr>
          <w:rFonts w:ascii="Palatino Linotype" w:eastAsia="Palatino Linotype" w:hAnsi="Palatino Linotype" w:cs="Palatino Linotype"/>
        </w:rPr>
      </w:pPr>
      <w:r w:rsidRPr="000E7B4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7F80" w:rsidRPr="000E7B47" w:rsidRDefault="00007F80" w:rsidP="00007F80">
      <w:pPr>
        <w:spacing w:line="360" w:lineRule="auto"/>
        <w:ind w:right="50"/>
        <w:jc w:val="both"/>
        <w:rPr>
          <w:rFonts w:ascii="Palatino Linotype" w:eastAsia="Palatino Linotype" w:hAnsi="Palatino Linotype" w:cs="Palatino Linotype"/>
        </w:rPr>
      </w:pPr>
    </w:p>
    <w:p w:rsidR="00007F80" w:rsidRPr="000E7B47" w:rsidRDefault="00007F80" w:rsidP="00007F80">
      <w:pPr>
        <w:spacing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7F80" w:rsidRPr="000E7B47" w:rsidRDefault="00007F80" w:rsidP="00007F80">
      <w:pPr>
        <w:spacing w:line="360" w:lineRule="auto"/>
        <w:ind w:right="51"/>
        <w:jc w:val="both"/>
        <w:rPr>
          <w:rFonts w:ascii="Palatino Linotype" w:eastAsia="Palatino Linotype" w:hAnsi="Palatino Linotype" w:cs="Palatino Linotype"/>
        </w:rPr>
      </w:pP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49.</w:t>
      </w:r>
      <w:r w:rsidRPr="000E7B47">
        <w:rPr>
          <w:rFonts w:ascii="Palatino Linotype" w:eastAsia="Palatino Linotype" w:hAnsi="Palatino Linotype" w:cs="Palatino Linotype"/>
          <w:i/>
          <w:sz w:val="22"/>
          <w:szCs w:val="22"/>
        </w:rPr>
        <w:t xml:space="preserve"> </w:t>
      </w:r>
      <w:r w:rsidRPr="000E7B47">
        <w:rPr>
          <w:rFonts w:ascii="Palatino Linotype" w:eastAsia="Palatino Linotype" w:hAnsi="Palatino Linotype" w:cs="Palatino Linotype"/>
          <w:b/>
          <w:i/>
          <w:sz w:val="22"/>
          <w:szCs w:val="22"/>
        </w:rPr>
        <w:t>Los Comités de Transparencia</w:t>
      </w:r>
      <w:r w:rsidRPr="000E7B47">
        <w:rPr>
          <w:rFonts w:ascii="Palatino Linotype" w:eastAsia="Palatino Linotype" w:hAnsi="Palatino Linotype" w:cs="Palatino Linotype"/>
          <w:i/>
          <w:sz w:val="22"/>
          <w:szCs w:val="22"/>
        </w:rPr>
        <w:t xml:space="preserve"> tendrán las siguientes atribuciones:</w:t>
      </w: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VIII. Aprobar, modificar o revocar la clasificación de la información</w:t>
      </w: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Artículo 53.</w:t>
      </w:r>
      <w:r w:rsidRPr="000E7B47">
        <w:rPr>
          <w:rFonts w:ascii="Palatino Linotype" w:eastAsia="Palatino Linotype" w:hAnsi="Palatino Linotype" w:cs="Palatino Linotype"/>
          <w:i/>
          <w:sz w:val="22"/>
          <w:szCs w:val="22"/>
        </w:rPr>
        <w:t xml:space="preserve"> Las </w:t>
      </w:r>
      <w:r w:rsidRPr="000E7B47">
        <w:rPr>
          <w:rFonts w:ascii="Palatino Linotype" w:eastAsia="Palatino Linotype" w:hAnsi="Palatino Linotype" w:cs="Palatino Linotype"/>
          <w:b/>
          <w:i/>
          <w:sz w:val="22"/>
          <w:szCs w:val="22"/>
        </w:rPr>
        <w:t>Unidades de Transparencia</w:t>
      </w:r>
      <w:r w:rsidRPr="000E7B47">
        <w:rPr>
          <w:rFonts w:ascii="Palatino Linotype" w:eastAsia="Palatino Linotype" w:hAnsi="Palatino Linotype" w:cs="Palatino Linotype"/>
          <w:i/>
          <w:sz w:val="22"/>
          <w:szCs w:val="22"/>
        </w:rPr>
        <w:t xml:space="preserve"> tendrán las siguientes </w:t>
      </w:r>
      <w:r w:rsidRPr="000E7B47">
        <w:rPr>
          <w:rFonts w:ascii="Palatino Linotype" w:eastAsia="Palatino Linotype" w:hAnsi="Palatino Linotype" w:cs="Palatino Linotype"/>
          <w:b/>
          <w:i/>
          <w:sz w:val="22"/>
          <w:szCs w:val="22"/>
        </w:rPr>
        <w:t>funciones</w:t>
      </w: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X. Presentar ante el Comité, el proyecto de clasificación de información</w:t>
      </w:r>
      <w:r w:rsidRPr="000E7B47">
        <w:rPr>
          <w:rFonts w:ascii="Palatino Linotype" w:eastAsia="Palatino Linotype" w:hAnsi="Palatino Linotype" w:cs="Palatino Linotype"/>
          <w:i/>
          <w:sz w:val="22"/>
          <w:szCs w:val="22"/>
        </w:rPr>
        <w:t xml:space="preserve">…” </w:t>
      </w: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“Artículo 59.</w:t>
      </w:r>
      <w:r w:rsidRPr="000E7B47">
        <w:rPr>
          <w:rFonts w:ascii="Palatino Linotype" w:eastAsia="Palatino Linotype" w:hAnsi="Palatino Linotype" w:cs="Palatino Linotype"/>
          <w:i/>
          <w:sz w:val="22"/>
          <w:szCs w:val="22"/>
        </w:rPr>
        <w:t xml:space="preserve"> Los </w:t>
      </w:r>
      <w:r w:rsidRPr="000E7B47">
        <w:rPr>
          <w:rFonts w:ascii="Palatino Linotype" w:eastAsia="Palatino Linotype" w:hAnsi="Palatino Linotype" w:cs="Palatino Linotype"/>
          <w:b/>
          <w:i/>
          <w:sz w:val="22"/>
          <w:szCs w:val="22"/>
        </w:rPr>
        <w:t>servidores públicos habilitados</w:t>
      </w:r>
      <w:r w:rsidRPr="000E7B47">
        <w:rPr>
          <w:rFonts w:ascii="Palatino Linotype" w:eastAsia="Palatino Linotype" w:hAnsi="Palatino Linotype" w:cs="Palatino Linotype"/>
          <w:i/>
          <w:sz w:val="22"/>
          <w:szCs w:val="22"/>
        </w:rPr>
        <w:t xml:space="preserve"> tendrán las </w:t>
      </w:r>
      <w:r w:rsidRPr="000E7B47">
        <w:rPr>
          <w:rFonts w:ascii="Palatino Linotype" w:eastAsia="Palatino Linotype" w:hAnsi="Palatino Linotype" w:cs="Palatino Linotype"/>
          <w:b/>
          <w:i/>
          <w:sz w:val="22"/>
          <w:szCs w:val="22"/>
        </w:rPr>
        <w:t>funciones</w:t>
      </w:r>
      <w:r w:rsidRPr="000E7B47">
        <w:rPr>
          <w:rFonts w:ascii="Palatino Linotype" w:eastAsia="Palatino Linotype" w:hAnsi="Palatino Linotype" w:cs="Palatino Linotype"/>
          <w:i/>
          <w:sz w:val="22"/>
          <w:szCs w:val="22"/>
        </w:rPr>
        <w:t xml:space="preserve"> siguientes:</w:t>
      </w:r>
    </w:p>
    <w:p w:rsidR="00007F80" w:rsidRPr="000E7B47" w:rsidRDefault="00007F80" w:rsidP="00007F80">
      <w:pPr>
        <w:spacing w:line="276" w:lineRule="auto"/>
        <w:ind w:left="992" w:right="1043"/>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E7B47">
        <w:rPr>
          <w:rFonts w:ascii="Palatino Linotype" w:eastAsia="Palatino Linotype" w:hAnsi="Palatino Linotype" w:cs="Palatino Linotype"/>
          <w:i/>
          <w:sz w:val="22"/>
          <w:szCs w:val="22"/>
        </w:rPr>
        <w:t>, la cual tendrá los fundamentos y argumentos en que se basa dicha propuesta…”</w:t>
      </w:r>
    </w:p>
    <w:p w:rsidR="00007F80" w:rsidRPr="000E7B47" w:rsidRDefault="00007F80" w:rsidP="00007F80">
      <w:pPr>
        <w:spacing w:line="360" w:lineRule="auto"/>
        <w:ind w:left="992" w:right="1043"/>
        <w:jc w:val="both"/>
        <w:rPr>
          <w:rFonts w:ascii="Palatino Linotype" w:eastAsia="Palatino Linotype" w:hAnsi="Palatino Linotype" w:cs="Palatino Linotype"/>
          <w:i/>
          <w:sz w:val="22"/>
          <w:szCs w:val="22"/>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w:t>
      </w:r>
      <w:r w:rsidRPr="000E7B47">
        <w:rPr>
          <w:rFonts w:ascii="Palatino Linotype" w:eastAsia="Palatino Linotype" w:hAnsi="Palatino Linotype" w:cs="Palatino Linotype"/>
        </w:rPr>
        <w:lastRenderedPageBreak/>
        <w:t>último quien apruebe, modifique o revoque la clasificación de la información solicitada.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007F80" w:rsidRPr="000E7B47" w:rsidRDefault="00007F80" w:rsidP="00007F80">
      <w:pPr>
        <w:spacing w:line="360" w:lineRule="auto"/>
        <w:jc w:val="both"/>
        <w:rPr>
          <w:rFonts w:ascii="Palatino Linotype" w:eastAsia="Palatino Linotype" w:hAnsi="Palatino Linotype" w:cs="Palatino Linotype"/>
          <w:sz w:val="22"/>
          <w:szCs w:val="22"/>
        </w:rPr>
      </w:pPr>
    </w:p>
    <w:p w:rsidR="00007F80" w:rsidRPr="000E7B47" w:rsidRDefault="00007F80" w:rsidP="00007F80">
      <w:pPr>
        <w:spacing w:line="276" w:lineRule="auto"/>
        <w:ind w:left="993"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Artículo 149.</w:t>
      </w:r>
      <w:r w:rsidRPr="000E7B47">
        <w:rPr>
          <w:rFonts w:ascii="Palatino Linotype" w:eastAsia="Palatino Linotype" w:hAnsi="Palatino Linotype" w:cs="Palatino Linotype"/>
          <w:i/>
          <w:sz w:val="22"/>
          <w:szCs w:val="22"/>
        </w:rPr>
        <w:t xml:space="preserve"> El </w:t>
      </w:r>
      <w:r w:rsidRPr="000E7B47">
        <w:rPr>
          <w:rFonts w:ascii="Palatino Linotype" w:eastAsia="Palatino Linotype" w:hAnsi="Palatino Linotype" w:cs="Palatino Linotype"/>
          <w:b/>
          <w:i/>
          <w:sz w:val="22"/>
          <w:szCs w:val="22"/>
        </w:rPr>
        <w:t>acuerdo que clasifique la información como confidencial</w:t>
      </w:r>
      <w:r w:rsidRPr="000E7B4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007F80" w:rsidRPr="000E7B47" w:rsidRDefault="00007F80" w:rsidP="00007F80">
      <w:pPr>
        <w:spacing w:line="360" w:lineRule="auto"/>
        <w:ind w:left="993" w:right="1041"/>
        <w:jc w:val="both"/>
        <w:rPr>
          <w:rFonts w:ascii="Palatino Linotype" w:eastAsia="Palatino Linotype" w:hAnsi="Palatino Linotype" w:cs="Palatino Linotype"/>
          <w:i/>
          <w:sz w:val="22"/>
          <w:szCs w:val="22"/>
        </w:rPr>
      </w:pPr>
    </w:p>
    <w:p w:rsidR="00007F80" w:rsidRPr="000E7B47" w:rsidRDefault="00007F80" w:rsidP="00007F80">
      <w:pPr>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7F80" w:rsidRPr="000E7B47" w:rsidRDefault="00007F80" w:rsidP="00007F80">
      <w:pPr>
        <w:spacing w:line="360" w:lineRule="auto"/>
        <w:ind w:right="49"/>
        <w:jc w:val="both"/>
        <w:rPr>
          <w:rFonts w:ascii="Palatino Linotype" w:eastAsia="Palatino Linotype" w:hAnsi="Palatino Linotype" w:cs="Palatino Linotype"/>
        </w:rPr>
      </w:pPr>
    </w:p>
    <w:p w:rsidR="00007F80" w:rsidRPr="000E7B47" w:rsidRDefault="00007F80" w:rsidP="00007F80">
      <w:pPr>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w:t>
      </w:r>
      <w:r w:rsidRPr="000E7B47">
        <w:rPr>
          <w:rFonts w:ascii="Palatino Linotype" w:eastAsia="Palatino Linotype" w:hAnsi="Palatino Linotype" w:cs="Palatino Linotype"/>
        </w:rPr>
        <w:lastRenderedPageBreak/>
        <w:t xml:space="preserve">Información Pública del Estado de México y Municipios, se consideran confidenciales y por tanto deben testarse al momento de la elaboración de versiones públicas el </w:t>
      </w:r>
      <w:r w:rsidRPr="000E7B47">
        <w:rPr>
          <w:rFonts w:ascii="Palatino Linotype" w:eastAsia="Palatino Linotype" w:hAnsi="Palatino Linotype" w:cs="Palatino Linotype"/>
          <w:b/>
        </w:rPr>
        <w:t>Registro Federal de Contribuyentes</w:t>
      </w:r>
      <w:r w:rsidRPr="000E7B47">
        <w:rPr>
          <w:rFonts w:ascii="Palatino Linotype" w:eastAsia="Palatino Linotype" w:hAnsi="Palatino Linotype" w:cs="Palatino Linotype"/>
        </w:rPr>
        <w:t xml:space="preserve"> (RFC), la </w:t>
      </w:r>
      <w:r w:rsidRPr="000E7B47">
        <w:rPr>
          <w:rFonts w:ascii="Palatino Linotype" w:eastAsia="Palatino Linotype" w:hAnsi="Palatino Linotype" w:cs="Palatino Linotype"/>
          <w:b/>
        </w:rPr>
        <w:t>Clave Única de Registro de Población</w:t>
      </w:r>
      <w:r w:rsidRPr="000E7B47">
        <w:rPr>
          <w:rFonts w:ascii="Palatino Linotype" w:eastAsia="Palatino Linotype" w:hAnsi="Palatino Linotype" w:cs="Palatino Linotype"/>
        </w:rPr>
        <w:t xml:space="preserve"> (CURP), la </w:t>
      </w:r>
      <w:r w:rsidRPr="000E7B47">
        <w:rPr>
          <w:rFonts w:ascii="Palatino Linotype" w:eastAsia="Palatino Linotype" w:hAnsi="Palatino Linotype" w:cs="Palatino Linotype"/>
          <w:b/>
        </w:rPr>
        <w:t>Clave de cualquier tipo de seguridad social</w:t>
      </w:r>
      <w:r w:rsidRPr="000E7B47">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07F80" w:rsidRPr="000E7B47" w:rsidRDefault="00007F80" w:rsidP="00007F80">
      <w:pPr>
        <w:spacing w:line="360" w:lineRule="auto"/>
        <w:ind w:right="49"/>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Por cuanto hace al </w:t>
      </w:r>
      <w:r w:rsidRPr="000E7B47">
        <w:rPr>
          <w:rFonts w:ascii="Palatino Linotype" w:eastAsia="Palatino Linotype" w:hAnsi="Palatino Linotype" w:cs="Palatino Linotype"/>
          <w:b/>
        </w:rPr>
        <w:t>Registro Federal de Contribuyentes (RFC),</w:t>
      </w:r>
      <w:r w:rsidRPr="000E7B47">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0E7B47">
        <w:rPr>
          <w:rFonts w:ascii="Palatino Linotype" w:eastAsia="Palatino Linotype" w:hAnsi="Palatino Linotype" w:cs="Palatino Linotype"/>
        </w:rPr>
        <w:t>homoclave</w:t>
      </w:r>
      <w:proofErr w:type="spellEnd"/>
      <w:r w:rsidRPr="000E7B47">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rsidR="00007F80" w:rsidRPr="000E7B47" w:rsidRDefault="00007F80" w:rsidP="00007F80">
      <w:pPr>
        <w:spacing w:line="360" w:lineRule="auto"/>
        <w:ind w:left="851" w:right="900"/>
        <w:jc w:val="both"/>
        <w:rPr>
          <w:rFonts w:ascii="Palatino Linotype" w:eastAsia="Palatino Linotype" w:hAnsi="Palatino Linotype" w:cs="Palatino Linotype"/>
          <w:b/>
          <w:i/>
          <w:sz w:val="22"/>
          <w:szCs w:val="22"/>
        </w:rPr>
      </w:pPr>
    </w:p>
    <w:p w:rsidR="00007F80" w:rsidRPr="000E7B47" w:rsidRDefault="00007F80" w:rsidP="00007F80">
      <w:pPr>
        <w:spacing w:line="276" w:lineRule="auto"/>
        <w:ind w:left="567" w:right="709"/>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“Registro Federal de Contribuyentes (RFC) de personas físicas</w:t>
      </w:r>
      <w:r w:rsidRPr="000E7B47">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007F80" w:rsidRPr="000E7B47" w:rsidRDefault="00007F80" w:rsidP="00007F80">
      <w:pPr>
        <w:spacing w:line="360" w:lineRule="auto"/>
        <w:jc w:val="both"/>
        <w:rPr>
          <w:rFonts w:ascii="Palatino Linotype" w:eastAsia="Palatino Linotype" w:hAnsi="Palatino Linotype" w:cs="Palatino Linotype"/>
          <w:sz w:val="22"/>
          <w:szCs w:val="22"/>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0E7B47">
        <w:rPr>
          <w:rFonts w:ascii="Palatino Linotype" w:eastAsia="Palatino Linotype" w:hAnsi="Palatino Linotype" w:cs="Palatino Linotype"/>
        </w:rPr>
        <w:t>homoclave</w:t>
      </w:r>
      <w:proofErr w:type="spellEnd"/>
      <w:r w:rsidRPr="000E7B47">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De igual manera la </w:t>
      </w:r>
      <w:r w:rsidRPr="000E7B47">
        <w:rPr>
          <w:rFonts w:ascii="Palatino Linotype" w:eastAsia="Palatino Linotype" w:hAnsi="Palatino Linotype" w:cs="Palatino Linotype"/>
          <w:b/>
        </w:rPr>
        <w:t>Clave Única de Registro de Población (CURP)</w:t>
      </w:r>
      <w:r w:rsidRPr="000E7B47">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Argumento que es compartido por el Instituto Nacional de Transparencia, Acceso a la Información y Protección de Datos Personales, INAI</w:t>
      </w:r>
      <w:r w:rsidRPr="000E7B47">
        <w:rPr>
          <w:rFonts w:ascii="Palatino Linotype" w:eastAsia="Palatino Linotype" w:hAnsi="Palatino Linotype" w:cs="Palatino Linotype"/>
          <w:b/>
        </w:rPr>
        <w:t xml:space="preserve">, conforme al </w:t>
      </w:r>
      <w:r w:rsidRPr="000E7B47">
        <w:rPr>
          <w:rFonts w:ascii="Palatino Linotype" w:eastAsia="Palatino Linotype" w:hAnsi="Palatino Linotype" w:cs="Palatino Linotype"/>
        </w:rPr>
        <w:t xml:space="preserve">criterio 18/17, el cual refiere: </w:t>
      </w:r>
    </w:p>
    <w:p w:rsidR="00007F80" w:rsidRPr="000E7B47" w:rsidRDefault="00007F80" w:rsidP="00007F80">
      <w:pPr>
        <w:spacing w:line="360" w:lineRule="auto"/>
        <w:ind w:left="851" w:right="851"/>
        <w:jc w:val="both"/>
        <w:rPr>
          <w:rFonts w:ascii="Palatino Linotype" w:eastAsia="Palatino Linotype" w:hAnsi="Palatino Linotype" w:cs="Palatino Linotype"/>
          <w:b/>
          <w:i/>
          <w:sz w:val="22"/>
          <w:szCs w:val="22"/>
        </w:rPr>
      </w:pPr>
    </w:p>
    <w:p w:rsidR="00007F80" w:rsidRPr="000E7B47" w:rsidRDefault="00007F80" w:rsidP="00007F80">
      <w:pPr>
        <w:spacing w:line="276" w:lineRule="auto"/>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“Clave Única de Registro de Población (CURP). </w:t>
      </w:r>
      <w:r w:rsidRPr="000E7B47">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7F80" w:rsidRPr="000E7B47" w:rsidRDefault="00007F80" w:rsidP="00007F80">
      <w:pPr>
        <w:spacing w:line="360" w:lineRule="auto"/>
        <w:jc w:val="both"/>
        <w:rPr>
          <w:rFonts w:ascii="Palatino Linotype" w:eastAsia="Palatino Linotype" w:hAnsi="Palatino Linotype" w:cs="Palatino Linotype"/>
          <w:sz w:val="22"/>
          <w:szCs w:val="22"/>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Por cuanto hace a la </w:t>
      </w:r>
      <w:r w:rsidRPr="000E7B47">
        <w:rPr>
          <w:rFonts w:ascii="Palatino Linotype" w:eastAsia="Palatino Linotype" w:hAnsi="Palatino Linotype" w:cs="Palatino Linotype"/>
          <w:b/>
        </w:rPr>
        <w:t>Clave de cualquier tipo de seguridad social (</w:t>
      </w:r>
      <w:proofErr w:type="spellStart"/>
      <w:r w:rsidRPr="000E7B47">
        <w:rPr>
          <w:rFonts w:ascii="Palatino Linotype" w:eastAsia="Palatino Linotype" w:hAnsi="Palatino Linotype" w:cs="Palatino Linotype"/>
          <w:b/>
        </w:rPr>
        <w:t>ISSEMyM</w:t>
      </w:r>
      <w:proofErr w:type="spellEnd"/>
      <w:r w:rsidRPr="000E7B47">
        <w:rPr>
          <w:rFonts w:ascii="Palatino Linotype" w:eastAsia="Palatino Linotype" w:hAnsi="Palatino Linotype" w:cs="Palatino Linotype"/>
          <w:b/>
        </w:rPr>
        <w:t xml:space="preserve">, u otros), </w:t>
      </w:r>
      <w:r w:rsidRPr="000E7B47">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u w:val="single"/>
        </w:rPr>
      </w:pPr>
      <w:r w:rsidRPr="000E7B47">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w:t>
      </w:r>
      <w:r w:rsidRPr="000E7B47">
        <w:rPr>
          <w:rFonts w:ascii="Palatino Linotype" w:eastAsia="Palatino Linotype" w:hAnsi="Palatino Linotype" w:cs="Palatino Linotype"/>
        </w:rPr>
        <w:lastRenderedPageBreak/>
        <w:t xml:space="preserve">Municipios, establece que es obligación de los derechohabientes tramitar la credencial que los acredite como tal, la cual será de naturaleza personal e intransferible. En esta credencial se consignan diversos datos personales y </w:t>
      </w:r>
      <w:r w:rsidRPr="000E7B47">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07F80" w:rsidRPr="000E7B47" w:rsidRDefault="00007F80" w:rsidP="00007F80">
      <w:pPr>
        <w:spacing w:line="360" w:lineRule="auto"/>
        <w:jc w:val="both"/>
        <w:rPr>
          <w:rFonts w:ascii="Palatino Linotype" w:eastAsia="Palatino Linotype" w:hAnsi="Palatino Linotype" w:cs="Palatino Linotype"/>
          <w:sz w:val="22"/>
          <w:szCs w:val="22"/>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Respecto de los </w:t>
      </w:r>
      <w:r w:rsidRPr="000E7B47">
        <w:rPr>
          <w:rFonts w:ascii="Palatino Linotype" w:eastAsia="Palatino Linotype" w:hAnsi="Palatino Linotype" w:cs="Palatino Linotype"/>
          <w:b/>
        </w:rPr>
        <w:t>préstamos o descuentos</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de carácter personal</w:t>
      </w:r>
      <w:r w:rsidRPr="000E7B47">
        <w:rPr>
          <w:rFonts w:ascii="Palatino Linotype" w:eastAsia="Palatino Linotype" w:hAnsi="Palatino Linotype" w:cs="Palatino Linotype"/>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w:t>
      </w:r>
      <w:r w:rsidRPr="000E7B47">
        <w:rPr>
          <w:rFonts w:ascii="Palatino Linotype" w:eastAsia="Palatino Linotype" w:hAnsi="Palatino Linotype" w:cs="Palatino Linotype"/>
        </w:rPr>
        <w:lastRenderedPageBreak/>
        <w:t>de cuentas, sino, por el contrario, con ello se violentaría la protección de información confidencial, porque incide en la intimidad de un individuo identificado.</w:t>
      </w:r>
    </w:p>
    <w:p w:rsidR="00007F80" w:rsidRPr="000E7B47" w:rsidRDefault="00007F80" w:rsidP="00007F80">
      <w:pPr>
        <w:spacing w:line="360" w:lineRule="auto"/>
        <w:jc w:val="both"/>
        <w:rPr>
          <w:rFonts w:ascii="Calibri" w:eastAsia="Calibri" w:hAnsi="Calibri" w:cs="Calibri"/>
        </w:rPr>
      </w:pPr>
    </w:p>
    <w:p w:rsidR="00007F80" w:rsidRPr="000E7B47" w:rsidRDefault="00007F80" w:rsidP="00007F80">
      <w:pPr>
        <w:spacing w:line="360" w:lineRule="auto"/>
        <w:jc w:val="both"/>
        <w:rPr>
          <w:rFonts w:ascii="Calibri" w:eastAsia="Calibri" w:hAnsi="Calibri" w:cs="Calibri"/>
        </w:rPr>
      </w:pPr>
      <w:r w:rsidRPr="000E7B47">
        <w:rPr>
          <w:rFonts w:ascii="Palatino Linotype" w:eastAsia="Palatino Linotype" w:hAnsi="Palatino Linotype" w:cs="Palatino Linotype"/>
        </w:rPr>
        <w:t xml:space="preserve">Por su parte, el artículo 84 de la Ley del Trabajo de los Servidores Públicos del Estado y Municipios, señala: </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I. Gravámenes fiscales relacionados con el sueldo;</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b/>
          <w:i/>
          <w:sz w:val="22"/>
          <w:szCs w:val="22"/>
        </w:rPr>
        <w:t>II. Deudas contraídas con las instituciones públicas o dependencias</w:t>
      </w:r>
      <w:r w:rsidRPr="000E7B47">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b/>
          <w:i/>
          <w:sz w:val="22"/>
          <w:szCs w:val="22"/>
        </w:rPr>
        <w:t>III. Cuotas sindicales</w:t>
      </w: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b/>
          <w:i/>
          <w:sz w:val="22"/>
          <w:szCs w:val="22"/>
        </w:rPr>
        <w:t>VI. Obligaciones a cargo del servidor público con las que haya consentido</w:t>
      </w:r>
      <w:r w:rsidRPr="000E7B47">
        <w:rPr>
          <w:rFonts w:ascii="Palatino Linotype" w:eastAsia="Palatino Linotype" w:hAnsi="Palatino Linotype" w:cs="Palatino Linotype"/>
          <w:i/>
          <w:sz w:val="22"/>
          <w:szCs w:val="22"/>
        </w:rPr>
        <w:t>, derivadas de la adquisición o del uso de habitaciones consideradas como de interés social;</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VII. Faltas de puntualidad o de asistencia injustificadas;</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b/>
          <w:i/>
          <w:sz w:val="22"/>
          <w:szCs w:val="22"/>
        </w:rPr>
        <w:t>VIII. Pensiones alimenticias ordenadas por la autoridad judicial;</w:t>
      </w:r>
      <w:r w:rsidRPr="000E7B47">
        <w:rPr>
          <w:rFonts w:ascii="Palatino Linotype" w:eastAsia="Palatino Linotype" w:hAnsi="Palatino Linotype" w:cs="Palatino Linotype"/>
          <w:i/>
          <w:sz w:val="22"/>
          <w:szCs w:val="22"/>
        </w:rPr>
        <w:t xml:space="preserve"> o</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b/>
          <w:i/>
          <w:sz w:val="22"/>
          <w:szCs w:val="22"/>
        </w:rPr>
        <w:t>IX. Cualquier otro convenido con instituciones de servicios y aceptado por el servidor público.</w:t>
      </w:r>
    </w:p>
    <w:p w:rsidR="00007F80" w:rsidRPr="000E7B47" w:rsidRDefault="00007F80" w:rsidP="00007F80">
      <w:pPr>
        <w:spacing w:line="276" w:lineRule="auto"/>
        <w:ind w:left="851" w:right="902"/>
        <w:jc w:val="both"/>
        <w:rPr>
          <w:rFonts w:ascii="Calibri" w:eastAsia="Calibri" w:hAnsi="Calibri" w:cs="Calibri"/>
          <w:sz w:val="22"/>
          <w:szCs w:val="22"/>
        </w:rPr>
      </w:pPr>
      <w:r w:rsidRPr="000E7B47">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07F80" w:rsidRPr="000E7B47" w:rsidRDefault="00007F80" w:rsidP="00007F80">
      <w:pPr>
        <w:spacing w:line="276"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lastRenderedPageBreak/>
        <w:t>(Énfasis añadido)</w:t>
      </w:r>
    </w:p>
    <w:p w:rsidR="00007F80" w:rsidRPr="000E7B47" w:rsidRDefault="00007F80" w:rsidP="00007F80">
      <w:pPr>
        <w:spacing w:line="276" w:lineRule="auto"/>
        <w:ind w:left="851" w:right="902"/>
        <w:jc w:val="both"/>
        <w:rPr>
          <w:rFonts w:ascii="Calibri" w:eastAsia="Calibri" w:hAnsi="Calibri" w:cs="Calibri"/>
          <w:sz w:val="22"/>
          <w:szCs w:val="22"/>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0E7B47">
        <w:rPr>
          <w:rFonts w:ascii="Palatino Linotype" w:eastAsia="Palatino Linotype" w:hAnsi="Palatino Linotype" w:cs="Palatino Linotype"/>
          <w:b/>
        </w:rPr>
        <w:t>únicamente inciden en su vida privada</w:t>
      </w:r>
      <w:r w:rsidRPr="000E7B47">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007F80" w:rsidRPr="000E7B47" w:rsidRDefault="00007F80" w:rsidP="00007F80">
      <w:pPr>
        <w:spacing w:line="360" w:lineRule="auto"/>
        <w:jc w:val="both"/>
        <w:rPr>
          <w:rFonts w:ascii="Calibri" w:eastAsia="Calibri" w:hAnsi="Calibri" w:cs="Calibri"/>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Sirven de sustento a lo anterior, las tesis jurisprudenciales </w:t>
      </w:r>
      <w:r w:rsidRPr="000E7B47">
        <w:rPr>
          <w:rFonts w:ascii="Palatino Linotype" w:eastAsia="Palatino Linotype" w:hAnsi="Palatino Linotype" w:cs="Palatino Linotype"/>
          <w:i/>
        </w:rPr>
        <w:t xml:space="preserve">P. LX/2000 </w:t>
      </w:r>
      <w:r w:rsidRPr="000E7B47">
        <w:rPr>
          <w:rFonts w:ascii="Palatino Linotype" w:eastAsia="Palatino Linotype" w:hAnsi="Palatino Linotype" w:cs="Palatino Linotype"/>
        </w:rPr>
        <w:t xml:space="preserve">y </w:t>
      </w:r>
      <w:r w:rsidRPr="000E7B47">
        <w:rPr>
          <w:rFonts w:ascii="Palatino Linotype" w:eastAsia="Palatino Linotype" w:hAnsi="Palatino Linotype" w:cs="Palatino Linotype"/>
          <w:i/>
        </w:rPr>
        <w:t>2a. XLIII/2008</w:t>
      </w:r>
      <w:r w:rsidRPr="000E7B47">
        <w:rPr>
          <w:rFonts w:ascii="Tahoma" w:eastAsia="Tahoma" w:hAnsi="Tahoma" w:cs="Tahoma"/>
          <w:b/>
          <w:sz w:val="20"/>
          <w:szCs w:val="20"/>
        </w:rPr>
        <w:t xml:space="preserve"> </w:t>
      </w:r>
      <w:r w:rsidRPr="000E7B47">
        <w:rPr>
          <w:rFonts w:ascii="Palatino Linotype" w:eastAsia="Palatino Linotype" w:hAnsi="Palatino Linotype" w:cs="Palatino Linotype"/>
        </w:rPr>
        <w:t>emitidas por el Peno y la Segunda Sala de la Suprema Corte de Justicia de la Nación, respectivamente, que son del tenor literal siguiente:</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276" w:lineRule="auto"/>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0E7B47">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w:t>
      </w:r>
      <w:r w:rsidRPr="000E7B47">
        <w:rPr>
          <w:rFonts w:ascii="Palatino Linotype" w:eastAsia="Palatino Linotype" w:hAnsi="Palatino Linotype" w:cs="Palatino Linotype"/>
          <w:i/>
          <w:sz w:val="22"/>
          <w:szCs w:val="22"/>
        </w:rPr>
        <w:lastRenderedPageBreak/>
        <w:t xml:space="preserve">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E7B47">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0E7B47">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0E7B47">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0E7B47">
        <w:rPr>
          <w:rFonts w:ascii="Palatino Linotype" w:eastAsia="Palatino Linotype" w:hAnsi="Palatino Linotype" w:cs="Palatino Linotype"/>
          <w:i/>
          <w:sz w:val="22"/>
          <w:szCs w:val="22"/>
        </w:rPr>
        <w:t>.”</w:t>
      </w:r>
    </w:p>
    <w:p w:rsidR="00007F80" w:rsidRPr="000E7B47" w:rsidRDefault="00007F80" w:rsidP="00007F80">
      <w:pPr>
        <w:spacing w:line="276" w:lineRule="auto"/>
        <w:ind w:left="851" w:right="851"/>
        <w:jc w:val="both"/>
        <w:rPr>
          <w:rFonts w:ascii="Palatino Linotype" w:eastAsia="Palatino Linotype" w:hAnsi="Palatino Linotype" w:cs="Palatino Linotype"/>
          <w:i/>
          <w:sz w:val="22"/>
          <w:szCs w:val="22"/>
        </w:rPr>
      </w:pPr>
    </w:p>
    <w:p w:rsidR="00007F80" w:rsidRPr="000E7B47" w:rsidRDefault="00007F80" w:rsidP="00007F80">
      <w:pPr>
        <w:spacing w:line="276" w:lineRule="auto"/>
        <w:ind w:left="851" w:right="85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0E7B47">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E7B47">
        <w:rPr>
          <w:rFonts w:ascii="Palatino Linotype" w:eastAsia="Palatino Linotype" w:hAnsi="Palatino Linotype" w:cs="Palatino Linotype"/>
          <w:b/>
          <w:i/>
          <w:sz w:val="22"/>
          <w:szCs w:val="22"/>
        </w:rPr>
        <w:t xml:space="preserve">el legislador federal o local establezca las restricciones correspondientes y clasifique a determinados datos como </w:t>
      </w:r>
      <w:r w:rsidRPr="000E7B47">
        <w:rPr>
          <w:rFonts w:ascii="Palatino Linotype" w:eastAsia="Palatino Linotype" w:hAnsi="Palatino Linotype" w:cs="Palatino Linotype"/>
          <w:b/>
          <w:i/>
          <w:sz w:val="22"/>
          <w:szCs w:val="22"/>
        </w:rPr>
        <w:lastRenderedPageBreak/>
        <w:t>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E7B47">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7F80" w:rsidRPr="000E7B47" w:rsidRDefault="00007F80" w:rsidP="00007F80">
      <w:pPr>
        <w:spacing w:line="360" w:lineRule="auto"/>
        <w:ind w:left="851" w:right="851"/>
        <w:jc w:val="both"/>
        <w:rPr>
          <w:rFonts w:ascii="Palatino Linotype" w:eastAsia="Palatino Linotype" w:hAnsi="Palatino Linotype" w:cs="Palatino Linotype"/>
          <w:i/>
          <w:sz w:val="22"/>
          <w:szCs w:val="22"/>
        </w:rPr>
      </w:pPr>
    </w:p>
    <w:p w:rsidR="00007F80" w:rsidRPr="000E7B47" w:rsidRDefault="00007F80" w:rsidP="00007F80">
      <w:pPr>
        <w:spacing w:line="360" w:lineRule="auto"/>
        <w:ind w:right="-93"/>
        <w:jc w:val="both"/>
        <w:rPr>
          <w:rFonts w:ascii="Palatino Linotype" w:eastAsia="Palatino Linotype" w:hAnsi="Palatino Linotype" w:cs="Palatino Linotype"/>
          <w:b/>
        </w:rPr>
      </w:pPr>
      <w:r w:rsidRPr="000E7B47">
        <w:rPr>
          <w:rFonts w:ascii="Palatino Linotype" w:eastAsia="Palatino Linotype" w:hAnsi="Palatino Linotype" w:cs="Palatino Linotype"/>
        </w:rPr>
        <w:t>También,</w:t>
      </w:r>
      <w:r w:rsidRPr="000E7B47">
        <w:rPr>
          <w:rFonts w:ascii="Palatino Linotype" w:eastAsia="Palatino Linotype" w:hAnsi="Palatino Linotype" w:cs="Palatino Linotype"/>
          <w:b/>
        </w:rPr>
        <w:t xml:space="preserve"> el número de cuenta bancario</w:t>
      </w:r>
      <w:r w:rsidRPr="000E7B47">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007F80" w:rsidRPr="000E7B47" w:rsidRDefault="00007F80" w:rsidP="00007F80">
      <w:pPr>
        <w:shd w:val="clear" w:color="auto" w:fill="FFFFFF"/>
        <w:spacing w:line="360" w:lineRule="auto"/>
        <w:ind w:left="567" w:right="567"/>
        <w:jc w:val="both"/>
        <w:rPr>
          <w:rFonts w:ascii="Palatino Linotype" w:eastAsia="Palatino Linotype" w:hAnsi="Palatino Linotype" w:cs="Palatino Linotype"/>
          <w:sz w:val="22"/>
          <w:szCs w:val="22"/>
        </w:rPr>
      </w:pPr>
    </w:p>
    <w:p w:rsidR="00007F80" w:rsidRPr="000E7B47" w:rsidRDefault="00007F80" w:rsidP="00007F80">
      <w:pPr>
        <w:shd w:val="clear" w:color="auto" w:fill="FFFFFF"/>
        <w:spacing w:line="276" w:lineRule="auto"/>
        <w:ind w:left="567" w:right="567"/>
        <w:jc w:val="both"/>
        <w:rPr>
          <w:rFonts w:ascii="Palatino Linotype" w:eastAsia="Palatino Linotype" w:hAnsi="Palatino Linotype" w:cs="Palatino Linotype"/>
          <w:sz w:val="22"/>
          <w:szCs w:val="22"/>
        </w:rPr>
      </w:pPr>
      <w:r w:rsidRPr="000E7B47">
        <w:rPr>
          <w:rFonts w:ascii="Palatino Linotype" w:eastAsia="Palatino Linotype" w:hAnsi="Palatino Linotype" w:cs="Palatino Linotype"/>
          <w:sz w:val="22"/>
          <w:szCs w:val="22"/>
        </w:rPr>
        <w:t>“</w:t>
      </w:r>
      <w:r w:rsidRPr="000E7B47">
        <w:rPr>
          <w:rFonts w:ascii="Palatino Linotype" w:eastAsia="Palatino Linotype" w:hAnsi="Palatino Linotype" w:cs="Palatino Linotype"/>
          <w:b/>
          <w:i/>
          <w:sz w:val="22"/>
          <w:szCs w:val="22"/>
        </w:rPr>
        <w:t>Cuentas bancarias y/o CLABE interbancaria de personas físicas y morales privadas.</w:t>
      </w:r>
      <w:r w:rsidRPr="000E7B47">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0E7B47">
        <w:rPr>
          <w:rFonts w:ascii="Palatino Linotype" w:eastAsia="Palatino Linotype" w:hAnsi="Palatino Linotype" w:cs="Palatino Linotype"/>
          <w:sz w:val="22"/>
          <w:szCs w:val="22"/>
        </w:rPr>
        <w:t>.”</w:t>
      </w:r>
    </w:p>
    <w:p w:rsidR="00007F80" w:rsidRPr="000E7B47" w:rsidRDefault="00007F80" w:rsidP="00007F80">
      <w:pPr>
        <w:spacing w:after="160" w:line="360" w:lineRule="auto"/>
        <w:jc w:val="both"/>
        <w:rPr>
          <w:rFonts w:ascii="Palatino Linotype" w:eastAsia="Palatino Linotype" w:hAnsi="Palatino Linotype" w:cs="Palatino Linotype"/>
          <w:sz w:val="22"/>
          <w:szCs w:val="22"/>
        </w:rPr>
      </w:pPr>
    </w:p>
    <w:p w:rsidR="00007F80" w:rsidRPr="000E7B47" w:rsidRDefault="00007F80" w:rsidP="00007F80">
      <w:pPr>
        <w:spacing w:line="360" w:lineRule="auto"/>
        <w:ind w:right="-91"/>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w:t>
      </w:r>
      <w:r w:rsidRPr="000E7B47">
        <w:rPr>
          <w:rFonts w:ascii="Palatino Linotype" w:eastAsia="Palatino Linotype" w:hAnsi="Palatino Linotype" w:cs="Palatino Linotype"/>
        </w:rPr>
        <w:lastRenderedPageBreak/>
        <w:t>confidencial al pertenecer exclusivamente al ámbito de la vida privada del trabajador y procede su eliminación de conformidad con el artículo 143, fracción I de la Ley de Transparencia y Acceso a la Información Pública del Estado de México y Municipios.</w:t>
      </w:r>
    </w:p>
    <w:p w:rsidR="00007F80" w:rsidRPr="000E7B47" w:rsidRDefault="00007F80" w:rsidP="00007F80">
      <w:pPr>
        <w:spacing w:line="360" w:lineRule="auto"/>
        <w:ind w:right="-91"/>
        <w:jc w:val="both"/>
        <w:rPr>
          <w:rFonts w:ascii="Palatino Linotype" w:eastAsia="Palatino Linotype" w:hAnsi="Palatino Linotype" w:cs="Palatino Linotype"/>
        </w:rPr>
      </w:pPr>
    </w:p>
    <w:p w:rsidR="00007F80" w:rsidRPr="000E7B47" w:rsidRDefault="00007F80" w:rsidP="00007F80">
      <w:pPr>
        <w:spacing w:line="360" w:lineRule="auto"/>
        <w:ind w:right="-91"/>
        <w:jc w:val="both"/>
        <w:rPr>
          <w:rFonts w:ascii="Palatino Linotype" w:eastAsia="Palatino Linotype" w:hAnsi="Palatino Linotype" w:cs="Palatino Linotype"/>
          <w:b/>
        </w:rPr>
      </w:pPr>
      <w:r w:rsidRPr="000E7B47">
        <w:rPr>
          <w:rFonts w:ascii="Palatino Linotype" w:eastAsia="Palatino Linotype" w:hAnsi="Palatino Linotype" w:cs="Palatino Linotype"/>
        </w:rPr>
        <w:t xml:space="preserve">El </w:t>
      </w:r>
      <w:r w:rsidRPr="000E7B47">
        <w:rPr>
          <w:rFonts w:ascii="Palatino Linotype" w:eastAsia="Palatino Linotype" w:hAnsi="Palatino Linotype" w:cs="Palatino Linotype"/>
          <w:b/>
        </w:rPr>
        <w:t>Código de barras bidimensional (QR)</w:t>
      </w:r>
      <w:r w:rsidRPr="000E7B47">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0E7B47">
        <w:rPr>
          <w:rFonts w:ascii="Palatino Linotype" w:eastAsia="Palatino Linotype" w:hAnsi="Palatino Linotype" w:cs="Palatino Linotype"/>
          <w:i/>
        </w:rPr>
        <w:t xml:space="preserve">QR </w:t>
      </w:r>
      <w:proofErr w:type="spellStart"/>
      <w:r w:rsidRPr="000E7B47">
        <w:rPr>
          <w:rFonts w:ascii="Palatino Linotype" w:eastAsia="Palatino Linotype" w:hAnsi="Palatino Linotype" w:cs="Palatino Linotype"/>
          <w:i/>
        </w:rPr>
        <w:t>Code</w:t>
      </w:r>
      <w:proofErr w:type="spellEnd"/>
      <w:r w:rsidRPr="000E7B47">
        <w:rPr>
          <w:rFonts w:ascii="Palatino Linotype" w:eastAsia="Palatino Linotype" w:hAnsi="Palatino Linotype" w:cs="Palatino Linotype"/>
          <w:i/>
        </w:rPr>
        <w:t xml:space="preserve"> (Quick Response </w:t>
      </w:r>
      <w:proofErr w:type="spellStart"/>
      <w:r w:rsidRPr="000E7B47">
        <w:rPr>
          <w:rFonts w:ascii="Palatino Linotype" w:eastAsia="Palatino Linotype" w:hAnsi="Palatino Linotype" w:cs="Palatino Linotype"/>
          <w:i/>
        </w:rPr>
        <w:t>Code</w:t>
      </w:r>
      <w:proofErr w:type="spellEnd"/>
      <w:r w:rsidRPr="000E7B47">
        <w:rPr>
          <w:rFonts w:ascii="Palatino Linotype" w:eastAsia="Palatino Linotype" w:hAnsi="Palatino Linotype" w:cs="Palatino Linotype"/>
          <w:i/>
        </w:rPr>
        <w:t>)</w:t>
      </w:r>
      <w:r w:rsidRPr="000E7B47">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RPr="000E7B47">
          <w:rPr>
            <w:rFonts w:ascii="Palatino Linotype" w:eastAsia="Palatino Linotype" w:hAnsi="Palatino Linotype" w:cs="Palatino Linotype"/>
            <w:u w:val="single"/>
          </w:rPr>
          <w:t>http://dof.gob.mx/nota_detalle.php?codigo=5492254&amp;fecha=28/07/2017</w:t>
        </w:r>
      </w:hyperlink>
      <w:r w:rsidRPr="000E7B47">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como de la persona física o moral correspondiente.</w:t>
      </w:r>
    </w:p>
    <w:p w:rsidR="00007F80" w:rsidRPr="000E7B47" w:rsidRDefault="00007F80" w:rsidP="00007F80">
      <w:pPr>
        <w:spacing w:line="360" w:lineRule="auto"/>
        <w:ind w:right="-91"/>
        <w:jc w:val="both"/>
        <w:rPr>
          <w:rFonts w:ascii="Palatino Linotype" w:eastAsia="Palatino Linotype" w:hAnsi="Palatino Linotype" w:cs="Palatino Linotype"/>
        </w:rPr>
      </w:pPr>
    </w:p>
    <w:p w:rsidR="00007F80" w:rsidRPr="000E7B47" w:rsidRDefault="00007F80" w:rsidP="00007F80">
      <w:pPr>
        <w:spacing w:after="80" w:line="360" w:lineRule="auto"/>
        <w:ind w:right="-91"/>
        <w:jc w:val="both"/>
        <w:rPr>
          <w:rFonts w:ascii="Palatino Linotype" w:eastAsia="Palatino Linotype" w:hAnsi="Palatino Linotype" w:cs="Palatino Linotype"/>
        </w:rPr>
      </w:pPr>
      <w:r w:rsidRPr="000E7B47">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Por cuanto hace a </w:t>
      </w:r>
      <w:r w:rsidRPr="000E7B47">
        <w:rPr>
          <w:rFonts w:ascii="Palatino Linotype" w:eastAsia="Palatino Linotype" w:hAnsi="Palatino Linotype" w:cs="Palatino Linotype"/>
          <w:b/>
        </w:rPr>
        <w:t>las cadenas originales</w:t>
      </w:r>
      <w:r w:rsidRPr="000E7B47">
        <w:rPr>
          <w:rFonts w:ascii="Palatino Linotype" w:eastAsia="Palatino Linotype" w:hAnsi="Palatino Linotype" w:cs="Palatino Linotype"/>
        </w:rPr>
        <w:t xml:space="preserve">, se tiene que, cuando de la secuencia de números y letras no se advierta un Registro Federal de Contribuyentes o una Clave Única de Registro de Población que pueda hacer identificable al titular del </w:t>
      </w:r>
      <w:r w:rsidRPr="000E7B47">
        <w:rPr>
          <w:rFonts w:ascii="Palatino Linotype" w:eastAsia="Palatino Linotype" w:hAnsi="Palatino Linotype" w:cs="Palatino Linotype"/>
        </w:rPr>
        <w:lastRenderedPageBreak/>
        <w:t>dato personal, no puede tenerse como datos personales y por consiguiente como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 como se observa a continuación:</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numPr>
          <w:ilvl w:val="0"/>
          <w:numId w:val="8"/>
        </w:numPr>
        <w:spacing w:after="160" w:line="360" w:lineRule="auto"/>
        <w:ind w:hanging="425"/>
        <w:jc w:val="both"/>
        <w:rPr>
          <w:rFonts w:ascii="Palatino Linotype" w:eastAsia="Palatino Linotype" w:hAnsi="Palatino Linotype" w:cs="Palatino Linotype"/>
        </w:rPr>
      </w:pPr>
      <w:r w:rsidRPr="000E7B47">
        <w:rPr>
          <w:rFonts w:ascii="Palatino Linotype" w:eastAsia="Palatino Linotype" w:hAnsi="Palatino Linotype" w:cs="Palatino Linotype"/>
        </w:rPr>
        <w:t>Elementos utilizados en la generación de Sellos Digitales:</w:t>
      </w:r>
    </w:p>
    <w:p w:rsidR="00007F80" w:rsidRPr="000E7B47" w:rsidRDefault="00007F80" w:rsidP="00007F80">
      <w:pPr>
        <w:numPr>
          <w:ilvl w:val="0"/>
          <w:numId w:val="8"/>
        </w:numPr>
        <w:spacing w:after="160" w:line="360" w:lineRule="auto"/>
        <w:ind w:hanging="425"/>
        <w:jc w:val="both"/>
        <w:rPr>
          <w:rFonts w:ascii="Palatino Linotype" w:eastAsia="Palatino Linotype" w:hAnsi="Palatino Linotype" w:cs="Palatino Linotype"/>
        </w:rPr>
      </w:pPr>
      <w:r w:rsidRPr="000E7B47">
        <w:rPr>
          <w:rFonts w:ascii="Palatino Linotype" w:eastAsia="Palatino Linotype" w:hAnsi="Palatino Linotype" w:cs="Palatino Linotype"/>
        </w:rPr>
        <w:t>Cadena Original, el elemento a sellar, en este caso de un comprobante fiscal digital a través de Internet.</w:t>
      </w:r>
    </w:p>
    <w:p w:rsidR="00007F80" w:rsidRPr="000E7B47" w:rsidRDefault="00007F80" w:rsidP="00007F80">
      <w:pPr>
        <w:numPr>
          <w:ilvl w:val="0"/>
          <w:numId w:val="8"/>
        </w:numPr>
        <w:spacing w:after="160" w:line="360" w:lineRule="auto"/>
        <w:ind w:hanging="425"/>
        <w:jc w:val="both"/>
        <w:rPr>
          <w:rFonts w:ascii="Palatino Linotype" w:eastAsia="Palatino Linotype" w:hAnsi="Palatino Linotype" w:cs="Palatino Linotype"/>
        </w:rPr>
      </w:pPr>
      <w:r w:rsidRPr="000E7B47">
        <w:rPr>
          <w:rFonts w:ascii="Palatino Linotype" w:eastAsia="Palatino Linotype" w:hAnsi="Palatino Linotype" w:cs="Palatino Linotype"/>
        </w:rPr>
        <w:t>Certificado de Sello Digital y su correspondiente clave privada.</w:t>
      </w:r>
    </w:p>
    <w:p w:rsidR="00007F80" w:rsidRPr="000E7B47" w:rsidRDefault="00007F80" w:rsidP="00007F80">
      <w:pPr>
        <w:numPr>
          <w:ilvl w:val="0"/>
          <w:numId w:val="8"/>
        </w:numPr>
        <w:spacing w:after="160" w:line="360" w:lineRule="auto"/>
        <w:ind w:hanging="425"/>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Algoritmos de criptografía de clave pública para firma electrónica avanzada.</w:t>
      </w:r>
    </w:p>
    <w:p w:rsidR="00007F80" w:rsidRPr="000E7B47" w:rsidRDefault="00007F80" w:rsidP="00007F80">
      <w:pPr>
        <w:numPr>
          <w:ilvl w:val="0"/>
          <w:numId w:val="8"/>
        </w:numPr>
        <w:spacing w:after="160" w:line="360" w:lineRule="auto"/>
        <w:ind w:hanging="425"/>
        <w:jc w:val="both"/>
        <w:rPr>
          <w:rFonts w:ascii="Palatino Linotype" w:eastAsia="Palatino Linotype" w:hAnsi="Palatino Linotype" w:cs="Palatino Linotype"/>
        </w:rPr>
      </w:pPr>
      <w:r w:rsidRPr="000E7B47">
        <w:rPr>
          <w:rFonts w:ascii="Palatino Linotype" w:eastAsia="Palatino Linotype" w:hAnsi="Palatino Linotype" w:cs="Palatino Linotype"/>
        </w:rPr>
        <w:t>Especificaciones de conversión de la firma electrónica avanzada a Base 64.</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Para la generación de sellos digitales se utiliza criptografía de clave pública aplicada a una cadena original.</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i/>
        </w:rPr>
      </w:pPr>
      <w:r w:rsidRPr="000E7B47">
        <w:rPr>
          <w:rFonts w:ascii="Palatino Linotype" w:eastAsia="Palatino Linotype" w:hAnsi="Palatino Linotype" w:cs="Palatino Linotype"/>
          <w:i/>
        </w:rPr>
        <w:t>Criptografía de la Clave Pública</w:t>
      </w: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La criptografía de Clave Pública se basa en la generación de una pareja de números muy grandes relacionados íntimamente entre sí, de tal manera que una operación de </w:t>
      </w:r>
      <w:proofErr w:type="spellStart"/>
      <w:r w:rsidRPr="000E7B47">
        <w:rPr>
          <w:rFonts w:ascii="Palatino Linotype" w:eastAsia="Palatino Linotype" w:hAnsi="Palatino Linotype" w:cs="Palatino Linotype"/>
        </w:rPr>
        <w:t>encripción</w:t>
      </w:r>
      <w:proofErr w:type="spellEnd"/>
      <w:r w:rsidRPr="000E7B47">
        <w:rPr>
          <w:rFonts w:ascii="Palatino Linotype" w:eastAsia="Palatino Linotype" w:hAnsi="Palatino Linotype" w:cs="Palatino Linotype"/>
        </w:rPr>
        <w:t xml:space="preserve"> sobre un mensaje tomando como clave de </w:t>
      </w:r>
      <w:proofErr w:type="spellStart"/>
      <w:r w:rsidRPr="000E7B47">
        <w:rPr>
          <w:rFonts w:ascii="Palatino Linotype" w:eastAsia="Palatino Linotype" w:hAnsi="Palatino Linotype" w:cs="Palatino Linotype"/>
        </w:rPr>
        <w:t>encripción</w:t>
      </w:r>
      <w:proofErr w:type="spellEnd"/>
      <w:r w:rsidRPr="000E7B47">
        <w:rPr>
          <w:rFonts w:ascii="Palatino Linotype" w:eastAsia="Palatino Linotype" w:hAnsi="Palatino Linotype" w:cs="Palatino Linotype"/>
        </w:rPr>
        <w:t xml:space="preserve"> a uno de los dos números, produce un mensaje alterado en su significado que solo puede ser devuelto a su estado original mediante la operación de </w:t>
      </w:r>
      <w:proofErr w:type="spellStart"/>
      <w:r w:rsidRPr="000E7B47">
        <w:rPr>
          <w:rFonts w:ascii="Palatino Linotype" w:eastAsia="Palatino Linotype" w:hAnsi="Palatino Linotype" w:cs="Palatino Linotype"/>
        </w:rPr>
        <w:t>desencripción</w:t>
      </w:r>
      <w:proofErr w:type="spellEnd"/>
      <w:r w:rsidRPr="000E7B47">
        <w:rPr>
          <w:rFonts w:ascii="Palatino Linotype" w:eastAsia="Palatino Linotype" w:hAnsi="Palatino Linotype" w:cs="Palatino Linotype"/>
        </w:rPr>
        <w:t xml:space="preserve"> correspondiente tomando como clave de </w:t>
      </w:r>
      <w:proofErr w:type="spellStart"/>
      <w:r w:rsidRPr="000E7B47">
        <w:rPr>
          <w:rFonts w:ascii="Palatino Linotype" w:eastAsia="Palatino Linotype" w:hAnsi="Palatino Linotype" w:cs="Palatino Linotype"/>
        </w:rPr>
        <w:t>desencripción</w:t>
      </w:r>
      <w:proofErr w:type="spellEnd"/>
      <w:r w:rsidRPr="000E7B47">
        <w:rPr>
          <w:rFonts w:ascii="Palatino Linotype" w:eastAsia="Palatino Linotype" w:hAnsi="Palatino Linotype" w:cs="Palatino Linotype"/>
        </w:rPr>
        <w:t xml:space="preserve"> al otro número de la pareja.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007F80" w:rsidRPr="000E7B47" w:rsidRDefault="00007F80" w:rsidP="00007F80">
      <w:pPr>
        <w:spacing w:after="80" w:line="360" w:lineRule="auto"/>
        <w:ind w:right="-91"/>
        <w:jc w:val="both"/>
        <w:rPr>
          <w:rFonts w:ascii="Palatino Linotype" w:eastAsia="Palatino Linotype" w:hAnsi="Palatino Linotype" w:cs="Palatino Linotype"/>
        </w:rPr>
      </w:pPr>
    </w:p>
    <w:p w:rsidR="00007F80" w:rsidRPr="000E7B47" w:rsidRDefault="00007F80" w:rsidP="00007F80">
      <w:pPr>
        <w:shd w:val="clear" w:color="auto" w:fill="FFFFFF"/>
        <w:spacing w:before="80" w:after="240" w:line="360" w:lineRule="auto"/>
        <w:jc w:val="both"/>
        <w:rPr>
          <w:rFonts w:ascii="Calibri" w:eastAsia="Calibri" w:hAnsi="Calibri" w:cs="Calibri"/>
        </w:rPr>
      </w:pPr>
      <w:r w:rsidRPr="000E7B47">
        <w:rPr>
          <w:rFonts w:ascii="Palatino Linotype" w:eastAsia="Palatino Linotype" w:hAnsi="Palatino Linotype" w:cs="Palatino Linotype"/>
        </w:rPr>
        <w:lastRenderedPageBreak/>
        <w:t>Por otra parte y respecto a</w:t>
      </w:r>
      <w:r w:rsidRPr="000E7B47">
        <w:rPr>
          <w:rFonts w:ascii="Palatino Linotype" w:eastAsia="Palatino Linotype" w:hAnsi="Palatino Linotype" w:cs="Palatino Linotype"/>
          <w:b/>
        </w:rPr>
        <w:t xml:space="preserve"> la clave de seguridad social y en su caso clave o número del servidor público –trabajador-,</w:t>
      </w:r>
      <w:r w:rsidRPr="000E7B47">
        <w:rPr>
          <w:rFonts w:ascii="Palatino Linotype" w:eastAsia="Palatino Linotype" w:hAnsi="Palatino Linotype" w:cs="Palatino Linotype"/>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7F80" w:rsidRPr="000E7B47" w:rsidRDefault="00007F80" w:rsidP="00007F80">
      <w:pPr>
        <w:shd w:val="clear" w:color="auto" w:fill="FFFFFF"/>
        <w:spacing w:before="240" w:line="276" w:lineRule="auto"/>
        <w:ind w:left="567" w:right="900"/>
        <w:jc w:val="both"/>
        <w:rPr>
          <w:rFonts w:ascii="Calibri" w:eastAsia="Calibri" w:hAnsi="Calibri" w:cs="Calibri"/>
        </w:rPr>
      </w:pPr>
      <w:r w:rsidRPr="000E7B47">
        <w:rPr>
          <w:rFonts w:ascii="Palatino Linotype" w:eastAsia="Palatino Linotype" w:hAnsi="Palatino Linotype" w:cs="Palatino Linotype"/>
          <w:b/>
          <w:i/>
          <w:sz w:val="22"/>
          <w:szCs w:val="22"/>
        </w:rPr>
        <w:t>“El número de ficha de identificación única de los trabajadores es información de carácter confidencial.</w:t>
      </w: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E7B47">
        <w:rPr>
          <w:rFonts w:ascii="Palatino Linotype" w:eastAsia="Palatino Linotype" w:hAnsi="Palatino Linotype" w:cs="Palatino Linotype"/>
          <w:i/>
          <w:sz w:val="22"/>
          <w:szCs w:val="22"/>
        </w:rPr>
        <w:t>, </w:t>
      </w:r>
      <w:r w:rsidRPr="000E7B47">
        <w:rPr>
          <w:rFonts w:ascii="Palatino Linotype" w:eastAsia="Palatino Linotype" w:hAnsi="Palatino Linotype" w:cs="Palatino Linotype"/>
          <w:i/>
          <w:sz w:val="22"/>
          <w:szCs w:val="22"/>
          <w:u w:val="single"/>
        </w:rPr>
        <w:t>dicha información es susceptible de clasificarse con el carácter de confidencial</w:t>
      </w:r>
      <w:r w:rsidRPr="000E7B47">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w:t>
      </w:r>
      <w:r w:rsidRPr="000E7B47">
        <w:rPr>
          <w:rFonts w:ascii="Palatino Linotype" w:eastAsia="Palatino Linotype" w:hAnsi="Palatino Linotype" w:cs="Palatino Linotype"/>
          <w:i/>
        </w:rPr>
        <w:t>posible conocer información personal de su titular.” (Sic)</w:t>
      </w:r>
    </w:p>
    <w:p w:rsidR="00007F80" w:rsidRPr="000E7B47" w:rsidRDefault="00007F80" w:rsidP="00007F80">
      <w:pPr>
        <w:spacing w:line="360" w:lineRule="auto"/>
        <w:ind w:right="-93"/>
        <w:jc w:val="both"/>
        <w:rPr>
          <w:rFonts w:ascii="Palatino Linotype" w:eastAsia="Palatino Linotype" w:hAnsi="Palatino Linotype" w:cs="Palatino Linotype"/>
        </w:rPr>
      </w:pPr>
    </w:p>
    <w:p w:rsidR="00007F80" w:rsidRPr="000E7B47" w:rsidRDefault="00007F80" w:rsidP="00007F80">
      <w:pPr>
        <w:pStyle w:val="NormalWeb"/>
        <w:spacing w:before="240" w:beforeAutospacing="0" w:after="240" w:afterAutospacing="0" w:line="360" w:lineRule="auto"/>
        <w:jc w:val="both"/>
      </w:pPr>
      <w:r w:rsidRPr="000E7B47">
        <w:rPr>
          <w:rFonts w:ascii="Palatino Linotype" w:hAnsi="Palatino Linotype"/>
        </w:rPr>
        <w:t>Respecto del número de empleado, debe precisarse que este dato es susceptible de clasificación si actualiza alguno de los supuestos previstos por el criterio 06/19 emitido por el Instituto Nacional de Transparencia, Acceso a la Información Pública y Protección de Datos Personales (INAI), el cual se inserta a continuación: </w:t>
      </w:r>
    </w:p>
    <w:p w:rsidR="00007F80" w:rsidRPr="000E7B47" w:rsidRDefault="00007F80" w:rsidP="00007F80">
      <w:pPr>
        <w:pStyle w:val="NormalWeb"/>
        <w:spacing w:before="240" w:beforeAutospacing="0" w:after="240" w:afterAutospacing="0"/>
        <w:ind w:left="567" w:right="709"/>
        <w:jc w:val="both"/>
      </w:pPr>
      <w:r w:rsidRPr="000E7B47">
        <w:rPr>
          <w:rFonts w:ascii="Palatino Linotype" w:hAnsi="Palatino Linotype"/>
          <w:i/>
          <w:iCs/>
          <w:sz w:val="22"/>
          <w:szCs w:val="22"/>
        </w:rPr>
        <w:t>“</w:t>
      </w:r>
      <w:r w:rsidRPr="000E7B47">
        <w:rPr>
          <w:rFonts w:ascii="Palatino Linotype" w:hAnsi="Palatino Linotype"/>
          <w:b/>
          <w:bCs/>
          <w:i/>
          <w:iCs/>
          <w:sz w:val="22"/>
          <w:szCs w:val="22"/>
        </w:rPr>
        <w:t>Número de empleado.</w:t>
      </w:r>
      <w:r w:rsidRPr="000E7B47">
        <w:rPr>
          <w:rFonts w:ascii="Palatino Linotype" w:hAnsi="Palatino Linotype"/>
          <w:i/>
          <w:iCs/>
          <w:sz w:val="22"/>
          <w:szCs w:val="22"/>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“(Sic)</w:t>
      </w:r>
    </w:p>
    <w:p w:rsidR="00007F80" w:rsidRPr="000E7B47" w:rsidRDefault="00007F80" w:rsidP="00007F80">
      <w:pPr>
        <w:pStyle w:val="NormalWeb"/>
        <w:spacing w:before="240" w:beforeAutospacing="0" w:after="240" w:afterAutospacing="0" w:line="360" w:lineRule="auto"/>
        <w:jc w:val="both"/>
      </w:pPr>
      <w:r w:rsidRPr="000E7B47">
        <w:rPr>
          <w:rFonts w:ascii="Palatino Linotype" w:hAnsi="Palatino Linotype"/>
        </w:rPr>
        <w:lastRenderedPageBreak/>
        <w:t xml:space="preserve">Por lo que el </w:t>
      </w:r>
      <w:r w:rsidRPr="000E7B47">
        <w:rPr>
          <w:rFonts w:ascii="Palatino Linotype" w:hAnsi="Palatino Linotype"/>
          <w:b/>
        </w:rPr>
        <w:t>Sujeto Obligado</w:t>
      </w:r>
      <w:r w:rsidRPr="000E7B47">
        <w:rPr>
          <w:rFonts w:ascii="Palatino Linotype" w:hAnsi="Palatino Linotype"/>
        </w:rPr>
        <w:t xml:space="preserve"> deberá observar si el número de empleado se compone de datos personales de los trabajadores o funciona como una clave de acceso a algún sistema en el que obren datos personales y de ser el caso, clasificarlos como confidenciales, sin embargo, si no es el caso, podrá dejarlos visibles. </w:t>
      </w:r>
    </w:p>
    <w:p w:rsidR="00007F80" w:rsidRPr="000E7B47" w:rsidRDefault="00007F80" w:rsidP="00007F80">
      <w:pPr>
        <w:spacing w:line="360" w:lineRule="auto"/>
        <w:ind w:right="-93"/>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Bajo otro orden de ideas, es de señalar que </w:t>
      </w:r>
      <w:r w:rsidRPr="000E7B47">
        <w:rPr>
          <w:rFonts w:ascii="Palatino Linotype" w:eastAsia="Palatino Linotype" w:hAnsi="Palatino Linotype" w:cs="Palatino Linotype"/>
          <w:b/>
        </w:rPr>
        <w:t xml:space="preserve">la firma </w:t>
      </w:r>
      <w:r w:rsidRPr="000E7B47">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007F80" w:rsidRPr="000E7B47" w:rsidRDefault="00007F80" w:rsidP="00007F80">
      <w:pPr>
        <w:spacing w:line="360" w:lineRule="auto"/>
        <w:ind w:right="-93"/>
        <w:jc w:val="both"/>
        <w:rPr>
          <w:rFonts w:ascii="Palatino Linotype" w:eastAsia="Palatino Linotype" w:hAnsi="Palatino Linotype" w:cs="Palatino Linotype"/>
        </w:rPr>
      </w:pPr>
    </w:p>
    <w:p w:rsidR="00007F80" w:rsidRPr="000E7B47" w:rsidRDefault="00007F80" w:rsidP="00007F80">
      <w:pPr>
        <w:spacing w:line="360" w:lineRule="auto"/>
        <w:ind w:right="-93"/>
        <w:jc w:val="both"/>
        <w:rPr>
          <w:rFonts w:ascii="Palatino Linotype" w:eastAsia="Palatino Linotype" w:hAnsi="Palatino Linotype" w:cs="Palatino Linotype"/>
        </w:rPr>
      </w:pPr>
      <w:r w:rsidRPr="000E7B47">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007F80" w:rsidRPr="000E7B47" w:rsidRDefault="00007F80" w:rsidP="00007F80">
      <w:pPr>
        <w:spacing w:line="360" w:lineRule="auto"/>
        <w:ind w:right="-93"/>
        <w:jc w:val="both"/>
        <w:rPr>
          <w:rFonts w:ascii="Palatino Linotype" w:eastAsia="Palatino Linotype" w:hAnsi="Palatino Linotype" w:cs="Palatino Linotype"/>
        </w:rPr>
      </w:pPr>
    </w:p>
    <w:p w:rsidR="00007F80" w:rsidRPr="000E7B47" w:rsidRDefault="00007F80" w:rsidP="00007F80">
      <w:pPr>
        <w:spacing w:line="360" w:lineRule="auto"/>
        <w:ind w:right="-93"/>
        <w:jc w:val="both"/>
        <w:rPr>
          <w:rFonts w:ascii="Palatino Linotype" w:eastAsia="Palatino Linotype" w:hAnsi="Palatino Linotype" w:cs="Palatino Linotype"/>
        </w:rPr>
      </w:pPr>
      <w:r w:rsidRPr="000E7B47">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007F80" w:rsidRPr="000E7B47" w:rsidRDefault="00007F80" w:rsidP="00007F80">
      <w:pPr>
        <w:spacing w:line="360" w:lineRule="auto"/>
        <w:ind w:right="-93"/>
        <w:jc w:val="both"/>
        <w:rPr>
          <w:rFonts w:ascii="Palatino Linotype" w:eastAsia="Palatino Linotype" w:hAnsi="Palatino Linotype" w:cs="Palatino Linotype"/>
        </w:rPr>
      </w:pPr>
    </w:p>
    <w:p w:rsidR="00007F80" w:rsidRPr="000E7B47" w:rsidRDefault="00007F80" w:rsidP="00007F80">
      <w:pPr>
        <w:spacing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Sirve de sustento a lo anterior el Criterio de Interpretación 02/19 emitido por el Instituto Nacional de Transparencia, Acceso a la Información y Protección de Datos Personales, cuyo rubro y texto establecen lo siguiente:</w:t>
      </w:r>
    </w:p>
    <w:p w:rsidR="00007F80" w:rsidRPr="000E7B47" w:rsidRDefault="00007F80" w:rsidP="00007F80">
      <w:pPr>
        <w:spacing w:after="160" w:line="276" w:lineRule="auto"/>
        <w:ind w:right="-93"/>
        <w:jc w:val="both"/>
        <w:rPr>
          <w:rFonts w:ascii="Palatino Linotype" w:eastAsia="Palatino Linotype" w:hAnsi="Palatino Linotype" w:cs="Palatino Linotype"/>
          <w:sz w:val="22"/>
          <w:szCs w:val="22"/>
        </w:rPr>
      </w:pPr>
    </w:p>
    <w:p w:rsidR="00007F80" w:rsidRPr="000E7B47" w:rsidRDefault="00007F80" w:rsidP="00007F80">
      <w:pPr>
        <w:spacing w:line="276" w:lineRule="auto"/>
        <w:ind w:left="1134" w:right="1041"/>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w:t>
      </w:r>
      <w:r w:rsidRPr="000E7B47">
        <w:rPr>
          <w:rFonts w:ascii="Palatino Linotype" w:eastAsia="Palatino Linotype" w:hAnsi="Palatino Linotype" w:cs="Palatino Linotype"/>
          <w:b/>
          <w:i/>
          <w:sz w:val="22"/>
          <w:szCs w:val="22"/>
        </w:rPr>
        <w:t>FIRMA Y RÚBRICA DE SERVIDORES PÚBLICOS.</w:t>
      </w:r>
      <w:r w:rsidRPr="000E7B47">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Al respecto, se destaca que la versión pública que elabore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p>
    <w:p w:rsidR="00007F80" w:rsidRPr="000E7B47" w:rsidRDefault="00007F80" w:rsidP="00007F80">
      <w:pPr>
        <w:shd w:val="clear" w:color="auto" w:fill="FFFFFF"/>
        <w:spacing w:line="360" w:lineRule="auto"/>
        <w:ind w:right="51"/>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w:t>
      </w:r>
      <w:r w:rsidRPr="000E7B47">
        <w:rPr>
          <w:rFonts w:ascii="Palatino Linotype" w:eastAsia="Palatino Linotype" w:hAnsi="Palatino Linotype" w:cs="Palatino Linotype"/>
        </w:rPr>
        <w:lastRenderedPageBreak/>
        <w:t>que se expongan los fundamentos y razonamientos que llevaron al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0E7B47">
        <w:rPr>
          <w:rFonts w:ascii="Palatino Linotype" w:eastAsia="Palatino Linotype" w:hAnsi="Palatino Linotype" w:cs="Palatino Linotype"/>
          <w:b/>
        </w:rPr>
        <w:t>la parte</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Recurrente.</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w:t>
      </w:r>
      <w:r w:rsidRPr="000E7B47">
        <w:rPr>
          <w:rFonts w:ascii="Palatino Linotype" w:eastAsia="Palatino Linotype" w:hAnsi="Palatino Linotype" w:cs="Palatino Linotype"/>
        </w:rPr>
        <w:lastRenderedPageBreak/>
        <w:t>sujetos obligados clasificarán como reservada o confidencial la información que posean, desclasificarán y generarán, en su caso, versiones públicas de expedientes o documentos que contengan partes o secciones clasificadas.</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“Quincuagésimo sexto</w:t>
      </w:r>
      <w:r w:rsidRPr="000E7B47">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7F80" w:rsidRPr="000E7B47" w:rsidRDefault="00007F80" w:rsidP="00007F80">
      <w:pPr>
        <w:spacing w:before="120"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rsidR="00007F80" w:rsidRPr="000E7B47" w:rsidRDefault="00007F80" w:rsidP="00007F80">
      <w:pPr>
        <w:spacing w:before="120"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rsidR="00007F80" w:rsidRPr="000E7B47" w:rsidRDefault="00007F80" w:rsidP="00007F80">
      <w:pPr>
        <w:spacing w:before="120"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rsidR="00007F80" w:rsidRPr="000E7B47" w:rsidRDefault="00007F80" w:rsidP="00007F80">
      <w:pPr>
        <w:spacing w:before="120"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007F80" w:rsidRPr="000E7B47" w:rsidRDefault="00007F80" w:rsidP="00007F80">
      <w:pPr>
        <w:spacing w:before="120" w:after="120" w:line="259"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007F80" w:rsidRPr="000E7B47" w:rsidRDefault="00007F80" w:rsidP="00007F80">
      <w:pPr>
        <w:spacing w:before="120" w:line="360" w:lineRule="auto"/>
        <w:ind w:left="851" w:right="902"/>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rsidR="00007F80" w:rsidRPr="000E7B47" w:rsidRDefault="00007F80" w:rsidP="00007F80">
      <w:pPr>
        <w:spacing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lastRenderedPageBreak/>
        <w:t xml:space="preserve">Por lo tanto, </w:t>
      </w:r>
      <w:r w:rsidRPr="000E7B47">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0E7B47">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7F80" w:rsidRPr="000E7B47" w:rsidRDefault="00007F80" w:rsidP="00007F80">
      <w:pPr>
        <w:spacing w:line="360" w:lineRule="auto"/>
        <w:jc w:val="both"/>
        <w:rPr>
          <w:rFonts w:ascii="Palatino Linotype" w:eastAsia="Palatino Linotype" w:hAnsi="Palatino Linotype" w:cs="Palatino Linotype"/>
        </w:rPr>
      </w:pPr>
    </w:p>
    <w:p w:rsidR="00007F80" w:rsidRPr="000E7B47" w:rsidRDefault="00007F80" w:rsidP="00007F80">
      <w:pPr>
        <w:spacing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211CFF" w:rsidRPr="000E7B47" w:rsidTr="00CB55D9">
        <w:tc>
          <w:tcPr>
            <w:tcW w:w="4414" w:type="dxa"/>
            <w:gridSpan w:val="2"/>
          </w:tcPr>
          <w:p w:rsidR="00007F80" w:rsidRPr="000E7B47" w:rsidRDefault="00007F80" w:rsidP="00CB55D9">
            <w:pPr>
              <w:spacing w:after="160" w:line="259" w:lineRule="auto"/>
              <w:jc w:val="center"/>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Parcial</w:t>
            </w:r>
          </w:p>
        </w:tc>
        <w:tc>
          <w:tcPr>
            <w:tcW w:w="4414" w:type="dxa"/>
            <w:gridSpan w:val="2"/>
          </w:tcPr>
          <w:p w:rsidR="00007F80" w:rsidRPr="000E7B47" w:rsidRDefault="00007F80" w:rsidP="00CB55D9">
            <w:pPr>
              <w:spacing w:after="160" w:line="259" w:lineRule="auto"/>
              <w:jc w:val="center"/>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Total</w:t>
            </w:r>
          </w:p>
        </w:tc>
      </w:tr>
      <w:tr w:rsidR="00211CFF" w:rsidRPr="000E7B47" w:rsidTr="00CB55D9">
        <w:tc>
          <w:tcPr>
            <w:tcW w:w="846" w:type="dxa"/>
          </w:tcPr>
          <w:p w:rsidR="00007F80" w:rsidRPr="000E7B47" w:rsidRDefault="00007F80" w:rsidP="00CB55D9">
            <w:pPr>
              <w:spacing w:after="160" w:line="259" w:lineRule="auto"/>
              <w:jc w:val="center"/>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Concepto</w:t>
            </w:r>
          </w:p>
        </w:tc>
        <w:tc>
          <w:tcPr>
            <w:tcW w:w="3568" w:type="dxa"/>
          </w:tcPr>
          <w:p w:rsidR="00007F80" w:rsidRPr="000E7B47" w:rsidRDefault="00007F80" w:rsidP="00CB55D9">
            <w:pPr>
              <w:spacing w:after="160" w:line="259" w:lineRule="auto"/>
              <w:jc w:val="center"/>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Dónde</w:t>
            </w:r>
          </w:p>
        </w:tc>
        <w:tc>
          <w:tcPr>
            <w:tcW w:w="968" w:type="dxa"/>
          </w:tcPr>
          <w:p w:rsidR="00007F80" w:rsidRPr="000E7B47" w:rsidRDefault="00007F80" w:rsidP="00CB55D9">
            <w:pPr>
              <w:spacing w:after="160" w:line="259" w:lineRule="auto"/>
              <w:jc w:val="center"/>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Concepto</w:t>
            </w:r>
          </w:p>
        </w:tc>
        <w:tc>
          <w:tcPr>
            <w:tcW w:w="3446" w:type="dxa"/>
          </w:tcPr>
          <w:p w:rsidR="00007F80" w:rsidRPr="000E7B47" w:rsidRDefault="00007F80" w:rsidP="00CB55D9">
            <w:pPr>
              <w:spacing w:after="160" w:line="259" w:lineRule="auto"/>
              <w:jc w:val="center"/>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Dónde</w:t>
            </w:r>
          </w:p>
        </w:tc>
      </w:tr>
      <w:tr w:rsidR="00211CFF" w:rsidRPr="000E7B47" w:rsidTr="00CB55D9">
        <w:tc>
          <w:tcPr>
            <w:tcW w:w="8828" w:type="dxa"/>
            <w:gridSpan w:val="4"/>
          </w:tcPr>
          <w:p w:rsidR="00007F80" w:rsidRPr="000E7B47" w:rsidRDefault="00007F80" w:rsidP="00CB55D9">
            <w:pPr>
              <w:spacing w:after="160" w:line="259" w:lineRule="auto"/>
              <w:jc w:val="center"/>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Sello oficial o logotipo del sujeto obligado</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Fecha de clasificación</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Fecha de clasificación</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Área</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área del cual es titular quien clasifica.</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Área</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área de la cual es el titular quien clasifica.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Información reservada</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E7B47">
              <w:rPr>
                <w:rFonts w:ascii="Palatino Linotype" w:eastAsia="Palatino Linotype" w:hAnsi="Palatino Linotype" w:cs="Palatino Linotype"/>
                <w:sz w:val="12"/>
                <w:szCs w:val="12"/>
              </w:rPr>
              <w:t>anotarán</w:t>
            </w:r>
            <w:proofErr w:type="gramEnd"/>
            <w:r w:rsidRPr="000E7B4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Reservado</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Leyenda de información RESERVADA.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Fundamento legal</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Periodo de reserva</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Ampliación del periodo de reserva</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Fundamento legal</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lastRenderedPageBreak/>
              <w:t>Confidencial</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Ampliación del periodo de reserva</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Fundamento legal</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Confidencial</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Leyenda de información CONFIDENCIAL.</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del titular del área</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autógrafa de quien clasifica.</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Fundamento legal</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Fecha de desclasificación</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anotará la fecha en que se desclasifica el documento.</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Rúbrica del titular del área</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autógrafa de quien clasifica.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y cargo del servidor público</w:t>
            </w: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autógrafa de quien desclasifica.</w:t>
            </w: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Fecha de desclasificación</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Se anotará la fecha en que se desclasifica.</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Partes o secciones reservadas o confidenciales</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211CFF" w:rsidRPr="000E7B47" w:rsidTr="00CB55D9">
        <w:tc>
          <w:tcPr>
            <w:tcW w:w="8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p>
        </w:tc>
        <w:tc>
          <w:tcPr>
            <w:tcW w:w="3568"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p>
        </w:tc>
        <w:tc>
          <w:tcPr>
            <w:tcW w:w="968" w:type="dxa"/>
          </w:tcPr>
          <w:p w:rsidR="00007F80" w:rsidRPr="000E7B47" w:rsidRDefault="00007F80" w:rsidP="00CB55D9">
            <w:pPr>
              <w:spacing w:after="160" w:line="259" w:lineRule="auto"/>
              <w:jc w:val="both"/>
              <w:rPr>
                <w:rFonts w:ascii="Palatino Linotype" w:eastAsia="Palatino Linotype" w:hAnsi="Palatino Linotype" w:cs="Palatino Linotype"/>
                <w:b/>
                <w:sz w:val="12"/>
                <w:szCs w:val="12"/>
              </w:rPr>
            </w:pPr>
            <w:r w:rsidRPr="000E7B47">
              <w:rPr>
                <w:rFonts w:ascii="Palatino Linotype" w:eastAsia="Palatino Linotype" w:hAnsi="Palatino Linotype" w:cs="Palatino Linotype"/>
                <w:b/>
                <w:sz w:val="12"/>
                <w:szCs w:val="12"/>
              </w:rPr>
              <w:t>Rúbrica y cargo del servidor público</w:t>
            </w:r>
          </w:p>
        </w:tc>
        <w:tc>
          <w:tcPr>
            <w:tcW w:w="3446" w:type="dxa"/>
          </w:tcPr>
          <w:p w:rsidR="00007F80" w:rsidRPr="000E7B47" w:rsidRDefault="00007F80" w:rsidP="00CB55D9">
            <w:pPr>
              <w:spacing w:after="160" w:line="259" w:lineRule="auto"/>
              <w:jc w:val="both"/>
              <w:rPr>
                <w:rFonts w:ascii="Palatino Linotype" w:eastAsia="Palatino Linotype" w:hAnsi="Palatino Linotype" w:cs="Palatino Linotype"/>
                <w:sz w:val="12"/>
                <w:szCs w:val="12"/>
              </w:rPr>
            </w:pPr>
            <w:r w:rsidRPr="000E7B47">
              <w:rPr>
                <w:rFonts w:ascii="Palatino Linotype" w:eastAsia="Palatino Linotype" w:hAnsi="Palatino Linotype" w:cs="Palatino Linotype"/>
                <w:sz w:val="12"/>
                <w:szCs w:val="12"/>
              </w:rPr>
              <w:t>Rúbrica autógrafa de quien desclasifica.</w:t>
            </w:r>
          </w:p>
        </w:tc>
      </w:tr>
    </w:tbl>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0E7B47">
        <w:rPr>
          <w:rFonts w:ascii="Palatino Linotype" w:eastAsia="Palatino Linotype" w:hAnsi="Palatino Linotype" w:cs="Palatino Linotype"/>
          <w:b/>
        </w:rPr>
        <w:t xml:space="preserve">Sujeto Obligado </w:t>
      </w:r>
      <w:r w:rsidRPr="000E7B47">
        <w:rPr>
          <w:rFonts w:ascii="Palatino Linotype" w:eastAsia="Palatino Linotype" w:hAnsi="Palatino Linotype" w:cs="Palatino Linotype"/>
        </w:rPr>
        <w:t>entregue la información requerida.</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ED1301" w:rsidRPr="000E7B47" w:rsidRDefault="00BE0E91">
      <w:pPr>
        <w:numPr>
          <w:ilvl w:val="0"/>
          <w:numId w:val="4"/>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0E7B47">
        <w:rPr>
          <w:rFonts w:ascii="Palatino Linotype" w:eastAsia="Palatino Linotype" w:hAnsi="Palatino Linotype" w:cs="Palatino Linotype"/>
          <w:b/>
        </w:rPr>
        <w:t>R E S U E L V E</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lastRenderedPageBreak/>
        <w:t>Primero</w:t>
      </w:r>
      <w:r w:rsidRPr="000E7B47">
        <w:rPr>
          <w:rFonts w:ascii="Palatino Linotype" w:eastAsia="Palatino Linotype" w:hAnsi="Palatino Linotype" w:cs="Palatino Linotype"/>
        </w:rPr>
        <w:t xml:space="preserve">. Resulta </w:t>
      </w:r>
      <w:r w:rsidRPr="000E7B47">
        <w:rPr>
          <w:rFonts w:ascii="Palatino Linotype" w:eastAsia="Palatino Linotype" w:hAnsi="Palatino Linotype" w:cs="Palatino Linotype"/>
          <w:b/>
        </w:rPr>
        <w:t>fundado</w:t>
      </w:r>
      <w:r w:rsidRPr="000E7B47">
        <w:rPr>
          <w:rFonts w:ascii="Palatino Linotype" w:eastAsia="Palatino Linotype" w:hAnsi="Palatino Linotype" w:cs="Palatino Linotype"/>
        </w:rPr>
        <w:t xml:space="preserve"> el motivo de inconformidad planteado por </w:t>
      </w:r>
      <w:r w:rsidRPr="000E7B47">
        <w:rPr>
          <w:rFonts w:ascii="Palatino Linotype" w:eastAsia="Palatino Linotype" w:hAnsi="Palatino Linotype" w:cs="Palatino Linotype"/>
          <w:b/>
        </w:rPr>
        <w:t>la Recurrente</w:t>
      </w:r>
      <w:r w:rsidRPr="000E7B47">
        <w:rPr>
          <w:rFonts w:ascii="Palatino Linotype" w:eastAsia="Palatino Linotype" w:hAnsi="Palatino Linotype" w:cs="Palatino Linotype"/>
          <w:b/>
          <w:i/>
        </w:rPr>
        <w:t xml:space="preserve"> </w:t>
      </w:r>
      <w:r w:rsidRPr="000E7B47">
        <w:rPr>
          <w:rFonts w:ascii="Palatino Linotype" w:eastAsia="Palatino Linotype" w:hAnsi="Palatino Linotype" w:cs="Palatino Linotype"/>
        </w:rPr>
        <w:t xml:space="preserve">en el recurso de revisión </w:t>
      </w:r>
      <w:r w:rsidRPr="000E7B47">
        <w:rPr>
          <w:rFonts w:ascii="Palatino Linotype" w:eastAsia="Palatino Linotype" w:hAnsi="Palatino Linotype" w:cs="Palatino Linotype"/>
          <w:b/>
        </w:rPr>
        <w:t>08789/INFOEM/IP/RR/2022</w:t>
      </w:r>
      <w:r w:rsidRPr="000E7B47">
        <w:rPr>
          <w:rFonts w:ascii="Palatino Linotype" w:eastAsia="Palatino Linotype" w:hAnsi="Palatino Linotype" w:cs="Palatino Linotype"/>
        </w:rPr>
        <w:t xml:space="preserve">, por lo que, en términos del </w:t>
      </w:r>
      <w:r w:rsidRPr="000E7B47">
        <w:rPr>
          <w:rFonts w:ascii="Palatino Linotype" w:eastAsia="Palatino Linotype" w:hAnsi="Palatino Linotype" w:cs="Palatino Linotype"/>
          <w:b/>
        </w:rPr>
        <w:t>Considerando Cuarto</w:t>
      </w:r>
      <w:r w:rsidRPr="000E7B47">
        <w:rPr>
          <w:rFonts w:ascii="Palatino Linotype" w:eastAsia="Palatino Linotype" w:hAnsi="Palatino Linotype" w:cs="Palatino Linotype"/>
        </w:rPr>
        <w:t xml:space="preserve"> de la presente resolución, se </w:t>
      </w:r>
      <w:r w:rsidRPr="000E7B47">
        <w:rPr>
          <w:rFonts w:ascii="Palatino Linotype" w:eastAsia="Palatino Linotype" w:hAnsi="Palatino Linotype" w:cs="Palatino Linotype"/>
          <w:b/>
        </w:rPr>
        <w:t>MODIFICA</w:t>
      </w:r>
      <w:r w:rsidRPr="000E7B47">
        <w:rPr>
          <w:rFonts w:ascii="Palatino Linotype" w:eastAsia="Palatino Linotype" w:hAnsi="Palatino Linotype" w:cs="Palatino Linotype"/>
        </w:rPr>
        <w:t xml:space="preserve"> la respuesta emitida por el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w:t>
      </w:r>
    </w:p>
    <w:p w:rsidR="00ED1301" w:rsidRPr="000E7B47" w:rsidRDefault="00BE0E91">
      <w:pPr>
        <w:spacing w:before="240" w:after="240" w:line="360" w:lineRule="auto"/>
        <w:ind w:right="49"/>
        <w:jc w:val="both"/>
        <w:rPr>
          <w:rFonts w:ascii="Palatino Linotype" w:eastAsia="Palatino Linotype" w:hAnsi="Palatino Linotype" w:cs="Palatino Linotype"/>
        </w:rPr>
      </w:pPr>
      <w:r w:rsidRPr="000E7B47">
        <w:rPr>
          <w:rFonts w:ascii="Palatino Linotype" w:eastAsia="Palatino Linotype" w:hAnsi="Palatino Linotype" w:cs="Palatino Linotype"/>
          <w:b/>
        </w:rPr>
        <w:t>Segundo.</w:t>
      </w:r>
      <w:r w:rsidRPr="000E7B47">
        <w:rPr>
          <w:rFonts w:ascii="Palatino Linotype" w:eastAsia="Palatino Linotype" w:hAnsi="Palatino Linotype" w:cs="Palatino Linotype"/>
          <w:b/>
          <w:sz w:val="28"/>
          <w:szCs w:val="28"/>
        </w:rPr>
        <w:t xml:space="preserve"> </w:t>
      </w:r>
      <w:r w:rsidRPr="000E7B47">
        <w:rPr>
          <w:rFonts w:ascii="Palatino Linotype" w:eastAsia="Palatino Linotype" w:hAnsi="Palatino Linotype" w:cs="Palatino Linotype"/>
        </w:rPr>
        <w:t>Se</w:t>
      </w:r>
      <w:r w:rsidRPr="000E7B47">
        <w:rPr>
          <w:rFonts w:ascii="Palatino Linotype" w:eastAsia="Palatino Linotype" w:hAnsi="Palatino Linotype" w:cs="Palatino Linotype"/>
          <w:b/>
        </w:rPr>
        <w:t xml:space="preserve"> ORDENA </w:t>
      </w:r>
      <w:r w:rsidRPr="000E7B47">
        <w:rPr>
          <w:rFonts w:ascii="Palatino Linotype" w:eastAsia="Palatino Linotype" w:hAnsi="Palatino Linotype" w:cs="Palatino Linotype"/>
        </w:rPr>
        <w:t xml:space="preserve">al </w:t>
      </w:r>
      <w:r w:rsidRPr="000E7B47">
        <w:rPr>
          <w:rFonts w:ascii="Palatino Linotype" w:eastAsia="Palatino Linotype" w:hAnsi="Palatino Linotype" w:cs="Palatino Linotype"/>
          <w:b/>
        </w:rPr>
        <w:t>Sujeto Obligado</w:t>
      </w:r>
      <w:r w:rsidRPr="000E7B47">
        <w:rPr>
          <w:rFonts w:ascii="Palatino Linotype" w:eastAsia="Palatino Linotype" w:hAnsi="Palatino Linotype" w:cs="Palatino Linotype"/>
        </w:rPr>
        <w:t xml:space="preserve"> que en términos de los </w:t>
      </w:r>
      <w:r w:rsidRPr="000E7B47">
        <w:rPr>
          <w:rFonts w:ascii="Palatino Linotype" w:eastAsia="Palatino Linotype" w:hAnsi="Palatino Linotype" w:cs="Palatino Linotype"/>
          <w:b/>
        </w:rPr>
        <w:t xml:space="preserve">Considerandos Cuarto y Quinto </w:t>
      </w:r>
      <w:r w:rsidRPr="000E7B47">
        <w:rPr>
          <w:rFonts w:ascii="Palatino Linotype" w:eastAsia="Palatino Linotype" w:hAnsi="Palatino Linotype" w:cs="Palatino Linotype"/>
        </w:rPr>
        <w:t>de esta resolución haga entrega en versión pública de ser procedente, a</w:t>
      </w:r>
      <w:r w:rsidRPr="000E7B47">
        <w:rPr>
          <w:rFonts w:ascii="Palatino Linotype" w:eastAsia="Palatino Linotype" w:hAnsi="Palatino Linotype" w:cs="Palatino Linotype"/>
          <w:b/>
        </w:rPr>
        <w:t>l Recurrente</w:t>
      </w:r>
      <w:r w:rsidRPr="000E7B47">
        <w:rPr>
          <w:rFonts w:ascii="Palatino Linotype" w:eastAsia="Palatino Linotype" w:hAnsi="Palatino Linotype" w:cs="Palatino Linotype"/>
        </w:rPr>
        <w:t xml:space="preserve"> a través del </w:t>
      </w:r>
      <w:r w:rsidRPr="000E7B47">
        <w:rPr>
          <w:rFonts w:ascii="Palatino Linotype" w:eastAsia="Palatino Linotype" w:hAnsi="Palatino Linotype" w:cs="Palatino Linotype"/>
          <w:b/>
        </w:rPr>
        <w:t>SAIMEX, lo siguiente</w:t>
      </w:r>
      <w:r w:rsidRPr="000E7B47">
        <w:rPr>
          <w:rFonts w:ascii="Palatino Linotype" w:eastAsia="Palatino Linotype" w:hAnsi="Palatino Linotype" w:cs="Palatino Linotype"/>
        </w:rPr>
        <w:t>:</w:t>
      </w:r>
    </w:p>
    <w:p w:rsidR="00ED1301" w:rsidRPr="000E7B47" w:rsidRDefault="00BE0E91">
      <w:pPr>
        <w:ind w:left="567" w:right="567"/>
        <w:jc w:val="both"/>
        <w:rPr>
          <w:rFonts w:ascii="Palatino Linotype" w:eastAsia="Palatino Linotype" w:hAnsi="Palatino Linotype" w:cs="Palatino Linotype"/>
          <w:b/>
          <w:i/>
          <w:sz w:val="22"/>
          <w:szCs w:val="22"/>
        </w:rPr>
      </w:pPr>
      <w:r w:rsidRPr="000E7B47">
        <w:rPr>
          <w:rFonts w:ascii="Palatino Linotype" w:eastAsia="Palatino Linotype" w:hAnsi="Palatino Linotype" w:cs="Palatino Linotype"/>
          <w:b/>
          <w:i/>
          <w:sz w:val="22"/>
          <w:szCs w:val="22"/>
        </w:rPr>
        <w:t xml:space="preserve">Documento o documentos en el que conste el sueldo de los integrantes de la Comisión de Honor y Justicia del Sujeto Obligado, generados del uno de enero al </w:t>
      </w:r>
      <w:r w:rsidR="005E45B7" w:rsidRPr="000E7B47">
        <w:rPr>
          <w:rFonts w:ascii="Palatino Linotype" w:eastAsia="Palatino Linotype" w:hAnsi="Palatino Linotype" w:cs="Palatino Linotype"/>
          <w:b/>
          <w:i/>
          <w:sz w:val="22"/>
          <w:szCs w:val="22"/>
        </w:rPr>
        <w:t xml:space="preserve">treinta y uno </w:t>
      </w:r>
      <w:r w:rsidRPr="000E7B47">
        <w:rPr>
          <w:rFonts w:ascii="Palatino Linotype" w:eastAsia="Palatino Linotype" w:hAnsi="Palatino Linotype" w:cs="Palatino Linotype"/>
          <w:b/>
          <w:i/>
          <w:sz w:val="22"/>
          <w:szCs w:val="22"/>
        </w:rPr>
        <w:t xml:space="preserve">de </w:t>
      </w:r>
      <w:r w:rsidR="005E45B7" w:rsidRPr="000E7B47">
        <w:rPr>
          <w:rFonts w:ascii="Palatino Linotype" w:eastAsia="Palatino Linotype" w:hAnsi="Palatino Linotype" w:cs="Palatino Linotype"/>
          <w:b/>
          <w:i/>
          <w:sz w:val="22"/>
          <w:szCs w:val="22"/>
        </w:rPr>
        <w:t xml:space="preserve">marzo de </w:t>
      </w:r>
      <w:r w:rsidRPr="000E7B47">
        <w:rPr>
          <w:rFonts w:ascii="Palatino Linotype" w:eastAsia="Palatino Linotype" w:hAnsi="Palatino Linotype" w:cs="Palatino Linotype"/>
          <w:b/>
          <w:i/>
          <w:sz w:val="22"/>
          <w:szCs w:val="22"/>
        </w:rPr>
        <w:t xml:space="preserve">dos mil veintidós. </w:t>
      </w:r>
    </w:p>
    <w:p w:rsidR="00ED1301" w:rsidRPr="000E7B47" w:rsidRDefault="00ED1301">
      <w:pPr>
        <w:pBdr>
          <w:top w:val="nil"/>
          <w:left w:val="nil"/>
          <w:bottom w:val="nil"/>
          <w:right w:val="nil"/>
          <w:between w:val="nil"/>
        </w:pBdr>
        <w:ind w:left="567" w:right="567"/>
        <w:jc w:val="both"/>
        <w:rPr>
          <w:rFonts w:ascii="Palatino Linotype" w:eastAsia="Palatino Linotype" w:hAnsi="Palatino Linotype" w:cs="Palatino Linotype"/>
          <w:b/>
          <w:i/>
          <w:sz w:val="20"/>
          <w:szCs w:val="20"/>
        </w:rPr>
      </w:pPr>
    </w:p>
    <w:p w:rsidR="00ED1301" w:rsidRPr="000E7B47" w:rsidRDefault="00BE0E91">
      <w:pPr>
        <w:ind w:left="567" w:right="709"/>
        <w:jc w:val="both"/>
        <w:rPr>
          <w:rFonts w:ascii="Palatino Linotype" w:eastAsia="Palatino Linotype" w:hAnsi="Palatino Linotype" w:cs="Palatino Linotype"/>
          <w:i/>
          <w:sz w:val="22"/>
          <w:szCs w:val="22"/>
        </w:rPr>
      </w:pPr>
      <w:r w:rsidRPr="000E7B47">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0E7B47">
        <w:rPr>
          <w:rFonts w:ascii="Palatino Linotype" w:eastAsia="Palatino Linotype" w:hAnsi="Palatino Linotype" w:cs="Palatino Linotype"/>
          <w:b/>
          <w:i/>
          <w:sz w:val="22"/>
          <w:szCs w:val="22"/>
        </w:rPr>
        <w:t>Recurrente</w:t>
      </w:r>
      <w:r w:rsidRPr="000E7B47">
        <w:rPr>
          <w:rFonts w:ascii="Palatino Linotype" w:eastAsia="Palatino Linotype" w:hAnsi="Palatino Linotype" w:cs="Palatino Linotype"/>
          <w:i/>
          <w:sz w:val="22"/>
          <w:szCs w:val="22"/>
        </w:rPr>
        <w:t>.</w:t>
      </w:r>
    </w:p>
    <w:p w:rsidR="00ED1301" w:rsidRPr="000E7B47" w:rsidRDefault="00ED1301">
      <w:pPr>
        <w:ind w:right="709"/>
        <w:jc w:val="both"/>
        <w:rPr>
          <w:rFonts w:ascii="Palatino Linotype" w:eastAsia="Palatino Linotype" w:hAnsi="Palatino Linotype" w:cs="Palatino Linotype"/>
          <w:b/>
          <w:i/>
          <w:sz w:val="22"/>
          <w:szCs w:val="22"/>
        </w:rPr>
      </w:pP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Tercero.</w:t>
      </w:r>
      <w:r w:rsidRPr="000E7B47">
        <w:rPr>
          <w:rFonts w:ascii="Palatino Linotype" w:eastAsia="Palatino Linotype" w:hAnsi="Palatino Linotype" w:cs="Palatino Linotype"/>
          <w:b/>
          <w:sz w:val="28"/>
          <w:szCs w:val="28"/>
        </w:rPr>
        <w:t xml:space="preserve">  </w:t>
      </w:r>
      <w:r w:rsidRPr="000E7B47">
        <w:rPr>
          <w:rFonts w:ascii="Palatino Linotype" w:eastAsia="Palatino Linotype" w:hAnsi="Palatino Linotype" w:cs="Palatino Linotype"/>
          <w:b/>
        </w:rPr>
        <w:t>Notifíquese,</w:t>
      </w:r>
      <w:r w:rsidRPr="000E7B47">
        <w:rPr>
          <w:rFonts w:ascii="Palatino Linotype" w:eastAsia="Palatino Linotype" w:hAnsi="Palatino Linotype" w:cs="Palatino Linotype"/>
          <w:b/>
          <w:sz w:val="28"/>
          <w:szCs w:val="28"/>
        </w:rPr>
        <w:t xml:space="preserve"> </w:t>
      </w:r>
      <w:r w:rsidRPr="000E7B47">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t>Cuarto.</w:t>
      </w:r>
      <w:r w:rsidRPr="000E7B47">
        <w:rPr>
          <w:rFonts w:ascii="Palatino Linotype" w:eastAsia="Palatino Linotype" w:hAnsi="Palatino Linotype" w:cs="Palatino Linotype"/>
          <w:b/>
          <w:sz w:val="28"/>
          <w:szCs w:val="28"/>
        </w:rPr>
        <w:t xml:space="preserve"> </w:t>
      </w:r>
      <w:r w:rsidRPr="000E7B4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D1301" w:rsidRPr="000E7B47" w:rsidRDefault="00BE0E91">
      <w:pPr>
        <w:spacing w:before="240" w:after="240" w:line="360" w:lineRule="auto"/>
        <w:jc w:val="both"/>
        <w:rPr>
          <w:rFonts w:ascii="Palatino Linotype" w:eastAsia="Palatino Linotype" w:hAnsi="Palatino Linotype" w:cs="Palatino Linotype"/>
        </w:rPr>
      </w:pPr>
      <w:r w:rsidRPr="000E7B47">
        <w:rPr>
          <w:rFonts w:ascii="Palatino Linotype" w:eastAsia="Palatino Linotype" w:hAnsi="Palatino Linotype" w:cs="Palatino Linotype"/>
          <w:b/>
        </w:rPr>
        <w:lastRenderedPageBreak/>
        <w:t xml:space="preserve">Quinto. Notifíquese, </w:t>
      </w:r>
      <w:r w:rsidRPr="000E7B47">
        <w:rPr>
          <w:rFonts w:ascii="Palatino Linotype" w:eastAsia="Palatino Linotype" w:hAnsi="Palatino Linotype" w:cs="Palatino Linotype"/>
        </w:rPr>
        <w:t xml:space="preserve">a </w:t>
      </w:r>
      <w:r w:rsidRPr="000E7B47">
        <w:rPr>
          <w:rFonts w:ascii="Palatino Linotype" w:eastAsia="Palatino Linotype" w:hAnsi="Palatino Linotype" w:cs="Palatino Linotype"/>
          <w:b/>
        </w:rPr>
        <w:t>la Recurrente</w:t>
      </w:r>
      <w:r w:rsidRPr="000E7B47">
        <w:rPr>
          <w:rFonts w:ascii="Palatino Linotype" w:eastAsia="Palatino Linotype" w:hAnsi="Palatino Linotype" w:cs="Palatino Linotype"/>
        </w:rPr>
        <w:t xml:space="preserve"> </w:t>
      </w:r>
      <w:r w:rsidRPr="000E7B47">
        <w:rPr>
          <w:rFonts w:ascii="Palatino Linotype" w:eastAsia="Palatino Linotype" w:hAnsi="Palatino Linotype" w:cs="Palatino Linotype"/>
          <w:b/>
        </w:rPr>
        <w:t xml:space="preserve">vía SAIMEX y correo electrónico </w:t>
      </w:r>
      <w:r w:rsidRPr="000E7B47">
        <w:rPr>
          <w:rFonts w:ascii="Palatino Linotype" w:eastAsia="Palatino Linotype" w:hAnsi="Palatino Linotype" w:cs="Palatino Linotype"/>
        </w:rPr>
        <w:t xml:space="preserve">la presente resolución, así como que podrá impugnarla vía </w:t>
      </w:r>
      <w:r w:rsidRPr="000E7B47">
        <w:rPr>
          <w:rFonts w:ascii="Palatino Linotype" w:eastAsia="Palatino Linotype" w:hAnsi="Palatino Linotype" w:cs="Palatino Linotype"/>
          <w:b/>
        </w:rPr>
        <w:t>Juicio de Amparo</w:t>
      </w:r>
      <w:r w:rsidRPr="000E7B47">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bookmarkStart w:id="1" w:name="_heading=h.gjdgxs" w:colFirst="0" w:colLast="0"/>
    <w:bookmarkEnd w:id="1"/>
    <w:p w:rsidR="00ED1301" w:rsidRPr="000E7B47" w:rsidRDefault="00695BC8">
      <w:pPr>
        <w:spacing w:before="240" w:after="240" w:line="360" w:lineRule="auto"/>
        <w:jc w:val="both"/>
        <w:rPr>
          <w:rFonts w:ascii="Palatino Linotype" w:eastAsia="Palatino Linotype" w:hAnsi="Palatino Linotype" w:cs="Palatino Linotype"/>
        </w:rPr>
        <w:sectPr w:rsidR="00ED1301" w:rsidRPr="000E7B47">
          <w:headerReference w:type="default" r:id="rId23"/>
          <w:footerReference w:type="default" r:id="rId24"/>
          <w:headerReference w:type="first" r:id="rId25"/>
          <w:footerReference w:type="first" r:id="rId26"/>
          <w:pgSz w:w="12240" w:h="15840"/>
          <w:pgMar w:top="1417" w:right="2034" w:bottom="1417" w:left="1701" w:header="709" w:footer="709" w:gutter="0"/>
          <w:pgNumType w:start="1"/>
          <w:cols w:space="720"/>
          <w:titlePg/>
        </w:sectPr>
      </w:pPr>
      <w:r w:rsidRPr="000E7B47">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2973069</wp:posOffset>
                </wp:positionV>
                <wp:extent cx="5143500" cy="30384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143500" cy="3038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9F8499"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234.1pt" to="406.2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" strokecolor="black [3040]"/>
            </w:pict>
          </mc:Fallback>
        </mc:AlternateContent>
      </w:r>
      <w:r w:rsidR="00BE0E91" w:rsidRPr="000E7B47">
        <w:rPr>
          <w:rFonts w:ascii="Palatino Linotype" w:eastAsia="Palatino Linotype" w:hAnsi="Palatino Linotype" w:cs="Palatino Linotype"/>
        </w:rPr>
        <w:t>ASÍ LO RESUELVE, POR UNANIMIDAD DE VOTOS, EL PLENO DEL INSTITUT</w:t>
      </w:r>
      <w:bookmarkStart w:id="2" w:name="_GoBack"/>
      <w:bookmarkEnd w:id="2"/>
      <w:r w:rsidR="00BE0E91" w:rsidRPr="000E7B47">
        <w:rPr>
          <w:rFonts w:ascii="Palatino Linotype" w:eastAsia="Palatino Linotype" w:hAnsi="Palatino Linotype" w:cs="Palatino Linotype"/>
        </w:rPr>
        <w: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DE OCTUBRE DEL DOS MIL VEINTIDÓS, ANTE EL SECRETARIO TÉCNICO DEL PLENO, ALEXIS TAPIA RAMÍREZ.</w:t>
      </w:r>
    </w:p>
    <w:p w:rsidR="00ED1301" w:rsidRPr="000E7B47" w:rsidRDefault="00ED1301">
      <w:pPr>
        <w:spacing w:before="240" w:after="240" w:line="360" w:lineRule="auto"/>
        <w:jc w:val="both"/>
        <w:rPr>
          <w:rFonts w:ascii="Palatino Linotype" w:eastAsia="Palatino Linotype" w:hAnsi="Palatino Linotype" w:cs="Palatino Linotype"/>
        </w:rPr>
      </w:pPr>
    </w:p>
    <w:sectPr w:rsidR="00ED1301" w:rsidRPr="000E7B47">
      <w:headerReference w:type="first" r:id="rId27"/>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5D9" w:rsidRDefault="00CB55D9">
      <w:r>
        <w:separator/>
      </w:r>
    </w:p>
  </w:endnote>
  <w:endnote w:type="continuationSeparator" w:id="0">
    <w:p w:rsidR="00CB55D9" w:rsidRDefault="00CB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D9" w:rsidRDefault="00CB55D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2C04">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2C04">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rsidR="00CB55D9" w:rsidRDefault="00CB55D9">
    <w:pPr>
      <w:pBdr>
        <w:top w:val="nil"/>
        <w:left w:val="nil"/>
        <w:bottom w:val="nil"/>
        <w:right w:val="nil"/>
        <w:between w:val="nil"/>
      </w:pBdr>
      <w:tabs>
        <w:tab w:val="center" w:pos="4252"/>
        <w:tab w:val="right" w:pos="8504"/>
      </w:tabs>
      <w:rPr>
        <w:color w:val="000000"/>
      </w:rPr>
    </w:pPr>
  </w:p>
  <w:p w:rsidR="00CB55D9" w:rsidRDefault="00CB55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D9" w:rsidRDefault="00CB55D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2C0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2C04">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rsidR="00CB55D9" w:rsidRDefault="00CB55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5D9" w:rsidRDefault="00CB55D9">
      <w:r>
        <w:separator/>
      </w:r>
    </w:p>
  </w:footnote>
  <w:footnote w:type="continuationSeparator" w:id="0">
    <w:p w:rsidR="00CB55D9" w:rsidRDefault="00CB5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D9" w:rsidRDefault="00CB55D9">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-1019809</wp:posOffset>
          </wp:positionH>
          <wp:positionV relativeFrom="paragraph">
            <wp:posOffset>-414654</wp:posOffset>
          </wp:positionV>
          <wp:extent cx="7635600" cy="9943200"/>
          <wp:effectExtent l="0" t="0" r="0" b="0"/>
          <wp:wrapNone/>
          <wp:docPr id="3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CB55D9">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B55D9" w:rsidRDefault="00CB55D9">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08789/INFOEM/IP/RR/2022</w:t>
          </w:r>
        </w:p>
      </w:tc>
    </w:tr>
    <w:tr w:rsidR="00CB55D9">
      <w:trPr>
        <w:trHeight w:val="228"/>
      </w:trPr>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B55D9" w:rsidRDefault="00CB55D9">
          <w:pPr>
            <w:tabs>
              <w:tab w:val="left" w:pos="1531"/>
            </w:tabs>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CB55D9">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B55D9" w:rsidRDefault="00CB55D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B55D9" w:rsidRDefault="00CB55D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D9" w:rsidRDefault="00CB55D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-973452</wp:posOffset>
          </wp:positionH>
          <wp:positionV relativeFrom="paragraph">
            <wp:posOffset>-354963</wp:posOffset>
          </wp:positionV>
          <wp:extent cx="7635600" cy="9943200"/>
          <wp:effectExtent l="0" t="0" r="0" b="0"/>
          <wp:wrapNone/>
          <wp:docPr id="3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CB55D9">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08789/INFOEM/IP/RR/2022</w:t>
          </w:r>
        </w:p>
      </w:tc>
    </w:tr>
    <w:tr w:rsidR="00CB55D9">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CB55D9" w:rsidRDefault="00CB55D9" w:rsidP="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w:t>
          </w:r>
        </w:p>
      </w:tc>
    </w:tr>
    <w:tr w:rsidR="00CB55D9">
      <w:trPr>
        <w:trHeight w:val="228"/>
      </w:trPr>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B55D9" w:rsidRDefault="00CB55D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CB55D9">
      <w:tc>
        <w:tcPr>
          <w:tcW w:w="2553" w:type="dxa"/>
          <w:vAlign w:val="center"/>
        </w:tcPr>
        <w:p w:rsidR="00CB55D9" w:rsidRDefault="00CB55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B55D9" w:rsidRDefault="00CB55D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B55D9" w:rsidRDefault="00CB55D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D9" w:rsidRDefault="00CB55D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CB55D9" w:rsidRDefault="00CB55D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2DB2"/>
    <w:multiLevelType w:val="multilevel"/>
    <w:tmpl w:val="9560311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6114510"/>
    <w:multiLevelType w:val="multilevel"/>
    <w:tmpl w:val="51B0307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22252356"/>
    <w:multiLevelType w:val="multilevel"/>
    <w:tmpl w:val="B5DE8206"/>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EB45CF4"/>
    <w:multiLevelType w:val="multilevel"/>
    <w:tmpl w:val="8B66286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DA23539"/>
    <w:multiLevelType w:val="multilevel"/>
    <w:tmpl w:val="2B2A72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FFC74C1"/>
    <w:multiLevelType w:val="multilevel"/>
    <w:tmpl w:val="B114E6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6E4356"/>
    <w:multiLevelType w:val="multilevel"/>
    <w:tmpl w:val="FF8EB0A8"/>
    <w:lvl w:ilvl="0">
      <w:start w:val="1"/>
      <w:numFmt w:val="bullet"/>
      <w:lvlText w:val="●"/>
      <w:lvlJc w:val="left"/>
      <w:pPr>
        <w:ind w:left="709" w:hanging="424"/>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nsid w:val="5E942C06"/>
    <w:multiLevelType w:val="multilevel"/>
    <w:tmpl w:val="305E14D2"/>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7"/>
  </w:num>
  <w:num w:numId="3">
    <w:abstractNumId w:val="1"/>
  </w:num>
  <w:num w:numId="4">
    <w:abstractNumId w:val="5"/>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01"/>
    <w:rsid w:val="00007F80"/>
    <w:rsid w:val="000B166E"/>
    <w:rsid w:val="000E7B47"/>
    <w:rsid w:val="001B7F30"/>
    <w:rsid w:val="00211CFF"/>
    <w:rsid w:val="005E45B7"/>
    <w:rsid w:val="00695BC8"/>
    <w:rsid w:val="007A7266"/>
    <w:rsid w:val="00892B43"/>
    <w:rsid w:val="008D5D6B"/>
    <w:rsid w:val="00953798"/>
    <w:rsid w:val="00BE0E91"/>
    <w:rsid w:val="00BF2C04"/>
    <w:rsid w:val="00C94004"/>
    <w:rsid w:val="00CB55D9"/>
    <w:rsid w:val="00DD16CF"/>
    <w:rsid w:val="00DD7E68"/>
    <w:rsid w:val="00E967A8"/>
    <w:rsid w:val="00ED1301"/>
    <w:rsid w:val="00F40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E9BCB-97B3-448E-A7F3-B381C9150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7"/>
      </w:numPr>
      <w:contextualSpacing/>
    </w:p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of.gob.mx/nota_detalle.php?codigo=5492254&amp;fecha=28/07/2017"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NRMtACIZEeiohiRE4IcKxLYykA==">AMUW2mXnpu2xfyBChTvrQwk03p5S6AVKoG4iC/foEqK+tUQujaIgKM45rJ7IksXZztm+vbtMA6KF5Aohec8Jb9p2vdl1lR/HuDK5J0MYULpkYSl0NmPgHtn/pDcLX+yrGfrbR/5Lq889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15912</Words>
  <Characters>87517</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2022-10-13T15:38:00Z</cp:lastPrinted>
  <dcterms:created xsi:type="dcterms:W3CDTF">2022-11-03T19:43:00Z</dcterms:created>
  <dcterms:modified xsi:type="dcterms:W3CDTF">2022-11-03T19:43:00Z</dcterms:modified>
</cp:coreProperties>
</file>