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18FA" w:rsidR="00D8203F" w:rsidP="00DC18FA" w:rsidRDefault="00D8203F" w14:paraId="396EC2E0" w14:textId="54611512">
      <w:pPr>
        <w:spacing w:after="0"/>
        <w:rPr>
          <w:rFonts w:eastAsia="Times New Roman" w:cs="Tahoma"/>
          <w:bCs/>
          <w:color w:val="auto"/>
          <w:lang w:eastAsia="es-ES"/>
        </w:rPr>
      </w:pPr>
      <w:r w:rsidRPr="00DC18FA">
        <w:rPr>
          <w:rFonts w:cs="Tahoma"/>
          <w:bCs/>
        </w:rPr>
        <w:t xml:space="preserve">Resolución del Pleno del Instituto de Transparencia, Acceso a la Información Pública y </w:t>
      </w:r>
      <w:r w:rsidRPr="00DC18FA">
        <w:rPr>
          <w:rFonts w:eastAsia="Times New Roman" w:cs="Tahoma"/>
          <w:bCs/>
          <w:color w:val="auto"/>
          <w:lang w:eastAsia="es-ES"/>
        </w:rPr>
        <w:t xml:space="preserve">Protección de Datos Personales del Estado de México y Municipios, con domicilio en Metepec, Estado de México, de fecha </w:t>
      </w:r>
      <w:r w:rsidRPr="00DC18FA" w:rsidR="00BD5F42">
        <w:rPr>
          <w:rFonts w:eastAsia="Times New Roman" w:cs="Tahoma"/>
          <w:bCs/>
          <w:color w:val="auto"/>
          <w:lang w:eastAsia="es-ES"/>
        </w:rPr>
        <w:t>veintisiete</w:t>
      </w:r>
      <w:r w:rsidRPr="00DC18FA" w:rsidR="009B351E">
        <w:rPr>
          <w:rFonts w:eastAsia="Times New Roman" w:cs="Tahoma"/>
          <w:bCs/>
          <w:color w:val="auto"/>
          <w:lang w:eastAsia="es-ES"/>
        </w:rPr>
        <w:t xml:space="preserve"> de </w:t>
      </w:r>
      <w:r w:rsidRPr="00DC18FA" w:rsidR="00BD5F42">
        <w:rPr>
          <w:rFonts w:eastAsia="Times New Roman" w:cs="Tahoma"/>
          <w:bCs/>
          <w:color w:val="auto"/>
          <w:lang w:eastAsia="es-ES"/>
        </w:rPr>
        <w:t>abril de</w:t>
      </w:r>
      <w:r w:rsidRPr="00DC18FA" w:rsidR="00EC3F60">
        <w:rPr>
          <w:rFonts w:eastAsia="Times New Roman" w:cs="Tahoma"/>
          <w:bCs/>
          <w:color w:val="auto"/>
          <w:lang w:eastAsia="es-ES"/>
        </w:rPr>
        <w:t xml:space="preserve"> dos mil veintidós</w:t>
      </w:r>
      <w:r w:rsidRPr="00DC18FA">
        <w:rPr>
          <w:rFonts w:eastAsia="Times New Roman" w:cs="Tahoma"/>
          <w:bCs/>
          <w:color w:val="auto"/>
          <w:lang w:eastAsia="es-ES"/>
        </w:rPr>
        <w:t xml:space="preserve">. </w:t>
      </w:r>
    </w:p>
    <w:p w:rsidRPr="00DC18FA" w:rsidR="00D8203F" w:rsidP="00DC18FA" w:rsidRDefault="00D8203F" w14:paraId="6936EE21" w14:textId="77777777">
      <w:pPr>
        <w:spacing w:after="0"/>
      </w:pPr>
    </w:p>
    <w:p w:rsidRPr="00DC18FA" w:rsidR="00D8203F" w:rsidP="00DC18FA" w:rsidRDefault="00D8203F" w14:paraId="7B5A5142" w14:textId="2E3EDA7F">
      <w:pPr>
        <w:spacing w:after="0"/>
      </w:pPr>
      <w:r w:rsidRPr="1E65571C" w:rsidR="1E65571C">
        <w:rPr>
          <w:b w:val="1"/>
          <w:bCs w:val="1"/>
        </w:rPr>
        <w:t xml:space="preserve">VISTO </w:t>
      </w:r>
      <w:r w:rsidR="1E65571C">
        <w:rPr/>
        <w:t xml:space="preserve">el expediente conformado con motivo del Recurso de Revisión 00866/INFOEM/IP/RR/2022, interpuesto por </w:t>
      </w:r>
      <w:r w:rsidRPr="1E65571C" w:rsidR="1E65571C">
        <w:rPr>
          <w:highlight w:val="black"/>
        </w:rPr>
        <w:t>XXXXXXXXXXXXXXXXXX</w:t>
      </w:r>
      <w:r w:rsidR="1E65571C">
        <w:rPr/>
        <w:t xml:space="preserve">, </w:t>
      </w:r>
      <w:r w:rsidRPr="1E65571C" w:rsidR="1E65571C">
        <w:rPr>
          <w:rFonts w:cs="Tahoma"/>
          <w:color w:val="0D0D0D" w:themeColor="text1" w:themeTint="F2" w:themeShade="FF"/>
        </w:rPr>
        <w:t>en lo sucesivo Recurrente o Particular</w:t>
      </w:r>
      <w:r w:rsidR="1E65571C">
        <w:rPr/>
        <w:t>, en contra de la respuesta del Sujeto Obligado, Ayuntamiento de Lerma, a la solicitud de acceso a la información pública 00022/LERMA/IP/2022, se emite la presente Resolución, con base en los Antecedentes y Considerandos que a continuación se exponen:</w:t>
      </w:r>
    </w:p>
    <w:p w:rsidRPr="00DC18FA" w:rsidR="00D8203F" w:rsidP="00DC18FA" w:rsidRDefault="00D8203F" w14:paraId="52EC590C" w14:textId="77777777">
      <w:pPr>
        <w:spacing w:after="0"/>
        <w:rPr>
          <w:bCs/>
        </w:rPr>
      </w:pPr>
    </w:p>
    <w:p w:rsidRPr="00DC18FA" w:rsidR="00D8203F" w:rsidP="00DC18FA" w:rsidRDefault="00D8203F" w14:paraId="5020F5CE" w14:textId="77777777">
      <w:pPr>
        <w:spacing w:after="0"/>
        <w:jc w:val="center"/>
        <w:rPr>
          <w:b/>
        </w:rPr>
      </w:pPr>
      <w:r w:rsidRPr="00DC18FA">
        <w:rPr>
          <w:b/>
        </w:rPr>
        <w:t>A N T E C E D E N TE S:</w:t>
      </w:r>
    </w:p>
    <w:p w:rsidRPr="00DC18FA" w:rsidR="00D8203F" w:rsidP="00DC18FA" w:rsidRDefault="00D8203F" w14:paraId="1B82AE83" w14:textId="77777777">
      <w:pPr>
        <w:tabs>
          <w:tab w:val="left" w:pos="567"/>
        </w:tabs>
        <w:spacing w:after="0"/>
        <w:rPr>
          <w:rFonts w:eastAsia="Times New Roman" w:cs="Tahoma"/>
          <w:b/>
          <w:color w:val="auto"/>
          <w:lang w:eastAsia="es-ES"/>
        </w:rPr>
      </w:pPr>
    </w:p>
    <w:p w:rsidRPr="00DC18FA" w:rsidR="00D8203F" w:rsidP="00DC18FA" w:rsidRDefault="00D8203F" w14:paraId="7F6DA6C9" w14:textId="77777777">
      <w:pPr>
        <w:tabs>
          <w:tab w:val="left" w:pos="567"/>
        </w:tabs>
        <w:spacing w:after="0"/>
        <w:rPr>
          <w:rFonts w:eastAsia="Times New Roman" w:cs="Tahoma"/>
          <w:b/>
          <w:color w:val="auto"/>
          <w:lang w:eastAsia="es-ES"/>
        </w:rPr>
      </w:pPr>
      <w:r w:rsidRPr="00DC18FA">
        <w:rPr>
          <w:rFonts w:eastAsia="Times New Roman" w:cs="Tahoma"/>
          <w:b/>
          <w:color w:val="auto"/>
          <w:lang w:eastAsia="es-ES"/>
        </w:rPr>
        <w:t>I. Presentación de la solicitud de información:</w:t>
      </w:r>
    </w:p>
    <w:p w:rsidRPr="00DC18FA" w:rsidR="00D8203F" w:rsidP="00DC18FA" w:rsidRDefault="00D8203F" w14:paraId="2CA46D00" w14:textId="01152D4E">
      <w:pPr>
        <w:tabs>
          <w:tab w:val="left" w:pos="567"/>
        </w:tabs>
        <w:spacing w:after="0"/>
        <w:rPr>
          <w:rFonts w:eastAsia="Times New Roman" w:cs="Tahoma"/>
          <w:color w:val="auto"/>
          <w:lang w:eastAsia="es-ES"/>
        </w:rPr>
      </w:pPr>
    </w:p>
    <w:p w:rsidRPr="00DC18FA" w:rsidR="00C138ED" w:rsidP="00DC18FA" w:rsidRDefault="00C138ED" w14:paraId="375762E1" w14:textId="0CF62F3D">
      <w:pPr>
        <w:tabs>
          <w:tab w:val="left" w:pos="567"/>
        </w:tabs>
        <w:spacing w:after="0"/>
        <w:contextualSpacing/>
        <w:rPr>
          <w:rFonts w:eastAsia="Times New Roman" w:cs="Tahoma"/>
          <w:color w:val="auto"/>
          <w:lang w:eastAsia="es-ES"/>
        </w:rPr>
      </w:pPr>
      <w:r w:rsidRPr="00DC18FA">
        <w:rPr>
          <w:rFonts w:eastAsia="Times New Roman" w:cs="Tahoma"/>
          <w:color w:val="auto"/>
          <w:lang w:eastAsia="es-ES"/>
        </w:rPr>
        <w:t xml:space="preserve">Con fecha </w:t>
      </w:r>
      <w:r w:rsidRPr="00DC18FA" w:rsidR="009B351E">
        <w:rPr>
          <w:rFonts w:eastAsia="Times New Roman" w:cs="Tahoma"/>
          <w:color w:val="auto"/>
          <w:lang w:eastAsia="es-ES"/>
        </w:rPr>
        <w:t>veintiuno de enero de dos mil veintidós</w:t>
      </w:r>
      <w:r w:rsidRPr="00DC18FA">
        <w:rPr>
          <w:rFonts w:eastAsia="Times New Roman" w:cs="Tahoma"/>
          <w:color w:val="auto"/>
          <w:lang w:eastAsia="es-ES"/>
        </w:rPr>
        <w:t xml:space="preserve">, </w:t>
      </w:r>
      <w:r w:rsidRPr="00DC18FA" w:rsidR="002351AB">
        <w:rPr>
          <w:rFonts w:eastAsia="Times New Roman" w:cs="Tahoma"/>
          <w:color w:val="auto"/>
          <w:lang w:eastAsia="es-ES"/>
        </w:rPr>
        <w:t>el Particular presentó una solicitud de acceso a la información pública</w:t>
      </w:r>
      <w:r w:rsidRPr="00DC18FA" w:rsidR="008A5840">
        <w:rPr>
          <w:rFonts w:eastAsia="Times New Roman" w:cs="Tahoma"/>
          <w:color w:val="auto"/>
          <w:lang w:eastAsia="es-ES"/>
        </w:rPr>
        <w:t>,</w:t>
      </w:r>
      <w:r w:rsidRPr="00DC18FA" w:rsidR="002351AB">
        <w:rPr>
          <w:rFonts w:eastAsia="Times New Roman" w:cs="Tahoma"/>
          <w:color w:val="auto"/>
          <w:lang w:eastAsia="es-ES"/>
        </w:rPr>
        <w:t xml:space="preserve"> a través del Sistema de Acceso a la Información Mexiquense (SAIMEX), ante el </w:t>
      </w:r>
      <w:r w:rsidRPr="00DC18FA" w:rsidR="00EC3F60">
        <w:t>Secretaría de Desarrollo Social</w:t>
      </w:r>
      <w:r w:rsidRPr="00DC18FA">
        <w:rPr>
          <w:rFonts w:eastAsia="Batang" w:cs="Tahoma"/>
          <w:color w:val="auto"/>
          <w:lang w:val="es-ES" w:eastAsia="es-ES"/>
        </w:rPr>
        <w:t>,</w:t>
      </w:r>
      <w:r w:rsidRPr="00DC18FA">
        <w:rPr>
          <w:rFonts w:cs="Tahoma"/>
          <w:b/>
          <w:bCs/>
          <w:lang w:val="es-ES"/>
        </w:rPr>
        <w:t xml:space="preserve"> </w:t>
      </w:r>
      <w:r w:rsidRPr="00DC18FA" w:rsidR="008A5840">
        <w:rPr>
          <w:rFonts w:cs="Tahoma"/>
          <w:lang w:val="es-ES"/>
        </w:rPr>
        <w:t>en los siguientes términos:</w:t>
      </w:r>
    </w:p>
    <w:p w:rsidRPr="00DC18FA" w:rsidR="00D8203F" w:rsidP="00DC18FA" w:rsidRDefault="00D8203F" w14:paraId="174525F5" w14:textId="77777777">
      <w:pPr>
        <w:tabs>
          <w:tab w:val="left" w:pos="567"/>
        </w:tabs>
        <w:spacing w:after="0"/>
        <w:rPr>
          <w:rFonts w:eastAsia="Times New Roman" w:cs="Tahoma"/>
          <w:color w:val="auto"/>
          <w:lang w:eastAsia="es-ES"/>
        </w:rPr>
      </w:pPr>
    </w:p>
    <w:p w:rsidRPr="00DC18FA" w:rsidR="00D8203F" w:rsidP="00DC18FA" w:rsidRDefault="00D8203F" w14:paraId="52CDF51B" w14:textId="77777777">
      <w:pPr>
        <w:tabs>
          <w:tab w:val="left" w:pos="4667"/>
        </w:tabs>
        <w:spacing w:after="0"/>
        <w:ind w:left="567" w:right="567"/>
        <w:rPr>
          <w:rFonts w:eastAsia="Times New Roman" w:cs="Tahoma"/>
          <w:b/>
          <w:i/>
          <w:iCs/>
          <w:color w:val="auto"/>
          <w:sz w:val="20"/>
          <w:szCs w:val="20"/>
          <w:lang w:eastAsia="es-ES"/>
        </w:rPr>
      </w:pPr>
      <w:r w:rsidRPr="00DC18FA">
        <w:rPr>
          <w:rFonts w:eastAsia="Times New Roman" w:cs="Tahoma"/>
          <w:b/>
          <w:i/>
          <w:iCs/>
          <w:color w:val="auto"/>
          <w:sz w:val="20"/>
          <w:szCs w:val="20"/>
          <w:lang w:eastAsia="es-ES"/>
        </w:rPr>
        <w:t>“DESCRIPCIÓN CLARA Y PRECISA DE LA INFORMACIÓN SOLICITADA.</w:t>
      </w:r>
    </w:p>
    <w:p w:rsidRPr="00DC18FA" w:rsidR="00D8203F" w:rsidP="1E65571C" w:rsidRDefault="009B351E" w14:paraId="4240E320" w14:textId="2C3395AA">
      <w:pPr>
        <w:widowControl w:val="0"/>
        <w:tabs>
          <w:tab w:val="left" w:pos="4667"/>
        </w:tabs>
        <w:spacing w:after="0"/>
        <w:ind w:left="567" w:right="567"/>
        <w:rPr>
          <w:rFonts w:eastAsia="Times New Roman" w:cs="Tahoma"/>
          <w:i w:val="1"/>
          <w:iCs w:val="1"/>
          <w:color w:val="auto"/>
          <w:sz w:val="20"/>
          <w:szCs w:val="20"/>
          <w:lang w:eastAsia="es-ES"/>
        </w:rPr>
      </w:pPr>
      <w:r w:rsidRPr="1E65571C" w:rsidR="1E65571C">
        <w:rPr>
          <w:rFonts w:eastAsia="Times New Roman" w:cs="Tahoma"/>
          <w:i w:val="1"/>
          <w:iCs w:val="1"/>
          <w:color w:val="auto"/>
          <w:sz w:val="20"/>
          <w:szCs w:val="20"/>
          <w:lang w:eastAsia="es-ES"/>
        </w:rPr>
        <w:t xml:space="preserve">Se solicita se informe si existe algún ‘Procedimiento Administrativo’ en relación al inmueble ubicado en la </w:t>
      </w:r>
      <w:r w:rsidRPr="1E65571C" w:rsidR="1E65571C">
        <w:rPr>
          <w:rFonts w:eastAsia="Times New Roman" w:cs="Tahoma"/>
          <w:i w:val="1"/>
          <w:iCs w:val="1"/>
          <w:color w:val="auto"/>
          <w:sz w:val="20"/>
          <w:szCs w:val="20"/>
          <w:highlight w:val="black"/>
          <w:lang w:eastAsia="es-ES"/>
        </w:rPr>
        <w:t>XXXXXXXXXXXXXXXXXXXXXXXXXXXXXXXXXXXXXXXXXXXXXXX XXXXXXXXXXXXXXXXXXXXXXXXXXXXXX</w:t>
      </w:r>
      <w:r w:rsidRPr="1E65571C" w:rsidR="1E65571C">
        <w:rPr>
          <w:rFonts w:eastAsia="Times New Roman" w:cs="Tahoma"/>
          <w:i w:val="1"/>
          <w:iCs w:val="1"/>
          <w:color w:val="auto"/>
          <w:sz w:val="20"/>
          <w:szCs w:val="20"/>
          <w:lang w:eastAsia="es-ES"/>
        </w:rPr>
        <w:t xml:space="preserve">, en caso de que exista algún Procedimiento Administrativo, se solicita se informe cual es estatus que guarda dicho Procedimiento.” (Sic) </w:t>
      </w:r>
    </w:p>
    <w:p w:rsidRPr="00DC18FA" w:rsidR="00D8203F" w:rsidP="00DC18FA" w:rsidRDefault="00D8203F" w14:paraId="4E56260E" w14:textId="77777777">
      <w:pPr>
        <w:tabs>
          <w:tab w:val="left" w:pos="4667"/>
        </w:tabs>
        <w:spacing w:after="0"/>
        <w:ind w:left="567" w:right="567"/>
        <w:rPr>
          <w:rFonts w:eastAsia="Times New Roman" w:cs="Tahoma"/>
          <w:bCs/>
          <w:i/>
          <w:iCs/>
          <w:color w:val="auto"/>
          <w:sz w:val="20"/>
          <w:szCs w:val="20"/>
          <w:lang w:eastAsia="es-ES"/>
        </w:rPr>
      </w:pPr>
    </w:p>
    <w:p w:rsidRPr="00DC18FA" w:rsidR="00D8203F" w:rsidP="00DC18FA" w:rsidRDefault="00D8203F" w14:paraId="59FEC259" w14:textId="77777777">
      <w:pPr>
        <w:tabs>
          <w:tab w:val="left" w:pos="4667"/>
        </w:tabs>
        <w:spacing w:after="0"/>
        <w:ind w:left="567" w:right="567"/>
        <w:rPr>
          <w:rFonts w:eastAsia="Times New Roman" w:cs="Tahoma"/>
          <w:b/>
          <w:bCs/>
          <w:i/>
          <w:iCs/>
          <w:color w:val="auto"/>
          <w:sz w:val="20"/>
          <w:lang w:eastAsia="es-ES"/>
        </w:rPr>
      </w:pPr>
      <w:r w:rsidRPr="00DC18FA">
        <w:rPr>
          <w:rFonts w:eastAsia="Times New Roman" w:cs="Tahoma"/>
          <w:b/>
          <w:bCs/>
          <w:i/>
          <w:iCs/>
          <w:color w:val="auto"/>
          <w:sz w:val="20"/>
          <w:lang w:eastAsia="es-ES"/>
        </w:rPr>
        <w:t>“MODALIDAD DE ENTREGA</w:t>
      </w:r>
    </w:p>
    <w:p w:rsidRPr="00DC18FA" w:rsidR="00D8203F" w:rsidP="00DC18FA" w:rsidRDefault="009C4E38" w14:paraId="1D72B351" w14:textId="01DF4603">
      <w:pPr>
        <w:spacing w:after="0"/>
        <w:ind w:left="567" w:right="567"/>
        <w:rPr>
          <w:rFonts w:eastAsia="Times New Roman" w:cs="Arial"/>
          <w:bCs/>
          <w:i/>
          <w:iCs/>
          <w:color w:val="auto"/>
          <w:sz w:val="20"/>
          <w:lang w:eastAsia="es-ES"/>
        </w:rPr>
      </w:pPr>
      <w:r w:rsidRPr="00DC18FA">
        <w:rPr>
          <w:rFonts w:eastAsia="Times New Roman" w:cs="Arial"/>
          <w:bCs/>
          <w:i/>
          <w:iCs/>
          <w:color w:val="auto"/>
          <w:sz w:val="20"/>
          <w:lang w:eastAsia="es-ES"/>
        </w:rPr>
        <w:t>A través del SAIMEX</w:t>
      </w:r>
      <w:r w:rsidRPr="00DC18FA" w:rsidR="00D8203F">
        <w:rPr>
          <w:rFonts w:eastAsia="Times New Roman" w:cs="Arial"/>
          <w:bCs/>
          <w:i/>
          <w:iCs/>
          <w:color w:val="auto"/>
          <w:sz w:val="20"/>
          <w:lang w:eastAsia="es-ES"/>
        </w:rPr>
        <w:t>”</w:t>
      </w:r>
    </w:p>
    <w:p w:rsidRPr="00DC18FA" w:rsidR="00D8203F" w:rsidP="00DC18FA" w:rsidRDefault="00D8203F" w14:paraId="5455DBE1" w14:textId="77777777">
      <w:pPr>
        <w:spacing w:after="0"/>
        <w:rPr>
          <w:b/>
        </w:rPr>
      </w:pPr>
    </w:p>
    <w:p w:rsidRPr="00DC18FA" w:rsidR="00D8203F" w:rsidP="00DC18FA" w:rsidRDefault="00D8203F" w14:paraId="7CE11C14" w14:textId="77777777">
      <w:pPr>
        <w:spacing w:after="0"/>
        <w:rPr>
          <w:b/>
        </w:rPr>
      </w:pPr>
      <w:r w:rsidRPr="00DC18FA">
        <w:rPr>
          <w:b/>
        </w:rPr>
        <w:t>II. Respuesta del Sujeto Obligado.</w:t>
      </w:r>
    </w:p>
    <w:p w:rsidRPr="00DC18FA" w:rsidR="00F97409" w:rsidP="00DC18FA" w:rsidRDefault="00F97409" w14:paraId="4ECB2064" w14:textId="44D5ADBA">
      <w:pPr>
        <w:spacing w:after="0"/>
        <w:rPr>
          <w:rFonts w:eastAsia="Times New Roman" w:cs="Tahoma"/>
          <w:bCs/>
          <w:iCs/>
          <w:lang w:eastAsia="es-ES"/>
        </w:rPr>
      </w:pPr>
      <w:r w:rsidRPr="00DC18FA">
        <w:rPr>
          <w:rFonts w:eastAsia="Times New Roman" w:cs="Tahoma"/>
          <w:bCs/>
          <w:iCs/>
          <w:lang w:eastAsia="es-ES"/>
        </w:rPr>
        <w:lastRenderedPageBreak/>
        <w:t xml:space="preserve">Con fecha </w:t>
      </w:r>
      <w:r w:rsidRPr="00DC18FA" w:rsidR="009B351E">
        <w:rPr>
          <w:rFonts w:eastAsia="Times New Roman" w:cs="Tahoma"/>
          <w:bCs/>
          <w:iCs/>
          <w:lang w:eastAsia="es-ES"/>
        </w:rPr>
        <w:t>catorce de febrero de dos mil veintidós</w:t>
      </w:r>
      <w:r w:rsidRPr="00DC18FA" w:rsidR="00777341">
        <w:rPr>
          <w:rFonts w:eastAsia="Times New Roman" w:cs="Tahoma"/>
          <w:bCs/>
          <w:iCs/>
          <w:lang w:eastAsia="es-ES"/>
        </w:rPr>
        <w:t xml:space="preserve">, </w:t>
      </w:r>
      <w:r w:rsidRPr="00DC18FA" w:rsidR="001D638F">
        <w:rPr>
          <w:rFonts w:eastAsia="Times New Roman" w:cs="Tahoma"/>
          <w:bCs/>
          <w:iCs/>
          <w:lang w:eastAsia="es-ES"/>
        </w:rPr>
        <w:t>el Ayuntamiento de</w:t>
      </w:r>
      <w:r w:rsidRPr="00DC18FA" w:rsidR="009B351E">
        <w:rPr>
          <w:rFonts w:eastAsia="Times New Roman" w:cs="Tahoma"/>
          <w:bCs/>
          <w:iCs/>
          <w:lang w:eastAsia="es-ES"/>
        </w:rPr>
        <w:t xml:space="preserve"> Lerma</w:t>
      </w:r>
      <w:r w:rsidRPr="00DC18FA" w:rsidR="00D8203F">
        <w:rPr>
          <w:rFonts w:eastAsia="Times New Roman" w:cs="Tahoma"/>
          <w:bCs/>
          <w:iCs/>
          <w:lang w:eastAsia="es-ES"/>
        </w:rPr>
        <w:t xml:space="preserve">, a través del Sistema de Acceso a la Información Mexiquense (SAIMEX), notificó la respuesta </w:t>
      </w:r>
      <w:r w:rsidRPr="00DC18FA" w:rsidR="008A5840">
        <w:rPr>
          <w:rFonts w:eastAsia="Times New Roman" w:cs="Tahoma"/>
          <w:bCs/>
          <w:iCs/>
          <w:lang w:eastAsia="es-ES"/>
        </w:rPr>
        <w:t>al</w:t>
      </w:r>
      <w:r w:rsidRPr="00DC18FA" w:rsidR="00D8203F">
        <w:rPr>
          <w:rFonts w:eastAsia="Times New Roman" w:cs="Tahoma"/>
          <w:bCs/>
          <w:iCs/>
          <w:lang w:eastAsia="es-ES"/>
        </w:rPr>
        <w:t xml:space="preserve"> Soli</w:t>
      </w:r>
      <w:r w:rsidRPr="00DC18FA" w:rsidR="00777341">
        <w:rPr>
          <w:rFonts w:eastAsia="Times New Roman" w:cs="Tahoma"/>
          <w:bCs/>
          <w:iCs/>
          <w:lang w:eastAsia="es-ES"/>
        </w:rPr>
        <w:t xml:space="preserve">citante, </w:t>
      </w:r>
      <w:r w:rsidRPr="00DC18FA">
        <w:rPr>
          <w:rFonts w:eastAsia="Times New Roman" w:cs="Tahoma"/>
          <w:bCs/>
          <w:iCs/>
          <w:lang w:eastAsia="es-ES"/>
        </w:rPr>
        <w:t xml:space="preserve">por medio del cual </w:t>
      </w:r>
      <w:r w:rsidRPr="00DC18FA" w:rsidR="008A5840">
        <w:rPr>
          <w:rFonts w:eastAsia="Times New Roman" w:cs="Tahoma"/>
          <w:bCs/>
          <w:iCs/>
          <w:lang w:eastAsia="es-ES"/>
        </w:rPr>
        <w:t>precis</w:t>
      </w:r>
      <w:r w:rsidRPr="00DC18FA" w:rsidR="00BD5F42">
        <w:rPr>
          <w:rFonts w:eastAsia="Times New Roman" w:cs="Tahoma"/>
          <w:bCs/>
          <w:iCs/>
          <w:lang w:eastAsia="es-ES"/>
        </w:rPr>
        <w:t>ó que la Dirección de Desarrollo Urbano</w:t>
      </w:r>
      <w:r w:rsidRPr="00DC18FA" w:rsidR="009B351E">
        <w:rPr>
          <w:rFonts w:eastAsia="Times New Roman" w:cs="Tahoma"/>
          <w:bCs/>
          <w:iCs/>
          <w:lang w:eastAsia="es-ES"/>
        </w:rPr>
        <w:t xml:space="preserve"> realizó una búsqueda exhaustiva en </w:t>
      </w:r>
      <w:r w:rsidRPr="00DC18FA" w:rsidR="00BD5F42">
        <w:rPr>
          <w:rFonts w:eastAsia="Times New Roman" w:cs="Tahoma"/>
          <w:bCs/>
          <w:iCs/>
          <w:lang w:eastAsia="es-ES"/>
        </w:rPr>
        <w:t>sus</w:t>
      </w:r>
      <w:r w:rsidRPr="00DC18FA" w:rsidR="009B351E">
        <w:rPr>
          <w:rFonts w:eastAsia="Times New Roman" w:cs="Tahoma"/>
          <w:bCs/>
          <w:iCs/>
          <w:lang w:eastAsia="es-ES"/>
        </w:rPr>
        <w:t xml:space="preserve"> archivos </w:t>
      </w:r>
      <w:r w:rsidRPr="00DC18FA" w:rsidR="00BD5F42">
        <w:rPr>
          <w:rFonts w:eastAsia="Times New Roman" w:cs="Tahoma"/>
          <w:bCs/>
          <w:iCs/>
          <w:lang w:eastAsia="es-ES"/>
        </w:rPr>
        <w:t>y no localizó</w:t>
      </w:r>
      <w:r w:rsidRPr="00DC18FA" w:rsidR="009B351E">
        <w:rPr>
          <w:rFonts w:eastAsia="Times New Roman" w:cs="Tahoma"/>
          <w:bCs/>
          <w:iCs/>
          <w:lang w:eastAsia="es-ES"/>
        </w:rPr>
        <w:t xml:space="preserve"> autorización o licencia de construcción en relación con el inmueble </w:t>
      </w:r>
      <w:r w:rsidRPr="00DC18FA" w:rsidR="00BD5F42">
        <w:rPr>
          <w:rFonts w:eastAsia="Times New Roman" w:cs="Tahoma"/>
          <w:bCs/>
          <w:iCs/>
          <w:lang w:eastAsia="es-ES"/>
        </w:rPr>
        <w:t>referido en el requerimiento.</w:t>
      </w:r>
      <w:r w:rsidRPr="00DC18FA" w:rsidR="001D638F">
        <w:rPr>
          <w:rFonts w:eastAsia="Times New Roman" w:cs="Tahoma"/>
          <w:bCs/>
          <w:iCs/>
          <w:lang w:eastAsia="es-ES"/>
        </w:rPr>
        <w:t xml:space="preserve"> </w:t>
      </w:r>
    </w:p>
    <w:p w:rsidRPr="00DC18FA" w:rsidR="009B351E" w:rsidP="00DC18FA" w:rsidRDefault="009B351E" w14:paraId="3D26AA37" w14:textId="77777777">
      <w:pPr>
        <w:spacing w:after="0"/>
        <w:rPr>
          <w:rFonts w:eastAsia="Times New Roman" w:cs="Tahoma"/>
          <w:bCs/>
          <w:iCs/>
          <w:lang w:eastAsia="es-ES"/>
        </w:rPr>
      </w:pPr>
    </w:p>
    <w:p w:rsidRPr="00DC18FA" w:rsidR="00D8203F" w:rsidP="00DC18FA" w:rsidRDefault="00D8203F" w14:paraId="21F292FF" w14:textId="77777777">
      <w:pPr>
        <w:spacing w:after="0"/>
        <w:rPr>
          <w:b/>
          <w:bCs/>
        </w:rPr>
      </w:pPr>
      <w:r w:rsidRPr="00DC18FA">
        <w:rPr>
          <w:b/>
          <w:bCs/>
        </w:rPr>
        <w:t xml:space="preserve">III. Interposición del Recurso de Revisión. </w:t>
      </w:r>
    </w:p>
    <w:p w:rsidRPr="00DC18FA" w:rsidR="00D8203F" w:rsidP="00DC18FA" w:rsidRDefault="00D8203F" w14:paraId="71FE0651" w14:textId="77777777">
      <w:pPr>
        <w:spacing w:after="0"/>
        <w:rPr>
          <w:b/>
          <w:bCs/>
        </w:rPr>
      </w:pPr>
    </w:p>
    <w:p w:rsidRPr="00DC18FA" w:rsidR="007B0411" w:rsidP="00DC18FA" w:rsidRDefault="00454109" w14:paraId="7E37C3DB" w14:textId="58A515A4">
      <w:pPr>
        <w:spacing w:after="0"/>
      </w:pPr>
      <w:r w:rsidRPr="00DC18FA">
        <w:rPr>
          <w:rFonts w:eastAsia="Times New Roman" w:cs="Tahoma"/>
          <w:color w:val="auto"/>
          <w:lang w:eastAsia="es-ES"/>
        </w:rPr>
        <w:t xml:space="preserve">Con fecha </w:t>
      </w:r>
      <w:r w:rsidRPr="00DC18FA" w:rsidR="00BC6760">
        <w:rPr>
          <w:rFonts w:eastAsia="Times New Roman" w:cs="Tahoma"/>
          <w:color w:val="auto"/>
          <w:lang w:eastAsia="es-ES"/>
        </w:rPr>
        <w:t>quince</w:t>
      </w:r>
      <w:r w:rsidRPr="00DC18FA" w:rsidR="009B351E">
        <w:rPr>
          <w:rFonts w:eastAsia="Times New Roman" w:cs="Tahoma"/>
          <w:color w:val="auto"/>
          <w:lang w:eastAsia="es-ES"/>
        </w:rPr>
        <w:t xml:space="preserve"> de febrero de dos mil veintidós</w:t>
      </w:r>
      <w:r w:rsidRPr="00DC18FA" w:rsidR="007B0411">
        <w:rPr>
          <w:rFonts w:eastAsia="Times New Roman" w:cs="Tahoma"/>
          <w:color w:val="auto"/>
          <w:lang w:eastAsia="es-ES"/>
        </w:rPr>
        <w:t xml:space="preserve">, </w:t>
      </w:r>
      <w:r w:rsidRPr="00DC18FA" w:rsidR="008F32C2">
        <w:t>recibió</w:t>
      </w:r>
      <w:r w:rsidRPr="00DC18FA" w:rsidR="00BD08C5">
        <w:t xml:space="preserve"> en este Instituto, a través del Sistema</w:t>
      </w:r>
      <w:r w:rsidRPr="00DC18FA" w:rsidR="00BD08C5">
        <w:rPr>
          <w:lang w:val="es-ES"/>
        </w:rPr>
        <w:t xml:space="preserve"> de Acceso a la Información Mexiquense (SAIMEX)</w:t>
      </w:r>
      <w:r w:rsidRPr="00DC18FA" w:rsidR="00BD08C5">
        <w:t>, el Recurso de Revisión interpuesto por la parte Recurrente</w:t>
      </w:r>
      <w:r w:rsidRPr="00DC18FA" w:rsidR="007B0411">
        <w:rPr>
          <w:rFonts w:eastAsia="Batang" w:cs="Tahoma"/>
          <w:color w:val="auto"/>
          <w:lang w:val="es-ES" w:eastAsia="es-ES"/>
        </w:rPr>
        <w:t>,</w:t>
      </w:r>
      <w:r w:rsidRPr="00DC18FA" w:rsidR="00BD08C5">
        <w:rPr>
          <w:rFonts w:eastAsia="Batang" w:cs="Tahoma"/>
          <w:color w:val="auto"/>
          <w:lang w:val="es-ES" w:eastAsia="es-ES"/>
        </w:rPr>
        <w:t xml:space="preserve"> </w:t>
      </w:r>
      <w:r w:rsidRPr="00DC18FA" w:rsidR="00BD08C5">
        <w:t>en contra de la respuesta del Sujeto Obligado</w:t>
      </w:r>
      <w:r w:rsidRPr="00DC18FA">
        <w:t xml:space="preserve">, </w:t>
      </w:r>
      <w:r w:rsidRPr="00DC18FA" w:rsidR="00BD08C5">
        <w:rPr>
          <w:rFonts w:cs="Tahoma"/>
          <w:lang w:val="es-ES"/>
        </w:rPr>
        <w:t xml:space="preserve">en los siguientes términos: </w:t>
      </w:r>
    </w:p>
    <w:p w:rsidRPr="00DC18FA" w:rsidR="00D8203F" w:rsidP="00DC18FA" w:rsidRDefault="00D8203F" w14:paraId="32EC2427" w14:textId="5C4BB332">
      <w:pPr>
        <w:spacing w:after="0"/>
      </w:pPr>
    </w:p>
    <w:p w:rsidRPr="00DC18FA" w:rsidR="00D8203F" w:rsidP="00DC18FA" w:rsidRDefault="00D8203F" w14:paraId="2833A950" w14:textId="77777777">
      <w:pPr>
        <w:spacing w:after="0"/>
        <w:ind w:left="567" w:right="567"/>
        <w:rPr>
          <w:bCs/>
          <w:i/>
          <w:sz w:val="20"/>
          <w:szCs w:val="20"/>
        </w:rPr>
      </w:pPr>
      <w:r w:rsidRPr="00DC18FA">
        <w:rPr>
          <w:b/>
          <w:bCs/>
          <w:i/>
          <w:sz w:val="20"/>
          <w:szCs w:val="20"/>
        </w:rPr>
        <w:t>“ACTO IMPUGNADO</w:t>
      </w:r>
    </w:p>
    <w:p w:rsidRPr="00DC18FA" w:rsidR="00D8203F" w:rsidP="00DC18FA" w:rsidRDefault="009B351E" w14:paraId="60F31DEE" w14:textId="6869AEF8">
      <w:pPr>
        <w:spacing w:after="0"/>
        <w:ind w:left="567" w:right="567"/>
        <w:rPr>
          <w:i/>
          <w:sz w:val="20"/>
          <w:szCs w:val="20"/>
        </w:rPr>
      </w:pPr>
      <w:r w:rsidRPr="00DC18FA">
        <w:rPr>
          <w:i/>
          <w:sz w:val="20"/>
          <w:szCs w:val="20"/>
        </w:rPr>
        <w:t>Respuesta a la solicitud de información con número de folio 00020/LERMA/IP/2022</w:t>
      </w:r>
      <w:r w:rsidRPr="00DC18FA" w:rsidR="00BD08C5">
        <w:rPr>
          <w:i/>
          <w:sz w:val="20"/>
          <w:szCs w:val="20"/>
        </w:rPr>
        <w:t>.</w:t>
      </w:r>
      <w:r w:rsidRPr="00DC18FA" w:rsidR="00D8203F">
        <w:rPr>
          <w:i/>
          <w:sz w:val="20"/>
          <w:szCs w:val="20"/>
        </w:rPr>
        <w:t>” (Sic.)</w:t>
      </w:r>
    </w:p>
    <w:p w:rsidRPr="00DC18FA" w:rsidR="00D8203F" w:rsidP="00DC18FA" w:rsidRDefault="00D8203F" w14:paraId="69D01251" w14:textId="77777777">
      <w:pPr>
        <w:spacing w:after="0"/>
        <w:ind w:left="567" w:right="567"/>
        <w:rPr>
          <w:i/>
          <w:sz w:val="20"/>
          <w:szCs w:val="20"/>
        </w:rPr>
      </w:pPr>
    </w:p>
    <w:p w:rsidRPr="00DC18FA" w:rsidR="00BD08C5" w:rsidP="00DC18FA" w:rsidRDefault="00D8203F" w14:paraId="46664227" w14:textId="61AAD6B7">
      <w:pPr>
        <w:spacing w:after="0"/>
        <w:ind w:left="567" w:right="567"/>
        <w:rPr>
          <w:b/>
          <w:i/>
          <w:sz w:val="20"/>
          <w:szCs w:val="20"/>
        </w:rPr>
      </w:pPr>
      <w:r w:rsidRPr="00DC18FA">
        <w:rPr>
          <w:b/>
          <w:i/>
          <w:sz w:val="20"/>
          <w:szCs w:val="20"/>
        </w:rPr>
        <w:t>“RAZONES O MOTIVOS DE LA INCONFORMIDAD</w:t>
      </w:r>
    </w:p>
    <w:p w:rsidRPr="00DC18FA" w:rsidR="00D8203F" w:rsidP="00DC18FA" w:rsidRDefault="009B351E" w14:paraId="4DE18E01" w14:textId="45C2E72D">
      <w:pPr>
        <w:spacing w:after="0"/>
        <w:ind w:left="567" w:right="567"/>
        <w:rPr>
          <w:i/>
          <w:sz w:val="20"/>
          <w:szCs w:val="20"/>
        </w:rPr>
      </w:pPr>
      <w:r w:rsidRPr="00DC18FA">
        <w:rPr>
          <w:i/>
          <w:sz w:val="20"/>
          <w:szCs w:val="20"/>
        </w:rPr>
        <w:t xml:space="preserve">La respuesta no </w:t>
      </w:r>
      <w:proofErr w:type="spellStart"/>
      <w:r w:rsidRPr="00DC18FA">
        <w:rPr>
          <w:i/>
          <w:sz w:val="20"/>
          <w:szCs w:val="20"/>
        </w:rPr>
        <w:t>es</w:t>
      </w:r>
      <w:proofErr w:type="spellEnd"/>
      <w:r w:rsidRPr="00DC18FA">
        <w:rPr>
          <w:i/>
          <w:sz w:val="20"/>
          <w:szCs w:val="20"/>
        </w:rPr>
        <w:t xml:space="preserve"> corresponde con lo solicitado, toda vez que se </w:t>
      </w:r>
      <w:proofErr w:type="spellStart"/>
      <w:r w:rsidRPr="00DC18FA">
        <w:rPr>
          <w:i/>
          <w:sz w:val="20"/>
          <w:szCs w:val="20"/>
        </w:rPr>
        <w:t>solicito</w:t>
      </w:r>
      <w:proofErr w:type="spellEnd"/>
      <w:r w:rsidRPr="00DC18FA">
        <w:rPr>
          <w:i/>
          <w:sz w:val="20"/>
          <w:szCs w:val="20"/>
        </w:rPr>
        <w:t xml:space="preserve"> si existe algún </w:t>
      </w:r>
      <w:r w:rsidRPr="00DC18FA" w:rsidR="00924F7F">
        <w:rPr>
          <w:i/>
          <w:sz w:val="20"/>
          <w:szCs w:val="20"/>
        </w:rPr>
        <w:t>‘</w:t>
      </w:r>
      <w:r w:rsidRPr="00DC18FA">
        <w:rPr>
          <w:i/>
          <w:sz w:val="20"/>
          <w:szCs w:val="20"/>
        </w:rPr>
        <w:t>Procedimiento Administrativo</w:t>
      </w:r>
      <w:r w:rsidRPr="00DC18FA" w:rsidR="00924F7F">
        <w:rPr>
          <w:i/>
          <w:sz w:val="20"/>
          <w:szCs w:val="20"/>
        </w:rPr>
        <w:t>’</w:t>
      </w:r>
      <w:r w:rsidRPr="00DC18FA">
        <w:rPr>
          <w:i/>
          <w:sz w:val="20"/>
          <w:szCs w:val="20"/>
        </w:rPr>
        <w:t xml:space="preserve"> y la respuesta me dicen que </w:t>
      </w:r>
      <w:r w:rsidRPr="00DC18FA" w:rsidR="00924F7F">
        <w:rPr>
          <w:i/>
          <w:sz w:val="20"/>
          <w:szCs w:val="20"/>
        </w:rPr>
        <w:t>‘</w:t>
      </w:r>
      <w:r w:rsidRPr="00DC18FA">
        <w:rPr>
          <w:i/>
          <w:sz w:val="20"/>
          <w:szCs w:val="20"/>
        </w:rPr>
        <w:t>no se encontró autorización o licencia de construcción</w:t>
      </w:r>
      <w:r w:rsidRPr="00DC18FA" w:rsidR="00924F7F">
        <w:rPr>
          <w:i/>
          <w:sz w:val="20"/>
          <w:szCs w:val="20"/>
        </w:rPr>
        <w:t>’</w:t>
      </w:r>
      <w:r w:rsidRPr="00DC18FA" w:rsidR="00D8203F">
        <w:rPr>
          <w:i/>
          <w:sz w:val="20"/>
          <w:szCs w:val="20"/>
        </w:rPr>
        <w:t xml:space="preserve"> (Sic.)</w:t>
      </w:r>
    </w:p>
    <w:p w:rsidRPr="00DC18FA" w:rsidR="00D8203F" w:rsidP="00DC18FA" w:rsidRDefault="00D8203F" w14:paraId="6111A3B0" w14:textId="77777777">
      <w:pPr>
        <w:spacing w:after="0"/>
      </w:pPr>
    </w:p>
    <w:p w:rsidRPr="00DC18FA" w:rsidR="00D8203F" w:rsidP="00DC18FA" w:rsidRDefault="00D8203F" w14:paraId="7CC18348" w14:textId="77777777">
      <w:pPr>
        <w:spacing w:after="0"/>
        <w:rPr>
          <w:b/>
          <w:bCs/>
        </w:rPr>
      </w:pPr>
      <w:r w:rsidRPr="00DC18FA">
        <w:rPr>
          <w:b/>
          <w:bCs/>
        </w:rPr>
        <w:t>IV. Trámite del Recurso de Revisión ante el Instituto.</w:t>
      </w:r>
    </w:p>
    <w:p w:rsidRPr="00DC18FA" w:rsidR="00D8203F" w:rsidP="00DC18FA" w:rsidRDefault="00D8203F" w14:paraId="26D65406" w14:textId="77777777">
      <w:pPr>
        <w:spacing w:after="0"/>
      </w:pPr>
    </w:p>
    <w:p w:rsidRPr="00DC18FA" w:rsidR="00D8203F" w:rsidP="00DC18FA" w:rsidRDefault="00D8203F" w14:paraId="07622F31" w14:textId="1AACCE60">
      <w:pPr>
        <w:spacing w:after="0"/>
        <w:rPr>
          <w:rFonts w:eastAsia="Batang" w:cs="Tahoma"/>
          <w:bCs/>
          <w:lang w:eastAsia="es-ES"/>
        </w:rPr>
      </w:pPr>
      <w:r w:rsidRPr="00DC18FA">
        <w:rPr>
          <w:b/>
          <w:bCs/>
        </w:rPr>
        <w:t xml:space="preserve">a) Turno del Recurso de Revisión. </w:t>
      </w:r>
      <w:r w:rsidRPr="00DC18FA">
        <w:t>El</w:t>
      </w:r>
      <w:r w:rsidRPr="00DC18FA" w:rsidR="00D409E7">
        <w:t xml:space="preserve"> </w:t>
      </w:r>
      <w:r w:rsidRPr="00DC18FA" w:rsidR="00BC6760">
        <w:t>quince de febrero de dos mil veintidós</w:t>
      </w:r>
      <w:r w:rsidRPr="00DC18FA">
        <w:rPr>
          <w:rFonts w:eastAsia="Batang" w:cs="Tahoma"/>
          <w:bCs/>
          <w:lang w:eastAsia="es-ES"/>
        </w:rPr>
        <w:t xml:space="preserve">, el </w:t>
      </w:r>
      <w:r w:rsidRPr="00DC18FA">
        <w:rPr>
          <w:rFonts w:eastAsia="Times New Roman" w:cs="Tahoma"/>
          <w:lang w:val="es-ES" w:eastAsia="es-ES"/>
        </w:rPr>
        <w:t>Sistema de Acceso a la Información Mexiquense (SAIMEX),</w:t>
      </w:r>
      <w:r w:rsidRPr="00DC18FA">
        <w:rPr>
          <w:rFonts w:eastAsia="Batang" w:cs="Tahoma"/>
          <w:bCs/>
          <w:lang w:eastAsia="es-ES"/>
        </w:rPr>
        <w:t xml:space="preserve"> asignó el número de expediente </w:t>
      </w:r>
      <w:r w:rsidRPr="00DC18FA" w:rsidR="00BC6760">
        <w:rPr>
          <w:rFonts w:eastAsia="Batang" w:cs="Tahoma"/>
          <w:b/>
          <w:bCs/>
          <w:lang w:eastAsia="es-ES"/>
        </w:rPr>
        <w:t>00866</w:t>
      </w:r>
      <w:r w:rsidRPr="00DC18FA" w:rsidR="00EC3F60">
        <w:rPr>
          <w:rFonts w:eastAsia="Batang" w:cs="Tahoma"/>
          <w:b/>
          <w:bCs/>
          <w:lang w:eastAsia="es-ES"/>
        </w:rPr>
        <w:t>/INFOEM/IP</w:t>
      </w:r>
      <w:r w:rsidRPr="00DC18FA" w:rsidR="00D409E7">
        <w:rPr>
          <w:rFonts w:eastAsia="Batang" w:cs="Tahoma"/>
          <w:b/>
          <w:bCs/>
          <w:lang w:eastAsia="es-ES"/>
        </w:rPr>
        <w:t>/RR/2022</w:t>
      </w:r>
      <w:r w:rsidRPr="00DC18FA">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DC18FA" w:rsidR="00D8203F" w:rsidP="00DC18FA" w:rsidRDefault="00D8203F" w14:paraId="5CB92970" w14:textId="77777777">
      <w:pPr>
        <w:spacing w:after="0"/>
        <w:rPr>
          <w:rFonts w:eastAsia="Batang" w:cs="Tahoma"/>
          <w:bCs/>
          <w:lang w:eastAsia="es-ES"/>
        </w:rPr>
      </w:pPr>
    </w:p>
    <w:p w:rsidRPr="00DC18FA" w:rsidR="00D8203F" w:rsidP="00DC18FA" w:rsidRDefault="00D8203F" w14:paraId="4677A832" w14:textId="20A55AC0">
      <w:pPr>
        <w:spacing w:after="0"/>
        <w:rPr>
          <w:rFonts w:eastAsia="Batang" w:cs="Tahoma"/>
          <w:bCs/>
          <w:lang w:val="es-ES_tradnl" w:eastAsia="es-ES"/>
        </w:rPr>
      </w:pPr>
      <w:r w:rsidRPr="00DC18FA">
        <w:rPr>
          <w:rFonts w:eastAsia="Batang" w:cs="Tahoma"/>
          <w:b/>
          <w:bCs/>
          <w:lang w:eastAsia="es-ES"/>
        </w:rPr>
        <w:t xml:space="preserve">b) Admisión del </w:t>
      </w:r>
      <w:r w:rsidRPr="00DC18FA">
        <w:rPr>
          <w:rFonts w:eastAsia="Times New Roman" w:cs="Tahoma"/>
          <w:b/>
          <w:lang w:eastAsia="es-ES"/>
        </w:rPr>
        <w:t>Recurso de Revisión</w:t>
      </w:r>
      <w:r w:rsidRPr="00DC18FA">
        <w:rPr>
          <w:rFonts w:eastAsia="Batang" w:cs="Tahoma"/>
          <w:b/>
          <w:bCs/>
          <w:lang w:val="es-ES_tradnl" w:eastAsia="es-ES"/>
        </w:rPr>
        <w:t xml:space="preserve">. </w:t>
      </w:r>
      <w:r w:rsidRPr="00DC18FA">
        <w:rPr>
          <w:rFonts w:eastAsia="Batang" w:cs="Tahoma"/>
          <w:bCs/>
          <w:lang w:eastAsia="es-ES"/>
        </w:rPr>
        <w:t xml:space="preserve">El </w:t>
      </w:r>
      <w:r w:rsidRPr="00DC18FA" w:rsidR="00BC6760">
        <w:rPr>
          <w:rFonts w:eastAsia="Batang" w:cs="Tahoma"/>
          <w:bCs/>
          <w:lang w:eastAsia="es-ES"/>
        </w:rPr>
        <w:t xml:space="preserve">veintiuno de febrero </w:t>
      </w:r>
      <w:r w:rsidRPr="00DC18FA" w:rsidR="00D409E7">
        <w:rPr>
          <w:rFonts w:eastAsia="Batang" w:cs="Tahoma"/>
          <w:bCs/>
          <w:lang w:eastAsia="es-ES"/>
        </w:rPr>
        <w:t xml:space="preserve">  de dos mil veintidós</w:t>
      </w:r>
      <w:r w:rsidRPr="00DC18FA">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DC18FA" w:rsidR="00D8203F" w:rsidP="00DC18FA" w:rsidRDefault="00D8203F" w14:paraId="777C5F53" w14:textId="77777777">
      <w:pPr>
        <w:spacing w:after="0"/>
        <w:rPr>
          <w:rFonts w:eastAsia="Batang" w:cs="Tahoma"/>
          <w:bCs/>
          <w:lang w:val="es-ES_tradnl" w:eastAsia="es-ES"/>
        </w:rPr>
      </w:pPr>
    </w:p>
    <w:p w:rsidRPr="00DC18FA" w:rsidR="00C44AF0" w:rsidP="00DC18FA" w:rsidRDefault="00D8203F" w14:paraId="1578090F" w14:textId="3FEF0921">
      <w:pPr>
        <w:spacing w:after="0"/>
        <w:rPr>
          <w:rFonts w:eastAsia="Times New Roman" w:cs="Tahoma"/>
          <w:bCs/>
          <w:iCs/>
          <w:lang w:eastAsia="es-ES"/>
        </w:rPr>
      </w:pPr>
      <w:r w:rsidRPr="00DC18FA">
        <w:rPr>
          <w:rFonts w:eastAsia="Times New Roman" w:cs="Tahoma"/>
          <w:b/>
          <w:lang w:eastAsia="es-ES"/>
        </w:rPr>
        <w:t>c)</w:t>
      </w:r>
      <w:r w:rsidRPr="00DC18FA">
        <w:rPr>
          <w:rFonts w:eastAsia="Times New Roman" w:cs="Tahoma"/>
          <w:lang w:val="es-ES_tradnl" w:eastAsia="es-ES"/>
        </w:rPr>
        <w:t xml:space="preserve"> </w:t>
      </w:r>
      <w:r w:rsidRPr="00DC18FA">
        <w:rPr>
          <w:rFonts w:eastAsia="Times New Roman" w:cs="Tahoma"/>
          <w:b/>
          <w:lang w:val="es-ES_tradnl" w:eastAsia="es-ES"/>
        </w:rPr>
        <w:t xml:space="preserve">Informe Justificado. </w:t>
      </w:r>
      <w:r w:rsidRPr="00DC18FA" w:rsidR="00C44AF0">
        <w:rPr>
          <w:rFonts w:eastAsia="Times New Roman" w:cs="Tahoma"/>
          <w:bCs/>
          <w:lang w:val="es-ES_tradnl" w:eastAsia="es-ES"/>
        </w:rPr>
        <w:t xml:space="preserve">El </w:t>
      </w:r>
      <w:r w:rsidRPr="00DC18FA" w:rsidR="00BC6760">
        <w:rPr>
          <w:rFonts w:eastAsia="Times New Roman" w:cs="Tahoma"/>
          <w:bCs/>
          <w:lang w:val="es-ES_tradnl" w:eastAsia="es-ES"/>
        </w:rPr>
        <w:t xml:space="preserve">tres de marzo </w:t>
      </w:r>
      <w:r w:rsidRPr="00DC18FA" w:rsidR="00D409E7">
        <w:rPr>
          <w:rFonts w:eastAsia="Times New Roman" w:cs="Tahoma"/>
          <w:bCs/>
          <w:lang w:val="es-ES_tradnl" w:eastAsia="es-ES"/>
        </w:rPr>
        <w:t>de dos mil veintidós</w:t>
      </w:r>
      <w:r w:rsidRPr="00DC18FA">
        <w:rPr>
          <w:rFonts w:eastAsia="Times New Roman" w:cs="Tahoma"/>
          <w:lang w:val="es-ES_tradnl" w:eastAsia="es-ES"/>
        </w:rPr>
        <w:t xml:space="preserve">, se recibió, a través del </w:t>
      </w:r>
      <w:r w:rsidRPr="00DC18FA">
        <w:rPr>
          <w:rFonts w:eastAsia="Times New Roman" w:cs="Tahoma"/>
          <w:lang w:val="es-ES" w:eastAsia="es-ES"/>
        </w:rPr>
        <w:t>Sistema de Acceso a la Información Mexiquense (SAIMEX)</w:t>
      </w:r>
      <w:r w:rsidRPr="00DC18FA">
        <w:rPr>
          <w:rFonts w:eastAsia="Times New Roman" w:cs="Tahoma"/>
          <w:lang w:val="es-ES_tradnl" w:eastAsia="es-ES"/>
        </w:rPr>
        <w:t xml:space="preserve">, </w:t>
      </w:r>
      <w:r w:rsidRPr="00DC18FA">
        <w:rPr>
          <w:rFonts w:eastAsia="Times New Roman" w:cs="Tahoma"/>
          <w:bCs/>
          <w:iCs/>
          <w:lang w:val="es-ES" w:eastAsia="es-ES"/>
        </w:rPr>
        <w:t xml:space="preserve">el Informe Justificado </w:t>
      </w:r>
      <w:r w:rsidRPr="00DC18FA" w:rsidR="00924F7F">
        <w:rPr>
          <w:rFonts w:eastAsia="Times New Roman" w:cs="Tahoma"/>
          <w:bCs/>
          <w:iCs/>
          <w:lang w:eastAsia="es-ES"/>
        </w:rPr>
        <w:t>sin número, de la misma fecha de recepción, suscrito por el Titular de la Unidad de Transparencia</w:t>
      </w:r>
      <w:r w:rsidRPr="00DC18FA" w:rsidR="00F66D38">
        <w:rPr>
          <w:rFonts w:eastAsia="Times New Roman" w:cs="Tahoma"/>
          <w:bCs/>
          <w:iCs/>
          <w:lang w:eastAsia="es-ES"/>
        </w:rPr>
        <w:t xml:space="preserve">, </w:t>
      </w:r>
      <w:r w:rsidRPr="00DC18FA" w:rsidR="006900B8">
        <w:rPr>
          <w:rFonts w:eastAsia="Times New Roman" w:cs="Tahoma"/>
          <w:bCs/>
          <w:iCs/>
          <w:lang w:eastAsia="es-ES"/>
        </w:rPr>
        <w:t>por med</w:t>
      </w:r>
      <w:r w:rsidRPr="00DC18FA" w:rsidR="00EC7552">
        <w:rPr>
          <w:rFonts w:eastAsia="Times New Roman" w:cs="Tahoma"/>
          <w:bCs/>
          <w:iCs/>
          <w:lang w:eastAsia="es-ES"/>
        </w:rPr>
        <w:t xml:space="preserve">io </w:t>
      </w:r>
      <w:r w:rsidRPr="00DC18FA" w:rsidR="006900B8">
        <w:rPr>
          <w:rFonts w:eastAsia="Times New Roman" w:cs="Tahoma"/>
          <w:bCs/>
          <w:iCs/>
          <w:lang w:eastAsia="es-ES"/>
        </w:rPr>
        <w:t xml:space="preserve">del cual manifiesta y expone: </w:t>
      </w:r>
    </w:p>
    <w:p w:rsidRPr="00DC18FA" w:rsidR="006900B8" w:rsidP="00DC18FA" w:rsidRDefault="006900B8" w14:paraId="1652618B" w14:textId="7174D561">
      <w:pPr>
        <w:spacing w:after="0"/>
        <w:rPr>
          <w:rFonts w:eastAsia="Times New Roman" w:cs="Tahoma"/>
          <w:bCs/>
          <w:iCs/>
          <w:lang w:eastAsia="es-ES"/>
        </w:rPr>
      </w:pPr>
    </w:p>
    <w:p w:rsidRPr="00DC18FA" w:rsidR="00D03A98" w:rsidP="00DC18FA" w:rsidRDefault="006900B8" w14:paraId="233AE490" w14:textId="77777777">
      <w:pPr>
        <w:spacing w:after="0"/>
        <w:ind w:left="567" w:right="567"/>
        <w:rPr>
          <w:rFonts w:eastAsia="Times New Roman" w:cs="Tahoma"/>
          <w:bCs/>
          <w:i/>
          <w:sz w:val="20"/>
          <w:szCs w:val="20"/>
          <w:lang w:eastAsia="es-ES"/>
        </w:rPr>
      </w:pPr>
      <w:r w:rsidRPr="00DC18FA">
        <w:rPr>
          <w:rFonts w:eastAsia="Times New Roman" w:cs="Tahoma"/>
          <w:bCs/>
          <w:i/>
          <w:sz w:val="20"/>
          <w:szCs w:val="20"/>
          <w:lang w:eastAsia="es-ES"/>
        </w:rPr>
        <w:t>“…</w:t>
      </w:r>
    </w:p>
    <w:p w:rsidRPr="00DC18FA" w:rsidR="00BC6760" w:rsidP="00DC18FA" w:rsidRDefault="00BC6760" w14:paraId="437FD98A" w14:textId="0D7EB9B0">
      <w:pPr>
        <w:spacing w:after="0"/>
        <w:ind w:left="567" w:right="567"/>
        <w:rPr>
          <w:rFonts w:eastAsia="Times New Roman" w:cs="Tahoma"/>
          <w:bCs/>
          <w:i/>
          <w:sz w:val="20"/>
          <w:szCs w:val="20"/>
          <w:lang w:eastAsia="es-ES"/>
        </w:rPr>
      </w:pPr>
      <w:r w:rsidRPr="00DC18FA">
        <w:rPr>
          <w:rFonts w:eastAsia="Times New Roman" w:cs="Tahoma"/>
          <w:bCs/>
          <w:i/>
          <w:sz w:val="20"/>
          <w:szCs w:val="20"/>
          <w:lang w:eastAsia="es-ES"/>
        </w:rPr>
        <w:t xml:space="preserve">A lo cual esta Unid de Transparencia, emitió </w:t>
      </w:r>
      <w:r w:rsidRPr="00DC18FA" w:rsidR="004C3E08">
        <w:rPr>
          <w:rFonts w:eastAsia="Times New Roman" w:cs="Tahoma"/>
          <w:bCs/>
          <w:i/>
          <w:sz w:val="20"/>
          <w:szCs w:val="20"/>
          <w:lang w:eastAsia="es-ES"/>
        </w:rPr>
        <w:t>respuesta</w:t>
      </w:r>
      <w:r w:rsidRPr="00DC18FA">
        <w:rPr>
          <w:rFonts w:eastAsia="Times New Roman" w:cs="Tahoma"/>
          <w:bCs/>
          <w:i/>
          <w:sz w:val="20"/>
          <w:szCs w:val="20"/>
          <w:lang w:eastAsia="es-ES"/>
        </w:rPr>
        <w:t xml:space="preserve"> en </w:t>
      </w:r>
      <w:r w:rsidRPr="00DC18FA" w:rsidR="004C3E08">
        <w:rPr>
          <w:rFonts w:eastAsia="Times New Roman" w:cs="Tahoma"/>
          <w:bCs/>
          <w:i/>
          <w:sz w:val="20"/>
          <w:szCs w:val="20"/>
          <w:lang w:eastAsia="es-ES"/>
        </w:rPr>
        <w:t>tiempo</w:t>
      </w:r>
      <w:r w:rsidRPr="00DC18FA">
        <w:rPr>
          <w:rFonts w:eastAsia="Times New Roman" w:cs="Tahoma"/>
          <w:bCs/>
          <w:i/>
          <w:sz w:val="20"/>
          <w:szCs w:val="20"/>
          <w:lang w:eastAsia="es-ES"/>
        </w:rPr>
        <w:t xml:space="preserve"> y forma, sin embargo ante un error involuntario, se </w:t>
      </w:r>
      <w:r w:rsidRPr="00DC18FA" w:rsidR="004C3E08">
        <w:rPr>
          <w:rFonts w:eastAsia="Times New Roman" w:cs="Tahoma"/>
          <w:bCs/>
          <w:i/>
          <w:sz w:val="20"/>
          <w:szCs w:val="20"/>
          <w:lang w:eastAsia="es-ES"/>
        </w:rPr>
        <w:t>realizó</w:t>
      </w:r>
      <w:r w:rsidRPr="00DC18FA">
        <w:rPr>
          <w:rFonts w:eastAsia="Times New Roman" w:cs="Tahoma"/>
          <w:bCs/>
          <w:i/>
          <w:sz w:val="20"/>
          <w:szCs w:val="20"/>
          <w:lang w:eastAsia="es-ES"/>
        </w:rPr>
        <w:t xml:space="preserve"> una confusión en la descripción de la respuesta…</w:t>
      </w:r>
    </w:p>
    <w:p w:rsidRPr="00DC18FA" w:rsidR="00BC6760" w:rsidP="00DC18FA" w:rsidRDefault="00BC6760" w14:paraId="34DEC80D" w14:textId="6F7B3242">
      <w:pPr>
        <w:spacing w:after="0"/>
        <w:ind w:left="567" w:right="567"/>
        <w:rPr>
          <w:rFonts w:eastAsia="Times New Roman" w:cs="Tahoma"/>
          <w:bCs/>
          <w:i/>
          <w:sz w:val="20"/>
          <w:szCs w:val="20"/>
          <w:lang w:eastAsia="es-ES"/>
        </w:rPr>
      </w:pPr>
      <w:r w:rsidRPr="00DC18FA">
        <w:rPr>
          <w:rFonts w:eastAsia="Times New Roman" w:cs="Tahoma"/>
          <w:bCs/>
          <w:i/>
          <w:sz w:val="20"/>
          <w:szCs w:val="20"/>
          <w:lang w:eastAsia="es-ES"/>
        </w:rPr>
        <w:t>…</w:t>
      </w:r>
    </w:p>
    <w:p w:rsidRPr="00DC18FA" w:rsidR="00BC6760" w:rsidP="00DC18FA" w:rsidRDefault="00BC6760" w14:paraId="6443F7D9" w14:textId="34949E23">
      <w:pPr>
        <w:spacing w:after="0"/>
        <w:ind w:left="567" w:right="567"/>
        <w:rPr>
          <w:rFonts w:eastAsia="Times New Roman" w:cs="Tahoma"/>
          <w:bCs/>
          <w:i/>
          <w:sz w:val="20"/>
          <w:szCs w:val="20"/>
          <w:lang w:eastAsia="es-ES"/>
        </w:rPr>
      </w:pPr>
      <w:r w:rsidRPr="00DC18FA">
        <w:rPr>
          <w:rFonts w:eastAsia="Times New Roman" w:cs="Tahoma"/>
          <w:bCs/>
          <w:i/>
          <w:sz w:val="20"/>
          <w:szCs w:val="20"/>
          <w:lang w:eastAsia="es-ES"/>
        </w:rPr>
        <w:t>Respuesta que causó naturalmente inconformidad al solicitante, haciendo uso de su garantía secundaria al interponer recurso de revisión…</w:t>
      </w:r>
    </w:p>
    <w:p w:rsidRPr="00DC18FA" w:rsidR="00BC6760" w:rsidP="00DC18FA" w:rsidRDefault="00BC6760" w14:paraId="3624EE7C" w14:textId="06669F7A">
      <w:pPr>
        <w:spacing w:after="0"/>
        <w:ind w:left="567" w:right="567"/>
        <w:rPr>
          <w:rFonts w:eastAsia="Times New Roman" w:cs="Tahoma"/>
          <w:bCs/>
          <w:i/>
          <w:sz w:val="20"/>
          <w:szCs w:val="20"/>
          <w:lang w:eastAsia="es-ES"/>
        </w:rPr>
      </w:pPr>
      <w:r w:rsidRPr="00DC18FA">
        <w:rPr>
          <w:rFonts w:eastAsia="Times New Roman" w:cs="Tahoma"/>
          <w:bCs/>
          <w:i/>
          <w:sz w:val="20"/>
          <w:szCs w:val="20"/>
          <w:lang w:eastAsia="es-ES"/>
        </w:rPr>
        <w:t>…por lo que, mediante este acto se modifica la respuesta misma que desde un inició debió ser:</w:t>
      </w:r>
    </w:p>
    <w:p w:rsidRPr="00DC18FA" w:rsidR="00BC6760" w:rsidP="00DC18FA" w:rsidRDefault="004731F0" w14:paraId="1C000133" w14:textId="3CC7AF51">
      <w:pPr>
        <w:spacing w:after="0"/>
        <w:ind w:left="567" w:right="567"/>
        <w:rPr>
          <w:rFonts w:eastAsia="Times New Roman" w:cs="Tahoma"/>
          <w:bCs/>
          <w:i/>
          <w:sz w:val="20"/>
          <w:szCs w:val="20"/>
          <w:lang w:eastAsia="es-ES"/>
        </w:rPr>
      </w:pPr>
      <w:r w:rsidRPr="00DC18FA">
        <w:rPr>
          <w:rFonts w:eastAsia="Times New Roman" w:cs="Tahoma"/>
          <w:bCs/>
          <w:i/>
          <w:sz w:val="20"/>
          <w:szCs w:val="20"/>
          <w:lang w:eastAsia="es-ES"/>
        </w:rPr>
        <w:t>‘</w:t>
      </w:r>
      <w:r w:rsidRPr="00DC18FA" w:rsidR="00BC6760">
        <w:rPr>
          <w:rFonts w:eastAsia="Times New Roman" w:cs="Tahoma"/>
          <w:bCs/>
          <w:i/>
          <w:sz w:val="20"/>
          <w:szCs w:val="20"/>
          <w:lang w:eastAsia="es-ES"/>
        </w:rPr>
        <w:t xml:space="preserve">Una vez que se </w:t>
      </w:r>
      <w:proofErr w:type="spellStart"/>
      <w:r w:rsidRPr="00DC18FA" w:rsidR="00BC6760">
        <w:rPr>
          <w:rFonts w:eastAsia="Times New Roman" w:cs="Tahoma"/>
          <w:bCs/>
          <w:i/>
          <w:sz w:val="20"/>
          <w:szCs w:val="20"/>
          <w:lang w:eastAsia="es-ES"/>
        </w:rPr>
        <w:t>reaalizó</w:t>
      </w:r>
      <w:proofErr w:type="spellEnd"/>
      <w:r w:rsidRPr="00DC18FA" w:rsidR="00BC6760">
        <w:rPr>
          <w:rFonts w:eastAsia="Times New Roman" w:cs="Tahoma"/>
          <w:bCs/>
          <w:i/>
          <w:sz w:val="20"/>
          <w:szCs w:val="20"/>
          <w:lang w:eastAsia="es-ES"/>
        </w:rPr>
        <w:t xml:space="preserve"> el contenido de su petición, se realizó una búsqueda exhaustiva en los archivos de esta Dirección de Desarrollo Urbano, no encontrándose antecedente de procedimientos alguno, en relación con el inmueble que se menciona</w:t>
      </w:r>
      <w:r w:rsidRPr="00DC18FA">
        <w:rPr>
          <w:rFonts w:eastAsia="Times New Roman" w:cs="Tahoma"/>
          <w:bCs/>
          <w:i/>
          <w:sz w:val="20"/>
          <w:szCs w:val="20"/>
          <w:lang w:eastAsia="es-ES"/>
        </w:rPr>
        <w:t>’</w:t>
      </w:r>
    </w:p>
    <w:p w:rsidRPr="00DC18FA" w:rsidR="004731F0" w:rsidP="00DC18FA" w:rsidRDefault="004731F0" w14:paraId="539D8BD8" w14:textId="77777777">
      <w:pPr>
        <w:spacing w:after="0"/>
        <w:ind w:left="567" w:right="567"/>
        <w:rPr>
          <w:rFonts w:eastAsia="Times New Roman" w:cs="Tahoma"/>
          <w:bCs/>
          <w:i/>
          <w:sz w:val="20"/>
          <w:szCs w:val="20"/>
          <w:lang w:eastAsia="es-ES"/>
        </w:rPr>
      </w:pPr>
    </w:p>
    <w:p w:rsidRPr="00DC18FA" w:rsidR="00BC6760" w:rsidP="00DC18FA" w:rsidRDefault="00BC6760" w14:paraId="77275D02" w14:textId="4C70CF71">
      <w:pPr>
        <w:spacing w:after="0"/>
        <w:ind w:left="567" w:right="567"/>
        <w:rPr>
          <w:rFonts w:eastAsia="Times New Roman" w:cs="Tahoma"/>
          <w:bCs/>
          <w:i/>
          <w:sz w:val="20"/>
          <w:szCs w:val="20"/>
          <w:lang w:eastAsia="es-ES"/>
        </w:rPr>
      </w:pPr>
      <w:r w:rsidRPr="00DC18FA">
        <w:rPr>
          <w:rFonts w:eastAsia="Times New Roman" w:cs="Tahoma"/>
          <w:bCs/>
          <w:i/>
          <w:sz w:val="20"/>
          <w:szCs w:val="20"/>
          <w:lang w:eastAsia="es-ES"/>
        </w:rPr>
        <w:t>Así mismo se adjunta al presente, oficio signado por el Titular de la Dirección de Desarrollo Urbano</w:t>
      </w:r>
      <w:r w:rsidRPr="00DC18FA" w:rsidR="004731F0">
        <w:rPr>
          <w:rFonts w:eastAsia="Times New Roman" w:cs="Tahoma"/>
          <w:bCs/>
          <w:i/>
          <w:sz w:val="20"/>
          <w:szCs w:val="20"/>
          <w:lang w:eastAsia="es-ES"/>
        </w:rPr>
        <w:t>’</w:t>
      </w:r>
    </w:p>
    <w:p w:rsidRPr="00DC18FA" w:rsidR="00F42CAA" w:rsidP="00DC18FA" w:rsidRDefault="009A2721" w14:paraId="4F75C793" w14:textId="748DCCA8">
      <w:pPr>
        <w:spacing w:after="0"/>
        <w:ind w:left="567" w:right="567"/>
        <w:rPr>
          <w:rFonts w:eastAsia="Times New Roman" w:cs="Tahoma"/>
          <w:bCs/>
          <w:i/>
          <w:sz w:val="20"/>
          <w:szCs w:val="20"/>
          <w:lang w:eastAsia="es-ES"/>
        </w:rPr>
      </w:pPr>
      <w:r w:rsidRPr="00DC18FA">
        <w:rPr>
          <w:rFonts w:eastAsia="Times New Roman" w:cs="Tahoma"/>
          <w:bCs/>
          <w:i/>
          <w:sz w:val="20"/>
          <w:szCs w:val="20"/>
          <w:lang w:eastAsia="es-ES"/>
        </w:rPr>
        <w:t>…”</w:t>
      </w:r>
      <w:r w:rsidRPr="00DC18FA" w:rsidR="00F42CAA">
        <w:rPr>
          <w:rFonts w:eastAsia="Times New Roman" w:cs="Tahoma"/>
          <w:bCs/>
          <w:i/>
          <w:sz w:val="20"/>
          <w:szCs w:val="20"/>
          <w:lang w:eastAsia="es-ES"/>
        </w:rPr>
        <w:t xml:space="preserve"> (Sic) </w:t>
      </w:r>
    </w:p>
    <w:p w:rsidRPr="00DC18FA" w:rsidR="00D8203F" w:rsidP="00DC18FA" w:rsidRDefault="00D8203F" w14:paraId="6D866CA9" w14:textId="77777777">
      <w:pPr>
        <w:spacing w:after="0"/>
        <w:rPr>
          <w:rFonts w:eastAsia="Times New Roman" w:cs="Tahoma"/>
          <w:iCs/>
          <w:color w:val="auto"/>
          <w:lang w:val="es-ES_tradnl" w:eastAsia="es-ES"/>
        </w:rPr>
      </w:pPr>
    </w:p>
    <w:p w:rsidRPr="00DC18FA" w:rsidR="00953BD3" w:rsidP="00DC18FA" w:rsidRDefault="00D8203F" w14:paraId="351C90FF" w14:textId="216939BA">
      <w:pPr>
        <w:spacing w:after="0"/>
        <w:rPr>
          <w:rFonts w:eastAsia="Times New Roman" w:cs="Tahoma"/>
          <w:bCs/>
          <w:iCs/>
          <w:lang w:eastAsia="es-ES"/>
        </w:rPr>
      </w:pPr>
      <w:r w:rsidRPr="00DC18FA">
        <w:rPr>
          <w:rFonts w:eastAsia="Times New Roman" w:cs="Tahoma"/>
          <w:iCs/>
          <w:color w:val="auto"/>
          <w:lang w:val="es-ES_tradnl" w:eastAsia="es-ES"/>
        </w:rPr>
        <w:lastRenderedPageBreak/>
        <w:t xml:space="preserve">El Sujeto Obligado adjuntó la digitalización </w:t>
      </w:r>
      <w:r w:rsidRPr="00DC18FA" w:rsidR="00BC6760">
        <w:rPr>
          <w:rFonts w:eastAsia="Times New Roman" w:cs="Tahoma"/>
          <w:iCs/>
          <w:color w:val="auto"/>
          <w:lang w:val="es-ES_tradnl" w:eastAsia="es-ES"/>
        </w:rPr>
        <w:t>del oficio DDU/062/2021</w:t>
      </w:r>
      <w:r w:rsidRPr="00DC18FA" w:rsidR="004731F0">
        <w:rPr>
          <w:rFonts w:eastAsia="Times New Roman" w:cs="Tahoma"/>
          <w:iCs/>
          <w:color w:val="auto"/>
          <w:lang w:val="es-ES_tradnl" w:eastAsia="es-ES"/>
        </w:rPr>
        <w:t>,</w:t>
      </w:r>
      <w:r w:rsidRPr="00DC18FA" w:rsidR="00BC6760">
        <w:rPr>
          <w:rFonts w:eastAsia="Times New Roman" w:cs="Tahoma"/>
          <w:iCs/>
          <w:color w:val="auto"/>
          <w:lang w:val="es-ES_tradnl" w:eastAsia="es-ES"/>
        </w:rPr>
        <w:t xml:space="preserve"> de</w:t>
      </w:r>
      <w:r w:rsidRPr="00DC18FA" w:rsidR="004731F0">
        <w:rPr>
          <w:rFonts w:eastAsia="Times New Roman" w:cs="Tahoma"/>
          <w:iCs/>
          <w:color w:val="auto"/>
          <w:lang w:val="es-ES_tradnl" w:eastAsia="es-ES"/>
        </w:rPr>
        <w:t>l</w:t>
      </w:r>
      <w:r w:rsidRPr="00DC18FA" w:rsidR="00BC6760">
        <w:rPr>
          <w:rFonts w:eastAsia="Times New Roman" w:cs="Tahoma"/>
          <w:iCs/>
          <w:color w:val="auto"/>
          <w:lang w:val="es-ES_tradnl" w:eastAsia="es-ES"/>
        </w:rPr>
        <w:t xml:space="preserve"> tres de febrero de dos mil veintidós</w:t>
      </w:r>
      <w:r w:rsidRPr="00DC18FA" w:rsidR="004C3E08">
        <w:rPr>
          <w:rFonts w:eastAsia="Times New Roman" w:cs="Tahoma"/>
          <w:iCs/>
          <w:color w:val="auto"/>
          <w:lang w:val="es-ES_tradnl" w:eastAsia="es-ES"/>
        </w:rPr>
        <w:t>, signado por el Director de Desarrollo Urbano</w:t>
      </w:r>
      <w:r w:rsidRPr="00DC18FA" w:rsidR="004731F0">
        <w:rPr>
          <w:rFonts w:eastAsia="Times New Roman" w:cs="Tahoma"/>
          <w:iCs/>
          <w:color w:val="auto"/>
          <w:lang w:val="es-ES_tradnl" w:eastAsia="es-ES"/>
        </w:rPr>
        <w:t xml:space="preserve"> y dirigido a la Titular de la Unidad de Transparencia</w:t>
      </w:r>
      <w:r w:rsidRPr="00DC18FA" w:rsidR="004C3E08">
        <w:rPr>
          <w:rFonts w:eastAsia="Times New Roman" w:cs="Tahoma"/>
          <w:iCs/>
          <w:color w:val="auto"/>
          <w:lang w:val="es-ES_tradnl" w:eastAsia="es-ES"/>
        </w:rPr>
        <w:t>, donde se plasma la respuesta referida anteriormente.</w:t>
      </w:r>
    </w:p>
    <w:p w:rsidRPr="00DC18FA" w:rsidR="00953BD3" w:rsidP="00DC18FA" w:rsidRDefault="00953BD3" w14:paraId="196F0D28" w14:textId="77777777">
      <w:pPr>
        <w:pStyle w:val="Prrafodelista"/>
        <w:spacing w:after="0"/>
        <w:ind w:left="1429"/>
        <w:rPr>
          <w:rFonts w:eastAsia="Times New Roman" w:cs="Tahoma"/>
          <w:iCs/>
          <w:color w:val="auto"/>
          <w:lang w:val="es-ES_tradnl" w:eastAsia="es-ES"/>
        </w:rPr>
      </w:pPr>
    </w:p>
    <w:p w:rsidRPr="00DC18FA" w:rsidR="00D8203F" w:rsidP="00DC18FA" w:rsidRDefault="00D8203F" w14:paraId="4BF866FA" w14:textId="0A230E15">
      <w:pPr>
        <w:spacing w:after="0"/>
        <w:rPr>
          <w:rFonts w:cs="Tahoma"/>
        </w:rPr>
      </w:pPr>
      <w:r w:rsidRPr="00DC18FA">
        <w:rPr>
          <w:rFonts w:cs="Tahoma"/>
          <w:b/>
          <w:bCs/>
        </w:rPr>
        <w:t xml:space="preserve">d) Vista del informe justificado. </w:t>
      </w:r>
      <w:r w:rsidRPr="00DC18FA">
        <w:rPr>
          <w:rFonts w:cs="Tahoma"/>
        </w:rPr>
        <w:t xml:space="preserve">El </w:t>
      </w:r>
      <w:r w:rsidRPr="00DC18FA" w:rsidR="004C3E08">
        <w:rPr>
          <w:rFonts w:cs="Tahoma"/>
        </w:rPr>
        <w:t xml:space="preserve">cuatro de abril </w:t>
      </w:r>
      <w:r w:rsidRPr="00DC18FA" w:rsidR="009A2721">
        <w:rPr>
          <w:rFonts w:cs="Tahoma"/>
        </w:rPr>
        <w:t xml:space="preserve"> </w:t>
      </w:r>
      <w:r w:rsidRPr="00DC18FA" w:rsidR="00953BD3">
        <w:rPr>
          <w:rFonts w:cs="Tahoma"/>
        </w:rPr>
        <w:t>de dos mil veintidós</w:t>
      </w:r>
      <w:r w:rsidRPr="00DC18FA">
        <w:rPr>
          <w:rFonts w:cs="Tahoma"/>
        </w:rPr>
        <w:t xml:space="preserve">, se dictó acuerdo mediante el cual </w:t>
      </w:r>
      <w:r w:rsidRPr="00DC18FA">
        <w:rPr>
          <w:rFonts w:cs="Tahoma"/>
          <w:b/>
          <w:bCs/>
        </w:rPr>
        <w:t>se puso a la vista de la Particular el Informe Justificado</w:t>
      </w:r>
      <w:r w:rsidRPr="00DC18FA">
        <w:rPr>
          <w:rFonts w:cs="Tahoma"/>
        </w:rPr>
        <w:t xml:space="preserve"> entregado por el Sujeto Obligado, el cual fue notificado al Recurrente, a través del Sistema de Acceso a la Información Mexiquense (SAIMEX), </w:t>
      </w:r>
      <w:r w:rsidRPr="00DC18FA" w:rsidR="00E77820">
        <w:rPr>
          <w:rFonts w:cs="Tahoma"/>
        </w:rPr>
        <w:t xml:space="preserve">el </w:t>
      </w:r>
      <w:r w:rsidRPr="00DC18FA" w:rsidR="00953BD3">
        <w:rPr>
          <w:rFonts w:cs="Tahoma"/>
        </w:rPr>
        <w:t>mismo día</w:t>
      </w:r>
      <w:r w:rsidRPr="00DC18FA" w:rsidR="00E77820">
        <w:rPr>
          <w:rFonts w:cs="Tahoma"/>
        </w:rPr>
        <w:t xml:space="preserve">. </w:t>
      </w:r>
      <w:r w:rsidRPr="00DC18FA">
        <w:rPr>
          <w:rFonts w:cs="Tahoma"/>
          <w:b/>
        </w:rPr>
        <w:t>No obstante</w:t>
      </w:r>
      <w:r w:rsidRPr="00DC18FA">
        <w:rPr>
          <w:rFonts w:cs="Tahoma"/>
          <w:b/>
          <w:bCs/>
          <w:iCs/>
          <w:lang w:val="es-ES_tradnl"/>
        </w:rPr>
        <w:t xml:space="preserve">, </w:t>
      </w:r>
      <w:r w:rsidRPr="00DC18FA" w:rsidR="00E77820">
        <w:rPr>
          <w:rFonts w:cs="Tahoma"/>
          <w:b/>
          <w:bCs/>
          <w:iCs/>
          <w:lang w:val="es-ES_tradnl"/>
        </w:rPr>
        <w:t xml:space="preserve">el </w:t>
      </w:r>
      <w:r w:rsidRPr="00DC18FA">
        <w:rPr>
          <w:rFonts w:cs="Tahoma"/>
          <w:b/>
          <w:bCs/>
          <w:iCs/>
          <w:lang w:val="es-ES_tradnl"/>
        </w:rPr>
        <w:t>Particular omitió realizar manifestación alguna que a su derecho conviniera y asistiera</w:t>
      </w:r>
    </w:p>
    <w:p w:rsidRPr="00DC18FA" w:rsidR="00D8203F" w:rsidP="00DC18FA" w:rsidRDefault="00D8203F" w14:paraId="139373B8" w14:textId="77777777">
      <w:pPr>
        <w:spacing w:after="0"/>
        <w:rPr>
          <w:rFonts w:eastAsia="Times New Roman" w:cs="Tahoma"/>
          <w:b/>
          <w:color w:val="auto"/>
          <w:szCs w:val="24"/>
          <w:lang w:eastAsia="es-ES"/>
        </w:rPr>
      </w:pPr>
    </w:p>
    <w:p w:rsidRPr="00DC18FA" w:rsidR="00D30581" w:rsidP="00DC18FA" w:rsidRDefault="00D8203F" w14:paraId="190015B8" w14:textId="0AB07310">
      <w:pPr>
        <w:spacing w:after="0"/>
        <w:rPr>
          <w:rFonts w:eastAsia="Times New Roman" w:cs="Tahoma"/>
          <w:b/>
          <w:color w:val="auto"/>
          <w:szCs w:val="24"/>
          <w:lang w:eastAsia="es-ES"/>
        </w:rPr>
      </w:pPr>
      <w:r w:rsidRPr="00DC18FA">
        <w:rPr>
          <w:rFonts w:eastAsia="Times New Roman" w:cs="Tahoma"/>
          <w:b/>
          <w:color w:val="auto"/>
          <w:szCs w:val="24"/>
          <w:lang w:eastAsia="es-ES"/>
        </w:rPr>
        <w:t xml:space="preserve">e) </w:t>
      </w:r>
      <w:r w:rsidRPr="00DC18FA" w:rsidR="00D30581">
        <w:rPr>
          <w:rFonts w:eastAsia="Palatino Linotype" w:cs="Palatino Linotype"/>
          <w:b/>
          <w:bCs/>
          <w:lang w:val="es-ES"/>
        </w:rPr>
        <w:t xml:space="preserve">Ampliación del plazo para resolver. </w:t>
      </w:r>
      <w:r w:rsidRPr="00DC18FA" w:rsidR="00D30581">
        <w:rPr>
          <w:rFonts w:eastAsia="Palatino Linotype" w:cs="Palatino Linotype"/>
          <w:lang w:val="es-ES"/>
        </w:rPr>
        <w:t xml:space="preserve">El </w:t>
      </w:r>
      <w:r w:rsidRPr="00DC18FA" w:rsidR="004731F0">
        <w:rPr>
          <w:rFonts w:eastAsia="Palatino Linotype" w:cs="Palatino Linotype"/>
          <w:lang w:val="es-ES"/>
        </w:rPr>
        <w:t>veinte</w:t>
      </w:r>
      <w:r w:rsidRPr="00DC18FA" w:rsidR="004C3E08">
        <w:rPr>
          <w:rFonts w:eastAsia="Palatino Linotype" w:cs="Palatino Linotype"/>
          <w:lang w:val="es-ES"/>
        </w:rPr>
        <w:t xml:space="preserve"> de </w:t>
      </w:r>
      <w:proofErr w:type="gramStart"/>
      <w:r w:rsidRPr="00DC18FA" w:rsidR="004C3E08">
        <w:rPr>
          <w:rFonts w:eastAsia="Palatino Linotype" w:cs="Palatino Linotype"/>
          <w:lang w:val="es-ES"/>
        </w:rPr>
        <w:t xml:space="preserve">abril </w:t>
      </w:r>
      <w:r w:rsidRPr="00DC18FA" w:rsidR="00D30581">
        <w:rPr>
          <w:rFonts w:eastAsia="Palatino Linotype" w:cs="Palatino Linotype"/>
          <w:lang w:val="es-ES"/>
        </w:rPr>
        <w:t xml:space="preserve"> de</w:t>
      </w:r>
      <w:proofErr w:type="gramEnd"/>
      <w:r w:rsidRPr="00DC18FA" w:rsidR="004C3E08">
        <w:rPr>
          <w:rFonts w:eastAsia="Palatino Linotype" w:cs="Palatino Linotype"/>
          <w:lang w:val="es-ES"/>
        </w:rPr>
        <w:t xml:space="preserve"> </w:t>
      </w:r>
      <w:r w:rsidRPr="00DC18FA" w:rsidR="00D30581">
        <w:rPr>
          <w:rFonts w:eastAsia="Palatino Linotype" w:cs="Palatino Linotype"/>
          <w:lang w:val="es-ES"/>
        </w:rPr>
        <w:t>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DC18FA" w:rsidR="00D30581" w:rsidP="00DC18FA" w:rsidRDefault="00D30581" w14:paraId="50E08D3E" w14:textId="77777777">
      <w:pPr>
        <w:spacing w:after="0"/>
        <w:rPr>
          <w:rFonts w:eastAsia="Times New Roman" w:cs="Tahoma"/>
          <w:b/>
          <w:color w:val="auto"/>
          <w:szCs w:val="24"/>
          <w:lang w:eastAsia="es-ES"/>
        </w:rPr>
      </w:pPr>
    </w:p>
    <w:p w:rsidRPr="00DC18FA" w:rsidR="00D8203F" w:rsidP="00DC18FA" w:rsidRDefault="00D30581" w14:paraId="1ACB06BA" w14:textId="0C88C97C">
      <w:pPr>
        <w:spacing w:after="0"/>
        <w:rPr>
          <w:rFonts w:eastAsia="Times New Roman" w:cs="Tahoma"/>
          <w:color w:val="auto"/>
          <w:szCs w:val="24"/>
          <w:lang w:eastAsia="es-ES"/>
        </w:rPr>
      </w:pPr>
      <w:r w:rsidRPr="00DC18FA">
        <w:rPr>
          <w:rFonts w:eastAsia="Times New Roman" w:cs="Tahoma"/>
          <w:b/>
          <w:color w:val="auto"/>
          <w:szCs w:val="24"/>
          <w:lang w:eastAsia="es-ES"/>
        </w:rPr>
        <w:t xml:space="preserve">f) </w:t>
      </w:r>
      <w:r w:rsidRPr="00DC18FA" w:rsidR="00D8203F">
        <w:rPr>
          <w:rFonts w:eastAsia="Times New Roman" w:cs="Tahoma"/>
          <w:b/>
          <w:color w:val="auto"/>
          <w:szCs w:val="24"/>
          <w:lang w:eastAsia="es-ES"/>
        </w:rPr>
        <w:t>Cierre de instrucción.</w:t>
      </w:r>
      <w:r w:rsidRPr="00DC18FA" w:rsidR="00D8203F">
        <w:rPr>
          <w:rFonts w:eastAsia="Times New Roman" w:cs="Tahoma"/>
          <w:color w:val="auto"/>
          <w:szCs w:val="24"/>
          <w:lang w:eastAsia="es-ES"/>
        </w:rPr>
        <w:t xml:space="preserve"> El </w:t>
      </w:r>
      <w:r w:rsidRPr="00DC18FA" w:rsidR="004731F0">
        <w:rPr>
          <w:rFonts w:eastAsia="Times New Roman" w:cs="Tahoma"/>
          <w:color w:val="auto"/>
          <w:szCs w:val="24"/>
          <w:lang w:val="es-ES" w:eastAsia="es-ES"/>
        </w:rPr>
        <w:t>veinte</w:t>
      </w:r>
      <w:r w:rsidRPr="00DC18FA" w:rsidR="004C3E08">
        <w:rPr>
          <w:rFonts w:eastAsia="Times New Roman" w:cs="Tahoma"/>
          <w:color w:val="auto"/>
          <w:szCs w:val="24"/>
          <w:lang w:val="es-ES" w:eastAsia="es-ES"/>
        </w:rPr>
        <w:t xml:space="preserve"> de abril </w:t>
      </w:r>
      <w:r w:rsidRPr="00DC18FA" w:rsidR="00CF4C9A">
        <w:rPr>
          <w:rFonts w:eastAsia="Times New Roman" w:cs="Tahoma"/>
          <w:color w:val="auto"/>
          <w:szCs w:val="24"/>
          <w:lang w:val="es-ES" w:eastAsia="es-ES"/>
        </w:rPr>
        <w:t xml:space="preserve"> </w:t>
      </w:r>
      <w:r w:rsidRPr="00DC18FA" w:rsidR="00953BD3">
        <w:rPr>
          <w:rFonts w:eastAsia="Times New Roman" w:cs="Tahoma"/>
          <w:color w:val="auto"/>
          <w:szCs w:val="24"/>
          <w:lang w:val="es-ES" w:eastAsia="es-ES"/>
        </w:rPr>
        <w:t>de dos mil veintidós</w:t>
      </w:r>
      <w:r w:rsidRPr="00DC18FA" w:rsidR="00D8203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DC18FA" w:rsidR="00D8203F">
        <w:rPr>
          <w:rFonts w:eastAsia="Times New Roman" w:cs="Tahoma"/>
          <w:color w:val="auto"/>
          <w:szCs w:val="20"/>
          <w:lang w:val="es-ES" w:eastAsia="es-ES"/>
        </w:rPr>
        <w:t>Sistema de Acceso a la Información Mexiquense (SAIMEX)</w:t>
      </w:r>
      <w:r w:rsidRPr="00DC18FA" w:rsidR="00D8203F">
        <w:rPr>
          <w:rFonts w:eastAsia="Times New Roman" w:cs="Tahoma"/>
          <w:color w:val="auto"/>
          <w:szCs w:val="24"/>
          <w:lang w:eastAsia="es-ES"/>
        </w:rPr>
        <w:t>.</w:t>
      </w:r>
    </w:p>
    <w:p w:rsidRPr="00DC18FA" w:rsidR="00EF640A" w:rsidP="00DC18FA" w:rsidRDefault="00EF640A" w14:paraId="7D034060" w14:textId="77777777">
      <w:pPr>
        <w:spacing w:after="0"/>
        <w:rPr>
          <w:rFonts w:eastAsia="Times New Roman" w:cs="Tahoma"/>
          <w:color w:val="auto"/>
          <w:szCs w:val="24"/>
          <w:lang w:val="es-ES" w:eastAsia="es-ES"/>
        </w:rPr>
      </w:pPr>
    </w:p>
    <w:p w:rsidRPr="00DC18FA" w:rsidR="00D8203F" w:rsidP="00DC18FA" w:rsidRDefault="00D8203F" w14:paraId="79CDDFD7" w14:textId="77777777">
      <w:pPr>
        <w:spacing w:after="0"/>
        <w:rPr>
          <w:rFonts w:eastAsia="Times New Roman" w:cs="Tahoma"/>
          <w:color w:val="000000"/>
          <w:szCs w:val="24"/>
          <w:lang w:eastAsia="es-ES"/>
        </w:rPr>
      </w:pPr>
      <w:r w:rsidRPr="00DC18FA">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DC18FA" w:rsidR="00D8203F" w:rsidP="00DC18FA" w:rsidRDefault="00D8203F" w14:paraId="2EE6FC6F" w14:textId="76A64B6C">
      <w:pPr>
        <w:spacing w:after="0"/>
        <w:jc w:val="center"/>
        <w:rPr>
          <w:rFonts w:eastAsia="Times New Roman" w:cs="Tahoma"/>
          <w:b/>
          <w:color w:val="auto"/>
          <w:lang w:val="es-ES" w:eastAsia="es-ES"/>
        </w:rPr>
      </w:pPr>
      <w:r w:rsidRPr="00DC18FA">
        <w:rPr>
          <w:rFonts w:eastAsia="Times New Roman" w:cs="Tahoma"/>
          <w:b/>
          <w:color w:val="auto"/>
          <w:lang w:val="es-ES" w:eastAsia="es-ES"/>
        </w:rPr>
        <w:lastRenderedPageBreak/>
        <w:t>C O N S I D E R A N D O S:</w:t>
      </w:r>
    </w:p>
    <w:p w:rsidRPr="00DC18FA" w:rsidR="004731F0" w:rsidP="00DC18FA" w:rsidRDefault="004731F0" w14:paraId="64A862F9" w14:textId="77777777">
      <w:pPr>
        <w:spacing w:after="0"/>
        <w:jc w:val="center"/>
        <w:rPr>
          <w:rFonts w:eastAsia="Times New Roman" w:cs="Tahoma"/>
          <w:b/>
          <w:color w:val="auto"/>
          <w:lang w:val="es-ES" w:eastAsia="es-ES"/>
        </w:rPr>
      </w:pPr>
    </w:p>
    <w:p w:rsidRPr="00DC18FA" w:rsidR="00D8203F" w:rsidP="00DC18FA" w:rsidRDefault="00D8203F" w14:paraId="33FAEC0B" w14:textId="77777777">
      <w:pPr>
        <w:autoSpaceDE w:val="0"/>
        <w:autoSpaceDN w:val="0"/>
        <w:adjustRightInd w:val="0"/>
        <w:spacing w:after="0"/>
        <w:rPr>
          <w:rFonts w:eastAsia="Times New Roman" w:cs="Tahoma"/>
          <w:b/>
          <w:color w:val="auto"/>
          <w:szCs w:val="24"/>
          <w:lang w:val="es-ES" w:eastAsia="es-ES"/>
        </w:rPr>
      </w:pPr>
      <w:r w:rsidRPr="00DC18FA">
        <w:rPr>
          <w:rFonts w:eastAsia="Calibri" w:cs="Tahoma"/>
          <w:b/>
          <w:color w:val="000000"/>
          <w:szCs w:val="24"/>
          <w:lang w:val="es-ES" w:eastAsia="es-MX"/>
        </w:rPr>
        <w:t>PRIMERO</w:t>
      </w:r>
      <w:r w:rsidRPr="00DC18FA">
        <w:rPr>
          <w:rFonts w:eastAsia="Calibri" w:cs="Tahoma"/>
          <w:color w:val="000000"/>
          <w:szCs w:val="24"/>
          <w:lang w:val="es-ES" w:eastAsia="es-MX"/>
        </w:rPr>
        <w:t xml:space="preserve">. </w:t>
      </w:r>
      <w:r w:rsidRPr="00DC18FA">
        <w:rPr>
          <w:rFonts w:eastAsia="Times New Roman" w:cs="Tahoma"/>
          <w:b/>
          <w:color w:val="auto"/>
          <w:szCs w:val="24"/>
          <w:lang w:val="es-ES" w:eastAsia="es-ES"/>
        </w:rPr>
        <w:t>Competencia.</w:t>
      </w:r>
    </w:p>
    <w:p w:rsidRPr="00DC18FA" w:rsidR="00D8203F" w:rsidP="00DC18FA" w:rsidRDefault="00D8203F" w14:paraId="3C3E37F0" w14:textId="77777777">
      <w:pPr>
        <w:autoSpaceDE w:val="0"/>
        <w:autoSpaceDN w:val="0"/>
        <w:adjustRightInd w:val="0"/>
        <w:spacing w:after="0"/>
        <w:rPr>
          <w:rFonts w:eastAsia="Times New Roman" w:cs="Tahoma"/>
          <w:b/>
          <w:color w:val="auto"/>
          <w:szCs w:val="24"/>
          <w:lang w:val="es-ES" w:eastAsia="es-ES"/>
        </w:rPr>
      </w:pPr>
    </w:p>
    <w:p w:rsidRPr="00DC18FA" w:rsidR="00D8203F" w:rsidP="00DC18FA" w:rsidRDefault="00D8203F" w14:paraId="39F4D924" w14:textId="6214F536">
      <w:pPr>
        <w:spacing w:after="0"/>
        <w:rPr>
          <w:rFonts w:eastAsia="Calibri" w:cs="Times New Roman"/>
          <w:color w:val="000000"/>
        </w:rPr>
      </w:pPr>
      <w:r w:rsidRPr="00DC18FA">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DC18FA" w:rsidR="00CA1B00">
        <w:rPr>
          <w:rFonts w:eastAsia="Calibri" w:cs="Times New Roman"/>
          <w:color w:val="000000"/>
        </w:rPr>
        <w:t>trigésimo, trigésimo primero y trigésimo segundo</w:t>
      </w:r>
      <w:r w:rsidRPr="00DC18FA">
        <w:rPr>
          <w:rFonts w:eastAsia="Calibri" w:cs="Times New Roman"/>
          <w:color w:val="000000"/>
        </w:rPr>
        <w:t>, fracciones I, II, III, IV y V de la Constitución Política del Estado Libre y Soberano de México; 1°, 8°, 9°, 10, 37 y 42, fracciones I, II y III, de la Ley General de Transparencia y Acceso a la Información Pública; 1°, 2°, fracciones II y IV; 13,</w:t>
      </w:r>
      <w:r w:rsidRPr="00DC18FA" w:rsidR="0035784F">
        <w:rPr>
          <w:rFonts w:eastAsia="Calibri" w:cs="Times New Roman"/>
          <w:color w:val="000000"/>
        </w:rPr>
        <w:t xml:space="preserve"> </w:t>
      </w:r>
      <w:r w:rsidRPr="00DC18FA">
        <w:rPr>
          <w:rFonts w:eastAsia="Calibri" w:cs="Times New Roman"/>
          <w:color w:val="000000"/>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DC18FA" w:rsidR="00D8203F" w:rsidP="00DC18FA" w:rsidRDefault="00D8203F" w14:paraId="013B0396" w14:textId="77777777">
      <w:pPr>
        <w:spacing w:after="0"/>
        <w:rPr>
          <w:rFonts w:eastAsia="Times New Roman" w:cs="Tahoma"/>
          <w:bCs/>
          <w:color w:val="auto"/>
          <w:lang w:eastAsia="es-ES"/>
        </w:rPr>
      </w:pPr>
    </w:p>
    <w:p w:rsidRPr="00DC18FA" w:rsidR="00D8203F" w:rsidP="00DC18FA" w:rsidRDefault="00D8203F" w14:paraId="50054C3C" w14:textId="52831F40">
      <w:pPr>
        <w:spacing w:after="0"/>
        <w:rPr>
          <w:rFonts w:eastAsia="Times New Roman" w:cs="Tahoma"/>
          <w:b/>
          <w:color w:val="auto"/>
          <w:lang w:eastAsia="es-ES"/>
        </w:rPr>
      </w:pPr>
      <w:r w:rsidRPr="00DC18FA">
        <w:rPr>
          <w:rFonts w:eastAsia="Times New Roman" w:cs="Tahoma"/>
          <w:b/>
          <w:color w:val="auto"/>
          <w:lang w:eastAsia="es-ES"/>
        </w:rPr>
        <w:t>SEGUNDO. Causales de procedencia</w:t>
      </w:r>
      <w:r w:rsidRPr="00DC18FA" w:rsidR="00D30581">
        <w:rPr>
          <w:rFonts w:eastAsia="Times New Roman" w:cs="Tahoma"/>
          <w:b/>
          <w:color w:val="auto"/>
          <w:lang w:eastAsia="es-ES"/>
        </w:rPr>
        <w:t>.</w:t>
      </w:r>
    </w:p>
    <w:p w:rsidRPr="00DC18FA" w:rsidR="00D8203F" w:rsidP="00DC18FA" w:rsidRDefault="00D8203F" w14:paraId="764A8338" w14:textId="77777777">
      <w:pPr>
        <w:spacing w:after="0"/>
        <w:rPr>
          <w:rFonts w:eastAsia="Times New Roman" w:cs="Tahoma"/>
          <w:bCs/>
          <w:color w:val="auto"/>
          <w:lang w:eastAsia="es-ES"/>
        </w:rPr>
      </w:pPr>
    </w:p>
    <w:p w:rsidRPr="00DC18FA" w:rsidR="00D8203F" w:rsidP="00DC18FA" w:rsidRDefault="00D8203F" w14:paraId="7F14A16F" w14:textId="77777777">
      <w:pPr>
        <w:spacing w:after="0"/>
        <w:rPr>
          <w:rFonts w:eastAsia="Times New Roman" w:cs="Tahoma"/>
          <w:bCs/>
          <w:color w:val="auto"/>
          <w:lang w:eastAsia="es-ES"/>
        </w:rPr>
      </w:pPr>
      <w:r w:rsidRPr="00DC18FA">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C18FA" w:rsidR="00D8203F" w:rsidP="00DC18FA" w:rsidRDefault="00D8203F" w14:paraId="55821B1B" w14:textId="77777777">
      <w:pPr>
        <w:spacing w:after="0"/>
        <w:rPr>
          <w:rFonts w:eastAsia="Times New Roman" w:cs="Tahoma"/>
          <w:bCs/>
          <w:color w:val="auto"/>
          <w:lang w:eastAsia="es-ES"/>
        </w:rPr>
      </w:pPr>
      <w:r w:rsidRPr="00DC18FA">
        <w:rPr>
          <w:rFonts w:eastAsia="Times New Roman" w:cs="Tahoma"/>
          <w:bCs/>
          <w:color w:val="auto"/>
          <w:lang w:eastAsia="es-ES"/>
        </w:rPr>
        <w:t> </w:t>
      </w:r>
    </w:p>
    <w:p w:rsidRPr="004731F0" w:rsidR="004731F0" w:rsidP="00DC18FA" w:rsidRDefault="004731F0" w14:paraId="243C9990" w14:textId="77777777">
      <w:pPr>
        <w:spacing w:after="0"/>
        <w:rPr>
          <w:rFonts w:eastAsia="Times New Roman" w:cs="Tahoma"/>
          <w:bCs/>
          <w:color w:val="000000"/>
          <w:lang w:eastAsia="es-ES"/>
        </w:rPr>
      </w:pPr>
      <w:r w:rsidRPr="004731F0">
        <w:rPr>
          <w:rFonts w:eastAsia="Times New Roman" w:cs="Tahoma"/>
          <w:bCs/>
          <w:color w:val="000000"/>
          <w:lang w:eastAsia="es-ES"/>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DC18FA" w:rsidR="005813D8" w:rsidP="00DC18FA" w:rsidRDefault="005813D8" w14:paraId="23B0D91C" w14:textId="77777777">
      <w:pPr>
        <w:spacing w:after="0"/>
        <w:rPr>
          <w:rFonts w:eastAsia="Times New Roman" w:cs="Tahoma"/>
          <w:color w:val="auto"/>
          <w:lang w:eastAsia="es-ES"/>
        </w:rPr>
      </w:pPr>
    </w:p>
    <w:p w:rsidRPr="004731F0" w:rsidR="004731F0" w:rsidP="00DC18FA" w:rsidRDefault="004731F0" w14:paraId="6DA1EF73" w14:textId="77777777">
      <w:pPr>
        <w:widowControl w:val="0"/>
        <w:spacing w:after="0"/>
        <w:rPr>
          <w:rFonts w:eastAsia="Times New Roman" w:cs="Tahoma"/>
          <w:color w:val="auto"/>
          <w:lang w:val="es-ES" w:eastAsia="es-ES"/>
        </w:rPr>
      </w:pPr>
      <w:r w:rsidRPr="004731F0">
        <w:rPr>
          <w:rFonts w:eastAsia="Times New Roman" w:cs="Tahoma"/>
          <w:color w:val="auto"/>
          <w:lang w:eastAsia="es-ES"/>
        </w:rPr>
        <w:t xml:space="preserve">Asimismo, se actualiza la causal de procedencia del Recurso de Revisión señalada en el artículo 179, fracción VI, de la Ley en cita, </w:t>
      </w:r>
      <w:r w:rsidRPr="004731F0">
        <w:rPr>
          <w:rFonts w:eastAsia="Calibri" w:cs="Tahoma"/>
          <w:color w:val="000000"/>
          <w:lang w:eastAsia="es-MX"/>
        </w:rPr>
        <w:t xml:space="preserve">pues el Recurrente se inconformó </w:t>
      </w:r>
      <w:r w:rsidRPr="004731F0">
        <w:rPr>
          <w:rFonts w:eastAsia="Times New Roman" w:cs="Tahoma"/>
          <w:color w:val="auto"/>
          <w:lang w:val="es-ES" w:eastAsia="es-ES"/>
        </w:rPr>
        <w:t>por la entrega de información que no corresponde con lo solicitado.</w:t>
      </w:r>
    </w:p>
    <w:p w:rsidRPr="00DC18FA" w:rsidR="00417CA3" w:rsidP="00DC18FA" w:rsidRDefault="00417CA3" w14:paraId="35FDA8FD" w14:textId="77777777">
      <w:pPr>
        <w:spacing w:after="0"/>
        <w:rPr>
          <w:rFonts w:eastAsia="Times New Roman" w:cs="Tahoma"/>
          <w:bCs/>
          <w:color w:val="auto"/>
          <w:lang w:eastAsia="es-ES"/>
        </w:rPr>
      </w:pPr>
    </w:p>
    <w:p w:rsidRPr="00DC18FA" w:rsidR="00B23031" w:rsidP="00DC18FA" w:rsidRDefault="00B23031" w14:paraId="446B39A1" w14:textId="514DF004">
      <w:pPr>
        <w:spacing w:after="0"/>
        <w:rPr>
          <w:rFonts w:eastAsia="Times New Roman" w:cs="Tahoma"/>
          <w:color w:val="auto"/>
          <w:lang w:eastAsia="es-ES"/>
        </w:rPr>
      </w:pPr>
      <w:r w:rsidRPr="00DC18FA">
        <w:rPr>
          <w:rFonts w:eastAsia="Times New Roman" w:cs="Tahoma"/>
          <w:b/>
          <w:bCs/>
          <w:color w:val="auto"/>
          <w:lang w:eastAsia="es-ES"/>
        </w:rPr>
        <w:t>TERCERO. Causales de sobreseimiento.</w:t>
      </w:r>
    </w:p>
    <w:p w:rsidRPr="00DC18FA" w:rsidR="00B23031" w:rsidP="00DC18FA" w:rsidRDefault="00B23031" w14:paraId="608E9E3E" w14:textId="77777777">
      <w:pPr>
        <w:spacing w:after="0"/>
        <w:rPr>
          <w:rFonts w:eastAsia="Times New Roman" w:cs="Tahoma"/>
          <w:color w:val="auto"/>
          <w:lang w:eastAsia="es-ES"/>
        </w:rPr>
      </w:pPr>
      <w:r w:rsidRPr="00DC18FA">
        <w:rPr>
          <w:rFonts w:eastAsia="Times New Roman" w:cs="Tahoma"/>
          <w:color w:val="auto"/>
          <w:lang w:eastAsia="es-ES"/>
        </w:rPr>
        <w:t> </w:t>
      </w:r>
    </w:p>
    <w:p w:rsidRPr="00DC18FA" w:rsidR="00B23031" w:rsidP="00DC18FA" w:rsidRDefault="00B23031" w14:paraId="5A5998AC" w14:textId="77777777">
      <w:pPr>
        <w:spacing w:after="0"/>
        <w:rPr>
          <w:rFonts w:eastAsia="Times New Roman" w:cs="Tahoma"/>
          <w:color w:val="auto"/>
          <w:lang w:eastAsia="es-ES"/>
        </w:rPr>
      </w:pPr>
      <w:r w:rsidRPr="00DC18FA">
        <w:rPr>
          <w:rFonts w:eastAsia="Times New Roman" w:cs="Tahoma"/>
          <w:color w:val="auto"/>
          <w:lang w:eastAsia="es-ES"/>
        </w:rPr>
        <w:t>Por ser de previo y especial pronunciamiento, este Instituto analiza si se actualiza alguna causal de sobreseimiento.</w:t>
      </w:r>
    </w:p>
    <w:p w:rsidRPr="00DC18FA" w:rsidR="00B23031" w:rsidP="00DC18FA" w:rsidRDefault="00B23031" w14:paraId="3A42EAC2" w14:textId="77777777">
      <w:pPr>
        <w:spacing w:after="0"/>
        <w:rPr>
          <w:rFonts w:eastAsia="Times New Roman" w:cs="Tahoma"/>
          <w:color w:val="auto"/>
          <w:lang w:eastAsia="es-ES"/>
        </w:rPr>
      </w:pPr>
    </w:p>
    <w:p w:rsidRPr="004731F0" w:rsidR="004731F0" w:rsidP="00DC18FA" w:rsidRDefault="004731F0" w14:paraId="63200F41" w14:textId="77777777">
      <w:pPr>
        <w:spacing w:after="0"/>
        <w:rPr>
          <w:rFonts w:eastAsia="Times New Roman" w:cs="Tahoma"/>
          <w:color w:val="auto"/>
          <w:szCs w:val="24"/>
          <w:lang w:val="es-ES" w:eastAsia="es-ES"/>
        </w:rPr>
      </w:pPr>
      <w:r w:rsidRPr="004731F0">
        <w:rPr>
          <w:rFonts w:eastAsia="Times New Roman" w:cs="Tahoma"/>
          <w:color w:val="auto"/>
          <w:szCs w:val="24"/>
          <w:lang w:val="es-ES"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IV y V, toda vez que no hay constancias en el expediente en que se actúa, de que el recurrente se haya desistido del recurso, haya fallecido, sobreviniera alguna causal de improcedencia, o bien, haya quedado sin materia.</w:t>
      </w:r>
    </w:p>
    <w:p w:rsidRPr="00DC18FA" w:rsidR="00417CA3" w:rsidP="00DC18FA" w:rsidRDefault="00417CA3" w14:paraId="139A36DD" w14:textId="77777777">
      <w:pPr>
        <w:spacing w:after="0"/>
        <w:rPr>
          <w:rFonts w:eastAsia="Times New Roman" w:cs="Tahoma"/>
          <w:bCs/>
          <w:color w:val="auto"/>
          <w:lang w:eastAsia="es-ES"/>
        </w:rPr>
      </w:pPr>
    </w:p>
    <w:p w:rsidRPr="004731F0" w:rsidR="004731F0" w:rsidP="00DC18FA" w:rsidRDefault="004731F0" w14:paraId="515CA43B" w14:textId="2682764F">
      <w:pPr>
        <w:spacing w:after="0"/>
        <w:rPr>
          <w:rFonts w:eastAsia="Times New Roman" w:cs="Tahoma"/>
          <w:color w:val="auto"/>
          <w:szCs w:val="24"/>
          <w:lang w:val="es-ES" w:eastAsia="es-ES"/>
        </w:rPr>
      </w:pPr>
      <w:r w:rsidRPr="004731F0">
        <w:rPr>
          <w:rFonts w:eastAsia="Times New Roman" w:cs="Tahoma"/>
          <w:color w:val="auto"/>
          <w:szCs w:val="24"/>
          <w:lang w:val="es-ES" w:eastAsia="es-ES"/>
        </w:rPr>
        <w:t xml:space="preserve">No obstante, toda vez que durante la sustanciación del Recurso de Revisión </w:t>
      </w:r>
      <w:r w:rsidRPr="00DC18FA" w:rsidR="001B6772">
        <w:rPr>
          <w:rFonts w:eastAsia="Times New Roman" w:cs="Tahoma"/>
          <w:color w:val="auto"/>
          <w:szCs w:val="24"/>
          <w:lang w:val="es-ES" w:eastAsia="es-ES"/>
        </w:rPr>
        <w:t>00022/LERMA/IP/2022</w:t>
      </w:r>
      <w:r w:rsidRPr="004731F0">
        <w:rPr>
          <w:rFonts w:eastAsia="Times New Roman" w:cs="Tahoma"/>
          <w:color w:val="auto"/>
          <w:szCs w:val="24"/>
          <w:lang w:val="es-ES" w:eastAsia="es-ES"/>
        </w:rPr>
        <w:t xml:space="preserve">, el Ayuntamiento de </w:t>
      </w:r>
      <w:r w:rsidRPr="00DC18FA" w:rsidR="001B6772">
        <w:rPr>
          <w:rFonts w:eastAsia="Times New Roman" w:cs="Tahoma"/>
          <w:color w:val="auto"/>
          <w:szCs w:val="24"/>
          <w:lang w:val="es-ES" w:eastAsia="es-ES"/>
        </w:rPr>
        <w:t>Lerma,</w:t>
      </w:r>
      <w:r w:rsidRPr="004731F0">
        <w:rPr>
          <w:rFonts w:eastAsia="Times New Roman" w:cs="Tahoma"/>
          <w:color w:val="auto"/>
          <w:szCs w:val="24"/>
          <w:lang w:val="es-ES" w:eastAsia="es-ES"/>
        </w:rPr>
        <w:t xml:space="preserve"> modificó su respuesta, a través de su </w:t>
      </w:r>
      <w:r w:rsidRPr="004731F0">
        <w:rPr>
          <w:rFonts w:eastAsia="Times New Roman" w:cs="Tahoma"/>
          <w:color w:val="auto"/>
          <w:szCs w:val="24"/>
          <w:lang w:val="es-ES" w:eastAsia="es-ES"/>
        </w:rPr>
        <w:lastRenderedPageBreak/>
        <w:t>Informe Justificado, se estima procedente entrar al estudio de la causal de sobreseimiento prevista en la fracción III del precepto legal previamente señalado.</w:t>
      </w:r>
    </w:p>
    <w:p w:rsidRPr="004731F0" w:rsidR="004731F0" w:rsidP="00DC18FA" w:rsidRDefault="004731F0" w14:paraId="6A154F9C" w14:textId="77777777">
      <w:pPr>
        <w:spacing w:after="0"/>
        <w:rPr>
          <w:rFonts w:eastAsia="Times New Roman" w:cs="Tahoma"/>
          <w:color w:val="auto"/>
          <w:szCs w:val="24"/>
          <w:lang w:val="es-ES" w:eastAsia="es-ES"/>
        </w:rPr>
      </w:pPr>
    </w:p>
    <w:p w:rsidRPr="004731F0" w:rsidR="004731F0" w:rsidP="00DC18FA" w:rsidRDefault="004731F0" w14:paraId="4E9C0E41" w14:textId="4AB1E9D1">
      <w:pPr>
        <w:spacing w:after="0"/>
        <w:rPr>
          <w:rFonts w:eastAsia="Times New Roman" w:cs="Tahoma"/>
          <w:color w:val="auto"/>
          <w:szCs w:val="24"/>
          <w:lang w:val="es-ES" w:eastAsia="es-ES"/>
        </w:rPr>
      </w:pPr>
      <w:r w:rsidRPr="004731F0">
        <w:rPr>
          <w:rFonts w:eastAsia="Times New Roman" w:cs="Tahoma"/>
          <w:color w:val="auto"/>
          <w:szCs w:val="24"/>
          <w:lang w:val="es-ES" w:eastAsia="es-ES"/>
        </w:rPr>
        <w:t xml:space="preserve">Al respecto, a efecto de verificar si se actualiza la causal de sobreseimiento, es necesario precisar que el Particular requirió </w:t>
      </w:r>
      <w:r w:rsidRPr="00DC18FA" w:rsidR="001B6772">
        <w:rPr>
          <w:rFonts w:eastAsia="Times New Roman" w:cs="Tahoma"/>
          <w:color w:val="auto"/>
          <w:szCs w:val="24"/>
          <w:lang w:val="es-ES" w:eastAsia="es-ES"/>
        </w:rPr>
        <w:t>conocer si existía algún procedimiento administrativo en relación a un inmueble con ubicación específica y el estatus que guardaba el mismo.</w:t>
      </w:r>
    </w:p>
    <w:p w:rsidRPr="00DC18FA" w:rsidR="00417CA3" w:rsidP="00DC18FA" w:rsidRDefault="00417CA3" w14:paraId="7CB4E143" w14:textId="45757120">
      <w:pPr>
        <w:spacing w:after="0"/>
        <w:rPr>
          <w:rFonts w:eastAsia="Times New Roman" w:cs="Tahoma"/>
          <w:bCs/>
          <w:color w:val="auto"/>
          <w:lang w:eastAsia="es-ES"/>
        </w:rPr>
      </w:pPr>
    </w:p>
    <w:p w:rsidRPr="00DC18FA" w:rsidR="001B6772" w:rsidP="00DC18FA" w:rsidRDefault="00C870AA" w14:paraId="0E58BA38" w14:textId="77777777">
      <w:pPr>
        <w:spacing w:after="0"/>
        <w:rPr>
          <w:rFonts w:eastAsia="Calibri" w:cs="Tahoma"/>
          <w:bCs/>
          <w:color w:val="auto"/>
          <w:lang w:val="es-ES" w:eastAsia="es-ES_tradnl"/>
        </w:rPr>
      </w:pPr>
      <w:r w:rsidRPr="00DC18FA">
        <w:rPr>
          <w:rFonts w:eastAsia="Calibri" w:cs="Tahoma"/>
          <w:bCs/>
          <w:color w:val="auto"/>
          <w:lang w:val="es-ES" w:eastAsia="es-ES_tradnl"/>
        </w:rPr>
        <w:t>En respuesta</w:t>
      </w:r>
      <w:r w:rsidRPr="00DC18FA" w:rsidR="00CF4C9A">
        <w:rPr>
          <w:rFonts w:eastAsia="Calibri" w:cs="Tahoma"/>
          <w:bCs/>
          <w:color w:val="auto"/>
          <w:lang w:val="es-ES" w:eastAsia="es-ES_tradnl"/>
        </w:rPr>
        <w:t>, el Sujeto Obligado</w:t>
      </w:r>
      <w:r w:rsidRPr="00DC18FA" w:rsidR="00757468">
        <w:rPr>
          <w:rFonts w:eastAsia="Calibri" w:cs="Tahoma"/>
          <w:bCs/>
          <w:color w:val="auto"/>
          <w:lang w:val="es-ES" w:eastAsia="es-ES_tradnl"/>
        </w:rPr>
        <w:t xml:space="preserve">, a través </w:t>
      </w:r>
      <w:r w:rsidRPr="00DC18FA" w:rsidR="001B6772">
        <w:rPr>
          <w:rFonts w:eastAsia="Calibri" w:cs="Tahoma"/>
          <w:bCs/>
          <w:color w:val="auto"/>
          <w:lang w:val="es-ES" w:eastAsia="es-ES_tradnl"/>
        </w:rPr>
        <w:t xml:space="preserve">de la </w:t>
      </w:r>
      <w:r w:rsidRPr="00DC18FA" w:rsidR="004C3E08">
        <w:rPr>
          <w:rFonts w:eastAsia="Calibri" w:cs="Tahoma"/>
          <w:bCs/>
          <w:color w:val="auto"/>
          <w:lang w:val="es-ES" w:eastAsia="es-ES_tradnl"/>
        </w:rPr>
        <w:t xml:space="preserve">Dirección de Desarrollo Urbano </w:t>
      </w:r>
      <w:r w:rsidRPr="00DC18FA" w:rsidR="001B6772">
        <w:rPr>
          <w:rFonts w:eastAsia="Calibri" w:cs="Tahoma"/>
          <w:bCs/>
          <w:color w:val="auto"/>
          <w:lang w:val="es-ES" w:eastAsia="es-ES_tradnl"/>
        </w:rPr>
        <w:t>precisó que después de realizar una búsqueda exhaustiva y razonable en sus archivos, no localizó ninguna autorización o licencia de construcción respecto al inmueble referido; a</w:t>
      </w:r>
      <w:r w:rsidRPr="00DC18FA" w:rsidR="005813D8">
        <w:rPr>
          <w:rFonts w:eastAsia="Calibri" w:cs="Tahoma"/>
          <w:bCs/>
          <w:color w:val="auto"/>
          <w:lang w:val="es-ES" w:eastAsia="es-ES_tradnl"/>
        </w:rPr>
        <w:t xml:space="preserve">nte tal </w:t>
      </w:r>
      <w:r w:rsidRPr="00DC18FA">
        <w:rPr>
          <w:rFonts w:eastAsia="Calibri" w:cs="Tahoma"/>
          <w:bCs/>
          <w:color w:val="auto"/>
          <w:lang w:val="es-ES" w:eastAsia="es-ES_tradnl"/>
        </w:rPr>
        <w:t>circunstancia,</w:t>
      </w:r>
      <w:r w:rsidRPr="00DC18FA" w:rsidR="005813D8">
        <w:rPr>
          <w:rFonts w:eastAsia="Calibri" w:cs="Tahoma"/>
          <w:bCs/>
          <w:color w:val="auto"/>
          <w:lang w:val="es-ES" w:eastAsia="es-ES_tradnl"/>
        </w:rPr>
        <w:t xml:space="preserve"> el Recurrente interpuso Recurso de Revisión </w:t>
      </w:r>
      <w:r w:rsidRPr="00DC18FA" w:rsidR="00CF4C9A">
        <w:rPr>
          <w:rFonts w:eastAsia="Calibri" w:cs="Tahoma"/>
          <w:bCs/>
          <w:color w:val="auto"/>
          <w:lang w:val="es-ES" w:eastAsia="es-ES_tradnl"/>
        </w:rPr>
        <w:t xml:space="preserve">en donde </w:t>
      </w:r>
      <w:r w:rsidRPr="00DC18FA" w:rsidR="00757468">
        <w:rPr>
          <w:rFonts w:eastAsia="Calibri" w:cs="Tahoma"/>
          <w:bCs/>
          <w:color w:val="auto"/>
          <w:lang w:val="es-ES" w:eastAsia="es-ES_tradnl"/>
        </w:rPr>
        <w:t>se inconformó</w:t>
      </w:r>
      <w:r w:rsidRPr="00DC18FA" w:rsidR="001B6772">
        <w:rPr>
          <w:rFonts w:eastAsia="Calibri" w:cs="Tahoma"/>
          <w:bCs/>
          <w:color w:val="auto"/>
          <w:lang w:val="es-ES" w:eastAsia="es-ES_tradnl"/>
        </w:rPr>
        <w:t xml:space="preserve"> con la entrega de información que no corresponde con lo solicitado, al referir que había requerido conocer si existía algún procedimiento en contra del inmueble, no si contaba con licencia o autorización</w:t>
      </w:r>
      <w:r w:rsidRPr="00DC18FA" w:rsidR="004C3E08">
        <w:rPr>
          <w:rFonts w:eastAsia="Calibri" w:cs="Tahoma"/>
          <w:bCs/>
          <w:color w:val="auto"/>
          <w:lang w:val="es-ES" w:eastAsia="es-ES_tradnl"/>
        </w:rPr>
        <w:t xml:space="preserve">, </w:t>
      </w:r>
      <w:r w:rsidRPr="00DC18FA" w:rsidR="00757468">
        <w:rPr>
          <w:rFonts w:eastAsia="Calibri" w:cs="Tahoma"/>
          <w:bCs/>
          <w:color w:val="auto"/>
          <w:lang w:val="es-ES" w:eastAsia="es-ES_tradnl"/>
        </w:rPr>
        <w:t>lo cual actualiza la causal de procedencia,  establecida</w:t>
      </w:r>
      <w:r w:rsidRPr="00DC18FA" w:rsidR="004C3E08">
        <w:rPr>
          <w:rFonts w:eastAsia="Calibri" w:cs="Tahoma"/>
          <w:bCs/>
          <w:color w:val="auto"/>
          <w:lang w:val="es-ES" w:eastAsia="es-ES_tradnl"/>
        </w:rPr>
        <w:t xml:space="preserve"> en el artículo 179, fracción V</w:t>
      </w:r>
      <w:r w:rsidRPr="00DC18FA" w:rsidR="00757468">
        <w:rPr>
          <w:rFonts w:eastAsia="Calibri" w:cs="Tahoma"/>
          <w:bCs/>
          <w:color w:val="auto"/>
          <w:lang w:val="es-ES" w:eastAsia="es-ES_tradnl"/>
        </w:rPr>
        <w:t>I, de la Ley de la materia</w:t>
      </w:r>
      <w:r w:rsidRPr="00DC18FA" w:rsidR="001B6772">
        <w:rPr>
          <w:rFonts w:eastAsia="Calibri" w:cs="Tahoma"/>
          <w:bCs/>
          <w:color w:val="auto"/>
          <w:lang w:val="es-ES" w:eastAsia="es-ES_tradnl"/>
        </w:rPr>
        <w:t>.</w:t>
      </w:r>
    </w:p>
    <w:p w:rsidRPr="00DC18FA" w:rsidR="001B6772" w:rsidP="00DC18FA" w:rsidRDefault="001B6772" w14:paraId="1FCB3CFD" w14:textId="77777777">
      <w:pPr>
        <w:spacing w:after="0"/>
        <w:rPr>
          <w:rFonts w:eastAsia="Calibri" w:cs="Tahoma"/>
          <w:bCs/>
          <w:color w:val="auto"/>
          <w:lang w:val="es-ES" w:eastAsia="es-ES_tradnl"/>
        </w:rPr>
      </w:pPr>
    </w:p>
    <w:p w:rsidRPr="00DC18FA" w:rsidR="002025A1" w:rsidP="00DC18FA" w:rsidRDefault="001B6772" w14:paraId="4175F645" w14:textId="0DB422BC">
      <w:pPr>
        <w:spacing w:after="0"/>
        <w:rPr>
          <w:rFonts w:eastAsia="Times New Roman" w:cs="Tahoma"/>
          <w:bCs/>
          <w:iCs/>
          <w:color w:val="auto"/>
          <w:lang w:eastAsia="es-ES"/>
        </w:rPr>
      </w:pPr>
      <w:r w:rsidRPr="00DC18FA">
        <w:rPr>
          <w:rFonts w:eastAsia="Times New Roman" w:cs="Tahoma"/>
          <w:bCs/>
          <w:iCs/>
          <w:color w:val="auto"/>
          <w:lang w:eastAsia="es-ES"/>
        </w:rPr>
        <w:t>Así</w:t>
      </w:r>
      <w:r w:rsidRPr="00DC18FA" w:rsidR="00757468">
        <w:rPr>
          <w:rFonts w:eastAsia="Times New Roman" w:cs="Tahoma"/>
          <w:bCs/>
          <w:iCs/>
          <w:color w:val="auto"/>
          <w:lang w:eastAsia="es-ES"/>
        </w:rPr>
        <w:t xml:space="preserve">, una vez interpuesto y notificado el Recurso de Revisión a las partes, el Sujeto Obligado, </w:t>
      </w:r>
      <w:r w:rsidRPr="00DC18FA" w:rsidR="00565650">
        <w:rPr>
          <w:rFonts w:eastAsia="Times New Roman" w:cs="Tahoma"/>
          <w:bCs/>
          <w:iCs/>
          <w:color w:val="auto"/>
          <w:lang w:eastAsia="es-ES"/>
        </w:rPr>
        <w:t xml:space="preserve">a través de la Dirección </w:t>
      </w:r>
      <w:r w:rsidRPr="00DC18FA" w:rsidR="002025A1">
        <w:rPr>
          <w:rFonts w:eastAsia="Times New Roman" w:cs="Tahoma"/>
          <w:bCs/>
          <w:iCs/>
          <w:color w:val="auto"/>
          <w:lang w:eastAsia="es-ES"/>
        </w:rPr>
        <w:t xml:space="preserve">de Desarrollo Urbano, </w:t>
      </w:r>
      <w:r w:rsidRPr="00DC18FA" w:rsidR="00565650">
        <w:rPr>
          <w:rFonts w:eastAsia="Times New Roman" w:cs="Tahoma"/>
          <w:bCs/>
          <w:iCs/>
          <w:color w:val="auto"/>
          <w:lang w:eastAsia="es-ES"/>
        </w:rPr>
        <w:t xml:space="preserve">precisó que </w:t>
      </w:r>
      <w:r w:rsidRPr="00DC18FA" w:rsidR="002025A1">
        <w:rPr>
          <w:rFonts w:eastAsia="Times New Roman" w:cs="Tahoma"/>
          <w:bCs/>
          <w:iCs/>
          <w:color w:val="auto"/>
          <w:lang w:eastAsia="es-ES"/>
        </w:rPr>
        <w:t xml:space="preserve">una vez realizada una búsqueda exhaustiva no </w:t>
      </w:r>
      <w:r w:rsidRPr="00DC18FA">
        <w:rPr>
          <w:rFonts w:eastAsia="Times New Roman" w:cs="Tahoma"/>
          <w:bCs/>
          <w:iCs/>
          <w:color w:val="auto"/>
          <w:lang w:eastAsia="es-ES"/>
        </w:rPr>
        <w:t>localizó</w:t>
      </w:r>
      <w:r w:rsidRPr="00DC18FA" w:rsidR="002025A1">
        <w:rPr>
          <w:rFonts w:eastAsia="Times New Roman" w:cs="Tahoma"/>
          <w:bCs/>
          <w:iCs/>
          <w:color w:val="auto"/>
          <w:lang w:eastAsia="es-ES"/>
        </w:rPr>
        <w:t xml:space="preserve"> antecedente de</w:t>
      </w:r>
      <w:r w:rsidRPr="00DC18FA">
        <w:rPr>
          <w:rFonts w:eastAsia="Times New Roman" w:cs="Tahoma"/>
          <w:bCs/>
          <w:iCs/>
          <w:color w:val="auto"/>
          <w:lang w:eastAsia="es-ES"/>
        </w:rPr>
        <w:t xml:space="preserve"> algún</w:t>
      </w:r>
      <w:r w:rsidRPr="00DC18FA" w:rsidR="002025A1">
        <w:rPr>
          <w:rFonts w:eastAsia="Times New Roman" w:cs="Tahoma"/>
          <w:bCs/>
          <w:iCs/>
          <w:color w:val="auto"/>
          <w:lang w:eastAsia="es-ES"/>
        </w:rPr>
        <w:t xml:space="preserve"> procedimiento relacionado con el inmueble objeto de la solicitud de información.</w:t>
      </w:r>
    </w:p>
    <w:p w:rsidRPr="00DC18FA" w:rsidR="002025A1" w:rsidP="00DC18FA" w:rsidRDefault="002025A1" w14:paraId="6C1D3340" w14:textId="77777777">
      <w:pPr>
        <w:spacing w:after="0"/>
        <w:rPr>
          <w:rFonts w:eastAsia="Times New Roman" w:cs="Tahoma"/>
          <w:bCs/>
          <w:iCs/>
          <w:color w:val="auto"/>
          <w:lang w:eastAsia="es-ES"/>
        </w:rPr>
      </w:pPr>
    </w:p>
    <w:p w:rsidRPr="00DC18FA" w:rsidR="00757468" w:rsidP="00DC18FA" w:rsidRDefault="001B6772" w14:paraId="351F2A43" w14:textId="62A0653C">
      <w:pPr>
        <w:spacing w:after="0"/>
        <w:rPr>
          <w:rFonts w:eastAsia="Times New Roman" w:cs="Tahoma"/>
          <w:bCs/>
          <w:color w:val="auto"/>
          <w:lang w:eastAsia="es-ES"/>
        </w:rPr>
      </w:pPr>
      <w:r w:rsidRPr="00DC18FA">
        <w:rPr>
          <w:rFonts w:eastAsia="Times New Roman" w:cs="Tahoma"/>
          <w:bCs/>
          <w:iCs/>
          <w:color w:val="auto"/>
          <w:lang w:eastAsia="es-ES"/>
        </w:rPr>
        <w:t>L</w:t>
      </w:r>
      <w:r w:rsidRPr="00DC18FA" w:rsidR="00757468">
        <w:rPr>
          <w:rFonts w:eastAsia="Times New Roman" w:cs="Tahoma"/>
          <w:bCs/>
          <w:iCs/>
          <w:color w:val="auto"/>
          <w:lang w:eastAsia="es-ES"/>
        </w:rPr>
        <w:t xml:space="preserve">o anterior, se desprende de las documentales que obran en los expedientes de referencia, materia de la presente resolución, consistente en: la solicitud de acceso a la información; la respuesta, el escrito recursal y el </w:t>
      </w:r>
      <w:r w:rsidRPr="00DC18FA" w:rsidR="005070F6">
        <w:rPr>
          <w:rFonts w:eastAsia="Times New Roman" w:cs="Tahoma"/>
          <w:bCs/>
          <w:iCs/>
          <w:color w:val="auto"/>
          <w:lang w:eastAsia="es-ES"/>
        </w:rPr>
        <w:t>Informe Justificado</w:t>
      </w:r>
      <w:r w:rsidRPr="00DC18FA" w:rsidR="00757468">
        <w:rPr>
          <w:rFonts w:eastAsia="Times New Roman" w:cs="Tahoma"/>
          <w:bCs/>
          <w:iCs/>
          <w:color w:val="auto"/>
          <w:lang w:eastAsia="es-ES"/>
        </w:rPr>
        <w:t xml:space="preserve">; </w:t>
      </w:r>
      <w:r w:rsidRPr="00DC18FA" w:rsidR="00757468">
        <w:rPr>
          <w:rFonts w:eastAsia="Times New Roman"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rsidRPr="00DC18FA" w:rsidR="00C2512E" w:rsidP="00DC18FA" w:rsidRDefault="007D7E3C" w14:paraId="1A7EF0B5" w14:textId="459984B2">
      <w:pPr>
        <w:spacing w:after="0"/>
        <w:rPr>
          <w:rFonts w:eastAsia="Calibri" w:cs="Tahoma"/>
          <w:bCs/>
          <w:color w:val="auto"/>
          <w:lang w:eastAsia="es-ES_tradnl"/>
        </w:rPr>
      </w:pPr>
      <w:r w:rsidRPr="00DC18FA">
        <w:rPr>
          <w:rFonts w:eastAsia="Calibri" w:cs="Tahoma"/>
          <w:bCs/>
          <w:color w:val="auto"/>
          <w:lang w:eastAsia="es-ES_tradnl"/>
        </w:rPr>
        <w:lastRenderedPageBreak/>
        <w:t>Establecida dicha circunstancia, resulta necesario contextualizar la solicitud de información, para lo cual, el artículo 1°, fracción X, del Código de Procedimientos Administrativos del Estado de México, establece que el procedimiento administrativo es el conjunto de trámites que realiza las dependencias de la administración pública municipal con la finalidad de producir y ejecutar un acto administrativo.</w:t>
      </w:r>
    </w:p>
    <w:p w:rsidRPr="00DC18FA" w:rsidR="007D7E3C" w:rsidP="00DC18FA" w:rsidRDefault="007D7E3C" w14:paraId="2D846F31" w14:textId="4CAA6C10">
      <w:pPr>
        <w:spacing w:after="0"/>
        <w:rPr>
          <w:rFonts w:eastAsia="Calibri" w:cs="Tahoma"/>
          <w:bCs/>
          <w:color w:val="auto"/>
          <w:lang w:eastAsia="es-ES_tradnl"/>
        </w:rPr>
      </w:pPr>
    </w:p>
    <w:p w:rsidRPr="00DC18FA" w:rsidR="007D7E3C" w:rsidP="00DC18FA" w:rsidRDefault="00494898" w14:paraId="410083AB" w14:textId="51316B33">
      <w:pPr>
        <w:spacing w:after="0"/>
        <w:rPr>
          <w:rFonts w:eastAsia="Calibri" w:cs="Tahoma"/>
          <w:bCs/>
          <w:color w:val="auto"/>
          <w:lang w:eastAsia="es-ES_tradnl"/>
        </w:rPr>
      </w:pPr>
      <w:r w:rsidRPr="00DC18FA">
        <w:rPr>
          <w:rFonts w:eastAsia="Calibri" w:cs="Tahoma"/>
          <w:bCs/>
          <w:color w:val="auto"/>
          <w:lang w:eastAsia="es-ES_tradnl"/>
        </w:rPr>
        <w:t xml:space="preserve">Ahora bien, en relación a los procedimientos relacionados a un inmueble, el artículo 5.3, fracción I, del Código Administrativo del Estado de México, establece que la acción urbanística corresponde al conjunto de los actos y actividades tendientes al uso y aprovechamiento del suelo dentro de las áreas urbanas, tales como subdivisiones, fusiones, relotificaciones, condominios, </w:t>
      </w:r>
      <w:r w:rsidRPr="00DC18FA">
        <w:t>conjuntos urbanos, así como de construcción, ampliación, remodelación, reparación, demolición o reconstrucción de inmuebles, de propiedad pública o privada, incluyendo las obras de equipamiento, infraestructura y servicios urbanos.</w:t>
      </w:r>
    </w:p>
    <w:p w:rsidRPr="00DC18FA" w:rsidR="007D7E3C" w:rsidP="00DC18FA" w:rsidRDefault="007D7E3C" w14:paraId="5687304B" w14:textId="6FEA5F29">
      <w:pPr>
        <w:spacing w:after="0"/>
        <w:rPr>
          <w:rFonts w:eastAsia="Calibri" w:cs="Tahoma"/>
          <w:bCs/>
          <w:color w:val="auto"/>
          <w:lang w:eastAsia="es-ES_tradnl"/>
        </w:rPr>
      </w:pPr>
    </w:p>
    <w:p w:rsidRPr="00DC18FA" w:rsidR="00494898" w:rsidP="00DC18FA" w:rsidRDefault="00494898" w14:paraId="0D51ADB8" w14:textId="4D913480">
      <w:pPr>
        <w:spacing w:after="0"/>
        <w:rPr>
          <w:rFonts w:eastAsia="Calibri" w:cs="Tahoma"/>
          <w:bCs/>
          <w:color w:val="auto"/>
          <w:lang w:eastAsia="es-ES_tradnl"/>
        </w:rPr>
      </w:pPr>
      <w:r w:rsidRPr="00DC18FA">
        <w:rPr>
          <w:rFonts w:eastAsia="Calibri" w:cs="Tahoma"/>
          <w:bCs/>
          <w:color w:val="auto"/>
          <w:lang w:eastAsia="es-ES_tradnl"/>
        </w:rPr>
        <w:t xml:space="preserve">En ese contexto, el artículo 5.10 del Código referido, establece que los municipios serán los encargados de </w:t>
      </w:r>
      <w:r w:rsidRPr="00DC18FA" w:rsidR="00A23E7D">
        <w:rPr>
          <w:rFonts w:eastAsia="Calibri" w:cs="Tahoma"/>
          <w:bCs/>
          <w:color w:val="auto"/>
          <w:lang w:eastAsia="es-ES_tradnl"/>
        </w:rPr>
        <w:t xml:space="preserve">expedir cédulas informativas de zonificación, licencias de uso de suelo y de construcción; autorizar cambios de uso de suelo, del coeficiente de ocupación de utilización, densidad y altura; autorizar, controlar y vigilar la utilización aprovechamiento del suelo con fines urbanos; </w:t>
      </w:r>
      <w:r w:rsidRPr="00DC18FA">
        <w:rPr>
          <w:rFonts w:eastAsia="Calibri" w:cs="Tahoma"/>
          <w:bCs/>
          <w:color w:val="auto"/>
          <w:lang w:eastAsia="es-ES_tradnl"/>
        </w:rPr>
        <w:t xml:space="preserve"> </w:t>
      </w:r>
      <w:r w:rsidRPr="00DC18FA" w:rsidR="00A23E7D">
        <w:rPr>
          <w:rFonts w:eastAsia="Calibri" w:cs="Tahoma"/>
          <w:bCs/>
          <w:color w:val="auto"/>
          <w:lang w:eastAsia="es-ES_tradnl"/>
        </w:rPr>
        <w:t>establecer medidas y ejecutar acciones para evitar asentamientos humanos irregulares; intervenir en la regularización de la tenencia de la tierra y determinar infracciones de los particulares e imponer medidas de seguridad y sanciones.</w:t>
      </w:r>
    </w:p>
    <w:p w:rsidRPr="00DC18FA" w:rsidR="007D7E3C" w:rsidP="00DC18FA" w:rsidRDefault="007D7E3C" w14:paraId="39FB6C91" w14:textId="7D80C38C">
      <w:pPr>
        <w:spacing w:after="0"/>
        <w:rPr>
          <w:rFonts w:eastAsia="Calibri" w:cs="Tahoma"/>
          <w:bCs/>
          <w:color w:val="auto"/>
          <w:lang w:eastAsia="es-ES_tradnl"/>
        </w:rPr>
      </w:pPr>
    </w:p>
    <w:p w:rsidRPr="00DC18FA" w:rsidR="007D7E3C" w:rsidP="00DC18FA" w:rsidRDefault="00002259" w14:paraId="4FDADFFF" w14:textId="5142F27E">
      <w:pPr>
        <w:spacing w:after="0"/>
        <w:rPr>
          <w:rFonts w:eastAsia="Calibri" w:cs="Tahoma"/>
          <w:bCs/>
          <w:color w:val="auto"/>
          <w:lang w:eastAsia="es-ES_tradnl"/>
        </w:rPr>
      </w:pPr>
      <w:r w:rsidRPr="00DC18FA">
        <w:rPr>
          <w:rFonts w:eastAsia="Calibri" w:cs="Tahoma"/>
          <w:bCs/>
          <w:color w:val="auto"/>
          <w:lang w:eastAsia="es-ES_tradnl"/>
        </w:rPr>
        <w:t xml:space="preserve">Conforme a lo anterior, se logra vislumbrar que la pretensión del ahora Recurrente es conocer si existe algún procedimiento administrativo </w:t>
      </w:r>
      <w:r w:rsidRPr="00DC18FA" w:rsidR="002772DC">
        <w:rPr>
          <w:rFonts w:eastAsia="Calibri" w:cs="Tahoma"/>
          <w:bCs/>
          <w:color w:val="auto"/>
          <w:lang w:eastAsia="es-ES_tradnl"/>
        </w:rPr>
        <w:t>de acción urbanística, al veintiuno de enero de dos mil veintidós, que este relacionado con el inmueble señalado en la solicitud; por otra parte, se colige que el Ayuntamiento tiene competencia para conocer de dicha información, pues a nivel municipal ve todas las cuestiones relacionadas con la acción urbanística.</w:t>
      </w:r>
    </w:p>
    <w:p w:rsidRPr="006E4C6E" w:rsidR="006E4C6E" w:rsidP="00DC18FA" w:rsidRDefault="006E4C6E" w14:paraId="0FBB372F" w14:textId="4122684A">
      <w:pPr>
        <w:spacing w:after="0"/>
        <w:rPr>
          <w:rFonts w:eastAsia="Calibri" w:cs="Tahoma"/>
          <w:bCs/>
          <w:color w:val="000000"/>
        </w:rPr>
      </w:pPr>
      <w:r w:rsidRPr="006E4C6E">
        <w:rPr>
          <w:rFonts w:eastAsia="Calibri" w:cs="Tahoma"/>
          <w:color w:val="000000"/>
        </w:rPr>
        <w:lastRenderedPageBreak/>
        <w:t>Establecida dicha circunstancia, cabe señalar</w:t>
      </w:r>
      <w:r w:rsidRPr="006E4C6E">
        <w:rPr>
          <w:rFonts w:eastAsia="Calibri" w:cs="Tahoma"/>
          <w:bCs/>
          <w:color w:val="0D0D0D"/>
        </w:rPr>
        <w:t xml:space="preserve"> que el Ayuntamiento de </w:t>
      </w:r>
      <w:r w:rsidRPr="00DC18FA">
        <w:rPr>
          <w:rFonts w:eastAsia="Calibri" w:cs="Tahoma"/>
          <w:bCs/>
          <w:color w:val="0D0D0D"/>
        </w:rPr>
        <w:t>Lerma</w:t>
      </w:r>
      <w:r w:rsidRPr="006E4C6E">
        <w:rPr>
          <w:rFonts w:eastAsia="Calibri" w:cs="Tahoma"/>
          <w:bCs/>
          <w:color w:val="0D0D0D"/>
        </w:rPr>
        <w:t xml:space="preserve">, turnó la solicitud de información, tanto en respuesta, como durante la sustanciación del presente medio de impugnación, a la </w:t>
      </w:r>
      <w:r w:rsidRPr="00DC18FA">
        <w:rPr>
          <w:rFonts w:eastAsia="Calibri" w:cs="Tahoma"/>
          <w:bCs/>
          <w:color w:val="0D0D0D"/>
        </w:rPr>
        <w:t>Dirección de Desarrollo Urbano</w:t>
      </w:r>
      <w:r w:rsidRPr="006E4C6E">
        <w:rPr>
          <w:rFonts w:eastAsia="Calibri" w:cs="Arial"/>
          <w:bCs/>
          <w:color w:val="000000"/>
          <w:lang w:val="es-ES"/>
        </w:rPr>
        <w:t xml:space="preserve">; </w:t>
      </w:r>
      <w:r w:rsidRPr="006E4C6E">
        <w:rPr>
          <w:rFonts w:eastAsia="Calibri" w:cs="Times New Roman"/>
          <w:bCs/>
          <w:lang w:val="es-ES"/>
        </w:rPr>
        <w:t xml:space="preserve">por lo que, es oportuno </w:t>
      </w:r>
      <w:r w:rsidRPr="006E4C6E">
        <w:rPr>
          <w:rFonts w:eastAsia="Calibri" w:cs="Times New Roman"/>
          <w:bCs/>
        </w:rPr>
        <w:t xml:space="preserve">hacer referencia al </w:t>
      </w:r>
      <w:r w:rsidRPr="006E4C6E">
        <w:rPr>
          <w:rFonts w:eastAsia="Calibri" w:cs="Times New Roman"/>
          <w:b/>
          <w:bCs/>
        </w:rPr>
        <w:t>procedimiento de búsqueda que deben de seguir los Sujetos Obligados para localizar la información</w:t>
      </w:r>
      <w:r w:rsidRPr="006E4C6E">
        <w:rPr>
          <w:rFonts w:eastAsia="Calibri" w:cs="Times New Roman"/>
          <w:bCs/>
        </w:rPr>
        <w:t xml:space="preserve">, el cual se encuentra previsto en los artículos 160 y 162 de la Ley de Transparencia y Acceso a la Información Pública del Estado de México y Municipios, mismo que es el </w:t>
      </w:r>
      <w:r w:rsidRPr="006E4C6E">
        <w:rPr>
          <w:rFonts w:eastAsia="Calibri" w:cs="Tahoma"/>
          <w:bCs/>
          <w:color w:val="000000"/>
        </w:rPr>
        <w:t>siguiente:</w:t>
      </w:r>
    </w:p>
    <w:p w:rsidRPr="006E4C6E" w:rsidR="006E4C6E" w:rsidP="00DC18FA" w:rsidRDefault="006E4C6E" w14:paraId="1C40B7FB" w14:textId="77777777">
      <w:pPr>
        <w:spacing w:after="0"/>
        <w:rPr>
          <w:rFonts w:eastAsia="Calibri" w:cs="Tahoma"/>
          <w:bCs/>
          <w:color w:val="000000"/>
        </w:rPr>
      </w:pPr>
    </w:p>
    <w:p w:rsidRPr="00DC18FA" w:rsidR="006E4C6E" w:rsidP="00DC18FA" w:rsidRDefault="006E4C6E" w14:paraId="79DECA9B" w14:textId="12FCB768">
      <w:pPr>
        <w:numPr>
          <w:ilvl w:val="0"/>
          <w:numId w:val="1"/>
        </w:numPr>
        <w:spacing w:after="0"/>
        <w:rPr>
          <w:rFonts w:eastAsia="Calibri" w:cs="Times New Roman"/>
          <w:bCs/>
          <w:lang w:val="es-ES"/>
        </w:rPr>
      </w:pPr>
      <w:r w:rsidRPr="006E4C6E">
        <w:rPr>
          <w:rFonts w:eastAsia="Calibri" w:cs="Times New Roman"/>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E4C6E" w:rsidR="006E4C6E" w:rsidP="00DC18FA" w:rsidRDefault="006E4C6E" w14:paraId="0414DE7C" w14:textId="77777777">
      <w:pPr>
        <w:spacing w:after="0"/>
        <w:ind w:left="720"/>
        <w:rPr>
          <w:rFonts w:eastAsia="Calibri" w:cs="Times New Roman"/>
          <w:bCs/>
          <w:lang w:val="es-ES"/>
        </w:rPr>
      </w:pPr>
    </w:p>
    <w:p w:rsidRPr="006E4C6E" w:rsidR="006E4C6E" w:rsidP="00DC18FA" w:rsidRDefault="006E4C6E" w14:paraId="730FA5E0" w14:textId="77777777">
      <w:pPr>
        <w:numPr>
          <w:ilvl w:val="0"/>
          <w:numId w:val="1"/>
        </w:numPr>
        <w:spacing w:after="0"/>
        <w:rPr>
          <w:rFonts w:eastAsia="Calibri" w:cs="Times New Roman"/>
          <w:bCs/>
          <w:lang w:val="es-ES"/>
        </w:rPr>
      </w:pPr>
      <w:r w:rsidRPr="006E4C6E">
        <w:rPr>
          <w:rFonts w:eastAsia="Calibri" w:cs="Times New Roman"/>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6E4C6E" w:rsidR="006E4C6E" w:rsidP="00DC18FA" w:rsidRDefault="006E4C6E" w14:paraId="3A5B6F19" w14:textId="77777777">
      <w:pPr>
        <w:spacing w:after="0"/>
        <w:rPr>
          <w:rFonts w:eastAsia="Calibri" w:cs="Tahoma"/>
          <w:bCs/>
          <w:color w:val="000000"/>
          <w:highlight w:val="green"/>
          <w:lang w:val="es-ES"/>
        </w:rPr>
      </w:pPr>
    </w:p>
    <w:p w:rsidRPr="006E4C6E" w:rsidR="006E4C6E" w:rsidP="00DC18FA" w:rsidRDefault="006E4C6E" w14:paraId="60C1DB23" w14:textId="0844C1C0">
      <w:pPr>
        <w:spacing w:after="0"/>
        <w:rPr>
          <w:rFonts w:eastAsia="Calibri" w:cs="Times New Roman"/>
          <w:bCs/>
          <w:lang w:val="es-ES"/>
        </w:rPr>
      </w:pPr>
      <w:r w:rsidRPr="00DC18FA">
        <w:rPr>
          <w:rFonts w:eastAsia="Calibri" w:cs="Times New Roman"/>
          <w:bCs/>
        </w:rPr>
        <w:t xml:space="preserve">Así, a efecto de verificar si el Sujeto Obligado cumplió con el procedimiento referido, es necesario traer a colación, </w:t>
      </w:r>
      <w:r w:rsidRPr="00DC18FA" w:rsidR="007E5B70">
        <w:rPr>
          <w:rFonts w:eastAsia="Calibri" w:cs="Times New Roman"/>
          <w:bCs/>
        </w:rPr>
        <w:t>los artículos</w:t>
      </w:r>
      <w:r w:rsidRPr="00DC18FA">
        <w:rPr>
          <w:rFonts w:eastAsia="Calibri" w:cs="Times New Roman"/>
          <w:bCs/>
        </w:rPr>
        <w:t xml:space="preserve"> 31, fracción XXIII,</w:t>
      </w:r>
      <w:r w:rsidRPr="00DC18FA" w:rsidR="007E5B70">
        <w:rPr>
          <w:rFonts w:eastAsia="Calibri" w:cs="Times New Roman"/>
          <w:bCs/>
        </w:rPr>
        <w:t xml:space="preserve"> y 140 del Bando Municipal de Lerma, dos mil veintidós, relacionados al 96 </w:t>
      </w:r>
      <w:proofErr w:type="spellStart"/>
      <w:r w:rsidRPr="00DC18FA" w:rsidR="007E5B70">
        <w:rPr>
          <w:rFonts w:eastAsia="Calibri" w:cs="Times New Roman"/>
          <w:bCs/>
        </w:rPr>
        <w:t>Sexies</w:t>
      </w:r>
      <w:proofErr w:type="spellEnd"/>
      <w:r w:rsidRPr="00DC18FA" w:rsidR="007E5B70">
        <w:rPr>
          <w:rFonts w:eastAsia="Calibri" w:cs="Times New Roman"/>
          <w:bCs/>
        </w:rPr>
        <w:t xml:space="preserve">, de la Ley Orgánica Municipal del Estado de México, que establecen que el Sujeto Obligado para el ejercicio de sus funciones, contará con diversas unidades administrativas, entre las cuales se encuentra la Dirección de Desarrollo Urbano, encargada de planear, ordenar, regular, control, vigilar y fomentar el ordenamiento territorial de asentamientos humanos y el desarrollo urbano del municipio. </w:t>
      </w:r>
      <w:r w:rsidRPr="00DC18FA">
        <w:rPr>
          <w:rFonts w:eastAsia="Calibri" w:cs="Times New Roman"/>
          <w:bCs/>
        </w:rPr>
        <w:t xml:space="preserve"> </w:t>
      </w:r>
    </w:p>
    <w:p w:rsidRPr="00DC18FA" w:rsidR="007D7E3C" w:rsidP="00DC18FA" w:rsidRDefault="007D7E3C" w14:paraId="3ED51AF9" w14:textId="0EF30382">
      <w:pPr>
        <w:spacing w:after="0"/>
        <w:rPr>
          <w:rFonts w:eastAsia="Calibri" w:cs="Tahoma"/>
          <w:bCs/>
          <w:color w:val="auto"/>
          <w:lang w:eastAsia="es-ES_tradnl"/>
        </w:rPr>
      </w:pPr>
    </w:p>
    <w:p w:rsidRPr="00DC18FA" w:rsidR="00201614" w:rsidP="00DC18FA" w:rsidRDefault="00201614" w14:paraId="1BDA5A63" w14:textId="77777777">
      <w:pPr>
        <w:spacing w:after="0"/>
        <w:rPr>
          <w:rFonts w:eastAsia="Calibri" w:cs="Tahoma"/>
          <w:bCs/>
          <w:color w:val="auto"/>
          <w:lang w:eastAsia="es-ES_tradnl"/>
        </w:rPr>
      </w:pPr>
    </w:p>
    <w:p w:rsidRPr="00DC18FA" w:rsidR="00831C16" w:rsidP="00DC18FA" w:rsidRDefault="00831C16" w14:paraId="199EE5DA" w14:textId="46C2AACA">
      <w:pPr>
        <w:spacing w:after="0"/>
        <w:rPr>
          <w:rFonts w:cs="Tahoma"/>
          <w:bCs/>
          <w:iCs/>
          <w:color w:val="auto"/>
        </w:rPr>
      </w:pPr>
      <w:r w:rsidRPr="00DC18FA">
        <w:t>Así</w:t>
      </w:r>
      <w:r w:rsidRPr="00DC18FA">
        <w:rPr>
          <w:rFonts w:cs="Tahoma"/>
          <w:bCs/>
          <w:iCs/>
        </w:rPr>
        <w:t xml:space="preserve">, se logra colegir que el Sujeto Obligado cumplió con el procedimiento de búsqueda </w:t>
      </w:r>
      <w:r w:rsidRPr="00DC18FA">
        <w:rPr>
          <w:rFonts w:eastAsia="Calibri" w:cs="Tahoma"/>
          <w:color w:val="000000"/>
          <w:szCs w:val="24"/>
          <w:lang w:val="es-ES" w:eastAsia="es-MX"/>
        </w:rPr>
        <w:t>establecido en el artículo 162 de la Ley de Transparencia y Acceso a la Información Pública del Estado de México y Municipios, al gestionar el requerimiento de información al área competente, a saber, a la Dirección de Desarrollo Urbano, que es la encarga</w:t>
      </w:r>
      <w:r w:rsidRPr="00DC18FA" w:rsidR="00F9607F">
        <w:rPr>
          <w:rFonts w:eastAsia="Calibri" w:cs="Tahoma"/>
          <w:color w:val="000000"/>
          <w:szCs w:val="24"/>
          <w:lang w:val="es-ES" w:eastAsia="es-MX"/>
        </w:rPr>
        <w:t>da</w:t>
      </w:r>
      <w:r w:rsidRPr="00DC18FA">
        <w:rPr>
          <w:rFonts w:eastAsia="Calibri" w:cs="Tahoma"/>
          <w:color w:val="000000"/>
          <w:szCs w:val="24"/>
          <w:lang w:val="es-ES" w:eastAsia="es-MX"/>
        </w:rPr>
        <w:t xml:space="preserve"> de ver todas las cuestiones relacionadas con las acciones urbanísticas del Municipio.</w:t>
      </w:r>
    </w:p>
    <w:p w:rsidRPr="00DC18FA" w:rsidR="007D7E3C" w:rsidP="00DC18FA" w:rsidRDefault="007D7E3C" w14:paraId="7AA70898" w14:textId="105DB98C">
      <w:pPr>
        <w:spacing w:after="0"/>
        <w:rPr>
          <w:rFonts w:eastAsia="Calibri" w:cs="Tahoma"/>
          <w:bCs/>
          <w:color w:val="auto"/>
          <w:lang w:eastAsia="es-ES_tradnl"/>
        </w:rPr>
      </w:pPr>
    </w:p>
    <w:p w:rsidRPr="00DC18FA" w:rsidR="0008259A" w:rsidP="00DC18FA" w:rsidRDefault="00F9607F" w14:paraId="4D55B938" w14:textId="77777777">
      <w:pPr>
        <w:tabs>
          <w:tab w:val="left" w:pos="4962"/>
        </w:tabs>
        <w:spacing w:after="0"/>
        <w:rPr>
          <w:rFonts w:eastAsia="Calibri" w:cs="Times New Roman"/>
        </w:rPr>
      </w:pPr>
      <w:r w:rsidRPr="00DC18FA">
        <w:rPr>
          <w:rFonts w:eastAsia="Calibri" w:cs="Tahoma"/>
          <w:bCs/>
          <w:color w:val="auto"/>
          <w:lang w:eastAsia="es-ES_tradnl"/>
        </w:rPr>
        <w:t>Ahora bien, en respuesta dicha área precisó que no había localizado ninguna licencia o autorización de construcción relacionado con el inmueble; sin embargo, este Instituto considera que dicho pronunciamiento no fue exhaustivo, pues la pretensión del ahora Recurrente es obtener cualquier procedimie</w:t>
      </w:r>
      <w:r w:rsidRPr="00DC18FA" w:rsidR="0008259A">
        <w:rPr>
          <w:rFonts w:eastAsia="Calibri" w:cs="Tahoma"/>
          <w:bCs/>
          <w:color w:val="auto"/>
          <w:lang w:eastAsia="es-ES_tradnl"/>
        </w:rPr>
        <w:t xml:space="preserve">nto administrativo de acción urbanística relacionado con el inmueble, no únicamente autorizaciones; </w:t>
      </w:r>
      <w:r w:rsidRPr="00DC18FA" w:rsidR="0008259A">
        <w:rPr>
          <w:rFonts w:eastAsia="Calibri" w:cs="Tahoma"/>
          <w:bCs/>
          <w:iCs/>
          <w:color w:val="000000"/>
          <w:szCs w:val="24"/>
          <w:lang w:eastAsia="es-MX"/>
        </w:rPr>
        <w:t>sobre el tema</w:t>
      </w:r>
      <w:r w:rsidRPr="00DC18FA" w:rsidR="0008259A">
        <w:rPr>
          <w:rFonts w:eastAsia="Calibri" w:cs="Times New Roman"/>
        </w:rPr>
        <w:t>, el artículo 1.8, fracción XIII, del Código Administrativo del Estado de México, establece que para que tenga validez, todo acto administrativo deberá resolver todos los puntos propuestos por los interesados.</w:t>
      </w:r>
    </w:p>
    <w:p w:rsidRPr="0008259A" w:rsidR="0008259A" w:rsidP="00DC18FA" w:rsidRDefault="0008259A" w14:paraId="6CAF70EF" w14:textId="77777777">
      <w:pPr>
        <w:widowControl w:val="0"/>
        <w:autoSpaceDE w:val="0"/>
        <w:autoSpaceDN w:val="0"/>
        <w:adjustRightInd w:val="0"/>
        <w:spacing w:after="0"/>
        <w:rPr>
          <w:rFonts w:eastAsia="Calibri" w:cs="Tahoma"/>
          <w:bCs/>
          <w:color w:val="000000"/>
        </w:rPr>
      </w:pPr>
    </w:p>
    <w:p w:rsidRPr="0008259A" w:rsidR="0008259A" w:rsidP="00DC18FA" w:rsidRDefault="0008259A" w14:paraId="218C67A1" w14:textId="77777777">
      <w:pPr>
        <w:spacing w:after="0"/>
        <w:rPr>
          <w:rFonts w:eastAsia="Calibri" w:cs="Times New Roman"/>
        </w:rPr>
      </w:pPr>
      <w:r w:rsidRPr="0008259A">
        <w:rPr>
          <w:rFonts w:eastAsia="Calibri" w:cs="Times New Roman"/>
        </w:rPr>
        <w:t xml:space="preserve">Situación que se robustece, con el Criterio 02/17, del Instituto Nacional de Transparencia, Acceso a la Información y Protección de Datos Personales, el cual establece que todo acto administrativo debe apegarse al </w:t>
      </w:r>
      <w:r w:rsidRPr="0008259A">
        <w:rPr>
          <w:rFonts w:eastAsia="Calibri" w:cs="Times New Roman"/>
          <w:b/>
          <w:bCs/>
        </w:rPr>
        <w:t>principio de exhaustividad</w:t>
      </w:r>
      <w:r w:rsidRPr="0008259A">
        <w:rPr>
          <w:rFonts w:eastAsia="Calibri" w:cs="Times New Roman"/>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08259A" w:rsidR="0008259A" w:rsidP="00DC18FA" w:rsidRDefault="0008259A" w14:paraId="2270470F" w14:textId="77777777">
      <w:pPr>
        <w:spacing w:after="0"/>
        <w:rPr>
          <w:rFonts w:eastAsia="Calibri" w:cs="Tahoma"/>
          <w:bCs/>
        </w:rPr>
      </w:pPr>
    </w:p>
    <w:p w:rsidRPr="00DC18FA" w:rsidR="002772DC" w:rsidP="00DC18FA" w:rsidRDefault="0008259A" w14:paraId="76A3E74E" w14:textId="4EF773E9">
      <w:pPr>
        <w:spacing w:after="0"/>
        <w:rPr>
          <w:rFonts w:eastAsia="Calibri" w:cs="Tahoma"/>
          <w:bCs/>
          <w:color w:val="auto"/>
          <w:lang w:eastAsia="es-ES_tradnl"/>
        </w:rPr>
      </w:pPr>
      <w:r w:rsidRPr="00DC18FA">
        <w:rPr>
          <w:rFonts w:eastAsia="Calibri" w:cs="Times New Roman"/>
        </w:rPr>
        <w:t xml:space="preserve">En esa tesitura, se concluye que el Sujeto Obligado no satisfizo el derecho de acceso a la información del Solicitante, al incumplir el principio de exhaustividad; no obstante lo anterior, durante la sustanciación del Medio de Impugnación, la Dirección de Desarrollo Urbano, </w:t>
      </w:r>
      <w:r w:rsidRPr="00DC18FA">
        <w:rPr>
          <w:rFonts w:eastAsia="Calibri" w:cs="Times New Roman"/>
        </w:rPr>
        <w:lastRenderedPageBreak/>
        <w:t>modificó su actuar y precisó que realizó una búsqueda exhaustiva y razonable en sus archivos, y no localizó ningún procedimiento administrativo de acción urbanística relacionado con el inmueble, es decir, aludió que la información era inexistente.</w:t>
      </w:r>
    </w:p>
    <w:p w:rsidRPr="00DC18FA" w:rsidR="002772DC" w:rsidP="00DC18FA" w:rsidRDefault="002772DC" w14:paraId="1B1675AE" w14:textId="47AD56E6">
      <w:pPr>
        <w:spacing w:after="0"/>
        <w:rPr>
          <w:rFonts w:eastAsia="Calibri" w:cs="Tahoma"/>
          <w:bCs/>
          <w:color w:val="auto"/>
          <w:lang w:eastAsia="es-ES_tradnl"/>
        </w:rPr>
      </w:pPr>
    </w:p>
    <w:p w:rsidRPr="00DC18FA" w:rsidR="008F4AC4" w:rsidP="00DC18FA" w:rsidRDefault="008F4AC4" w14:paraId="65EF72CE" w14:textId="10196627">
      <w:pPr>
        <w:spacing w:after="0"/>
        <w:rPr>
          <w:rFonts w:eastAsia="Times New Roman" w:cs="Tahoma"/>
          <w:bCs/>
          <w:color w:val="auto"/>
          <w:lang w:eastAsia="es-ES"/>
        </w:rPr>
      </w:pPr>
      <w:r w:rsidRPr="00DC18FA">
        <w:rPr>
          <w:rFonts w:eastAsia="Times New Roman" w:cs="Tahoma"/>
          <w:bCs/>
          <w:color w:val="auto"/>
          <w:lang w:eastAsia="es-ES"/>
        </w:rPr>
        <w:t>Al respecto, es señalar que este Instituto, no tiene atribuciones para pronunciarse sobre la veracidad de la información</w:t>
      </w:r>
      <w:r w:rsidRPr="00DC18FA" w:rsidR="0008259A">
        <w:rPr>
          <w:rFonts w:eastAsia="Times New Roman" w:cs="Tahoma"/>
          <w:bCs/>
          <w:color w:val="auto"/>
          <w:lang w:eastAsia="es-ES"/>
        </w:rPr>
        <w:t>, inclusive la proporcionada en Informe Justificado</w:t>
      </w:r>
      <w:r w:rsidRPr="00DC18FA">
        <w:rPr>
          <w:rFonts w:eastAsia="Times New Roman" w:cs="Tahoma"/>
          <w:bCs/>
          <w:color w:val="auto"/>
          <w:lang w:eastAsia="es-ES"/>
        </w:rPr>
        <w:t>; apoya lo anterior, el Criterio histórico 31/10, emitido por el Pleno del entonces Instituto Federal de Acceso a la Información y Protección de Datos, que a continuación se cita:</w:t>
      </w:r>
    </w:p>
    <w:p w:rsidRPr="00DC18FA" w:rsidR="008F4AC4" w:rsidP="00DC18FA" w:rsidRDefault="008F4AC4" w14:paraId="2E142FB7" w14:textId="77777777">
      <w:pPr>
        <w:spacing w:after="0"/>
        <w:rPr>
          <w:rFonts w:eastAsia="Times New Roman" w:cs="Tahoma"/>
          <w:bCs/>
          <w:color w:val="auto"/>
          <w:lang w:eastAsia="es-ES"/>
        </w:rPr>
      </w:pPr>
    </w:p>
    <w:p w:rsidRPr="00DC18FA" w:rsidR="008F4AC4" w:rsidP="00DC18FA" w:rsidRDefault="008F4AC4" w14:paraId="57774204" w14:textId="77777777">
      <w:pPr>
        <w:spacing w:after="0"/>
        <w:ind w:left="567" w:right="567"/>
        <w:rPr>
          <w:rFonts w:eastAsia="Times New Roman" w:cs="Tahoma"/>
          <w:bCs/>
          <w:i/>
          <w:color w:val="auto"/>
          <w:sz w:val="20"/>
          <w:szCs w:val="20"/>
          <w:lang w:eastAsia="es-ES"/>
        </w:rPr>
      </w:pPr>
      <w:r w:rsidRPr="00DC18FA">
        <w:rPr>
          <w:rFonts w:eastAsia="Times New Roman" w:cs="Tahoma"/>
          <w:b/>
          <w:bCs/>
          <w:i/>
          <w:color w:val="auto"/>
          <w:sz w:val="20"/>
          <w:szCs w:val="20"/>
          <w:lang w:eastAsia="es-ES"/>
        </w:rPr>
        <w:t xml:space="preserve">“El Instituto Federal de Acceso a la Información y Protección de Datos </w:t>
      </w:r>
      <w:r w:rsidRPr="00DC18FA">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DC18FA">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DC18FA" w:rsidR="008F4AC4" w:rsidP="00DC18FA" w:rsidRDefault="008F4AC4" w14:paraId="5B0E6353" w14:textId="3E2A9B24">
      <w:pPr>
        <w:spacing w:after="0"/>
        <w:rPr>
          <w:rFonts w:eastAsia="Calibri" w:cs="Tahoma"/>
          <w:bCs/>
          <w:color w:val="auto"/>
          <w:lang w:eastAsia="es-ES_tradnl"/>
        </w:rPr>
      </w:pPr>
    </w:p>
    <w:p w:rsidRPr="00DC18FA" w:rsidR="00C758B1" w:rsidP="00DC18FA" w:rsidRDefault="0008259A" w14:paraId="3F42917E" w14:textId="5395221D">
      <w:pPr>
        <w:spacing w:after="0"/>
        <w:rPr>
          <w:rFonts w:eastAsia="Times New Roman" w:cs="Tahoma"/>
          <w:color w:val="auto"/>
          <w:lang w:eastAsia="es-ES"/>
        </w:rPr>
      </w:pPr>
      <w:r w:rsidRPr="00DC18FA">
        <w:rPr>
          <w:rFonts w:eastAsia="Times New Roman" w:cs="Tahoma"/>
          <w:iCs/>
          <w:color w:val="auto"/>
          <w:lang w:val="es-ES" w:eastAsia="es-ES"/>
        </w:rPr>
        <w:t>Así</w:t>
      </w:r>
      <w:r w:rsidRPr="00DC18FA" w:rsidR="00C758B1">
        <w:rPr>
          <w:rFonts w:eastAsia="Times New Roman" w:cs="Tahoma"/>
          <w:iCs/>
          <w:color w:val="auto"/>
          <w:lang w:val="es-ES" w:eastAsia="es-ES"/>
        </w:rPr>
        <w:t xml:space="preserve">, se logra vislumbrar </w:t>
      </w:r>
      <w:r w:rsidRPr="00DC18FA" w:rsidR="002025A1">
        <w:rPr>
          <w:rFonts w:eastAsia="Times New Roman" w:cs="Tahoma"/>
          <w:iCs/>
          <w:color w:val="auto"/>
          <w:lang w:val="es-ES" w:eastAsia="es-ES"/>
        </w:rPr>
        <w:t xml:space="preserve">dicha área </w:t>
      </w:r>
      <w:proofErr w:type="gramStart"/>
      <w:r w:rsidRPr="00DC18FA" w:rsidR="002025A1">
        <w:rPr>
          <w:rFonts w:eastAsia="Times New Roman" w:cs="Tahoma"/>
          <w:iCs/>
          <w:color w:val="auto"/>
          <w:lang w:val="es-ES" w:eastAsia="es-ES"/>
        </w:rPr>
        <w:t xml:space="preserve">precisó </w:t>
      </w:r>
      <w:r w:rsidRPr="00DC18FA" w:rsidR="00C758B1">
        <w:rPr>
          <w:rFonts w:eastAsia="Times New Roman" w:cs="Tahoma"/>
          <w:iCs/>
          <w:color w:val="auto"/>
          <w:lang w:val="es-ES" w:eastAsia="es-ES"/>
        </w:rPr>
        <w:t xml:space="preserve"> que</w:t>
      </w:r>
      <w:proofErr w:type="gramEnd"/>
      <w:r w:rsidRPr="00DC18FA" w:rsidR="00C758B1">
        <w:rPr>
          <w:rFonts w:eastAsia="Times New Roman" w:cs="Tahoma"/>
          <w:iCs/>
          <w:color w:val="auto"/>
          <w:lang w:val="es-ES" w:eastAsia="es-ES"/>
        </w:rPr>
        <w:t xml:space="preserve"> lo requerido era inexistente</w:t>
      </w:r>
      <w:r w:rsidRPr="00DC18FA" w:rsidR="002025A1">
        <w:rPr>
          <w:rFonts w:eastAsia="Times New Roman" w:cs="Tahoma"/>
          <w:iCs/>
          <w:color w:val="auto"/>
          <w:lang w:val="es-ES" w:eastAsia="es-ES"/>
        </w:rPr>
        <w:t xml:space="preserve">; </w:t>
      </w:r>
      <w:r w:rsidRPr="00DC18FA" w:rsidR="00C758B1">
        <w:rPr>
          <w:rFonts w:eastAsia="Times New Roman" w:cs="Tahoma"/>
          <w:bCs/>
          <w:color w:val="auto"/>
          <w:lang w:eastAsia="es-ES"/>
        </w:rPr>
        <w:t>al</w:t>
      </w:r>
      <w:r w:rsidRPr="00DC18FA" w:rsidR="00C758B1">
        <w:rPr>
          <w:rFonts w:eastAsia="Times New Roman" w:cs="Tahoma"/>
          <w:color w:val="auto"/>
          <w:lang w:eastAsia="es-ES"/>
        </w:rPr>
        <w:t xml:space="preserve"> respecto, el Criterio 14/17, emitido por el Instituto Nacional de Transparencia, Acceso a la Información y Protección de Datos Personales, señala lo siguiente:</w:t>
      </w:r>
    </w:p>
    <w:p w:rsidRPr="00DC18FA" w:rsidR="00C758B1" w:rsidP="00DC18FA" w:rsidRDefault="00C758B1" w14:paraId="77D469BC" w14:textId="77777777">
      <w:pPr>
        <w:spacing w:after="0"/>
        <w:rPr>
          <w:rFonts w:eastAsia="Times New Roman" w:cs="Tahoma"/>
          <w:color w:val="auto"/>
          <w:lang w:eastAsia="es-ES"/>
        </w:rPr>
      </w:pPr>
    </w:p>
    <w:p w:rsidRPr="00DC18FA" w:rsidR="00C758B1" w:rsidP="00DC18FA" w:rsidRDefault="00C758B1" w14:paraId="2AE93EC5" w14:textId="77777777">
      <w:pPr>
        <w:spacing w:after="0"/>
        <w:ind w:left="567" w:right="567"/>
        <w:rPr>
          <w:rFonts w:eastAsia="Times New Roman" w:cs="Tahoma"/>
          <w:bCs/>
          <w:i/>
          <w:color w:val="auto"/>
          <w:sz w:val="20"/>
          <w:szCs w:val="20"/>
          <w:lang w:val="es-ES" w:eastAsia="es-ES"/>
        </w:rPr>
      </w:pPr>
      <w:r w:rsidRPr="00DC18FA">
        <w:rPr>
          <w:rFonts w:eastAsia="Times New Roman" w:cs="Tahoma"/>
          <w:bCs/>
          <w:i/>
          <w:color w:val="auto"/>
          <w:sz w:val="20"/>
          <w:szCs w:val="20"/>
          <w:lang w:val="es-ES" w:eastAsia="es-ES"/>
        </w:rPr>
        <w:lastRenderedPageBreak/>
        <w:t>“</w:t>
      </w:r>
      <w:r w:rsidRPr="00DC18FA">
        <w:rPr>
          <w:rFonts w:eastAsia="Times New Roman" w:cs="Tahoma"/>
          <w:b/>
          <w:bCs/>
          <w:i/>
          <w:color w:val="auto"/>
          <w:sz w:val="20"/>
          <w:szCs w:val="20"/>
          <w:lang w:val="es-ES" w:eastAsia="es-ES"/>
        </w:rPr>
        <w:t xml:space="preserve">Inexistencia. </w:t>
      </w:r>
      <w:r w:rsidRPr="00DC18FA">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DC18FA" w:rsidR="00C758B1" w:rsidP="00DC18FA" w:rsidRDefault="00C758B1" w14:paraId="5119CD94" w14:textId="77777777">
      <w:pPr>
        <w:spacing w:after="0"/>
        <w:rPr>
          <w:rFonts w:eastAsia="Times New Roman" w:cs="Tahoma"/>
          <w:color w:val="auto"/>
          <w:lang w:eastAsia="es-ES"/>
        </w:rPr>
      </w:pPr>
    </w:p>
    <w:p w:rsidRPr="00DC18FA" w:rsidR="0008259A" w:rsidP="00DC18FA" w:rsidRDefault="00C758B1" w14:paraId="1482615D" w14:textId="77777777">
      <w:pPr>
        <w:spacing w:after="0"/>
        <w:rPr>
          <w:rFonts w:eastAsia="Times New Roman" w:cs="Tahoma"/>
          <w:color w:val="auto"/>
          <w:lang w:eastAsia="es-ES"/>
        </w:rPr>
      </w:pPr>
      <w:r w:rsidRPr="00DC18FA">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p>
    <w:p w:rsidRPr="00DC18FA" w:rsidR="0008259A" w:rsidP="00DC18FA" w:rsidRDefault="0008259A" w14:paraId="65C8700A" w14:textId="77777777">
      <w:pPr>
        <w:spacing w:after="0"/>
        <w:rPr>
          <w:rFonts w:eastAsia="Times New Roman" w:cs="Tahoma"/>
          <w:color w:val="auto"/>
          <w:lang w:eastAsia="es-ES"/>
        </w:rPr>
      </w:pPr>
    </w:p>
    <w:p w:rsidRPr="00DC18FA" w:rsidR="00C758B1" w:rsidP="00DC18FA" w:rsidRDefault="00C758B1" w14:paraId="65F08194" w14:textId="2CFD666C">
      <w:pPr>
        <w:spacing w:after="0"/>
        <w:rPr>
          <w:rFonts w:eastAsia="Times New Roman" w:cs="Tahoma"/>
          <w:color w:val="auto"/>
          <w:lang w:val="es-ES" w:eastAsia="es-ES"/>
        </w:rPr>
      </w:pPr>
      <w:r w:rsidRPr="00DC18FA">
        <w:rPr>
          <w:rFonts w:eastAsia="Times New Roman" w:cs="Tahoma"/>
          <w:color w:val="auto"/>
          <w:lang w:val="es-ES" w:eastAsia="es-ES"/>
        </w:rPr>
        <w:t xml:space="preserve">En ese orden de ideas, según Trujillo, Humberto (2019), en el “Diccionario de Transparencia y Acceso a la Información Pública” (p. 171), la inexistencia de la información, </w:t>
      </w:r>
      <w:r w:rsidRPr="00DC18FA" w:rsidR="0008259A">
        <w:rPr>
          <w:rFonts w:eastAsia="Times New Roman" w:cs="Tahoma"/>
          <w:color w:val="auto"/>
          <w:lang w:val="es-ES" w:eastAsia="es-ES"/>
        </w:rPr>
        <w:t>ocurre</w:t>
      </w:r>
      <w:r w:rsidRPr="00DC18FA">
        <w:rPr>
          <w:rFonts w:eastAsia="Times New Roman" w:cs="Tahoma"/>
          <w:color w:val="auto"/>
          <w:lang w:val="es-ES" w:eastAsia="es-ES"/>
        </w:rPr>
        <w:t xml:space="preserve"> cuando la información requerida no se encuentra en los archivos públicos, reservados o clasificados, de los sujetos obligados.</w:t>
      </w:r>
    </w:p>
    <w:p w:rsidRPr="00DC18FA" w:rsidR="00C758B1" w:rsidP="00DC18FA" w:rsidRDefault="00C758B1" w14:paraId="56A7EA4C" w14:textId="77777777">
      <w:pPr>
        <w:spacing w:after="0"/>
        <w:rPr>
          <w:rFonts w:eastAsia="Times New Roman" w:cs="Tahoma"/>
          <w:color w:val="auto"/>
          <w:lang w:val="es-ES" w:eastAsia="es-ES"/>
        </w:rPr>
      </w:pPr>
    </w:p>
    <w:p w:rsidRPr="00DC18FA" w:rsidR="00C758B1" w:rsidP="00DC18FA" w:rsidRDefault="00C758B1" w14:paraId="02D45628" w14:textId="1F16E7F4">
      <w:pPr>
        <w:spacing w:after="0"/>
        <w:rPr>
          <w:rFonts w:eastAsia="Times New Roman" w:cs="Tahoma"/>
          <w:bCs/>
          <w:color w:val="auto"/>
          <w:lang w:eastAsia="es-ES"/>
        </w:rPr>
      </w:pPr>
      <w:r w:rsidRPr="00DC18FA">
        <w:rPr>
          <w:rFonts w:eastAsia="Times New Roman" w:cs="Tahoma"/>
          <w:color w:val="auto"/>
          <w:lang w:val="es-ES" w:eastAsia="es-ES"/>
        </w:rPr>
        <w:t>Así</w:t>
      </w:r>
      <w:r w:rsidRPr="00DC18FA">
        <w:rPr>
          <w:rFonts w:eastAsia="Times New Roman" w:cs="Tahoma"/>
          <w:color w:val="auto"/>
          <w:lang w:eastAsia="es-ES"/>
        </w:rPr>
        <w:t xml:space="preserve">, es posible concluir que la </w:t>
      </w:r>
      <w:r w:rsidRPr="00DC18FA">
        <w:rPr>
          <w:rFonts w:eastAsia="Times New Roman" w:cs="Tahoma"/>
          <w:b/>
          <w:color w:val="auto"/>
          <w:lang w:eastAsia="es-ES"/>
        </w:rPr>
        <w:t>inexistencia</w:t>
      </w:r>
      <w:r w:rsidRPr="00DC18FA">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DC18FA">
        <w:rPr>
          <w:rFonts w:eastAsia="Times New Roman" w:cs="Tahoma"/>
          <w:bCs/>
          <w:color w:val="auto"/>
          <w:lang w:eastAsia="es-ES"/>
        </w:rPr>
        <w:t>no basta con que los sujetos obligados señalen dicha circunstancia, sino que también debe</w:t>
      </w:r>
      <w:r w:rsidRPr="00DC18FA" w:rsidR="00A24B04">
        <w:rPr>
          <w:rFonts w:eastAsia="Times New Roman" w:cs="Tahoma"/>
          <w:bCs/>
          <w:color w:val="auto"/>
          <w:lang w:eastAsia="es-ES"/>
        </w:rPr>
        <w:t>n</w:t>
      </w:r>
      <w:r w:rsidRPr="00DC18FA">
        <w:rPr>
          <w:rFonts w:eastAsia="Times New Roman" w:cs="Tahoma"/>
          <w:bCs/>
          <w:color w:val="auto"/>
          <w:lang w:eastAsia="es-ES"/>
        </w:rPr>
        <w:t xml:space="preserve"> de señalar las razones por las cuales no contaba con lo peticionado, es decir, las circunstancias que dan lugar a la inexistencia, lo cual aconteció, en el presente caso.</w:t>
      </w:r>
    </w:p>
    <w:p w:rsidRPr="00DC18FA" w:rsidR="00C758B1" w:rsidP="00DC18FA" w:rsidRDefault="00C758B1" w14:paraId="4D005549" w14:textId="77777777">
      <w:pPr>
        <w:spacing w:after="0"/>
        <w:rPr>
          <w:rFonts w:eastAsia="Times New Roman" w:cs="Tahoma"/>
          <w:bCs/>
          <w:color w:val="auto"/>
          <w:lang w:eastAsia="es-ES"/>
        </w:rPr>
      </w:pPr>
    </w:p>
    <w:p w:rsidRPr="00DC18FA" w:rsidR="00C758B1" w:rsidP="00DC18FA" w:rsidRDefault="00C758B1" w14:paraId="20D4C1B0" w14:textId="573D16B1">
      <w:pPr>
        <w:spacing w:after="0"/>
        <w:rPr>
          <w:rFonts w:eastAsia="Times New Roman" w:cs="Tahoma"/>
          <w:color w:val="auto"/>
          <w:lang w:val="es-ES" w:eastAsia="es-ES"/>
        </w:rPr>
      </w:pPr>
      <w:r w:rsidRPr="00DC18FA">
        <w:rPr>
          <w:rFonts w:eastAsia="Times New Roman" w:cs="Tahoma"/>
          <w:color w:val="auto"/>
          <w:lang w:val="es-ES" w:eastAsia="es-ES"/>
        </w:rPr>
        <w:t xml:space="preserve">Así, se logra colegir que la información solicitada por la ahora Recurrente es inexistente en las áreas referidas, pues estas realizaron una búsqueda de manera exhaustiva y razonable en sus archivos, e indicaron las razones por las cuales no contaban con </w:t>
      </w:r>
      <w:r w:rsidRPr="00DC18FA" w:rsidR="002025A1">
        <w:rPr>
          <w:rFonts w:eastAsia="Times New Roman" w:cs="Tahoma"/>
          <w:color w:val="auto"/>
          <w:lang w:val="es-ES" w:eastAsia="es-ES"/>
        </w:rPr>
        <w:t xml:space="preserve">esta, a saber, por que no </w:t>
      </w:r>
      <w:r w:rsidRPr="00DC18FA" w:rsidR="00F440FC">
        <w:rPr>
          <w:rFonts w:eastAsia="Times New Roman" w:cs="Tahoma"/>
          <w:color w:val="auto"/>
          <w:lang w:val="es-ES" w:eastAsia="es-ES"/>
        </w:rPr>
        <w:t>existía antecedente de haberse realizado procedimiento alguno al inmueble objeto de la solicitud de información.</w:t>
      </w:r>
    </w:p>
    <w:p w:rsidRPr="00DC18FA" w:rsidR="00A24B04" w:rsidP="00DC18FA" w:rsidRDefault="00A24B04" w14:paraId="558005F1" w14:textId="77777777">
      <w:pPr>
        <w:spacing w:after="0"/>
        <w:rPr>
          <w:rFonts w:eastAsia="Times New Roman" w:cs="Tahoma"/>
          <w:bCs/>
          <w:color w:val="auto"/>
          <w:lang w:eastAsia="es-ES"/>
        </w:rPr>
      </w:pPr>
    </w:p>
    <w:p w:rsidRPr="00A24B04" w:rsidR="00A24B04" w:rsidP="00DC18FA" w:rsidRDefault="00A24B04" w14:paraId="07645DB4" w14:textId="23F8CA1E">
      <w:pPr>
        <w:spacing w:after="0"/>
        <w:rPr>
          <w:rFonts w:eastAsia="Times New Roman" w:cs="Tahoma"/>
          <w:bCs/>
          <w:color w:val="auto"/>
          <w:lang w:eastAsia="es-ES"/>
        </w:rPr>
      </w:pPr>
      <w:r w:rsidRPr="00A24B04">
        <w:rPr>
          <w:rFonts w:eastAsia="Times New Roman" w:cs="Tahoma"/>
          <w:bCs/>
          <w:color w:val="auto"/>
          <w:lang w:eastAsia="es-ES"/>
        </w:rPr>
        <w:t xml:space="preserve">En ese contexto, la </w:t>
      </w:r>
      <w:r w:rsidRPr="00DC18FA">
        <w:rPr>
          <w:rFonts w:eastAsia="Times New Roman" w:cs="Tahoma"/>
          <w:bCs/>
          <w:color w:val="auto"/>
          <w:lang w:eastAsia="es-ES"/>
        </w:rPr>
        <w:t>Dirección de Desarrollo Urbano</w:t>
      </w:r>
      <w:r w:rsidRPr="00A24B04">
        <w:rPr>
          <w:rFonts w:eastAsia="Times New Roman" w:cs="Tahoma"/>
          <w:bCs/>
          <w:color w:val="auto"/>
          <w:lang w:eastAsia="es-ES"/>
        </w:rPr>
        <w:t xml:space="preserve">, señaló las circunstancias por las cuales no contaba con la información, a saber, que no había </w:t>
      </w:r>
      <w:r w:rsidRPr="00DC18FA">
        <w:rPr>
          <w:rFonts w:eastAsia="Times New Roman" w:cs="Tahoma"/>
          <w:bCs/>
          <w:color w:val="auto"/>
          <w:lang w:eastAsia="es-ES"/>
        </w:rPr>
        <w:t xml:space="preserve">localizado ningún procedimiento </w:t>
      </w:r>
      <w:r w:rsidRPr="00DC18FA">
        <w:rPr>
          <w:rFonts w:eastAsia="Times New Roman" w:cs="Tahoma"/>
          <w:bCs/>
          <w:color w:val="auto"/>
          <w:lang w:eastAsia="es-ES"/>
        </w:rPr>
        <w:lastRenderedPageBreak/>
        <w:t>administrativo, en materia de acción urbanística, relacionado con el inmueble señalado en la solicitud</w:t>
      </w:r>
      <w:r w:rsidRPr="00A24B04">
        <w:rPr>
          <w:rFonts w:eastAsia="Times New Roman" w:cs="Tahoma"/>
          <w:bCs/>
          <w:color w:val="auto"/>
          <w:lang w:eastAsia="es-ES"/>
        </w:rPr>
        <w:t>.</w:t>
      </w:r>
    </w:p>
    <w:p w:rsidRPr="00A24B04" w:rsidR="00A24B04" w:rsidP="00DC18FA" w:rsidRDefault="00A24B04" w14:paraId="306B7618" w14:textId="77777777">
      <w:pPr>
        <w:spacing w:after="0"/>
        <w:rPr>
          <w:rFonts w:eastAsia="Times New Roman" w:cs="Tahoma"/>
          <w:color w:val="auto"/>
          <w:lang w:val="es-ES" w:eastAsia="es-ES"/>
        </w:rPr>
      </w:pPr>
    </w:p>
    <w:p w:rsidRPr="00A24B04" w:rsidR="00A24B04" w:rsidP="00DC18FA" w:rsidRDefault="00A24B04" w14:paraId="259E36EF" w14:textId="6FC34FF1">
      <w:pPr>
        <w:spacing w:after="0"/>
        <w:rPr>
          <w:rFonts w:eastAsia="Times New Roman" w:cs="Tahoma"/>
          <w:color w:val="auto"/>
          <w:lang w:val="es-ES" w:eastAsia="es-ES"/>
        </w:rPr>
      </w:pPr>
      <w:r w:rsidRPr="00A24B04">
        <w:rPr>
          <w:rFonts w:eastAsia="Times New Roman" w:cs="Tahoma"/>
          <w:color w:val="auto"/>
          <w:lang w:val="es-ES" w:eastAsia="es-ES"/>
        </w:rPr>
        <w:t xml:space="preserve">Respecto, a lo anterior, este Instituto realizó una búsqueda de información pública, en la página oficial del Ayuntamiento de </w:t>
      </w:r>
      <w:r w:rsidRPr="00DC18FA">
        <w:rPr>
          <w:rFonts w:eastAsia="Times New Roman" w:cs="Tahoma"/>
          <w:color w:val="auto"/>
          <w:lang w:val="es-ES" w:eastAsia="es-ES"/>
        </w:rPr>
        <w:t>Lerma</w:t>
      </w:r>
      <w:r w:rsidRPr="00A24B04">
        <w:rPr>
          <w:rFonts w:eastAsia="Times New Roman" w:cs="Tahoma"/>
          <w:color w:val="auto"/>
          <w:lang w:val="es-ES" w:eastAsia="es-ES"/>
        </w:rPr>
        <w:t xml:space="preserve">, así como en su Portal de Información Pública de Oficio Mexiquense, (consultadas a partir de las doce horas, el </w:t>
      </w:r>
      <w:r w:rsidRPr="00DC18FA">
        <w:rPr>
          <w:rFonts w:eastAsia="Times New Roman" w:cs="Tahoma"/>
          <w:color w:val="auto"/>
          <w:lang w:val="es-ES" w:eastAsia="es-ES"/>
        </w:rPr>
        <w:t>dieciocho de abril</w:t>
      </w:r>
      <w:r w:rsidRPr="00A24B04">
        <w:rPr>
          <w:rFonts w:eastAsia="Times New Roman" w:cs="Tahoma"/>
          <w:color w:val="auto"/>
          <w:lang w:val="es-ES" w:eastAsia="es-ES"/>
        </w:rPr>
        <w:t xml:space="preserve"> de dos mil veintidós, en los vínculos electrónicos </w:t>
      </w:r>
      <w:r w:rsidRPr="00DC18FA">
        <w:rPr>
          <w:rFonts w:eastAsia="Times New Roman" w:cs="Tahoma"/>
          <w:color w:val="auto"/>
          <w:lang w:val="es-ES" w:eastAsia="es-ES"/>
        </w:rPr>
        <w:t>https://lerma.gob.mx/#</w:t>
      </w:r>
      <w:r w:rsidRPr="00A24B04">
        <w:rPr>
          <w:rFonts w:eastAsia="Times New Roman" w:cs="Tahoma"/>
          <w:color w:val="auto"/>
          <w:lang w:val="es-ES" w:eastAsia="es-ES"/>
        </w:rPr>
        <w:t xml:space="preserve"> y </w:t>
      </w:r>
      <w:r w:rsidRPr="00DC18FA">
        <w:rPr>
          <w:rFonts w:eastAsia="Calibri" w:cs="Times New Roman"/>
        </w:rPr>
        <w:t>https://www.ipomex.org.mx/ipo3/lgt/indice/lerma.web</w:t>
      </w:r>
      <w:r w:rsidRPr="00A24B04">
        <w:rPr>
          <w:rFonts w:eastAsia="Times New Roman" w:cs="Tahoma"/>
          <w:color w:val="auto"/>
          <w:lang w:val="es-ES" w:eastAsia="es-ES"/>
        </w:rPr>
        <w:t xml:space="preserve">), sin embargo, no se localizó algún </w:t>
      </w:r>
      <w:r w:rsidRPr="00DC18FA" w:rsidR="00DC18FA">
        <w:rPr>
          <w:rFonts w:eastAsia="Times New Roman" w:cs="Tahoma"/>
          <w:color w:val="auto"/>
          <w:lang w:val="es-ES" w:eastAsia="es-ES"/>
        </w:rPr>
        <w:t xml:space="preserve">indició de que se haya iniciado algún procedimiento administrativo relacionado con el inmueble multicitado. </w:t>
      </w:r>
    </w:p>
    <w:p w:rsidRPr="00A24B04" w:rsidR="00A24B04" w:rsidP="00DC18FA" w:rsidRDefault="00A24B04" w14:paraId="41AE3BDA" w14:textId="77777777">
      <w:pPr>
        <w:spacing w:after="0"/>
        <w:rPr>
          <w:rFonts w:eastAsia="Times New Roman" w:cs="Tahoma"/>
          <w:color w:val="auto"/>
          <w:lang w:val="es-ES" w:eastAsia="es-ES"/>
        </w:rPr>
      </w:pPr>
    </w:p>
    <w:p w:rsidRPr="00A24B04" w:rsidR="00A24B04" w:rsidP="00DC18FA" w:rsidRDefault="00A24B04" w14:paraId="543AE98B" w14:textId="6FF8F0B3">
      <w:pPr>
        <w:spacing w:after="0"/>
        <w:rPr>
          <w:rFonts w:eastAsia="Times New Roman" w:cs="Tahoma"/>
          <w:color w:val="auto"/>
          <w:lang w:val="es-ES" w:eastAsia="es-ES"/>
        </w:rPr>
      </w:pPr>
      <w:r w:rsidRPr="00A24B04">
        <w:rPr>
          <w:rFonts w:eastAsia="Times New Roman" w:cs="Tahoma"/>
          <w:color w:val="auto"/>
          <w:lang w:val="es-ES" w:eastAsia="es-ES"/>
        </w:rPr>
        <w:t xml:space="preserve">Así, se logra colegir que la información solicitada por la ahora Recurrente es inexistente, pues el Sujeto Obligado, realizó una búsqueda de manera exhaustiva y razonable en sus archivos, al gestionar la solicitud de información al área competente, realizar la indagación minuciosa en todos sus archivos y finalmente, señalar los motivos por las cuales no contaba con la peticionado, a saber, que no había </w:t>
      </w:r>
      <w:r w:rsidRPr="00DC18FA" w:rsidR="00DC18FA">
        <w:rPr>
          <w:rFonts w:eastAsia="Times New Roman" w:cs="Tahoma"/>
          <w:color w:val="auto"/>
          <w:lang w:val="es-ES" w:eastAsia="es-ES"/>
        </w:rPr>
        <w:t>iniciado algún procedimiento administrativo</w:t>
      </w:r>
      <w:r w:rsidRPr="00A24B04">
        <w:rPr>
          <w:rFonts w:eastAsia="Times New Roman" w:cs="Tahoma"/>
          <w:color w:val="auto"/>
          <w:lang w:val="es-ES" w:eastAsia="es-ES"/>
        </w:rPr>
        <w:t>.</w:t>
      </w:r>
    </w:p>
    <w:p w:rsidRPr="00A24B04" w:rsidR="00A24B04" w:rsidP="00DC18FA" w:rsidRDefault="00A24B04" w14:paraId="731E610B" w14:textId="77777777">
      <w:pPr>
        <w:spacing w:after="0"/>
        <w:rPr>
          <w:rFonts w:eastAsia="Times New Roman" w:cs="Tahoma"/>
          <w:color w:val="auto"/>
          <w:lang w:val="es-ES" w:eastAsia="es-ES"/>
        </w:rPr>
      </w:pPr>
    </w:p>
    <w:p w:rsidRPr="00A24B04" w:rsidR="00A24B04" w:rsidP="00DC18FA" w:rsidRDefault="00A24B04" w14:paraId="6F7DE43F" w14:textId="5719EC35">
      <w:pPr>
        <w:spacing w:after="0"/>
        <w:rPr>
          <w:rFonts w:eastAsia="Times New Roman" w:cs="Tahoma"/>
          <w:color w:val="auto"/>
          <w:lang w:val="es-ES" w:eastAsia="es-ES"/>
        </w:rPr>
      </w:pPr>
      <w:r w:rsidRPr="00A24B04">
        <w:rPr>
          <w:rFonts w:eastAsia="Times New Roman" w:cs="Tahoma"/>
          <w:color w:val="auto"/>
          <w:lang w:val="es-ES" w:eastAsia="es-ES"/>
        </w:rPr>
        <w:t xml:space="preserve">Por tales consideraciones, se desprende que durante la sustanciación del Medio de Impugnación, el Ayuntamiento de </w:t>
      </w:r>
      <w:r w:rsidRPr="00DC18FA" w:rsidR="00DC18FA">
        <w:rPr>
          <w:rFonts w:eastAsia="Times New Roman" w:cs="Tahoma"/>
          <w:color w:val="auto"/>
          <w:lang w:val="es-ES" w:eastAsia="es-ES"/>
        </w:rPr>
        <w:t>Lerma</w:t>
      </w:r>
      <w:r w:rsidRPr="00A24B04">
        <w:rPr>
          <w:rFonts w:eastAsia="Times New Roman" w:cs="Tahoma"/>
          <w:color w:val="auto"/>
          <w:lang w:val="es-ES" w:eastAsia="es-ES"/>
        </w:rPr>
        <w:t xml:space="preserve">, </w:t>
      </w:r>
      <w:r w:rsidRPr="00DC18FA" w:rsidR="00DC18FA">
        <w:rPr>
          <w:rFonts w:eastAsia="Times New Roman" w:cs="Tahoma"/>
          <w:color w:val="auto"/>
          <w:lang w:val="es-ES" w:eastAsia="es-ES"/>
        </w:rPr>
        <w:t>modificó</w:t>
      </w:r>
      <w:r w:rsidRPr="00A24B04">
        <w:rPr>
          <w:rFonts w:eastAsia="Times New Roman" w:cs="Tahoma"/>
          <w:color w:val="auto"/>
          <w:lang w:val="es-ES" w:eastAsia="es-ES"/>
        </w:rPr>
        <w:t xml:space="preserve"> la respuesta primigenia y señaló las razones por las cuales no contaba con lo peticionado; </w:t>
      </w:r>
      <w:r w:rsidRPr="00DC18FA" w:rsidR="00DC18FA">
        <w:rPr>
          <w:rFonts w:eastAsia="Times New Roman" w:cs="Tahoma"/>
          <w:lang w:eastAsia="es-ES"/>
        </w:rPr>
        <w:t>sobre esto</w:t>
      </w:r>
      <w:r w:rsidRPr="00A24B04">
        <w:rPr>
          <w:rFonts w:eastAsia="Times New Roman" w:cs="Tahoma"/>
          <w:lang w:eastAsia="es-ES"/>
        </w:rPr>
        <w:t xml:space="preserve">, el </w:t>
      </w:r>
      <w:r w:rsidRPr="00A24B04">
        <w:rPr>
          <w:rFonts w:eastAsia="Times New Roman" w:cs="Tahoma"/>
          <w:color w:val="auto"/>
          <w:lang w:val="es-ES" w:eastAsia="es-ES"/>
        </w:rPr>
        <w:t xml:space="preserve">artículo 19, segundo párrafo, de la Ley de Transparencia y Acceso a la Información Pública del Estado de México y Municipios, </w:t>
      </w:r>
      <w:r w:rsidRPr="00DC18FA" w:rsidR="00DC18FA">
        <w:rPr>
          <w:rFonts w:eastAsia="Times New Roman" w:cs="Tahoma"/>
          <w:color w:val="auto"/>
          <w:lang w:val="es-ES" w:eastAsia="es-ES"/>
        </w:rPr>
        <w:t>e</w:t>
      </w:r>
      <w:r w:rsidRPr="00A24B04">
        <w:rPr>
          <w:rFonts w:eastAsia="Times New Roman" w:cs="Tahoma"/>
          <w:color w:val="auto"/>
          <w:lang w:val="es-ES" w:eastAsia="es-ES"/>
        </w:rPr>
        <w:t xml:space="preserve">stablece que en el caso de que ciertas facultades, competencias o funciones no se hayan ejercido, se debe motivar la respuesta en función de las causas que motiven tal circunstancia. </w:t>
      </w:r>
    </w:p>
    <w:p w:rsidRPr="00DC18FA" w:rsidR="00C758B1" w:rsidP="00DC18FA" w:rsidRDefault="00C758B1" w14:paraId="03DDD0D3" w14:textId="77777777">
      <w:pPr>
        <w:spacing w:after="0"/>
        <w:rPr>
          <w:rFonts w:eastAsia="Times New Roman" w:cs="Tahoma"/>
          <w:color w:val="auto"/>
          <w:lang w:val="es-ES" w:eastAsia="es-ES"/>
        </w:rPr>
      </w:pPr>
    </w:p>
    <w:p w:rsidRPr="00DC18FA" w:rsidR="00C758B1" w:rsidP="00DC18FA" w:rsidRDefault="00C758B1" w14:paraId="6FA0ECC4" w14:textId="77777777">
      <w:pPr>
        <w:spacing w:after="0"/>
        <w:rPr>
          <w:rFonts w:eastAsia="Times New Roman" w:cs="Tahoma"/>
          <w:bCs/>
          <w:color w:val="auto"/>
          <w:lang w:eastAsia="es-ES"/>
        </w:rPr>
      </w:pPr>
      <w:r w:rsidRPr="00DC18FA">
        <w:rPr>
          <w:rFonts w:eastAsia="Times New Roman" w:cs="Tahoma"/>
          <w:color w:val="auto"/>
          <w:lang w:val="es-ES" w:eastAsia="es-ES"/>
        </w:rPr>
        <w:t xml:space="preserve">De la misma manera, </w:t>
      </w:r>
      <w:r w:rsidRPr="00DC18FA">
        <w:rPr>
          <w:rFonts w:eastAsia="Times New Roman" w:cs="Tahoma"/>
          <w:bCs/>
          <w:color w:val="auto"/>
          <w:lang w:eastAsia="es-ES"/>
        </w:rPr>
        <w:t xml:space="preserve">el Criterio 07/17, emitido por el Instituto Nacional de Transparencia, Acceso a la Información y Protección de Datos Personales, establece que no será necesario que </w:t>
      </w:r>
      <w:r w:rsidRPr="00DC18FA">
        <w:rPr>
          <w:rFonts w:eastAsia="Times New Roman" w:cs="Tahoma"/>
          <w:bCs/>
          <w:color w:val="auto"/>
          <w:lang w:eastAsia="es-ES"/>
        </w:rPr>
        <w:lastRenderedPageBreak/>
        <w:t>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DC18FA" w:rsidR="00C758B1" w:rsidP="00DC18FA" w:rsidRDefault="00C758B1" w14:paraId="0BA80B4D" w14:textId="77777777">
      <w:pPr>
        <w:spacing w:after="0"/>
        <w:rPr>
          <w:rFonts w:eastAsia="Times New Roman" w:cs="Tahoma"/>
          <w:color w:val="auto"/>
          <w:lang w:val="es-ES" w:eastAsia="es-ES"/>
        </w:rPr>
      </w:pPr>
    </w:p>
    <w:p w:rsidRPr="00DC18FA" w:rsidR="00DC18FA" w:rsidP="00DC18FA" w:rsidRDefault="00C758B1" w14:paraId="2881A861" w14:textId="77777777">
      <w:pPr>
        <w:spacing w:after="0"/>
        <w:rPr>
          <w:rFonts w:cs="Tahoma"/>
          <w:b/>
          <w:bCs/>
          <w:color w:val="auto"/>
        </w:rPr>
      </w:pPr>
      <w:r w:rsidRPr="00DC18FA">
        <w:rPr>
          <w:rFonts w:eastAsia="Times New Roman" w:cs="Tahoma"/>
          <w:color w:val="000000"/>
          <w:lang w:eastAsia="es-ES"/>
        </w:rPr>
        <w:t xml:space="preserve">En ese orden de ideas, dicho criterio aplica al caso en concreto, ya que, no existe indicio </w:t>
      </w:r>
      <w:r w:rsidRPr="00DC18FA" w:rsidR="00F440FC">
        <w:rPr>
          <w:rFonts w:eastAsia="Times New Roman" w:cs="Tahoma"/>
          <w:color w:val="000000"/>
          <w:lang w:eastAsia="es-ES"/>
        </w:rPr>
        <w:t>alguno</w:t>
      </w:r>
      <w:r w:rsidRPr="00DC18FA" w:rsidR="00DC18FA">
        <w:rPr>
          <w:rFonts w:eastAsia="Times New Roman" w:cs="Tahoma"/>
          <w:color w:val="000000"/>
          <w:lang w:eastAsia="es-ES"/>
        </w:rPr>
        <w:t xml:space="preserve"> de que se haya iniciado algún procedimiento administrativo relacionado con el</w:t>
      </w:r>
      <w:r w:rsidRPr="00DC18FA" w:rsidR="00F440FC">
        <w:rPr>
          <w:rFonts w:eastAsia="Times New Roman" w:cs="Tahoma"/>
          <w:color w:val="000000"/>
          <w:lang w:eastAsia="es-ES"/>
        </w:rPr>
        <w:t xml:space="preserve"> inmueble de referencia</w:t>
      </w:r>
      <w:r w:rsidRPr="00DC18FA">
        <w:rPr>
          <w:rFonts w:eastAsia="Times New Roman" w:cs="Tahoma"/>
          <w:color w:val="000000"/>
          <w:lang w:eastAsia="es-ES"/>
        </w:rPr>
        <w:t xml:space="preserve">, </w:t>
      </w:r>
      <w:r w:rsidRPr="00DC18FA" w:rsidR="00DC18FA">
        <w:rPr>
          <w:rFonts w:cs="Tahoma"/>
          <w:bCs/>
        </w:rPr>
        <w:t xml:space="preserve">por lo cual, </w:t>
      </w:r>
      <w:r w:rsidRPr="00DC18FA" w:rsidR="00DC18FA">
        <w:rPr>
          <w:rFonts w:cs="Tahoma"/>
          <w:b/>
          <w:bCs/>
        </w:rPr>
        <w:t>se considera que el Sujeto Obligado, señaló las razones por las cuales no contaba con lo requerido y cumplió con el segundo párrafo del artículo 19 de la Ley de Transparencia y Acceso a la Información Pública del Estado de México y Municipios; por lo que,</w:t>
      </w:r>
      <w:r w:rsidRPr="00DC18FA" w:rsidR="00DC18FA">
        <w:rPr>
          <w:rFonts w:cs="Tahoma"/>
          <w:bCs/>
        </w:rPr>
        <w:t xml:space="preserve"> </w:t>
      </w:r>
      <w:r w:rsidRPr="00DC18FA" w:rsidR="00DC18FA">
        <w:rPr>
          <w:rFonts w:cs="Tahoma"/>
          <w:b/>
          <w:bCs/>
        </w:rPr>
        <w:t>se considera que la impugnación que se dirime ha quedado sin materia.</w:t>
      </w:r>
    </w:p>
    <w:p w:rsidRPr="00DC18FA" w:rsidR="00C2512E" w:rsidP="00DC18FA" w:rsidRDefault="00C2512E" w14:paraId="64F3C9A8" w14:textId="77777777">
      <w:pPr>
        <w:spacing w:after="0"/>
        <w:rPr>
          <w:rFonts w:eastAsia="Calibri" w:cs="Tahoma"/>
          <w:bCs/>
          <w:color w:val="auto"/>
          <w:lang w:eastAsia="es-ES_tradnl"/>
        </w:rPr>
      </w:pPr>
    </w:p>
    <w:p w:rsidRPr="00DC18FA" w:rsidR="00C2512E" w:rsidP="00DC18FA" w:rsidRDefault="00C2512E" w14:paraId="778C263E" w14:textId="77777777">
      <w:pPr>
        <w:spacing w:after="0"/>
        <w:rPr>
          <w:rFonts w:eastAsia="Calibri" w:cs="Tahoma"/>
          <w:b/>
          <w:bCs/>
          <w:color w:val="auto"/>
          <w:lang w:eastAsia="es-ES_tradnl"/>
        </w:rPr>
      </w:pPr>
      <w:r w:rsidRPr="00DC18FA">
        <w:rPr>
          <w:rFonts w:eastAsia="Calibri" w:cs="Tahoma"/>
          <w:b/>
          <w:bCs/>
          <w:color w:val="auto"/>
          <w:lang w:eastAsia="es-ES_tradnl"/>
        </w:rPr>
        <w:t xml:space="preserve">CUARTO. Decisión. </w:t>
      </w:r>
    </w:p>
    <w:p w:rsidRPr="00DC18FA" w:rsidR="00C2512E" w:rsidP="00DC18FA" w:rsidRDefault="00C2512E" w14:paraId="56A40E29" w14:textId="77777777">
      <w:pPr>
        <w:spacing w:after="0"/>
        <w:rPr>
          <w:rFonts w:eastAsia="Calibri" w:cs="Tahoma"/>
          <w:bCs/>
          <w:color w:val="auto"/>
          <w:lang w:eastAsia="es-ES_tradnl"/>
        </w:rPr>
      </w:pPr>
    </w:p>
    <w:p w:rsidRPr="00DC18FA" w:rsidR="00C2512E" w:rsidP="00DC18FA" w:rsidRDefault="00C2512E" w14:paraId="6EC01BA0" w14:textId="77777777">
      <w:pPr>
        <w:spacing w:after="0"/>
        <w:rPr>
          <w:rFonts w:eastAsia="Calibri" w:cs="Tahoma"/>
          <w:bCs/>
          <w:color w:val="auto"/>
          <w:lang w:eastAsia="es-ES_tradnl"/>
        </w:rPr>
      </w:pPr>
      <w:r w:rsidRPr="00DC18FA">
        <w:rPr>
          <w:rFonts w:eastAsia="Calibri" w:cs="Tahoma"/>
          <w:bCs/>
          <w:color w:val="auto"/>
          <w:lang w:eastAsia="es-ES_tradnl"/>
        </w:rPr>
        <w:t xml:space="preserve">Con fundamento en lo dispuesto en el artículo 186, fracción I, de la Ley de Transparencia y Acceso a la Información Pública del Estado de México y Municipios, se considera procedente </w:t>
      </w:r>
      <w:r w:rsidRPr="00DC18FA">
        <w:rPr>
          <w:rFonts w:eastAsia="Calibri" w:cs="Tahoma"/>
          <w:b/>
          <w:color w:val="auto"/>
          <w:lang w:eastAsia="es-ES_tradnl"/>
        </w:rPr>
        <w:t>SOBRESEER</w:t>
      </w:r>
      <w:r w:rsidRPr="00DC18FA">
        <w:rPr>
          <w:rFonts w:eastAsia="Calibri" w:cs="Tahoma"/>
          <w:bCs/>
          <w:color w:val="auto"/>
          <w:lang w:eastAsia="es-ES_tradnl"/>
        </w:rPr>
        <w:t xml:space="preserve"> el Recurso de Revisión, en virtud de que se actualiza la hipótesis normativa prevista en la fracción III, del artículo 192, del citado ordenamiento legal.</w:t>
      </w:r>
    </w:p>
    <w:p w:rsidRPr="00DC18FA" w:rsidR="00C2512E" w:rsidP="00DC18FA" w:rsidRDefault="00C2512E" w14:paraId="5AF0B612" w14:textId="77777777">
      <w:pPr>
        <w:spacing w:after="0"/>
        <w:rPr>
          <w:rFonts w:eastAsia="Calibri" w:cs="Tahoma"/>
          <w:bCs/>
          <w:color w:val="auto"/>
          <w:lang w:eastAsia="es-ES_tradnl"/>
        </w:rPr>
      </w:pPr>
    </w:p>
    <w:p w:rsidRPr="00DC18FA" w:rsidR="00C2512E" w:rsidP="00DC18FA" w:rsidRDefault="00C2512E" w14:paraId="5F85AE93" w14:textId="77777777">
      <w:pPr>
        <w:spacing w:after="0"/>
        <w:rPr>
          <w:rFonts w:eastAsia="Calibri" w:cs="Tahoma"/>
          <w:b/>
          <w:color w:val="auto"/>
          <w:lang w:eastAsia="es-ES_tradnl"/>
        </w:rPr>
      </w:pPr>
      <w:r w:rsidRPr="00DC18FA">
        <w:rPr>
          <w:rFonts w:eastAsia="Calibri" w:cs="Tahoma"/>
          <w:b/>
          <w:color w:val="auto"/>
          <w:lang w:eastAsia="es-ES_tradnl"/>
        </w:rPr>
        <w:t>Términos de la Resolución para conocimiento del Particular.</w:t>
      </w:r>
    </w:p>
    <w:p w:rsidRPr="00DC18FA" w:rsidR="00C2512E" w:rsidP="00DC18FA" w:rsidRDefault="00C2512E" w14:paraId="268715AB" w14:textId="77777777">
      <w:pPr>
        <w:spacing w:after="0"/>
        <w:rPr>
          <w:rFonts w:eastAsia="Calibri" w:cs="Tahoma"/>
          <w:bCs/>
          <w:color w:val="auto"/>
          <w:lang w:eastAsia="es-ES_tradnl"/>
        </w:rPr>
      </w:pPr>
    </w:p>
    <w:p w:rsidR="00C2512E" w:rsidP="00DC18FA" w:rsidRDefault="00C2512E" w14:paraId="6BD08B8D" w14:textId="3F07AC7A">
      <w:pPr>
        <w:spacing w:after="0"/>
        <w:rPr>
          <w:rFonts w:eastAsia="Calibri" w:cs="Tahoma"/>
          <w:bCs/>
          <w:color w:val="auto"/>
          <w:lang w:eastAsia="es-ES_tradnl"/>
        </w:rPr>
      </w:pPr>
      <w:r w:rsidRPr="00DC18FA">
        <w:rPr>
          <w:rFonts w:eastAsia="Calibri" w:cs="Tahoma"/>
          <w:bCs/>
          <w:color w:val="auto"/>
          <w:lang w:eastAsia="es-ES_tradnl"/>
        </w:rPr>
        <w:t xml:space="preserve">Se le hace del conocimiento al Particular, </w:t>
      </w:r>
      <w:proofErr w:type="gramStart"/>
      <w:r w:rsidRPr="00DC18FA">
        <w:rPr>
          <w:rFonts w:eastAsia="Calibri" w:cs="Tahoma"/>
          <w:bCs/>
          <w:color w:val="auto"/>
          <w:lang w:eastAsia="es-ES_tradnl"/>
        </w:rPr>
        <w:t>que</w:t>
      </w:r>
      <w:proofErr w:type="gramEnd"/>
      <w:r w:rsidRPr="00DC18FA">
        <w:rPr>
          <w:rFonts w:eastAsia="Calibri" w:cs="Tahoma"/>
          <w:bCs/>
          <w:color w:val="auto"/>
          <w:lang w:eastAsia="es-ES_tradnl"/>
        </w:rPr>
        <w:t xml:space="preserve"> si bien </w:t>
      </w:r>
      <w:r w:rsidRPr="00DC18FA" w:rsidR="00942EE2">
        <w:rPr>
          <w:rFonts w:eastAsia="Calibri" w:cs="Tahoma"/>
          <w:bCs/>
          <w:color w:val="auto"/>
          <w:lang w:eastAsia="es-ES_tradnl"/>
        </w:rPr>
        <w:t xml:space="preserve">en un principio se le daba la razón, pues el Sujeto Obligado no atendió de manera correcta la solicitud de información, también lo es, que subsanó su actuar y </w:t>
      </w:r>
      <w:r w:rsidR="00DC18FA">
        <w:rPr>
          <w:rFonts w:eastAsia="Calibri" w:cs="Tahoma"/>
          <w:bCs/>
          <w:color w:val="auto"/>
          <w:lang w:eastAsia="es-ES_tradnl"/>
        </w:rPr>
        <w:t>señaló las razones por las cuales no contaba con la información peticionada, con lo cual se tuvo por atendido el requerimiento de información.</w:t>
      </w:r>
    </w:p>
    <w:p w:rsidR="00DC18FA" w:rsidP="00DC18FA" w:rsidRDefault="00DC18FA" w14:paraId="4DFCDBCA" w14:textId="7888C166">
      <w:pPr>
        <w:spacing w:after="0"/>
        <w:rPr>
          <w:rFonts w:eastAsia="Calibri" w:cs="Tahoma"/>
          <w:bCs/>
          <w:color w:val="auto"/>
          <w:lang w:eastAsia="es-ES_tradnl"/>
        </w:rPr>
      </w:pPr>
    </w:p>
    <w:p w:rsidR="00DC18FA" w:rsidP="00DC18FA" w:rsidRDefault="00DC18FA" w14:paraId="2833A535" w14:textId="7252212E">
      <w:pPr>
        <w:spacing w:after="0"/>
        <w:rPr>
          <w:rFonts w:eastAsia="Calibri" w:cs="Tahoma"/>
          <w:bCs/>
          <w:iCs/>
          <w:color w:val="auto"/>
        </w:rPr>
      </w:pPr>
      <w:r w:rsidRPr="00DC18FA">
        <w:rPr>
          <w:rFonts w:eastAsia="Calibri" w:cs="Tahoma"/>
          <w:bCs/>
          <w:iCs/>
          <w:color w:val="auto"/>
        </w:rPr>
        <w:t>Finalmente, labor del Instituto, es apoyar a la población a acceder a la información pública y garantizar la protección de sus datos personales.</w:t>
      </w:r>
    </w:p>
    <w:p w:rsidRPr="00DC18FA" w:rsidR="00DC18FA" w:rsidP="00DC18FA" w:rsidRDefault="00DC18FA" w14:paraId="74728697" w14:textId="77777777">
      <w:pPr>
        <w:spacing w:after="0"/>
        <w:rPr>
          <w:rFonts w:eastAsia="Calibri" w:cs="Tahoma"/>
          <w:bCs/>
          <w:iCs/>
          <w:color w:val="auto"/>
        </w:rPr>
      </w:pPr>
    </w:p>
    <w:p w:rsidR="00DC18FA" w:rsidP="00DC18FA" w:rsidRDefault="00DC18FA" w14:paraId="5E1957CE" w14:textId="4161016B">
      <w:pPr>
        <w:spacing w:after="0"/>
        <w:rPr>
          <w:rFonts w:eastAsia="Calibri" w:cs="Tahoma"/>
          <w:bCs/>
        </w:rPr>
      </w:pPr>
      <w:r>
        <w:rPr>
          <w:rFonts w:eastAsia="Calibri" w:cs="Tahoma"/>
          <w:bCs/>
        </w:rPr>
        <w:t>Por lo expuesto y fundado, este Pleno:</w:t>
      </w:r>
    </w:p>
    <w:p w:rsidR="00DC18FA" w:rsidP="00DC18FA" w:rsidRDefault="00DC18FA" w14:paraId="41804E8C" w14:textId="77777777">
      <w:pPr>
        <w:spacing w:after="0"/>
        <w:rPr>
          <w:rFonts w:eastAsia="Calibri" w:cs="Tahoma"/>
          <w:bCs/>
          <w:color w:val="auto"/>
        </w:rPr>
      </w:pPr>
    </w:p>
    <w:p w:rsidRPr="00DC18FA" w:rsidR="00C2512E" w:rsidP="00DC18FA" w:rsidRDefault="00C2512E" w14:paraId="146EA9CD" w14:textId="04649174">
      <w:pPr>
        <w:spacing w:after="0"/>
        <w:jc w:val="center"/>
        <w:rPr>
          <w:rFonts w:eastAsia="Calibri" w:cs="Tahoma"/>
          <w:b/>
          <w:bCs/>
          <w:color w:val="auto"/>
          <w:lang w:eastAsia="es-ES_tradnl"/>
        </w:rPr>
      </w:pPr>
      <w:r w:rsidRPr="00DC18FA">
        <w:rPr>
          <w:rFonts w:eastAsia="Calibri" w:cs="Tahoma"/>
          <w:b/>
          <w:bCs/>
          <w:color w:val="auto"/>
          <w:lang w:eastAsia="es-ES_tradnl"/>
        </w:rPr>
        <w:t>R E S U E L V E:</w:t>
      </w:r>
    </w:p>
    <w:p w:rsidRPr="00DC18FA" w:rsidR="00C2512E" w:rsidP="00DC18FA" w:rsidRDefault="00C2512E" w14:paraId="7474DBE3" w14:textId="77777777">
      <w:pPr>
        <w:spacing w:after="0"/>
        <w:rPr>
          <w:rFonts w:eastAsia="Calibri" w:cs="Tahoma"/>
          <w:bCs/>
          <w:color w:val="auto"/>
          <w:lang w:eastAsia="es-ES_tradnl"/>
        </w:rPr>
      </w:pPr>
    </w:p>
    <w:p w:rsidRPr="00DC18FA" w:rsidR="00C2512E" w:rsidP="00DC18FA" w:rsidRDefault="00C2512E" w14:paraId="42247911" w14:textId="0B3939EC">
      <w:pPr>
        <w:spacing w:after="0"/>
        <w:rPr>
          <w:rFonts w:eastAsia="Calibri" w:cs="Tahoma"/>
          <w:bCs/>
          <w:color w:val="auto"/>
          <w:lang w:eastAsia="es-ES_tradnl"/>
        </w:rPr>
      </w:pPr>
      <w:r w:rsidRPr="00DC18FA">
        <w:rPr>
          <w:rFonts w:eastAsia="Calibri" w:cs="Tahoma"/>
          <w:b/>
          <w:bCs/>
          <w:color w:val="auto"/>
          <w:lang w:eastAsia="es-ES_tradnl"/>
        </w:rPr>
        <w:t>PRIMERO</w:t>
      </w:r>
      <w:r w:rsidRPr="00DC18FA">
        <w:rPr>
          <w:rFonts w:eastAsia="Calibri" w:cs="Tahoma"/>
          <w:bCs/>
          <w:color w:val="auto"/>
          <w:lang w:eastAsia="es-ES_tradnl"/>
        </w:rPr>
        <w:t xml:space="preserve">. Se </w:t>
      </w:r>
      <w:r w:rsidRPr="00DC18FA">
        <w:rPr>
          <w:rFonts w:eastAsia="Calibri" w:cs="Tahoma"/>
          <w:b/>
          <w:bCs/>
          <w:color w:val="auto"/>
          <w:lang w:eastAsia="es-ES_tradnl"/>
        </w:rPr>
        <w:t>SOBRESEE</w:t>
      </w:r>
      <w:r w:rsidRPr="00DC18FA">
        <w:rPr>
          <w:rFonts w:eastAsia="Calibri" w:cs="Tahoma"/>
          <w:bCs/>
          <w:color w:val="auto"/>
          <w:lang w:eastAsia="es-ES_tradnl"/>
        </w:rPr>
        <w:t xml:space="preserve"> el Recurso de Revisión con número </w:t>
      </w:r>
      <w:r w:rsidRPr="00DC18FA" w:rsidR="00391275">
        <w:rPr>
          <w:rFonts w:eastAsia="Calibri" w:cs="Tahoma"/>
          <w:bCs/>
          <w:color w:val="auto"/>
          <w:lang w:eastAsia="es-ES_tradnl"/>
        </w:rPr>
        <w:t>0</w:t>
      </w:r>
      <w:r w:rsidRPr="00DC18FA" w:rsidR="00391275">
        <w:rPr>
          <w:rFonts w:eastAsia="Calibri" w:cs="Tahoma"/>
          <w:b/>
          <w:bCs/>
          <w:color w:val="auto"/>
          <w:lang w:eastAsia="es-ES_tradnl"/>
        </w:rPr>
        <w:t>0866</w:t>
      </w:r>
      <w:r w:rsidRPr="00DC18FA" w:rsidR="0036431D">
        <w:rPr>
          <w:rFonts w:eastAsia="Calibri" w:cs="Tahoma"/>
          <w:b/>
          <w:bCs/>
          <w:color w:val="auto"/>
          <w:lang w:eastAsia="es-ES_tradnl"/>
        </w:rPr>
        <w:t>/INFOEM/IP/RR/2022</w:t>
      </w:r>
      <w:r w:rsidRPr="00DC18FA">
        <w:rPr>
          <w:rFonts w:eastAsia="Calibri" w:cs="Tahoma"/>
          <w:bCs/>
          <w:color w:val="auto"/>
          <w:lang w:eastAsia="es-ES_tradnl"/>
        </w:rPr>
        <w:t xml:space="preserve">, porque el Sujeto Obligado, al modificar la respuesta a la solicitud de acceso a la información con número </w:t>
      </w:r>
      <w:r w:rsidRPr="00DC18FA" w:rsidR="00391275">
        <w:rPr>
          <w:rFonts w:eastAsia="Calibri" w:cs="Tahoma"/>
          <w:b/>
          <w:bCs/>
          <w:color w:val="auto"/>
          <w:lang w:eastAsia="es-ES_tradnl"/>
        </w:rPr>
        <w:t>00022/LERMA/IP/2022</w:t>
      </w:r>
      <w:r w:rsidRPr="00DC18FA">
        <w:rPr>
          <w:rFonts w:eastAsia="Calibri" w:cs="Tahoma"/>
          <w:bCs/>
          <w:color w:val="auto"/>
          <w:lang w:eastAsia="es-ES_tradnl"/>
        </w:rPr>
        <w:t xml:space="preserve">, el Medio de Impugnación, quedó sin materia, en términos de los Considerandos </w:t>
      </w:r>
      <w:r w:rsidRPr="00DC18FA">
        <w:rPr>
          <w:rFonts w:eastAsia="Calibri" w:cs="Tahoma"/>
          <w:b/>
          <w:bCs/>
          <w:color w:val="auto"/>
          <w:lang w:eastAsia="es-ES_tradnl"/>
        </w:rPr>
        <w:t>TERCERO</w:t>
      </w:r>
      <w:r w:rsidRPr="00DC18FA">
        <w:rPr>
          <w:rFonts w:eastAsia="Calibri" w:cs="Tahoma"/>
          <w:bCs/>
          <w:color w:val="auto"/>
          <w:lang w:eastAsia="es-ES_tradnl"/>
        </w:rPr>
        <w:t xml:space="preserve"> y </w:t>
      </w:r>
      <w:r w:rsidRPr="00DC18FA">
        <w:rPr>
          <w:rFonts w:eastAsia="Calibri" w:cs="Tahoma"/>
          <w:b/>
          <w:bCs/>
          <w:color w:val="auto"/>
          <w:lang w:eastAsia="es-ES_tradnl"/>
        </w:rPr>
        <w:t xml:space="preserve">CUARTO </w:t>
      </w:r>
      <w:r w:rsidRPr="00DC18FA">
        <w:rPr>
          <w:rFonts w:eastAsia="Calibri" w:cs="Tahoma"/>
          <w:bCs/>
          <w:color w:val="auto"/>
          <w:lang w:eastAsia="es-ES_tradnl"/>
        </w:rPr>
        <w:t>de la presente Resolución.</w:t>
      </w:r>
    </w:p>
    <w:p w:rsidRPr="00DC18FA" w:rsidR="00C2512E" w:rsidP="00DC18FA" w:rsidRDefault="00C2512E" w14:paraId="0C4566B5" w14:textId="77777777">
      <w:pPr>
        <w:spacing w:after="0"/>
        <w:rPr>
          <w:rFonts w:eastAsia="Calibri" w:cs="Tahoma"/>
          <w:bCs/>
          <w:color w:val="auto"/>
          <w:lang w:eastAsia="es-ES_tradnl"/>
        </w:rPr>
      </w:pPr>
    </w:p>
    <w:p w:rsidRPr="00DC18FA" w:rsidR="00C2512E" w:rsidP="00DC18FA" w:rsidRDefault="00C2512E" w14:paraId="5D81E5F3" w14:textId="77777777">
      <w:pPr>
        <w:spacing w:after="0"/>
        <w:rPr>
          <w:rFonts w:eastAsia="Calibri" w:cs="Tahoma"/>
          <w:bCs/>
          <w:color w:val="auto"/>
          <w:lang w:eastAsia="es-ES_tradnl"/>
        </w:rPr>
      </w:pPr>
      <w:r w:rsidRPr="00DC18FA">
        <w:rPr>
          <w:rFonts w:eastAsia="Calibri" w:cs="Tahoma"/>
          <w:b/>
          <w:bCs/>
          <w:color w:val="auto"/>
          <w:lang w:eastAsia="es-ES_tradnl"/>
        </w:rPr>
        <w:t>SEGUNDO. NOTIFÍQUESE</w:t>
      </w:r>
      <w:r w:rsidRPr="00DC18FA">
        <w:rPr>
          <w:rFonts w:eastAsia="Calibri" w:cs="Tahoma"/>
          <w:bCs/>
          <w:color w:val="auto"/>
          <w:lang w:eastAsia="es-ES_tradnl"/>
        </w:rPr>
        <w:t xml:space="preserve"> la presente Resolución al Titular de la Unidad de Transparencia del Sujeto Obligado.</w:t>
      </w:r>
    </w:p>
    <w:p w:rsidRPr="00DC18FA" w:rsidR="00C2512E" w:rsidP="00DC18FA" w:rsidRDefault="00C2512E" w14:paraId="5B5F7DF5" w14:textId="77777777">
      <w:pPr>
        <w:spacing w:after="0"/>
        <w:rPr>
          <w:rFonts w:eastAsia="Calibri" w:cs="Tahoma"/>
          <w:bCs/>
          <w:color w:val="auto"/>
          <w:lang w:eastAsia="es-ES_tradnl"/>
        </w:rPr>
      </w:pPr>
    </w:p>
    <w:p w:rsidRPr="00DC18FA" w:rsidR="00C2512E" w:rsidP="00DC18FA" w:rsidRDefault="00C2512E" w14:paraId="7970024F" w14:textId="77777777">
      <w:pPr>
        <w:spacing w:after="0"/>
        <w:rPr>
          <w:rFonts w:eastAsia="Calibri" w:cs="Tahoma"/>
          <w:bCs/>
          <w:color w:val="auto"/>
          <w:lang w:eastAsia="es-ES_tradnl"/>
        </w:rPr>
      </w:pPr>
      <w:r w:rsidRPr="00DC18FA">
        <w:rPr>
          <w:rFonts w:eastAsia="Calibri" w:cs="Tahoma"/>
          <w:b/>
          <w:bCs/>
          <w:color w:val="auto"/>
          <w:lang w:eastAsia="es-ES_tradnl"/>
        </w:rPr>
        <w:t>TERCERO. NOTIFÍQUESE</w:t>
      </w:r>
      <w:r w:rsidRPr="00DC18FA">
        <w:rPr>
          <w:rFonts w:eastAsia="Calibri" w:cs="Tahoma"/>
          <w:bCs/>
          <w:color w:val="auto"/>
          <w:lang w:eastAsia="es-ES_tradnl"/>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C18FA" w:rsidR="00C2512E" w:rsidP="00DC18FA" w:rsidRDefault="00C2512E" w14:paraId="59157687" w14:textId="77777777">
      <w:pPr>
        <w:spacing w:after="0"/>
        <w:rPr>
          <w:rFonts w:eastAsia="Calibri" w:cs="Tahoma"/>
          <w:bCs/>
          <w:color w:val="auto"/>
          <w:lang w:eastAsia="es-ES_tradnl"/>
        </w:rPr>
      </w:pPr>
    </w:p>
    <w:p w:rsidR="00636F39" w:rsidP="00DC18FA" w:rsidRDefault="00391275" w14:paraId="28467030" w14:textId="690DCA79">
      <w:pPr>
        <w:spacing w:after="0"/>
        <w:rPr>
          <w:rFonts w:eastAsia="Calibri" w:cs="Tahoma"/>
          <w:bCs/>
          <w:color w:val="auto"/>
          <w:lang w:eastAsia="es-ES_tradnl"/>
        </w:rPr>
      </w:pPr>
      <w:r w:rsidRPr="00DC18FA">
        <w:rPr>
          <w:rFonts w:eastAsia="Calibri" w:cs="Tahoma"/>
          <w:bCs/>
          <w:color w:val="auto"/>
          <w:lang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8A3757">
        <w:rPr>
          <w:rFonts w:eastAsia="Calibri" w:cs="Tahoma"/>
          <w:bCs/>
          <w:color w:val="auto"/>
          <w:lang w:eastAsia="es-ES_tradnl"/>
        </w:rPr>
        <w:t>QUINTA</w:t>
      </w:r>
      <w:r w:rsidRPr="00DC18FA">
        <w:rPr>
          <w:rFonts w:eastAsia="Calibri" w:cs="Tahoma"/>
          <w:bCs/>
          <w:color w:val="auto"/>
          <w:lang w:eastAsia="es-ES_tradnl"/>
        </w:rPr>
        <w:t xml:space="preserve"> SESIÓN ORDINARIA, CELEBRADA </w:t>
      </w:r>
      <w:r w:rsidR="008A3757">
        <w:rPr>
          <w:rFonts w:eastAsia="Calibri" w:cs="Tahoma"/>
          <w:bCs/>
          <w:color w:val="auto"/>
          <w:lang w:eastAsia="es-ES_tradnl"/>
        </w:rPr>
        <w:t>EL VEINTI</w:t>
      </w:r>
      <w:r w:rsidRPr="00DC18FA">
        <w:rPr>
          <w:rFonts w:eastAsia="Calibri" w:cs="Tahoma"/>
          <w:bCs/>
          <w:color w:val="auto"/>
          <w:lang w:eastAsia="es-ES_tradnl"/>
        </w:rPr>
        <w:t>SIETE  DE ABRIL DE DOS MIL VEINTIDÓS, ANTE EL SECRETARIO TÉCNICO DEL PLENO, ALEXIS TAPIA RAMÍREZ.</w:t>
      </w:r>
    </w:p>
    <w:p w:rsidR="008200FB" w:rsidRDefault="008200FB" w14:paraId="724A62BF" w14:textId="2ABB3C83">
      <w:pPr>
        <w:spacing w:line="259" w:lineRule="auto"/>
        <w:jc w:val="left"/>
        <w:rPr>
          <w:rFonts w:eastAsia="Calibri" w:cs="Tahoma"/>
          <w:bCs/>
          <w:color w:val="auto"/>
          <w:lang w:eastAsia="es-ES_tradnl"/>
        </w:rPr>
      </w:pPr>
      <w:r>
        <w:rPr>
          <w:rFonts w:eastAsia="Calibri" w:cs="Tahoma"/>
          <w:bCs/>
          <w:color w:val="auto"/>
          <w:lang w:eastAsia="es-ES_tradnl"/>
        </w:rPr>
        <w:br w:type="page"/>
      </w:r>
    </w:p>
    <w:p w:rsidRPr="00DC18FA" w:rsidR="008200FB" w:rsidP="00DC18FA" w:rsidRDefault="008200FB" w14:paraId="6C0D42A2" w14:textId="77777777">
      <w:pPr>
        <w:spacing w:after="0"/>
        <w:rPr>
          <w:rFonts w:eastAsia="Calibri" w:cs="Tahoma"/>
          <w:bCs/>
          <w:color w:val="auto"/>
          <w:lang w:eastAsia="es-ES_tradnl"/>
        </w:rPr>
      </w:pPr>
    </w:p>
    <w:sectPr w:rsidRPr="00DC18FA" w:rsidR="008200FB" w:rsidSect="001136B4">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686" w:rsidP="00D8203F" w:rsidRDefault="00161686" w14:paraId="6DADB78B" w14:textId="77777777">
      <w:pPr>
        <w:spacing w:after="0" w:line="240" w:lineRule="auto"/>
      </w:pPr>
      <w:r>
        <w:separator/>
      </w:r>
    </w:p>
  </w:endnote>
  <w:endnote w:type="continuationSeparator" w:id="0">
    <w:p w:rsidR="00161686" w:rsidP="00D8203F" w:rsidRDefault="00161686" w14:paraId="62D3B2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555A052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11C57" w:rsidRDefault="008200FB" w14:paraId="7984F74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rsidR="00011C57" w:rsidRDefault="00924CF0" w14:paraId="66F7D9E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1275">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1275">
              <w:rPr>
                <w:b/>
                <w:bCs/>
                <w:noProof/>
              </w:rPr>
              <w:t>16</w:t>
            </w:r>
            <w:r>
              <w:rPr>
                <w:b/>
                <w:bCs/>
                <w:sz w:val="24"/>
                <w:szCs w:val="24"/>
              </w:rPr>
              <w:fldChar w:fldCharType="end"/>
            </w:r>
          </w:p>
        </w:sdtContent>
      </w:sdt>
    </w:sdtContent>
  </w:sdt>
  <w:p w:rsidR="00011C57" w:rsidRDefault="008200FB" w14:paraId="4D6F5526"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2A6947B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127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1275">
      <w:rPr>
        <w:b/>
        <w:bCs/>
        <w:noProof/>
      </w:rPr>
      <w:t>16</w:t>
    </w:r>
    <w:r>
      <w:rPr>
        <w:b/>
        <w:bCs/>
        <w:sz w:val="24"/>
        <w:szCs w:val="24"/>
      </w:rPr>
      <w:fldChar w:fldCharType="end"/>
    </w:r>
  </w:p>
  <w:p w:rsidR="00011C57" w:rsidRDefault="008200FB" w14:paraId="23F05C8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686" w:rsidP="00D8203F" w:rsidRDefault="00161686" w14:paraId="43452ABD" w14:textId="77777777">
      <w:pPr>
        <w:spacing w:after="0" w:line="240" w:lineRule="auto"/>
      </w:pPr>
      <w:r>
        <w:separator/>
      </w:r>
    </w:p>
  </w:footnote>
  <w:footnote w:type="continuationSeparator" w:id="0">
    <w:p w:rsidR="00161686" w:rsidP="00D8203F" w:rsidRDefault="00161686" w14:paraId="4D1DD3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860"/>
    </w:tblGrid>
    <w:tr w:rsidRPr="00330DA7" w:rsidR="00011C57" w:rsidTr="00B0279C" w14:paraId="757EF26E" w14:textId="77777777">
      <w:trPr>
        <w:trHeight w:val="144"/>
        <w:jc w:val="right"/>
      </w:trPr>
      <w:tc>
        <w:tcPr>
          <w:tcW w:w="2530" w:type="dxa"/>
          <w:vAlign w:val="center"/>
        </w:tcPr>
        <w:p w:rsidRPr="00330DA7" w:rsidR="00011C57" w:rsidP="00B0279C" w:rsidRDefault="00924CF0" w14:paraId="704CC7D5"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rsidRPr="00330DA7" w:rsidR="00011C57" w:rsidP="00B0279C" w:rsidRDefault="00924CF0" w14:paraId="4C9B1B9B" w14:textId="77777777">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Pr="00330DA7" w:rsidR="00011C57" w:rsidTr="00B0279C" w14:paraId="64450472" w14:textId="77777777">
      <w:trPr>
        <w:trHeight w:val="283"/>
        <w:jc w:val="right"/>
      </w:trPr>
      <w:tc>
        <w:tcPr>
          <w:tcW w:w="2530" w:type="dxa"/>
          <w:vAlign w:val="center"/>
        </w:tcPr>
        <w:p w:rsidRPr="00330DA7" w:rsidR="00011C57" w:rsidP="00B0279C" w:rsidRDefault="00924CF0" w14:paraId="22276019"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rsidRPr="005754CF" w:rsidR="00011C57" w:rsidP="00B0279C" w:rsidRDefault="00924CF0" w14:paraId="5B9E558E" w14:textId="77777777">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Pr="00330DA7" w:rsidR="00011C57" w:rsidTr="00B0279C" w14:paraId="2A4EE535" w14:textId="77777777">
      <w:trPr>
        <w:trHeight w:val="283"/>
        <w:jc w:val="right"/>
      </w:trPr>
      <w:tc>
        <w:tcPr>
          <w:tcW w:w="2530" w:type="dxa"/>
          <w:vAlign w:val="center"/>
        </w:tcPr>
        <w:p w:rsidRPr="00330DA7" w:rsidR="00011C57" w:rsidP="00B0279C" w:rsidRDefault="00924CF0" w14:paraId="46C87DC7"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rsidRPr="005754CF" w:rsidR="00011C57" w:rsidP="00B0279C" w:rsidRDefault="00924CF0" w14:paraId="148E1882"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P="00B0279C" w:rsidRDefault="008200FB" w14:paraId="2FBBDBA6" w14:textId="77777777">
    <w:pPr>
      <w:pStyle w:val="Encabezado"/>
    </w:pPr>
    <w:r>
      <w:rPr>
        <w:noProof/>
      </w:rPr>
      <w:pict w14:anchorId="7EB532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5"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2857"/>
    </w:tblGrid>
    <w:tr w:rsidRPr="00330DA7" w:rsidR="00011C57" w:rsidTr="004731F0" w14:paraId="542E7F84" w14:textId="77777777">
      <w:trPr>
        <w:trHeight w:val="144"/>
        <w:jc w:val="right"/>
      </w:trPr>
      <w:tc>
        <w:tcPr>
          <w:tcW w:w="2530" w:type="dxa"/>
          <w:vAlign w:val="bottom"/>
        </w:tcPr>
        <w:p w:rsidRPr="00330DA7" w:rsidR="00011C57" w:rsidP="00B0279C" w:rsidRDefault="00924CF0" w14:paraId="225A1910"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2857" w:type="dxa"/>
          <w:vAlign w:val="center"/>
        </w:tcPr>
        <w:p w:rsidR="00C00BEF" w:rsidP="00B0279C" w:rsidRDefault="00C00BEF" w14:paraId="31A5F9CB" w14:textId="77777777">
          <w:pPr>
            <w:tabs>
              <w:tab w:val="right" w:pos="8838"/>
            </w:tabs>
            <w:spacing w:line="276" w:lineRule="auto"/>
            <w:ind w:left="-74" w:right="-105"/>
            <w:jc w:val="left"/>
            <w:rPr>
              <w:rFonts w:eastAsia="Calibri" w:cs="Tahoma"/>
            </w:rPr>
          </w:pPr>
        </w:p>
        <w:p w:rsidRPr="00D65B00" w:rsidR="00011C57" w:rsidP="00B0279C" w:rsidRDefault="00BC6760" w14:paraId="75804045" w14:textId="33630E90">
          <w:pPr>
            <w:tabs>
              <w:tab w:val="right" w:pos="8838"/>
            </w:tabs>
            <w:spacing w:line="276" w:lineRule="auto"/>
            <w:ind w:left="-74" w:right="-105"/>
            <w:jc w:val="left"/>
            <w:rPr>
              <w:rFonts w:eastAsia="Calibri" w:cs="Tahoma"/>
            </w:rPr>
          </w:pPr>
          <w:r>
            <w:rPr>
              <w:rFonts w:eastAsia="Calibri" w:cs="Tahoma"/>
            </w:rPr>
            <w:t>00866</w:t>
          </w:r>
          <w:r w:rsidR="001D638F">
            <w:rPr>
              <w:rFonts w:eastAsia="Calibri" w:cs="Tahoma"/>
            </w:rPr>
            <w:t>/INFOEM/IP/RR/2022</w:t>
          </w:r>
        </w:p>
      </w:tc>
    </w:tr>
    <w:tr w:rsidRPr="00330DA7" w:rsidR="00011C57" w:rsidTr="004731F0" w14:paraId="12309B75" w14:textId="77777777">
      <w:trPr>
        <w:trHeight w:val="283"/>
        <w:jc w:val="right"/>
      </w:trPr>
      <w:tc>
        <w:tcPr>
          <w:tcW w:w="2530" w:type="dxa"/>
        </w:tcPr>
        <w:p w:rsidRPr="00330DA7" w:rsidR="00011C57" w:rsidP="006D24CC" w:rsidRDefault="00924CF0" w14:paraId="16DECCE3"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2857" w:type="dxa"/>
          <w:vAlign w:val="center"/>
        </w:tcPr>
        <w:p w:rsidRPr="00D65B00" w:rsidR="00011C57" w:rsidP="00BC6760" w:rsidRDefault="00BC6760" w14:paraId="7C66E373" w14:textId="3BE78226">
          <w:pPr>
            <w:tabs>
              <w:tab w:val="left" w:pos="2834"/>
              <w:tab w:val="right" w:pos="8838"/>
            </w:tabs>
            <w:spacing w:line="276" w:lineRule="auto"/>
            <w:ind w:left="-74" w:right="-105"/>
            <w:rPr>
              <w:rFonts w:eastAsia="Calibri" w:cs="Tahoma"/>
              <w:highlight w:val="yellow"/>
            </w:rPr>
          </w:pPr>
          <w:r>
            <w:rPr>
              <w:rFonts w:eastAsia="Calibri" w:cs="Tahoma"/>
            </w:rPr>
            <w:t>Ayuntamiento de Lerma</w:t>
          </w:r>
        </w:p>
      </w:tc>
    </w:tr>
    <w:tr w:rsidRPr="00330DA7" w:rsidR="00011C57" w:rsidTr="004731F0" w14:paraId="6881DCB9" w14:textId="77777777">
      <w:trPr>
        <w:trHeight w:val="283"/>
        <w:jc w:val="right"/>
      </w:trPr>
      <w:tc>
        <w:tcPr>
          <w:tcW w:w="2530" w:type="dxa"/>
          <w:vAlign w:val="center"/>
        </w:tcPr>
        <w:p w:rsidRPr="00330DA7" w:rsidR="00011C57" w:rsidP="00B0279C" w:rsidRDefault="00924CF0" w14:paraId="6DC88189"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2857" w:type="dxa"/>
          <w:vAlign w:val="center"/>
        </w:tcPr>
        <w:p w:rsidRPr="005754CF" w:rsidR="00011C57" w:rsidP="00B0279C" w:rsidRDefault="00924CF0" w14:paraId="401E6127"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RDefault="008200FB" w14:paraId="58FD90F4" w14:textId="77777777">
    <w:pPr>
      <w:pStyle w:val="Encabezado"/>
    </w:pPr>
    <w:r>
      <w:rPr>
        <w:noProof/>
      </w:rPr>
      <w:pict w14:anchorId="08725E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6" style="position:absolute;left:0;text-align:left;margin-left:-108.85pt;margin-top:-127.35pt;width:663.5pt;height:12in;z-index:-251658752;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686"/>
    </w:tblGrid>
    <w:tr w:rsidRPr="00330DA7" w:rsidR="00011C57" w:rsidTr="1E65571C" w14:paraId="2FB24069" w14:textId="77777777">
      <w:trPr>
        <w:trHeight w:val="144"/>
      </w:trPr>
      <w:tc>
        <w:tcPr>
          <w:tcW w:w="2410" w:type="dxa"/>
          <w:tcMar/>
          <w:vAlign w:val="center"/>
        </w:tcPr>
        <w:p w:rsidRPr="00330DA7" w:rsidR="00011C57" w:rsidP="00B0279C" w:rsidRDefault="00924CF0" w14:paraId="1B6F5EF3"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686" w:type="dxa"/>
          <w:tcMar/>
          <w:vAlign w:val="center"/>
        </w:tcPr>
        <w:p w:rsidRPr="00D8203F" w:rsidR="00011C57" w:rsidP="0099703C" w:rsidRDefault="009B351E" w14:paraId="1A9A621A" w14:textId="425B8904">
          <w:pPr>
            <w:tabs>
              <w:tab w:val="right" w:pos="8838"/>
            </w:tabs>
            <w:spacing w:line="276" w:lineRule="auto"/>
            <w:ind w:right="-105"/>
            <w:jc w:val="left"/>
            <w:rPr>
              <w:rFonts w:eastAsia="Calibri" w:cs="Tahoma"/>
            </w:rPr>
          </w:pPr>
          <w:r>
            <w:rPr>
              <w:rFonts w:eastAsia="Calibri" w:cs="Tahoma"/>
            </w:rPr>
            <w:t>00866</w:t>
          </w:r>
          <w:r w:rsidR="001D638F">
            <w:rPr>
              <w:rFonts w:eastAsia="Calibri" w:cs="Tahoma"/>
            </w:rPr>
            <w:t>/INFOEM/IP/RR/2022</w:t>
          </w:r>
        </w:p>
      </w:tc>
    </w:tr>
    <w:tr w:rsidRPr="00330DA7" w:rsidR="00011C57" w:rsidTr="1E65571C" w14:paraId="569CFEB5" w14:textId="77777777">
      <w:trPr>
        <w:trHeight w:val="144"/>
      </w:trPr>
      <w:tc>
        <w:tcPr>
          <w:tcW w:w="2410" w:type="dxa"/>
          <w:tcMar/>
          <w:vAlign w:val="center"/>
        </w:tcPr>
        <w:p w:rsidRPr="00330DA7" w:rsidR="00011C57" w:rsidP="00B0279C" w:rsidRDefault="00924CF0" w14:paraId="645DC220" w14:textId="77777777">
          <w:pPr>
            <w:tabs>
              <w:tab w:val="right" w:pos="8838"/>
            </w:tabs>
            <w:spacing w:line="276" w:lineRule="auto"/>
            <w:ind w:left="-74" w:right="-105"/>
            <w:jc w:val="left"/>
            <w:rPr>
              <w:rFonts w:eastAsia="Calibri" w:cs="Tahoma"/>
              <w:b/>
            </w:rPr>
          </w:pPr>
          <w:r w:rsidRPr="00330DA7">
            <w:rPr>
              <w:rFonts w:eastAsia="Calibri" w:cs="Tahoma"/>
              <w:b/>
            </w:rPr>
            <w:t>Recurrente:</w:t>
          </w:r>
        </w:p>
      </w:tc>
      <w:tc>
        <w:tcPr>
          <w:tcW w:w="3686" w:type="dxa"/>
          <w:tcMar/>
          <w:vAlign w:val="center"/>
        </w:tcPr>
        <w:p w:rsidRPr="00330DA7" w:rsidR="00011C57" w:rsidP="1E65571C" w:rsidRDefault="009B351E" w14:paraId="7BED387D" w14:textId="27832D6D">
          <w:pPr>
            <w:pStyle w:val="Normal"/>
            <w:tabs>
              <w:tab w:val="left" w:leader="none" w:pos="3122"/>
              <w:tab w:val="right" w:leader="none" w:pos="8838"/>
            </w:tabs>
            <w:bidi w:val="0"/>
            <w:spacing w:before="0" w:beforeAutospacing="off" w:after="0" w:afterAutospacing="off" w:line="276" w:lineRule="auto"/>
            <w:ind w:left="0" w:right="-105"/>
            <w:jc w:val="left"/>
            <w:rPr>
              <w:rFonts w:ascii="Palatino Linotype" w:hAnsi="Palatino Linotype" w:eastAsia="Calibri" w:cs=""/>
              <w:color w:val="000000" w:themeColor="text1" w:themeTint="FF" w:themeShade="FF"/>
              <w:highlight w:val="black"/>
            </w:rPr>
          </w:pPr>
          <w:r w:rsidRPr="1E65571C" w:rsidR="1E65571C">
            <w:rPr>
              <w:rFonts w:eastAsia="Calibri" w:cs="Tahoma"/>
              <w:highlight w:val="black"/>
            </w:rPr>
            <w:t>XXXXXXXXXXXXXXX</w:t>
          </w:r>
        </w:p>
      </w:tc>
    </w:tr>
    <w:tr w:rsidRPr="00330DA7" w:rsidR="00011C57" w:rsidTr="1E65571C" w14:paraId="2CCCDD19" w14:textId="77777777">
      <w:trPr>
        <w:trHeight w:val="283"/>
      </w:trPr>
      <w:tc>
        <w:tcPr>
          <w:tcW w:w="2410" w:type="dxa"/>
          <w:tcMar/>
        </w:tcPr>
        <w:p w:rsidRPr="00330DA7" w:rsidR="00011C57" w:rsidP="006D24CC" w:rsidRDefault="00924CF0" w14:paraId="5FE443CA"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686" w:type="dxa"/>
          <w:tcMar/>
          <w:vAlign w:val="center"/>
        </w:tcPr>
        <w:p w:rsidRPr="00D8203F" w:rsidR="00011C57" w:rsidP="009B351E" w:rsidRDefault="001D638F" w14:paraId="530974A6" w14:textId="00A0B36D">
          <w:pPr>
            <w:tabs>
              <w:tab w:val="left" w:pos="2834"/>
              <w:tab w:val="right" w:pos="8838"/>
            </w:tabs>
            <w:spacing w:line="276" w:lineRule="auto"/>
            <w:ind w:right="-105"/>
            <w:rPr>
              <w:rFonts w:eastAsia="Calibri" w:cs="Tahoma"/>
              <w:highlight w:val="yellow"/>
            </w:rPr>
          </w:pPr>
          <w:r>
            <w:rPr>
              <w:rFonts w:eastAsia="Calibri" w:cs="Tahoma"/>
            </w:rPr>
            <w:t xml:space="preserve">Ayuntamiento de </w:t>
          </w:r>
          <w:r w:rsidR="009B351E">
            <w:rPr>
              <w:rFonts w:eastAsia="Calibri" w:cs="Tahoma"/>
            </w:rPr>
            <w:t>Lerma</w:t>
          </w:r>
          <w:r>
            <w:rPr>
              <w:rFonts w:eastAsia="Calibri" w:cs="Tahoma"/>
            </w:rPr>
            <w:t xml:space="preserve"> </w:t>
          </w:r>
        </w:p>
      </w:tc>
    </w:tr>
    <w:tr w:rsidRPr="00330DA7" w:rsidR="00011C57" w:rsidTr="1E65571C" w14:paraId="6A0D177B" w14:textId="77777777">
      <w:trPr>
        <w:trHeight w:val="283"/>
      </w:trPr>
      <w:tc>
        <w:tcPr>
          <w:tcW w:w="2410" w:type="dxa"/>
          <w:tcMar/>
          <w:vAlign w:val="center"/>
        </w:tcPr>
        <w:p w:rsidRPr="00330DA7" w:rsidR="00011C57" w:rsidP="00B0279C" w:rsidRDefault="00924CF0" w14:paraId="4A4AC4EC"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686" w:type="dxa"/>
          <w:tcMar/>
          <w:vAlign w:val="center"/>
        </w:tcPr>
        <w:p w:rsidRPr="005754CF" w:rsidR="00011C57" w:rsidP="0099703C" w:rsidRDefault="00924CF0" w14:paraId="31717E75" w14:textId="77777777">
          <w:pPr>
            <w:tabs>
              <w:tab w:val="right" w:pos="8838"/>
            </w:tabs>
            <w:spacing w:line="276" w:lineRule="auto"/>
            <w:ind w:right="-105"/>
            <w:jc w:val="left"/>
            <w:rPr>
              <w:rFonts w:eastAsia="Calibri" w:cs="Tahoma"/>
            </w:rPr>
          </w:pPr>
          <w:r w:rsidRPr="00330DA7">
            <w:rPr>
              <w:rFonts w:eastAsia="Calibri" w:cs="Tahoma"/>
            </w:rPr>
            <w:t>Luis Gustavo Parra Noriega</w:t>
          </w:r>
        </w:p>
      </w:tc>
    </w:tr>
  </w:tbl>
  <w:p w:rsidR="00011C57" w:rsidP="00B0279C" w:rsidRDefault="008200FB" w14:paraId="134AC6BE" w14:textId="77777777">
    <w:pPr>
      <w:pStyle w:val="Encabezado"/>
    </w:pPr>
    <w:r>
      <w:rPr>
        <w:noProof/>
      </w:rPr>
      <w:pict w14:anchorId="26A3AD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left:0;text-align:left;margin-left:0;margin-top:0;width:663.5pt;height:12in;z-index:-251657728;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2E554F"/>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D675C"/>
    <w:multiLevelType w:val="hybridMultilevel"/>
    <w:tmpl w:val="1DFCD368"/>
    <w:lvl w:ilvl="0" w:tplc="DA5A3ECE">
      <w:start w:val="1"/>
      <w:numFmt w:val="lowerRoman"/>
      <w:lvlText w:val="%1."/>
      <w:lvlJc w:val="left"/>
      <w:pPr>
        <w:ind w:left="1440" w:hanging="360"/>
      </w:pPr>
      <w:rPr>
        <w:rFonts w:hint="default" w:ascii="Palatino Linotype" w:hAnsi="Palatino Linotype"/>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060AC4"/>
    <w:multiLevelType w:val="hybridMultilevel"/>
    <w:tmpl w:val="6812F5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189754F"/>
    <w:multiLevelType w:val="hybridMultilevel"/>
    <w:tmpl w:val="4ABC7128"/>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1149B"/>
    <w:multiLevelType w:val="hybridMultilevel"/>
    <w:tmpl w:val="B0181A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9BA29DD"/>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31B794B"/>
    <w:multiLevelType w:val="hybridMultilevel"/>
    <w:tmpl w:val="178CCF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086AB4"/>
    <w:multiLevelType w:val="hybridMultilevel"/>
    <w:tmpl w:val="961C58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8A924B3"/>
    <w:multiLevelType w:val="hybridMultilevel"/>
    <w:tmpl w:val="2EAA7A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EA5692"/>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3FF270B6"/>
    <w:multiLevelType w:val="hybridMultilevel"/>
    <w:tmpl w:val="A79EDB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32A6F72"/>
    <w:multiLevelType w:val="hybridMultilevel"/>
    <w:tmpl w:val="71F43B6E"/>
    <w:lvl w:ilvl="0" w:tplc="080A0001">
      <w:start w:val="1"/>
      <w:numFmt w:val="bullet"/>
      <w:lvlText w:val=""/>
      <w:lvlJc w:val="left"/>
      <w:pPr>
        <w:ind w:left="720" w:hanging="360"/>
      </w:pPr>
      <w:rPr>
        <w:rFonts w:hint="default" w:ascii="Symbol" w:hAnsi="Symbol"/>
      </w:rPr>
    </w:lvl>
    <w:lvl w:ilvl="1" w:tplc="DA5A3ECE">
      <w:start w:val="1"/>
      <w:numFmt w:val="lowerRoman"/>
      <w:lvlText w:val="%2."/>
      <w:lvlJc w:val="left"/>
      <w:pPr>
        <w:ind w:left="1440" w:hanging="360"/>
      </w:pPr>
      <w:rPr>
        <w:rFonts w:hint="default" w:ascii="Palatino Linotype" w:hAnsi="Palatino Linotype"/>
        <w:sz w:val="20"/>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3E785D"/>
    <w:multiLevelType w:val="hybridMultilevel"/>
    <w:tmpl w:val="A2D43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9A603DD"/>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0A57A8"/>
    <w:multiLevelType w:val="hybridMultilevel"/>
    <w:tmpl w:val="407C5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0036345"/>
    <w:multiLevelType w:val="hybridMultilevel"/>
    <w:tmpl w:val="3BE06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06B081D"/>
    <w:multiLevelType w:val="hybridMultilevel"/>
    <w:tmpl w:val="EC7CE8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837861"/>
    <w:multiLevelType w:val="hybridMultilevel"/>
    <w:tmpl w:val="036EFE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9310EE7"/>
    <w:multiLevelType w:val="hybridMultilevel"/>
    <w:tmpl w:val="F1DE93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437022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21401">
    <w:abstractNumId w:val="9"/>
  </w:num>
  <w:num w:numId="3" w16cid:durableId="1988892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368615">
    <w:abstractNumId w:val="30"/>
  </w:num>
  <w:num w:numId="5" w16cid:durableId="517544646">
    <w:abstractNumId w:val="1"/>
  </w:num>
  <w:num w:numId="6" w16cid:durableId="1084377350">
    <w:abstractNumId w:val="10"/>
  </w:num>
  <w:num w:numId="7" w16cid:durableId="1841775093">
    <w:abstractNumId w:val="21"/>
  </w:num>
  <w:num w:numId="8" w16cid:durableId="1494418491">
    <w:abstractNumId w:val="23"/>
  </w:num>
  <w:num w:numId="9" w16cid:durableId="1848473504">
    <w:abstractNumId w:val="6"/>
  </w:num>
  <w:num w:numId="10" w16cid:durableId="1489055811">
    <w:abstractNumId w:val="22"/>
  </w:num>
  <w:num w:numId="11" w16cid:durableId="811752704">
    <w:abstractNumId w:val="24"/>
  </w:num>
  <w:num w:numId="12" w16cid:durableId="362436311">
    <w:abstractNumId w:val="7"/>
  </w:num>
  <w:num w:numId="13" w16cid:durableId="500433610">
    <w:abstractNumId w:val="2"/>
  </w:num>
  <w:num w:numId="14" w16cid:durableId="1078819212">
    <w:abstractNumId w:val="12"/>
  </w:num>
  <w:num w:numId="15" w16cid:durableId="892615149">
    <w:abstractNumId w:val="15"/>
  </w:num>
  <w:num w:numId="16" w16cid:durableId="1600717798">
    <w:abstractNumId w:val="5"/>
  </w:num>
  <w:num w:numId="17" w16cid:durableId="247010244">
    <w:abstractNumId w:val="4"/>
  </w:num>
  <w:num w:numId="18" w16cid:durableId="326860162">
    <w:abstractNumId w:val="20"/>
  </w:num>
  <w:num w:numId="19" w16cid:durableId="171145370">
    <w:abstractNumId w:val="3"/>
  </w:num>
  <w:num w:numId="20" w16cid:durableId="1473450155">
    <w:abstractNumId w:val="8"/>
  </w:num>
  <w:num w:numId="21" w16cid:durableId="411633335">
    <w:abstractNumId w:val="27"/>
  </w:num>
  <w:num w:numId="22" w16cid:durableId="2029595342">
    <w:abstractNumId w:val="11"/>
  </w:num>
  <w:num w:numId="23" w16cid:durableId="1800606479">
    <w:abstractNumId w:val="13"/>
  </w:num>
  <w:num w:numId="24" w16cid:durableId="1827672484">
    <w:abstractNumId w:val="17"/>
  </w:num>
  <w:num w:numId="25" w16cid:durableId="1129662538">
    <w:abstractNumId w:val="14"/>
  </w:num>
  <w:num w:numId="26" w16cid:durableId="1961373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2063767">
    <w:abstractNumId w:val="29"/>
  </w:num>
  <w:num w:numId="28" w16cid:durableId="39986797">
    <w:abstractNumId w:val="0"/>
  </w:num>
  <w:num w:numId="29" w16cid:durableId="1886599341">
    <w:abstractNumId w:val="18"/>
  </w:num>
  <w:num w:numId="30" w16cid:durableId="2002272412">
    <w:abstractNumId w:val="16"/>
  </w:num>
  <w:num w:numId="31" w16cid:durableId="1689522279">
    <w:abstractNumId w:val="31"/>
  </w:num>
  <w:num w:numId="32" w16cid:durableId="1822774348">
    <w:abstractNumId w:val="19"/>
  </w:num>
  <w:num w:numId="33" w16cid:durableId="2119785902">
    <w:abstractNumId w:val="25"/>
  </w:num>
  <w:num w:numId="34" w16cid:durableId="2824626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3F"/>
    <w:rsid w:val="00002000"/>
    <w:rsid w:val="00002259"/>
    <w:rsid w:val="00005411"/>
    <w:rsid w:val="0001464C"/>
    <w:rsid w:val="00033495"/>
    <w:rsid w:val="00041034"/>
    <w:rsid w:val="000437E4"/>
    <w:rsid w:val="000530D1"/>
    <w:rsid w:val="00060676"/>
    <w:rsid w:val="0006659E"/>
    <w:rsid w:val="00072F70"/>
    <w:rsid w:val="00077108"/>
    <w:rsid w:val="000805DC"/>
    <w:rsid w:val="0008259A"/>
    <w:rsid w:val="00092BC4"/>
    <w:rsid w:val="000B38F1"/>
    <w:rsid w:val="000D5539"/>
    <w:rsid w:val="000E518D"/>
    <w:rsid w:val="000E7811"/>
    <w:rsid w:val="0010753F"/>
    <w:rsid w:val="001136B4"/>
    <w:rsid w:val="0013003D"/>
    <w:rsid w:val="00136745"/>
    <w:rsid w:val="001372C2"/>
    <w:rsid w:val="00147995"/>
    <w:rsid w:val="00152501"/>
    <w:rsid w:val="00155617"/>
    <w:rsid w:val="00161686"/>
    <w:rsid w:val="0016479F"/>
    <w:rsid w:val="00176419"/>
    <w:rsid w:val="00191AE4"/>
    <w:rsid w:val="00192BF8"/>
    <w:rsid w:val="00193B5F"/>
    <w:rsid w:val="001971E7"/>
    <w:rsid w:val="001A0FE6"/>
    <w:rsid w:val="001B1F7E"/>
    <w:rsid w:val="001B4FE3"/>
    <w:rsid w:val="001B5B28"/>
    <w:rsid w:val="001B6772"/>
    <w:rsid w:val="001B6B5E"/>
    <w:rsid w:val="001C12E6"/>
    <w:rsid w:val="001C5F8F"/>
    <w:rsid w:val="001D4BEF"/>
    <w:rsid w:val="001D638F"/>
    <w:rsid w:val="001E601D"/>
    <w:rsid w:val="001E61B0"/>
    <w:rsid w:val="001F6315"/>
    <w:rsid w:val="00201614"/>
    <w:rsid w:val="002025A1"/>
    <w:rsid w:val="00202FD6"/>
    <w:rsid w:val="00205C3E"/>
    <w:rsid w:val="00212C5B"/>
    <w:rsid w:val="00221964"/>
    <w:rsid w:val="00224C52"/>
    <w:rsid w:val="00232543"/>
    <w:rsid w:val="002345A9"/>
    <w:rsid w:val="002351AB"/>
    <w:rsid w:val="00236A14"/>
    <w:rsid w:val="0023761E"/>
    <w:rsid w:val="002419D5"/>
    <w:rsid w:val="002513F1"/>
    <w:rsid w:val="002625D0"/>
    <w:rsid w:val="00273C8F"/>
    <w:rsid w:val="00273D56"/>
    <w:rsid w:val="002751C6"/>
    <w:rsid w:val="00275717"/>
    <w:rsid w:val="002772DC"/>
    <w:rsid w:val="00277532"/>
    <w:rsid w:val="00283FB5"/>
    <w:rsid w:val="002878DE"/>
    <w:rsid w:val="00292E42"/>
    <w:rsid w:val="00296195"/>
    <w:rsid w:val="002B7026"/>
    <w:rsid w:val="002C230E"/>
    <w:rsid w:val="002C425A"/>
    <w:rsid w:val="002C6689"/>
    <w:rsid w:val="002D1940"/>
    <w:rsid w:val="002D4507"/>
    <w:rsid w:val="002E32AB"/>
    <w:rsid w:val="002E5BC9"/>
    <w:rsid w:val="002F13CE"/>
    <w:rsid w:val="002F1649"/>
    <w:rsid w:val="002F1ACA"/>
    <w:rsid w:val="002F613D"/>
    <w:rsid w:val="002F7105"/>
    <w:rsid w:val="0030159C"/>
    <w:rsid w:val="00304EDC"/>
    <w:rsid w:val="00324ADE"/>
    <w:rsid w:val="00324EC3"/>
    <w:rsid w:val="00325503"/>
    <w:rsid w:val="00327C5F"/>
    <w:rsid w:val="0033169F"/>
    <w:rsid w:val="00335515"/>
    <w:rsid w:val="00337795"/>
    <w:rsid w:val="0034646A"/>
    <w:rsid w:val="00350913"/>
    <w:rsid w:val="00351215"/>
    <w:rsid w:val="003512B5"/>
    <w:rsid w:val="00351BBE"/>
    <w:rsid w:val="0035784F"/>
    <w:rsid w:val="0036431D"/>
    <w:rsid w:val="0037052D"/>
    <w:rsid w:val="00371D10"/>
    <w:rsid w:val="0037486D"/>
    <w:rsid w:val="00376DE8"/>
    <w:rsid w:val="003778C6"/>
    <w:rsid w:val="00391275"/>
    <w:rsid w:val="00395577"/>
    <w:rsid w:val="003B0D6C"/>
    <w:rsid w:val="003B1737"/>
    <w:rsid w:val="003B2792"/>
    <w:rsid w:val="003B5A0A"/>
    <w:rsid w:val="003B7B49"/>
    <w:rsid w:val="003C67AD"/>
    <w:rsid w:val="003D66E7"/>
    <w:rsid w:val="003E713C"/>
    <w:rsid w:val="003F0EAA"/>
    <w:rsid w:val="003F3FDB"/>
    <w:rsid w:val="00416FD2"/>
    <w:rsid w:val="00417CA3"/>
    <w:rsid w:val="0042237E"/>
    <w:rsid w:val="00426064"/>
    <w:rsid w:val="00431386"/>
    <w:rsid w:val="004436D4"/>
    <w:rsid w:val="00444B06"/>
    <w:rsid w:val="00446040"/>
    <w:rsid w:val="00450E27"/>
    <w:rsid w:val="00454109"/>
    <w:rsid w:val="004731F0"/>
    <w:rsid w:val="004820EA"/>
    <w:rsid w:val="00494898"/>
    <w:rsid w:val="004954EF"/>
    <w:rsid w:val="00495E03"/>
    <w:rsid w:val="004B71D1"/>
    <w:rsid w:val="004C3E08"/>
    <w:rsid w:val="004D102C"/>
    <w:rsid w:val="004D3EDF"/>
    <w:rsid w:val="004D556A"/>
    <w:rsid w:val="004E5C8E"/>
    <w:rsid w:val="00501BDA"/>
    <w:rsid w:val="00502445"/>
    <w:rsid w:val="005070F6"/>
    <w:rsid w:val="00523A2F"/>
    <w:rsid w:val="005345A9"/>
    <w:rsid w:val="00543DD3"/>
    <w:rsid w:val="0055608D"/>
    <w:rsid w:val="0056275B"/>
    <w:rsid w:val="00562EBC"/>
    <w:rsid w:val="00565650"/>
    <w:rsid w:val="005670FF"/>
    <w:rsid w:val="005703B8"/>
    <w:rsid w:val="005813D8"/>
    <w:rsid w:val="0058799A"/>
    <w:rsid w:val="00590E15"/>
    <w:rsid w:val="00593B72"/>
    <w:rsid w:val="005A4818"/>
    <w:rsid w:val="005B3BAB"/>
    <w:rsid w:val="005C64C9"/>
    <w:rsid w:val="005E03C3"/>
    <w:rsid w:val="005E0F61"/>
    <w:rsid w:val="005E21DD"/>
    <w:rsid w:val="005F2AA8"/>
    <w:rsid w:val="005F4D3B"/>
    <w:rsid w:val="005F573C"/>
    <w:rsid w:val="005F6293"/>
    <w:rsid w:val="005F7156"/>
    <w:rsid w:val="00601EA2"/>
    <w:rsid w:val="0060238A"/>
    <w:rsid w:val="00616387"/>
    <w:rsid w:val="00616923"/>
    <w:rsid w:val="00621403"/>
    <w:rsid w:val="006311A9"/>
    <w:rsid w:val="006313B6"/>
    <w:rsid w:val="006319BF"/>
    <w:rsid w:val="00635D9F"/>
    <w:rsid w:val="00636F39"/>
    <w:rsid w:val="00646B18"/>
    <w:rsid w:val="0065125A"/>
    <w:rsid w:val="00652BB7"/>
    <w:rsid w:val="00652D8D"/>
    <w:rsid w:val="00654565"/>
    <w:rsid w:val="0067778A"/>
    <w:rsid w:val="006900B8"/>
    <w:rsid w:val="00691F6B"/>
    <w:rsid w:val="006A2FB4"/>
    <w:rsid w:val="006A4ACF"/>
    <w:rsid w:val="006A574E"/>
    <w:rsid w:val="006C0BE4"/>
    <w:rsid w:val="006C526C"/>
    <w:rsid w:val="006E4C6E"/>
    <w:rsid w:val="006F0034"/>
    <w:rsid w:val="006F47EF"/>
    <w:rsid w:val="0070107C"/>
    <w:rsid w:val="00711D42"/>
    <w:rsid w:val="0071218A"/>
    <w:rsid w:val="007138B4"/>
    <w:rsid w:val="007165B0"/>
    <w:rsid w:val="00722333"/>
    <w:rsid w:val="00730406"/>
    <w:rsid w:val="00740517"/>
    <w:rsid w:val="00740AC4"/>
    <w:rsid w:val="0074583D"/>
    <w:rsid w:val="00752CBF"/>
    <w:rsid w:val="00757468"/>
    <w:rsid w:val="00764A1C"/>
    <w:rsid w:val="007758CF"/>
    <w:rsid w:val="00777341"/>
    <w:rsid w:val="00782C2E"/>
    <w:rsid w:val="00784A13"/>
    <w:rsid w:val="007851A6"/>
    <w:rsid w:val="007A23FE"/>
    <w:rsid w:val="007B0411"/>
    <w:rsid w:val="007C5768"/>
    <w:rsid w:val="007D4E6D"/>
    <w:rsid w:val="007D68B0"/>
    <w:rsid w:val="007D7E3C"/>
    <w:rsid w:val="007E5B70"/>
    <w:rsid w:val="007E5CAF"/>
    <w:rsid w:val="007F329C"/>
    <w:rsid w:val="007F4B96"/>
    <w:rsid w:val="007F6748"/>
    <w:rsid w:val="007F6888"/>
    <w:rsid w:val="007F68DC"/>
    <w:rsid w:val="007F79FE"/>
    <w:rsid w:val="00806798"/>
    <w:rsid w:val="00813C48"/>
    <w:rsid w:val="008145EC"/>
    <w:rsid w:val="00814BE4"/>
    <w:rsid w:val="008200FB"/>
    <w:rsid w:val="00821623"/>
    <w:rsid w:val="00830C85"/>
    <w:rsid w:val="00831C16"/>
    <w:rsid w:val="00841FEB"/>
    <w:rsid w:val="0084321B"/>
    <w:rsid w:val="0084339B"/>
    <w:rsid w:val="008441BB"/>
    <w:rsid w:val="00846D35"/>
    <w:rsid w:val="00847200"/>
    <w:rsid w:val="0086681E"/>
    <w:rsid w:val="00875A4D"/>
    <w:rsid w:val="00887C2C"/>
    <w:rsid w:val="008A050C"/>
    <w:rsid w:val="008A0F99"/>
    <w:rsid w:val="008A3757"/>
    <w:rsid w:val="008A5840"/>
    <w:rsid w:val="008B6A10"/>
    <w:rsid w:val="008C1900"/>
    <w:rsid w:val="008D0436"/>
    <w:rsid w:val="008D06D2"/>
    <w:rsid w:val="008D2AA0"/>
    <w:rsid w:val="008D4095"/>
    <w:rsid w:val="008D589F"/>
    <w:rsid w:val="008E2904"/>
    <w:rsid w:val="008F0993"/>
    <w:rsid w:val="008F32C2"/>
    <w:rsid w:val="008F4087"/>
    <w:rsid w:val="008F4AC4"/>
    <w:rsid w:val="0090299E"/>
    <w:rsid w:val="00903752"/>
    <w:rsid w:val="00911965"/>
    <w:rsid w:val="00917722"/>
    <w:rsid w:val="00924CF0"/>
    <w:rsid w:val="00924F7F"/>
    <w:rsid w:val="00941F99"/>
    <w:rsid w:val="00942EE2"/>
    <w:rsid w:val="009479DF"/>
    <w:rsid w:val="0095259E"/>
    <w:rsid w:val="00953BD3"/>
    <w:rsid w:val="00960A03"/>
    <w:rsid w:val="009638C6"/>
    <w:rsid w:val="009639F0"/>
    <w:rsid w:val="00966490"/>
    <w:rsid w:val="00966655"/>
    <w:rsid w:val="00976739"/>
    <w:rsid w:val="009900F6"/>
    <w:rsid w:val="009A2721"/>
    <w:rsid w:val="009A7A9A"/>
    <w:rsid w:val="009B2E42"/>
    <w:rsid w:val="009B351E"/>
    <w:rsid w:val="009B44DB"/>
    <w:rsid w:val="009C4E38"/>
    <w:rsid w:val="009C55B6"/>
    <w:rsid w:val="009D3092"/>
    <w:rsid w:val="009E048A"/>
    <w:rsid w:val="009E13D1"/>
    <w:rsid w:val="009F273D"/>
    <w:rsid w:val="00A021D0"/>
    <w:rsid w:val="00A0231D"/>
    <w:rsid w:val="00A10F3C"/>
    <w:rsid w:val="00A22A88"/>
    <w:rsid w:val="00A2355B"/>
    <w:rsid w:val="00A23E7D"/>
    <w:rsid w:val="00A24B04"/>
    <w:rsid w:val="00A300C4"/>
    <w:rsid w:val="00A3152C"/>
    <w:rsid w:val="00A43DE3"/>
    <w:rsid w:val="00A47768"/>
    <w:rsid w:val="00A62EC5"/>
    <w:rsid w:val="00A636D9"/>
    <w:rsid w:val="00A71605"/>
    <w:rsid w:val="00A92E13"/>
    <w:rsid w:val="00A95528"/>
    <w:rsid w:val="00A955E1"/>
    <w:rsid w:val="00AA2C3A"/>
    <w:rsid w:val="00AA478B"/>
    <w:rsid w:val="00AA7D70"/>
    <w:rsid w:val="00AC3E38"/>
    <w:rsid w:val="00AC473C"/>
    <w:rsid w:val="00AD046B"/>
    <w:rsid w:val="00AD0556"/>
    <w:rsid w:val="00AD4046"/>
    <w:rsid w:val="00AD4556"/>
    <w:rsid w:val="00AD6A80"/>
    <w:rsid w:val="00AE03DF"/>
    <w:rsid w:val="00AF09A1"/>
    <w:rsid w:val="00B033BC"/>
    <w:rsid w:val="00B21952"/>
    <w:rsid w:val="00B23031"/>
    <w:rsid w:val="00B248AF"/>
    <w:rsid w:val="00B33B4C"/>
    <w:rsid w:val="00B54CFD"/>
    <w:rsid w:val="00B662F8"/>
    <w:rsid w:val="00B7264D"/>
    <w:rsid w:val="00B82893"/>
    <w:rsid w:val="00B92E09"/>
    <w:rsid w:val="00B96BE1"/>
    <w:rsid w:val="00BA1F27"/>
    <w:rsid w:val="00BB394B"/>
    <w:rsid w:val="00BB5CE1"/>
    <w:rsid w:val="00BC3B00"/>
    <w:rsid w:val="00BC6760"/>
    <w:rsid w:val="00BD016C"/>
    <w:rsid w:val="00BD08C5"/>
    <w:rsid w:val="00BD5F42"/>
    <w:rsid w:val="00BE14C6"/>
    <w:rsid w:val="00BE3263"/>
    <w:rsid w:val="00BE3F5F"/>
    <w:rsid w:val="00BF27BE"/>
    <w:rsid w:val="00BF44C3"/>
    <w:rsid w:val="00C00BEF"/>
    <w:rsid w:val="00C035DB"/>
    <w:rsid w:val="00C07FA6"/>
    <w:rsid w:val="00C138ED"/>
    <w:rsid w:val="00C212E3"/>
    <w:rsid w:val="00C2512E"/>
    <w:rsid w:val="00C25690"/>
    <w:rsid w:val="00C3697C"/>
    <w:rsid w:val="00C376BD"/>
    <w:rsid w:val="00C40AC9"/>
    <w:rsid w:val="00C435D5"/>
    <w:rsid w:val="00C43F93"/>
    <w:rsid w:val="00C44AF0"/>
    <w:rsid w:val="00C54877"/>
    <w:rsid w:val="00C57841"/>
    <w:rsid w:val="00C60536"/>
    <w:rsid w:val="00C65A34"/>
    <w:rsid w:val="00C70651"/>
    <w:rsid w:val="00C758B1"/>
    <w:rsid w:val="00C831F7"/>
    <w:rsid w:val="00C86FBC"/>
    <w:rsid w:val="00C870AA"/>
    <w:rsid w:val="00C92DAA"/>
    <w:rsid w:val="00C93CBC"/>
    <w:rsid w:val="00CA1B00"/>
    <w:rsid w:val="00CC42FB"/>
    <w:rsid w:val="00CC7B75"/>
    <w:rsid w:val="00CE17DA"/>
    <w:rsid w:val="00CF4C9A"/>
    <w:rsid w:val="00D03A98"/>
    <w:rsid w:val="00D03BBC"/>
    <w:rsid w:val="00D0584A"/>
    <w:rsid w:val="00D06558"/>
    <w:rsid w:val="00D142A7"/>
    <w:rsid w:val="00D30581"/>
    <w:rsid w:val="00D34ADA"/>
    <w:rsid w:val="00D4040E"/>
    <w:rsid w:val="00D409E7"/>
    <w:rsid w:val="00D41BDB"/>
    <w:rsid w:val="00D451C6"/>
    <w:rsid w:val="00D50360"/>
    <w:rsid w:val="00D56A74"/>
    <w:rsid w:val="00D715B0"/>
    <w:rsid w:val="00D75842"/>
    <w:rsid w:val="00D8203F"/>
    <w:rsid w:val="00D86243"/>
    <w:rsid w:val="00D91B6D"/>
    <w:rsid w:val="00D93C72"/>
    <w:rsid w:val="00D974CF"/>
    <w:rsid w:val="00DC18FA"/>
    <w:rsid w:val="00DD1AF9"/>
    <w:rsid w:val="00DD3DE5"/>
    <w:rsid w:val="00DF084F"/>
    <w:rsid w:val="00DF5F5D"/>
    <w:rsid w:val="00E1071F"/>
    <w:rsid w:val="00E24DAE"/>
    <w:rsid w:val="00E27548"/>
    <w:rsid w:val="00E30966"/>
    <w:rsid w:val="00E33C78"/>
    <w:rsid w:val="00E461AC"/>
    <w:rsid w:val="00E53178"/>
    <w:rsid w:val="00E5479A"/>
    <w:rsid w:val="00E56E00"/>
    <w:rsid w:val="00E637F3"/>
    <w:rsid w:val="00E77820"/>
    <w:rsid w:val="00E91068"/>
    <w:rsid w:val="00E915C0"/>
    <w:rsid w:val="00E97C4E"/>
    <w:rsid w:val="00EA776B"/>
    <w:rsid w:val="00EC0586"/>
    <w:rsid w:val="00EC3F60"/>
    <w:rsid w:val="00EC7552"/>
    <w:rsid w:val="00EF640A"/>
    <w:rsid w:val="00EF700D"/>
    <w:rsid w:val="00EF75FB"/>
    <w:rsid w:val="00F03DD0"/>
    <w:rsid w:val="00F053C6"/>
    <w:rsid w:val="00F0752F"/>
    <w:rsid w:val="00F10871"/>
    <w:rsid w:val="00F16379"/>
    <w:rsid w:val="00F22CD0"/>
    <w:rsid w:val="00F236A7"/>
    <w:rsid w:val="00F42CAA"/>
    <w:rsid w:val="00F440FC"/>
    <w:rsid w:val="00F45A0F"/>
    <w:rsid w:val="00F46BC9"/>
    <w:rsid w:val="00F551BD"/>
    <w:rsid w:val="00F61040"/>
    <w:rsid w:val="00F66D38"/>
    <w:rsid w:val="00F856D9"/>
    <w:rsid w:val="00F9607F"/>
    <w:rsid w:val="00F97409"/>
    <w:rsid w:val="00F97C83"/>
    <w:rsid w:val="00FA4CDC"/>
    <w:rsid w:val="00FA4CF7"/>
    <w:rsid w:val="00FB6C24"/>
    <w:rsid w:val="00FC5E8D"/>
    <w:rsid w:val="00FC60F9"/>
    <w:rsid w:val="00FC6764"/>
    <w:rsid w:val="00FD3A19"/>
    <w:rsid w:val="00FD4D46"/>
    <w:rsid w:val="00FE03F9"/>
    <w:rsid w:val="00FE1E4A"/>
    <w:rsid w:val="00FF7458"/>
    <w:rsid w:val="1E6557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7C4E"/>
    <w:pPr>
      <w:spacing w:line="360" w:lineRule="auto"/>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D820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basedOn w:val="Normal"/>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styleId="AsuntodelcomentarioCar" w:customStyle="1">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styleId="Mencinsinresolver1" w:customStyle="1">
    <w:name w:val="Mención sin resolver1"/>
    <w:basedOn w:val="Fuentedeprrafopredeter"/>
    <w:uiPriority w:val="99"/>
    <w:semiHidden/>
    <w:unhideWhenUsed/>
    <w:rsid w:val="0025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163127581">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342050378">
      <w:bodyDiv w:val="1"/>
      <w:marLeft w:val="0"/>
      <w:marRight w:val="0"/>
      <w:marTop w:val="0"/>
      <w:marBottom w:val="0"/>
      <w:divBdr>
        <w:top w:val="none" w:sz="0" w:space="0" w:color="auto"/>
        <w:left w:val="none" w:sz="0" w:space="0" w:color="auto"/>
        <w:bottom w:val="none" w:sz="0" w:space="0" w:color="auto"/>
        <w:right w:val="none" w:sz="0" w:space="0" w:color="auto"/>
      </w:divBdr>
    </w:div>
    <w:div w:id="351684440">
      <w:bodyDiv w:val="1"/>
      <w:marLeft w:val="0"/>
      <w:marRight w:val="0"/>
      <w:marTop w:val="0"/>
      <w:marBottom w:val="0"/>
      <w:divBdr>
        <w:top w:val="none" w:sz="0" w:space="0" w:color="auto"/>
        <w:left w:val="none" w:sz="0" w:space="0" w:color="auto"/>
        <w:bottom w:val="none" w:sz="0" w:space="0" w:color="auto"/>
        <w:right w:val="none" w:sz="0" w:space="0" w:color="auto"/>
      </w:divBdr>
    </w:div>
    <w:div w:id="415369250">
      <w:bodyDiv w:val="1"/>
      <w:marLeft w:val="0"/>
      <w:marRight w:val="0"/>
      <w:marTop w:val="0"/>
      <w:marBottom w:val="0"/>
      <w:divBdr>
        <w:top w:val="none" w:sz="0" w:space="0" w:color="auto"/>
        <w:left w:val="none" w:sz="0" w:space="0" w:color="auto"/>
        <w:bottom w:val="none" w:sz="0" w:space="0" w:color="auto"/>
        <w:right w:val="none" w:sz="0" w:space="0" w:color="auto"/>
      </w:divBdr>
    </w:div>
    <w:div w:id="427893953">
      <w:bodyDiv w:val="1"/>
      <w:marLeft w:val="0"/>
      <w:marRight w:val="0"/>
      <w:marTop w:val="0"/>
      <w:marBottom w:val="0"/>
      <w:divBdr>
        <w:top w:val="none" w:sz="0" w:space="0" w:color="auto"/>
        <w:left w:val="none" w:sz="0" w:space="0" w:color="auto"/>
        <w:bottom w:val="none" w:sz="0" w:space="0" w:color="auto"/>
        <w:right w:val="none" w:sz="0" w:space="0" w:color="auto"/>
      </w:divBdr>
    </w:div>
    <w:div w:id="485173481">
      <w:bodyDiv w:val="1"/>
      <w:marLeft w:val="0"/>
      <w:marRight w:val="0"/>
      <w:marTop w:val="0"/>
      <w:marBottom w:val="0"/>
      <w:divBdr>
        <w:top w:val="none" w:sz="0" w:space="0" w:color="auto"/>
        <w:left w:val="none" w:sz="0" w:space="0" w:color="auto"/>
        <w:bottom w:val="none" w:sz="0" w:space="0" w:color="auto"/>
        <w:right w:val="none" w:sz="0" w:space="0" w:color="auto"/>
      </w:divBdr>
    </w:div>
    <w:div w:id="546142157">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594291301">
      <w:bodyDiv w:val="1"/>
      <w:marLeft w:val="0"/>
      <w:marRight w:val="0"/>
      <w:marTop w:val="0"/>
      <w:marBottom w:val="0"/>
      <w:divBdr>
        <w:top w:val="none" w:sz="0" w:space="0" w:color="auto"/>
        <w:left w:val="none" w:sz="0" w:space="0" w:color="auto"/>
        <w:bottom w:val="none" w:sz="0" w:space="0" w:color="auto"/>
        <w:right w:val="none" w:sz="0" w:space="0" w:color="auto"/>
      </w:divBdr>
    </w:div>
    <w:div w:id="635717578">
      <w:bodyDiv w:val="1"/>
      <w:marLeft w:val="0"/>
      <w:marRight w:val="0"/>
      <w:marTop w:val="0"/>
      <w:marBottom w:val="0"/>
      <w:divBdr>
        <w:top w:val="none" w:sz="0" w:space="0" w:color="auto"/>
        <w:left w:val="none" w:sz="0" w:space="0" w:color="auto"/>
        <w:bottom w:val="none" w:sz="0" w:space="0" w:color="auto"/>
        <w:right w:val="none" w:sz="0" w:space="0" w:color="auto"/>
      </w:divBdr>
    </w:div>
    <w:div w:id="653991791">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683437119">
      <w:bodyDiv w:val="1"/>
      <w:marLeft w:val="0"/>
      <w:marRight w:val="0"/>
      <w:marTop w:val="0"/>
      <w:marBottom w:val="0"/>
      <w:divBdr>
        <w:top w:val="none" w:sz="0" w:space="0" w:color="auto"/>
        <w:left w:val="none" w:sz="0" w:space="0" w:color="auto"/>
        <w:bottom w:val="none" w:sz="0" w:space="0" w:color="auto"/>
        <w:right w:val="none" w:sz="0" w:space="0" w:color="auto"/>
      </w:divBdr>
    </w:div>
    <w:div w:id="695735852">
      <w:bodyDiv w:val="1"/>
      <w:marLeft w:val="0"/>
      <w:marRight w:val="0"/>
      <w:marTop w:val="0"/>
      <w:marBottom w:val="0"/>
      <w:divBdr>
        <w:top w:val="none" w:sz="0" w:space="0" w:color="auto"/>
        <w:left w:val="none" w:sz="0" w:space="0" w:color="auto"/>
        <w:bottom w:val="none" w:sz="0" w:space="0" w:color="auto"/>
        <w:right w:val="none" w:sz="0" w:space="0" w:color="auto"/>
      </w:divBdr>
    </w:div>
    <w:div w:id="771899302">
      <w:bodyDiv w:val="1"/>
      <w:marLeft w:val="0"/>
      <w:marRight w:val="0"/>
      <w:marTop w:val="0"/>
      <w:marBottom w:val="0"/>
      <w:divBdr>
        <w:top w:val="none" w:sz="0" w:space="0" w:color="auto"/>
        <w:left w:val="none" w:sz="0" w:space="0" w:color="auto"/>
        <w:bottom w:val="none" w:sz="0" w:space="0" w:color="auto"/>
        <w:right w:val="none" w:sz="0" w:space="0" w:color="auto"/>
      </w:divBdr>
    </w:div>
    <w:div w:id="946693391">
      <w:bodyDiv w:val="1"/>
      <w:marLeft w:val="0"/>
      <w:marRight w:val="0"/>
      <w:marTop w:val="0"/>
      <w:marBottom w:val="0"/>
      <w:divBdr>
        <w:top w:val="none" w:sz="0" w:space="0" w:color="auto"/>
        <w:left w:val="none" w:sz="0" w:space="0" w:color="auto"/>
        <w:bottom w:val="none" w:sz="0" w:space="0" w:color="auto"/>
        <w:right w:val="none" w:sz="0" w:space="0" w:color="auto"/>
      </w:divBdr>
    </w:div>
    <w:div w:id="947855146">
      <w:bodyDiv w:val="1"/>
      <w:marLeft w:val="0"/>
      <w:marRight w:val="0"/>
      <w:marTop w:val="0"/>
      <w:marBottom w:val="0"/>
      <w:divBdr>
        <w:top w:val="none" w:sz="0" w:space="0" w:color="auto"/>
        <w:left w:val="none" w:sz="0" w:space="0" w:color="auto"/>
        <w:bottom w:val="none" w:sz="0" w:space="0" w:color="auto"/>
        <w:right w:val="none" w:sz="0" w:space="0" w:color="auto"/>
      </w:divBdr>
    </w:div>
    <w:div w:id="954138847">
      <w:bodyDiv w:val="1"/>
      <w:marLeft w:val="0"/>
      <w:marRight w:val="0"/>
      <w:marTop w:val="0"/>
      <w:marBottom w:val="0"/>
      <w:divBdr>
        <w:top w:val="none" w:sz="0" w:space="0" w:color="auto"/>
        <w:left w:val="none" w:sz="0" w:space="0" w:color="auto"/>
        <w:bottom w:val="none" w:sz="0" w:space="0" w:color="auto"/>
        <w:right w:val="none" w:sz="0" w:space="0" w:color="auto"/>
      </w:divBdr>
    </w:div>
    <w:div w:id="1091388285">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07643142">
      <w:bodyDiv w:val="1"/>
      <w:marLeft w:val="0"/>
      <w:marRight w:val="0"/>
      <w:marTop w:val="0"/>
      <w:marBottom w:val="0"/>
      <w:divBdr>
        <w:top w:val="none" w:sz="0" w:space="0" w:color="auto"/>
        <w:left w:val="none" w:sz="0" w:space="0" w:color="auto"/>
        <w:bottom w:val="none" w:sz="0" w:space="0" w:color="auto"/>
        <w:right w:val="none" w:sz="0" w:space="0" w:color="auto"/>
      </w:divBdr>
    </w:div>
    <w:div w:id="1222793953">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 w:id="1278564698">
      <w:bodyDiv w:val="1"/>
      <w:marLeft w:val="0"/>
      <w:marRight w:val="0"/>
      <w:marTop w:val="0"/>
      <w:marBottom w:val="0"/>
      <w:divBdr>
        <w:top w:val="none" w:sz="0" w:space="0" w:color="auto"/>
        <w:left w:val="none" w:sz="0" w:space="0" w:color="auto"/>
        <w:bottom w:val="none" w:sz="0" w:space="0" w:color="auto"/>
        <w:right w:val="none" w:sz="0" w:space="0" w:color="auto"/>
      </w:divBdr>
    </w:div>
    <w:div w:id="1510557283">
      <w:bodyDiv w:val="1"/>
      <w:marLeft w:val="0"/>
      <w:marRight w:val="0"/>
      <w:marTop w:val="0"/>
      <w:marBottom w:val="0"/>
      <w:divBdr>
        <w:top w:val="none" w:sz="0" w:space="0" w:color="auto"/>
        <w:left w:val="none" w:sz="0" w:space="0" w:color="auto"/>
        <w:bottom w:val="none" w:sz="0" w:space="0" w:color="auto"/>
        <w:right w:val="none" w:sz="0" w:space="0" w:color="auto"/>
      </w:divBdr>
    </w:div>
    <w:div w:id="1666591127">
      <w:bodyDiv w:val="1"/>
      <w:marLeft w:val="0"/>
      <w:marRight w:val="0"/>
      <w:marTop w:val="0"/>
      <w:marBottom w:val="0"/>
      <w:divBdr>
        <w:top w:val="none" w:sz="0" w:space="0" w:color="auto"/>
        <w:left w:val="none" w:sz="0" w:space="0" w:color="auto"/>
        <w:bottom w:val="none" w:sz="0" w:space="0" w:color="auto"/>
        <w:right w:val="none" w:sz="0" w:space="0" w:color="auto"/>
      </w:divBdr>
    </w:div>
    <w:div w:id="1814132257">
      <w:bodyDiv w:val="1"/>
      <w:marLeft w:val="0"/>
      <w:marRight w:val="0"/>
      <w:marTop w:val="0"/>
      <w:marBottom w:val="0"/>
      <w:divBdr>
        <w:top w:val="none" w:sz="0" w:space="0" w:color="auto"/>
        <w:left w:val="none" w:sz="0" w:space="0" w:color="auto"/>
        <w:bottom w:val="none" w:sz="0" w:space="0" w:color="auto"/>
        <w:right w:val="none" w:sz="0" w:space="0" w:color="auto"/>
      </w:divBdr>
    </w:div>
    <w:div w:id="1828130030">
      <w:bodyDiv w:val="1"/>
      <w:marLeft w:val="0"/>
      <w:marRight w:val="0"/>
      <w:marTop w:val="0"/>
      <w:marBottom w:val="0"/>
      <w:divBdr>
        <w:top w:val="none" w:sz="0" w:space="0" w:color="auto"/>
        <w:left w:val="none" w:sz="0" w:space="0" w:color="auto"/>
        <w:bottom w:val="none" w:sz="0" w:space="0" w:color="auto"/>
        <w:right w:val="none" w:sz="0" w:space="0" w:color="auto"/>
      </w:divBdr>
    </w:div>
    <w:div w:id="1876383137">
      <w:bodyDiv w:val="1"/>
      <w:marLeft w:val="0"/>
      <w:marRight w:val="0"/>
      <w:marTop w:val="0"/>
      <w:marBottom w:val="0"/>
      <w:divBdr>
        <w:top w:val="none" w:sz="0" w:space="0" w:color="auto"/>
        <w:left w:val="none" w:sz="0" w:space="0" w:color="auto"/>
        <w:bottom w:val="none" w:sz="0" w:space="0" w:color="auto"/>
        <w:right w:val="none" w:sz="0" w:space="0" w:color="auto"/>
      </w:divBdr>
    </w:div>
    <w:div w:id="1886208925">
      <w:bodyDiv w:val="1"/>
      <w:marLeft w:val="0"/>
      <w:marRight w:val="0"/>
      <w:marTop w:val="0"/>
      <w:marBottom w:val="0"/>
      <w:divBdr>
        <w:top w:val="none" w:sz="0" w:space="0" w:color="auto"/>
        <w:left w:val="none" w:sz="0" w:space="0" w:color="auto"/>
        <w:bottom w:val="none" w:sz="0" w:space="0" w:color="auto"/>
        <w:right w:val="none" w:sz="0" w:space="0" w:color="auto"/>
      </w:divBdr>
    </w:div>
    <w:div w:id="1952976648">
      <w:bodyDiv w:val="1"/>
      <w:marLeft w:val="0"/>
      <w:marRight w:val="0"/>
      <w:marTop w:val="0"/>
      <w:marBottom w:val="0"/>
      <w:divBdr>
        <w:top w:val="none" w:sz="0" w:space="0" w:color="auto"/>
        <w:left w:val="none" w:sz="0" w:space="0" w:color="auto"/>
        <w:bottom w:val="none" w:sz="0" w:space="0" w:color="auto"/>
        <w:right w:val="none" w:sz="0" w:space="0" w:color="auto"/>
      </w:divBdr>
    </w:div>
    <w:div w:id="1963149482">
      <w:bodyDiv w:val="1"/>
      <w:marLeft w:val="0"/>
      <w:marRight w:val="0"/>
      <w:marTop w:val="0"/>
      <w:marBottom w:val="0"/>
      <w:divBdr>
        <w:top w:val="none" w:sz="0" w:space="0" w:color="auto"/>
        <w:left w:val="none" w:sz="0" w:space="0" w:color="auto"/>
        <w:bottom w:val="none" w:sz="0" w:space="0" w:color="auto"/>
        <w:right w:val="none" w:sz="0" w:space="0" w:color="auto"/>
      </w:divBdr>
    </w:div>
    <w:div w:id="1966037166">
      <w:bodyDiv w:val="1"/>
      <w:marLeft w:val="0"/>
      <w:marRight w:val="0"/>
      <w:marTop w:val="0"/>
      <w:marBottom w:val="0"/>
      <w:divBdr>
        <w:top w:val="none" w:sz="0" w:space="0" w:color="auto"/>
        <w:left w:val="none" w:sz="0" w:space="0" w:color="auto"/>
        <w:bottom w:val="none" w:sz="0" w:space="0" w:color="auto"/>
        <w:right w:val="none" w:sz="0" w:space="0" w:color="auto"/>
      </w:divBdr>
    </w:div>
    <w:div w:id="2025666133">
      <w:bodyDiv w:val="1"/>
      <w:marLeft w:val="0"/>
      <w:marRight w:val="0"/>
      <w:marTop w:val="0"/>
      <w:marBottom w:val="0"/>
      <w:divBdr>
        <w:top w:val="none" w:sz="0" w:space="0" w:color="auto"/>
        <w:left w:val="none" w:sz="0" w:space="0" w:color="auto"/>
        <w:bottom w:val="none" w:sz="0" w:space="0" w:color="auto"/>
        <w:right w:val="none" w:sz="0" w:space="0" w:color="auto"/>
      </w:divBdr>
    </w:div>
    <w:div w:id="2061055489">
      <w:bodyDiv w:val="1"/>
      <w:marLeft w:val="0"/>
      <w:marRight w:val="0"/>
      <w:marTop w:val="0"/>
      <w:marBottom w:val="0"/>
      <w:divBdr>
        <w:top w:val="none" w:sz="0" w:space="0" w:color="auto"/>
        <w:left w:val="none" w:sz="0" w:space="0" w:color="auto"/>
        <w:bottom w:val="none" w:sz="0" w:space="0" w:color="auto"/>
        <w:right w:val="none" w:sz="0" w:space="0" w:color="auto"/>
      </w:divBdr>
    </w:div>
    <w:div w:id="209728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aa44014b18334c5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7db739a-5918-4227-bdc7-c92e8fe84982}"/>
      </w:docPartPr>
      <w:docPartBody>
        <w:p w14:paraId="1E65571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C393-71C1-4488-AFF1-2B015F2A02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2022-04-20T03:20:00.0000000Z</dcterms:created>
  <dcterms:modified xsi:type="dcterms:W3CDTF">2022-05-13T18:59:47.6645723Z</dcterms:modified>
</coreProperties>
</file>