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F05" w:rsidRDefault="00AE79DA">
      <w:pPr>
        <w:shd w:val="clear" w:color="auto" w:fill="FFFFFF"/>
        <w:spacing w:before="240" w:after="240" w:line="360" w:lineRule="auto"/>
        <w:jc w:val="both"/>
        <w:rPr>
          <w:rFonts w:ascii="Palatino Linotype" w:eastAsia="Palatino Linotype" w:hAnsi="Palatino Linotype" w:cs="Palatino Linotype"/>
          <w:color w:val="000000"/>
        </w:rPr>
      </w:pPr>
      <w:bookmarkStart w:id="0" w:name="_heading=h.gjdgxs" w:colFirst="0" w:colLast="0"/>
      <w:bookmarkStart w:id="1" w:name="_GoBack"/>
      <w:bookmarkEnd w:id="0"/>
      <w:bookmarkEnd w:id="1"/>
      <w:r>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Estado de México, a nueve de marzo de dos mil veintidós.</w:t>
      </w:r>
    </w:p>
    <w:p w:rsidR="007E2F05" w:rsidRDefault="00AE79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00354/INFOEM/IP/RR/2022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Xxx</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contra de la respuesta a su solicitud de información con número de folio </w:t>
      </w:r>
      <w:r>
        <w:rPr>
          <w:rFonts w:ascii="Verdana" w:eastAsia="Verdana" w:hAnsi="Verdana" w:cs="Verdana"/>
          <w:b/>
          <w:color w:val="FF0000"/>
        </w:rPr>
        <w:t> </w:t>
      </w:r>
      <w:r>
        <w:rPr>
          <w:rFonts w:ascii="Palatino Linotype" w:eastAsia="Palatino Linotype" w:hAnsi="Palatino Linotype" w:cs="Palatino Linotype"/>
          <w:b/>
        </w:rPr>
        <w:t>00002/JOCOTIT/IP/2022,</w:t>
      </w:r>
      <w:r>
        <w:rPr>
          <w:rFonts w:ascii="Palatino Linotype" w:eastAsia="Palatino Linotype" w:hAnsi="Palatino Linotype" w:cs="Palatino Linotype"/>
        </w:rPr>
        <w:t xml:space="preserve"> por parte del </w:t>
      </w:r>
      <w:r>
        <w:rPr>
          <w:rFonts w:ascii="Palatino Linotype" w:eastAsia="Palatino Linotype" w:hAnsi="Palatino Linotype" w:cs="Palatino Linotype"/>
          <w:b/>
        </w:rPr>
        <w:t>Ayuntamiento de Jocotitlán</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7E2F05" w:rsidRDefault="00AE79DA">
      <w:pPr>
        <w:numPr>
          <w:ilvl w:val="0"/>
          <w:numId w:val="2"/>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7E2F05" w:rsidRDefault="00AE79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diez de enero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SAIMEX, requiriéndole lo siguiente:</w:t>
      </w:r>
    </w:p>
    <w:p w:rsidR="007E2F05" w:rsidRDefault="00AE79DA">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color w:val="000000"/>
          <w:sz w:val="22"/>
          <w:szCs w:val="22"/>
        </w:rPr>
        <w:t>SEÑALAR QUIENES OCUPAN LOS SIGUIENTES CARGOS: SECRETARIO DEL AYUNTAMIENTO DIRECTORES SE AREA COMPARTIR TITULO PROFESIONAL Y CEDULA DE QUIENES OSTENTAN DICHOS CARGOS QUE DEMUESTRAN QUE CUENTAN CON LOS CONOCIMIENTOS</w:t>
      </w:r>
      <w:r>
        <w:rPr>
          <w:rFonts w:ascii="Palatino Linotype" w:eastAsia="Palatino Linotype" w:hAnsi="Palatino Linotype" w:cs="Palatino Linotype"/>
          <w:i/>
          <w:sz w:val="22"/>
          <w:szCs w:val="22"/>
        </w:rPr>
        <w:t>” (Sic)</w:t>
      </w:r>
    </w:p>
    <w:p w:rsidR="007E2F05" w:rsidRDefault="00AE79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7E2F05" w:rsidRDefault="00AE79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veintiséis de enero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tbl>
      <w:tblPr>
        <w:tblStyle w:val="a"/>
        <w:tblW w:w="10500" w:type="dxa"/>
        <w:jc w:val="center"/>
        <w:tblInd w:w="0" w:type="dxa"/>
        <w:tblLayout w:type="fixed"/>
        <w:tblLook w:val="0400" w:firstRow="0" w:lastRow="0" w:firstColumn="0" w:lastColumn="0" w:noHBand="0" w:noVBand="1"/>
      </w:tblPr>
      <w:tblGrid>
        <w:gridCol w:w="10500"/>
      </w:tblGrid>
      <w:tr w:rsidR="007E2F05">
        <w:trPr>
          <w:trHeight w:val="150"/>
          <w:jc w:val="center"/>
        </w:trPr>
        <w:tc>
          <w:tcPr>
            <w:tcW w:w="10500" w:type="dxa"/>
            <w:vAlign w:val="center"/>
          </w:tcPr>
          <w:p w:rsidR="007E2F05" w:rsidRDefault="007E2F05">
            <w:pPr>
              <w:widowControl w:val="0"/>
              <w:pBdr>
                <w:top w:val="nil"/>
                <w:left w:val="nil"/>
                <w:bottom w:val="nil"/>
                <w:right w:val="nil"/>
                <w:between w:val="nil"/>
              </w:pBdr>
              <w:spacing w:line="276" w:lineRule="auto"/>
              <w:rPr>
                <w:rFonts w:ascii="Palatino Linotype" w:eastAsia="Palatino Linotype" w:hAnsi="Palatino Linotype" w:cs="Palatino Linotype"/>
              </w:rPr>
            </w:pPr>
          </w:p>
          <w:tbl>
            <w:tblPr>
              <w:tblStyle w:val="a0"/>
              <w:tblW w:w="10500" w:type="dxa"/>
              <w:jc w:val="center"/>
              <w:tblInd w:w="0" w:type="dxa"/>
              <w:tblLayout w:type="fixed"/>
              <w:tblLook w:val="0400" w:firstRow="0" w:lastRow="0" w:firstColumn="0" w:lastColumn="0" w:noHBand="0" w:noVBand="1"/>
            </w:tblPr>
            <w:tblGrid>
              <w:gridCol w:w="10500"/>
            </w:tblGrid>
            <w:tr w:rsidR="007E2F05">
              <w:trPr>
                <w:trHeight w:val="74"/>
                <w:jc w:val="center"/>
              </w:trPr>
              <w:tc>
                <w:tcPr>
                  <w:tcW w:w="10500" w:type="dxa"/>
                  <w:vAlign w:val="center"/>
                </w:tcPr>
                <w:p w:rsidR="007E2F05" w:rsidRDefault="00AE79DA">
                  <w:pPr>
                    <w:spacing w:before="240" w:after="240" w:line="276" w:lineRule="auto"/>
                    <w:ind w:left="1701" w:right="171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E2F05" w:rsidRDefault="00AE79DA">
                  <w:pPr>
                    <w:spacing w:before="240" w:after="240" w:line="276" w:lineRule="auto"/>
                    <w:ind w:left="1701" w:right="171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ATENCIÓN A LA INFORMACIÓN EN DONDE:SEÑALAR QUIENES OCUPAN LOS SIGUIENTES CARGOS: SECRETARIO DEL AYUNTAMIENTO DIRECTORES SE AREA COMPARTIR TITULO PROFESIONAL Y CEDULA DE QUIENES OSTENTAN DICHOS CARGOS QUE DEMUESTRAN QUE CUENTAN CON LOS CONOCIMIENTOS, AL RESPECTO ME PERMITO ADJUNTAR LOS ARCHIVOS CORRESPONDIENTES CON LA INFORMACIÓN SOLICITADA.</w:t>
                  </w:r>
                </w:p>
                <w:p w:rsidR="007E2F05" w:rsidRDefault="00AE79DA">
                  <w:pPr>
                    <w:spacing w:before="240" w:after="240" w:line="276" w:lineRule="auto"/>
                    <w:ind w:left="1701" w:right="171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7E2F05" w:rsidRDefault="00AE79DA">
                  <w:pPr>
                    <w:spacing w:before="240" w:after="240" w:line="276" w:lineRule="auto"/>
                    <w:ind w:left="1701"/>
                    <w:rPr>
                      <w:rFonts w:ascii="Palatino Linotype" w:eastAsia="Palatino Linotype" w:hAnsi="Palatino Linotype" w:cs="Palatino Linotype"/>
                      <w:sz w:val="22"/>
                      <w:szCs w:val="22"/>
                    </w:rPr>
                  </w:pPr>
                  <w:r>
                    <w:rPr>
                      <w:rFonts w:ascii="Palatino Linotype" w:eastAsia="Palatino Linotype" w:hAnsi="Palatino Linotype" w:cs="Palatino Linotype"/>
                      <w:i/>
                      <w:color w:val="000000"/>
                      <w:sz w:val="22"/>
                      <w:szCs w:val="22"/>
                    </w:rPr>
                    <w:t>MTRO. ERICK NAVA MARTÍNEZ</w:t>
                  </w:r>
                </w:p>
              </w:tc>
            </w:tr>
          </w:tbl>
          <w:p w:rsidR="007E2F05" w:rsidRDefault="007E2F05">
            <w:pPr>
              <w:spacing w:before="240" w:after="240" w:line="360" w:lineRule="auto"/>
              <w:ind w:left="1701" w:right="1711"/>
              <w:jc w:val="both"/>
              <w:rPr>
                <w:rFonts w:ascii="Palatino Linotype" w:eastAsia="Palatino Linotype" w:hAnsi="Palatino Linotype" w:cs="Palatino Linotype"/>
                <w:i/>
                <w:sz w:val="22"/>
                <w:szCs w:val="22"/>
              </w:rPr>
            </w:pPr>
          </w:p>
        </w:tc>
      </w:tr>
      <w:tr w:rsidR="007E2F05">
        <w:trPr>
          <w:trHeight w:val="375"/>
          <w:jc w:val="center"/>
        </w:trPr>
        <w:tc>
          <w:tcPr>
            <w:tcW w:w="10500" w:type="dxa"/>
            <w:vAlign w:val="center"/>
          </w:tcPr>
          <w:p w:rsidR="007E2F05" w:rsidRDefault="007E2F05">
            <w:pPr>
              <w:spacing w:before="240" w:after="240" w:line="360" w:lineRule="auto"/>
              <w:rPr>
                <w:rFonts w:ascii="Palatino Linotype" w:eastAsia="Palatino Linotype" w:hAnsi="Palatino Linotype" w:cs="Palatino Linotype"/>
                <w:i/>
                <w:sz w:val="22"/>
                <w:szCs w:val="22"/>
              </w:rPr>
            </w:pPr>
          </w:p>
        </w:tc>
      </w:tr>
    </w:tbl>
    <w:p w:rsidR="007E2F05" w:rsidRDefault="00AE79DA">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Archivos adjuntos: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los archivos electrónicos que a continuación se detallan:</w:t>
      </w:r>
    </w:p>
    <w:p w:rsidR="007E2F05" w:rsidRDefault="00AE79DA">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 xml:space="preserve">“PRIMERA SESIÓN EXTRAORDINARIA.pdf”: </w:t>
      </w:r>
      <w:r>
        <w:rPr>
          <w:rFonts w:ascii="Palatino Linotype" w:eastAsia="Palatino Linotype" w:hAnsi="Palatino Linotype" w:cs="Palatino Linotype"/>
        </w:rPr>
        <w:t xml:space="preserve">Acta de la Primera Sesión del Comité de Transparencia del Ayuntamiento de Jocotitlán, en la que se analiza la propuesta presentada por la Tesorera Municipal, para la elaboración de la versión pública de los títulos profesionales de los servidores públicos materia de la solicitud. </w:t>
      </w:r>
    </w:p>
    <w:p w:rsidR="007E2F05" w:rsidRDefault="00AE79DA">
      <w:pPr>
        <w:spacing w:before="240" w:after="240" w:line="360" w:lineRule="auto"/>
        <w:ind w:left="567"/>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5610225" cy="6610350"/>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610225" cy="6610350"/>
                    </a:xfrm>
                    <a:prstGeom prst="rect">
                      <a:avLst/>
                    </a:prstGeom>
                    <a:ln/>
                  </pic:spPr>
                </pic:pic>
              </a:graphicData>
            </a:graphic>
          </wp:inline>
        </w:drawing>
      </w:r>
    </w:p>
    <w:p w:rsidR="007E2F05" w:rsidRDefault="00AE79DA">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 xml:space="preserve">“ANEXO I.pdf”: </w:t>
      </w:r>
      <w:r>
        <w:rPr>
          <w:rFonts w:ascii="Palatino Linotype" w:eastAsia="Palatino Linotype" w:hAnsi="Palatino Linotype" w:cs="Palatino Linotype"/>
        </w:rPr>
        <w:t xml:space="preserve">Documento de dos fojas signado por la Tesorera Municipal en el que desglosa la información referente a los servidores </w:t>
      </w:r>
      <w:r>
        <w:rPr>
          <w:rFonts w:ascii="Palatino Linotype" w:eastAsia="Palatino Linotype" w:hAnsi="Palatino Linotype" w:cs="Palatino Linotype"/>
        </w:rPr>
        <w:lastRenderedPageBreak/>
        <w:t xml:space="preserve">públicos que ostentan los cargos requeridos por el solicitante, asimismo se pronuncia sobre los títulos profesionales. </w:t>
      </w:r>
    </w:p>
    <w:p w:rsidR="007E2F05" w:rsidRDefault="00AE79DA">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extent cx="5079743" cy="6468264"/>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079743" cy="6468264"/>
                    </a:xfrm>
                    <a:prstGeom prst="rect">
                      <a:avLst/>
                    </a:prstGeom>
                    <a:ln/>
                  </pic:spPr>
                </pic:pic>
              </a:graphicData>
            </a:graphic>
          </wp:inline>
        </w:drawing>
      </w:r>
    </w:p>
    <w:p w:rsidR="007E2F05" w:rsidRDefault="007E2F05">
      <w:pPr>
        <w:spacing w:before="240" w:after="240" w:line="360" w:lineRule="auto"/>
        <w:ind w:left="567"/>
        <w:jc w:val="both"/>
        <w:rPr>
          <w:rFonts w:ascii="Palatino Linotype" w:eastAsia="Palatino Linotype" w:hAnsi="Palatino Linotype" w:cs="Palatino Linotype"/>
          <w:b/>
          <w:i/>
        </w:rPr>
      </w:pPr>
    </w:p>
    <w:p w:rsidR="007E2F05" w:rsidRDefault="00AE79DA">
      <w:pPr>
        <w:spacing w:before="240" w:after="240" w:line="360" w:lineRule="auto"/>
        <w:ind w:left="567"/>
        <w:jc w:val="both"/>
        <w:rPr>
          <w:rFonts w:ascii="Palatino Linotype" w:eastAsia="Palatino Linotype" w:hAnsi="Palatino Linotype" w:cs="Palatino Linotype"/>
          <w:b/>
          <w:i/>
        </w:rPr>
      </w:pPr>
      <w:r>
        <w:rPr>
          <w:noProof/>
          <w:lang w:val="es-MX" w:eastAsia="es-MX"/>
        </w:rPr>
        <w:drawing>
          <wp:anchor distT="0" distB="0" distL="114300" distR="114300" simplePos="0" relativeHeight="251658240" behindDoc="0" locked="0" layoutInCell="1" hidden="0" allowOverlap="1">
            <wp:simplePos x="0" y="0"/>
            <wp:positionH relativeFrom="column">
              <wp:posOffset>358140</wp:posOffset>
            </wp:positionH>
            <wp:positionV relativeFrom="paragraph">
              <wp:posOffset>53975</wp:posOffset>
            </wp:positionV>
            <wp:extent cx="5610225" cy="5381625"/>
            <wp:effectExtent l="0" t="0" r="0" b="0"/>
            <wp:wrapTopAndBottom distT="0" dist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610225" cy="5381625"/>
                    </a:xfrm>
                    <a:prstGeom prst="rect">
                      <a:avLst/>
                    </a:prstGeom>
                    <a:ln/>
                  </pic:spPr>
                </pic:pic>
              </a:graphicData>
            </a:graphic>
          </wp:anchor>
        </w:drawing>
      </w:r>
    </w:p>
    <w:p w:rsidR="007E2F05" w:rsidRDefault="00AE79DA">
      <w:pPr>
        <w:spacing w:before="240" w:after="240" w:line="360" w:lineRule="auto"/>
        <w:ind w:left="567" w:right="758"/>
        <w:jc w:val="both"/>
        <w:rPr>
          <w:rFonts w:ascii="Palatino Linotype" w:eastAsia="Palatino Linotype" w:hAnsi="Palatino Linotype" w:cs="Palatino Linotype"/>
        </w:rPr>
      </w:pPr>
      <w:r>
        <w:rPr>
          <w:rFonts w:ascii="Palatino Linotype" w:eastAsia="Palatino Linotype" w:hAnsi="Palatino Linotype" w:cs="Palatino Linotype"/>
          <w:b/>
          <w:i/>
        </w:rPr>
        <w:t xml:space="preserve">“TITULOS PROFESIONALES.pdf”: </w:t>
      </w:r>
      <w:r>
        <w:rPr>
          <w:rFonts w:ascii="Palatino Linotype" w:eastAsia="Palatino Linotype" w:hAnsi="Palatino Linotype" w:cs="Palatino Linotype"/>
        </w:rPr>
        <w:t xml:space="preserve">Documento de diez fojas en los que constan los títulos profesionales de los servidores públicos referidos. </w:t>
      </w:r>
    </w:p>
    <w:p w:rsidR="007E2F05" w:rsidRDefault="00AE79DA">
      <w:pPr>
        <w:spacing w:before="240" w:after="240" w:line="360" w:lineRule="auto"/>
        <w:ind w:left="567" w:right="758"/>
        <w:jc w:val="both"/>
      </w:pPr>
      <w:r>
        <w:rPr>
          <w:noProof/>
          <w:lang w:val="es-MX" w:eastAsia="es-MX"/>
        </w:rPr>
        <w:lastRenderedPageBreak/>
        <w:drawing>
          <wp:inline distT="0" distB="0" distL="0" distR="0">
            <wp:extent cx="5610225" cy="6296025"/>
            <wp:effectExtent l="0" t="0" r="0" 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610225" cy="6296025"/>
                    </a:xfrm>
                    <a:prstGeom prst="rect">
                      <a:avLst/>
                    </a:prstGeom>
                    <a:ln/>
                  </pic:spPr>
                </pic:pic>
              </a:graphicData>
            </a:graphic>
          </wp:inline>
        </w:drawing>
      </w:r>
    </w:p>
    <w:p w:rsidR="007E2F05" w:rsidRDefault="00AE79DA">
      <w:pPr>
        <w:spacing w:before="240" w:after="240" w:line="360" w:lineRule="auto"/>
        <w:ind w:left="567" w:right="758"/>
        <w:jc w:val="both"/>
      </w:pPr>
      <w:r>
        <w:rPr>
          <w:noProof/>
          <w:lang w:val="es-MX" w:eastAsia="es-MX"/>
        </w:rPr>
        <w:lastRenderedPageBreak/>
        <w:drawing>
          <wp:inline distT="0" distB="0" distL="0" distR="0">
            <wp:extent cx="5610225" cy="6257925"/>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610225" cy="6257925"/>
                    </a:xfrm>
                    <a:prstGeom prst="rect">
                      <a:avLst/>
                    </a:prstGeom>
                    <a:ln/>
                  </pic:spPr>
                </pic:pic>
              </a:graphicData>
            </a:graphic>
          </wp:inline>
        </w:drawing>
      </w:r>
    </w:p>
    <w:p w:rsidR="007E2F05" w:rsidRDefault="007E2F05">
      <w:pPr>
        <w:spacing w:before="240" w:after="240" w:line="360" w:lineRule="auto"/>
        <w:jc w:val="both"/>
        <w:rPr>
          <w:rFonts w:ascii="Palatino Linotype" w:eastAsia="Palatino Linotype" w:hAnsi="Palatino Linotype" w:cs="Palatino Linotype"/>
        </w:rPr>
      </w:pPr>
    </w:p>
    <w:p w:rsidR="007E2F05" w:rsidRDefault="007E2F05">
      <w:pPr>
        <w:spacing w:before="240" w:after="240" w:line="360" w:lineRule="auto"/>
        <w:jc w:val="both"/>
        <w:rPr>
          <w:rFonts w:ascii="Palatino Linotype" w:eastAsia="Palatino Linotype" w:hAnsi="Palatino Linotype" w:cs="Palatino Linotype"/>
        </w:rPr>
      </w:pPr>
    </w:p>
    <w:p w:rsidR="007E2F05" w:rsidRDefault="00AE79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recurso de revisión a través del SAIMEX en fecha veintisiete de enero de dos mil veintidós, a través del cual expresó lo siguiente:</w:t>
      </w:r>
    </w:p>
    <w:p w:rsidR="007E2F05" w:rsidRDefault="00AE79DA">
      <w:pPr>
        <w:spacing w:before="240" w:after="240"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7E2F05" w:rsidRDefault="00AE79DA">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fotografías son de servidores públicos, no deben ser testadas, el número de acuerdo no debe ser testado puesto que no involucra datos personales.” (Sic)</w:t>
      </w:r>
    </w:p>
    <w:p w:rsidR="007E2F05" w:rsidRDefault="00AE79D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7E2F05" w:rsidRDefault="00AE79DA">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 hay motivos para testar información de servidores públicos en documentos oficilaes” (Sic)</w:t>
      </w:r>
    </w:p>
    <w:p w:rsidR="007E2F05" w:rsidRDefault="00AE79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número </w:t>
      </w:r>
      <w:r>
        <w:rPr>
          <w:rFonts w:ascii="Palatino Linotype" w:eastAsia="Palatino Linotype" w:hAnsi="Palatino Linotype" w:cs="Palatino Linotype"/>
          <w:b/>
        </w:rPr>
        <w:t>00354/INFOEM/IP/RR/2022</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fue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turnado por el sistema electrónico del Instituto de Transparencia, Acceso a la Información Pública y Protección de Datos Personales del Estado de México y Municipios, a la Comisionada Ponente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para su análisis, estudio, elaboración del proyecto y presentación ante el pleno de este Instituto.</w:t>
      </w:r>
    </w:p>
    <w:p w:rsidR="007E2F05" w:rsidRDefault="00AE79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uno de febrero de dos mil veintidós</w:t>
      </w:r>
      <w:r>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 </w:t>
      </w:r>
    </w:p>
    <w:p w:rsidR="007E2F05" w:rsidRDefault="00AE79DA">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6. Manifestaciones</w:t>
      </w:r>
      <w:r>
        <w:rPr>
          <w:rFonts w:ascii="Palatino Linotype" w:eastAsia="Palatino Linotype" w:hAnsi="Palatino Linotype" w:cs="Palatino Linotype"/>
          <w:color w:val="000000"/>
        </w:rPr>
        <w:t xml:space="preserve">: De las constancias que integran el expediente en que se actúa se advierte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fue omisa en ofrecer pruebas o expresar alegatos, sin embargo,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remitió el archivo electrónico “</w:t>
      </w:r>
      <w:r>
        <w:rPr>
          <w:rFonts w:ascii="Palatino Linotype" w:eastAsia="Palatino Linotype" w:hAnsi="Palatino Linotype" w:cs="Palatino Linotype"/>
          <w:b/>
          <w:i/>
          <w:color w:val="000000"/>
        </w:rPr>
        <w:t xml:space="preserve">RR00354.pdf”, </w:t>
      </w:r>
      <w:r>
        <w:rPr>
          <w:rFonts w:ascii="Palatino Linotype" w:eastAsia="Palatino Linotype" w:hAnsi="Palatino Linotype" w:cs="Palatino Linotype"/>
          <w:color w:val="000000"/>
        </w:rPr>
        <w:t xml:space="preserve">mediante el cual ratifica su respuesta inicial, sin embargo, en observancia al principio de máxima publicidad, se puso a disposición del particular en fecha </w:t>
      </w:r>
      <w:r>
        <w:rPr>
          <w:rFonts w:ascii="Palatino Linotype" w:eastAsia="Palatino Linotype" w:hAnsi="Palatino Linotype" w:cs="Palatino Linotype"/>
          <w:b/>
          <w:color w:val="000000"/>
        </w:rPr>
        <w:t>dos de marzo del dos mil veintidós</w:t>
      </w:r>
      <w:r>
        <w:rPr>
          <w:rFonts w:ascii="Palatino Linotype" w:eastAsia="Palatino Linotype" w:hAnsi="Palatino Linotype" w:cs="Palatino Linotype"/>
          <w:color w:val="000000"/>
        </w:rPr>
        <w:t>.</w:t>
      </w:r>
    </w:p>
    <w:p w:rsidR="007E2F05" w:rsidRDefault="00AE79DA">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7. Cierre de instrucción. </w:t>
      </w:r>
      <w:r>
        <w:rPr>
          <w:rFonts w:ascii="Palatino Linotype" w:eastAsia="Palatino Linotype" w:hAnsi="Palatino Linotype" w:cs="Palatino Linotype"/>
          <w:color w:val="000000"/>
        </w:rPr>
        <w:t xml:space="preserve">En fecha </w:t>
      </w:r>
      <w:r>
        <w:rPr>
          <w:rFonts w:ascii="Palatino Linotype" w:eastAsia="Palatino Linotype" w:hAnsi="Palatino Linotype" w:cs="Palatino Linotype"/>
          <w:b/>
          <w:color w:val="000000"/>
        </w:rPr>
        <w:t>nueve de marzo del dos mil veintidós</w:t>
      </w:r>
      <w:r>
        <w:rPr>
          <w:rFonts w:ascii="Palatino Linotype" w:eastAsia="Palatino Linotype" w:hAnsi="Palatino Linotype" w:cs="Palatino Linotype"/>
          <w:color w:val="000000"/>
        </w:rPr>
        <w:t>, la Comisionada Ponente determinó el cierre de instrucción en términos de la fracción VI del artículo 185 de la Ley de Transparencia y Acceso a la Información Pública del Estado de México y Municipios.</w:t>
      </w:r>
    </w:p>
    <w:p w:rsidR="007E2F05" w:rsidRDefault="00AE79DA">
      <w:pPr>
        <w:numPr>
          <w:ilvl w:val="0"/>
          <w:numId w:val="2"/>
        </w:numPr>
        <w:pBdr>
          <w:top w:val="nil"/>
          <w:left w:val="nil"/>
          <w:bottom w:val="nil"/>
          <w:right w:val="nil"/>
          <w:between w:val="nil"/>
        </w:pBdr>
        <w:spacing w:before="240" w:after="240" w:line="360" w:lineRule="auto"/>
        <w:ind w:left="567" w:hanging="425"/>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rsidR="007E2F05" w:rsidRDefault="00AE79DA">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7E2F05" w:rsidRDefault="00AE79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veintiséis de enero del año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presentó su recurso de revisión el día </w:t>
      </w:r>
      <w:r>
        <w:rPr>
          <w:rFonts w:ascii="Palatino Linotype" w:eastAsia="Palatino Linotype" w:hAnsi="Palatino Linotype" w:cs="Palatino Linotype"/>
          <w:b/>
        </w:rPr>
        <w:t>veintisiete de enero del mismo año</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primer día hábil</w:t>
      </w:r>
      <w:r>
        <w:rPr>
          <w:rFonts w:ascii="Palatino Linotype" w:eastAsia="Palatino Linotype" w:hAnsi="Palatino Linotype" w:cs="Palatino Linotype"/>
        </w:rPr>
        <w:t xml:space="preserve"> en el que tuvo conocimiento de la respuesta; evidenciándose que la interposición del recurso se encuentra dentro de los márgenes temporales previstos en el citado precepto legal.</w:t>
      </w:r>
    </w:p>
    <w:p w:rsidR="007E2F05" w:rsidRDefault="00AE79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del formato de interposición del recurso, se advierte que el artículo 180 de la Ley de Transparencia y Acceso a la Información Pública del Estado de México y Municipios, establece los siguientes elementos formales para la presentación del recurso:</w:t>
      </w:r>
    </w:p>
    <w:p w:rsidR="007E2F05" w:rsidRDefault="00AE79DA">
      <w:pPr>
        <w:spacing w:before="240" w:after="240" w:line="276" w:lineRule="auto"/>
        <w:ind w:left="567"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“Artículo 180.</w:t>
      </w:r>
      <w:r>
        <w:rPr>
          <w:rFonts w:ascii="Palatino Linotype" w:eastAsia="Palatino Linotype" w:hAnsi="Palatino Linotype" w:cs="Palatino Linotype"/>
          <w:i/>
          <w:sz w:val="20"/>
          <w:szCs w:val="20"/>
        </w:rPr>
        <w:t xml:space="preserve"> El recurso de revisión contendrá: </w:t>
      </w:r>
    </w:p>
    <w:p w:rsidR="007E2F05" w:rsidRDefault="00AE79DA">
      <w:pPr>
        <w:spacing w:before="240" w:after="240" w:line="276" w:lineRule="auto"/>
        <w:ind w:left="567"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p>
    <w:p w:rsidR="007E2F05" w:rsidRDefault="00AE79DA">
      <w:pPr>
        <w:spacing w:before="240" w:after="240" w:line="276" w:lineRule="auto"/>
        <w:ind w:left="567" w:right="902"/>
        <w:jc w:val="both"/>
        <w:rPr>
          <w:rFonts w:ascii="Palatino Linotype" w:eastAsia="Palatino Linotype" w:hAnsi="Palatino Linotype" w:cs="Palatino Linotype"/>
          <w:b/>
          <w:i/>
          <w:sz w:val="20"/>
          <w:szCs w:val="20"/>
          <w:u w:val="single"/>
        </w:rPr>
      </w:pPr>
      <w:r>
        <w:rPr>
          <w:rFonts w:ascii="Palatino Linotype" w:eastAsia="Palatino Linotype" w:hAnsi="Palatino Linotype" w:cs="Palatino Linotype"/>
          <w:b/>
          <w:i/>
          <w:sz w:val="20"/>
          <w:szCs w:val="20"/>
          <w:u w:val="single"/>
        </w:rPr>
        <w:t xml:space="preserve">II. El nombre del solicitante que recurre o de su representante y, en su caso, del tercero interesado, así como la dirección o medio que señale para recibir notificaciones; </w:t>
      </w:r>
    </w:p>
    <w:p w:rsidR="007E2F05" w:rsidRDefault="00AE79DA">
      <w:pPr>
        <w:spacing w:before="240" w:after="240" w:line="276" w:lineRule="auto"/>
        <w:ind w:left="567"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p>
    <w:p w:rsidR="007E2F05" w:rsidRDefault="00AE79DA">
      <w:pPr>
        <w:spacing w:before="240" w:after="240" w:line="276" w:lineRule="auto"/>
        <w:ind w:left="567"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lastRenderedPageBreak/>
        <w:t>En caso de que el recurso se interponga de manera electrónica no será indispensable que contengan los requisitos establecidos en las fracciones II, IV, VII y VIII.”</w:t>
      </w:r>
    </w:p>
    <w:p w:rsidR="007E2F05" w:rsidRDefault="00AE79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artículo 181 del citado ordenamiento dispone, que:</w:t>
      </w:r>
    </w:p>
    <w:p w:rsidR="007E2F05" w:rsidRDefault="00AE79DA">
      <w:pPr>
        <w:spacing w:before="240" w:after="240" w:line="276" w:lineRule="auto"/>
        <w:ind w:left="567"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“Artículo 181.</w:t>
      </w:r>
      <w:r>
        <w:rPr>
          <w:rFonts w:ascii="Palatino Linotype" w:eastAsia="Palatino Linotype" w:hAnsi="Palatino Linotype" w:cs="Palatino Linotype"/>
          <w:i/>
          <w:sz w:val="20"/>
          <w:szCs w:val="20"/>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rsidR="007E2F05" w:rsidRDefault="00AE79DA">
      <w:pPr>
        <w:spacing w:before="240" w:after="240" w:line="276" w:lineRule="auto"/>
        <w:ind w:left="567"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rsidR="007E2F05" w:rsidRDefault="00AE79DA">
      <w:pPr>
        <w:spacing w:before="240" w:after="240" w:line="276" w:lineRule="auto"/>
        <w:ind w:left="567"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rsidR="007E2F05" w:rsidRDefault="00AE79DA">
      <w:pPr>
        <w:spacing w:before="240" w:after="240" w:line="276" w:lineRule="auto"/>
        <w:ind w:left="567"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rsidR="007E2F05" w:rsidRDefault="00AE79DA">
      <w:pPr>
        <w:spacing w:before="240" w:after="240" w:line="276" w:lineRule="auto"/>
        <w:ind w:left="567" w:right="902"/>
        <w:jc w:val="both"/>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Para el caso de interposición del recurso de revisión a través de la Plataforma Nacional o la plataforma que para tales efectos habilite el Instituto, éste podrá solicitar al particular subsane las deficiencias por ese medio.”</w:t>
      </w:r>
    </w:p>
    <w:p w:rsidR="007E2F05" w:rsidRDefault="00AE79DA">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De la interpretación sistemática a los artículos transcritos se advierten los requisitos de los recursos de revisión y por el otro la potestad de este Instituto para requerir al recurrente, por una sola ocasión y a través del medio que haya elegido para recibir notificaciones a fin de que subsane las omisiones de sus recursos o bien que aplique la suplencia de la queja a favor del recurrente sin cambiar los hechos expuestos.</w:t>
      </w:r>
    </w:p>
    <w:p w:rsidR="007E2F05" w:rsidRDefault="00AE79DA">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Sobre el particular, de la revisión al expediente electrónico del SAIMEX se desprende que la parte solicitante, en ejercicio de su derecho de acceso a la información pública, y ahora recurrente, no </w:t>
      </w:r>
      <w:r>
        <w:rPr>
          <w:rFonts w:ascii="Palatino Linotype" w:eastAsia="Palatino Linotype" w:hAnsi="Palatino Linotype" w:cs="Palatino Linotype"/>
          <w:color w:val="000000"/>
        </w:rPr>
        <w:t>proporcionó datos que lo hagan identificable, por ende no se tiene certeza sobre su identidad</w:t>
      </w:r>
      <w:r>
        <w:rPr>
          <w:rFonts w:ascii="Palatino Linotype" w:eastAsia="Palatino Linotype" w:hAnsi="Palatino Linotype" w:cs="Palatino Linotype"/>
        </w:rPr>
        <w:t>, lo que en estricto sentido provoca que no se colmen los requisitos establecidos en el citado artículo 180 de la Ley de Transparencia.</w:t>
      </w:r>
    </w:p>
    <w:p w:rsidR="007E2F05" w:rsidRDefault="00AE79DA">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 xml:space="preserve">Empero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Pr>
          <w:rFonts w:ascii="Palatino Linotype" w:eastAsia="Palatino Linotype" w:hAnsi="Palatino Linotype" w:cs="Palatino Linotype"/>
          <w:i/>
        </w:rPr>
        <w:t>sine qua non</w:t>
      </w:r>
      <w:r>
        <w:rPr>
          <w:rFonts w:ascii="Palatino Linotype" w:eastAsia="Palatino Linotype" w:hAnsi="Palatino Linotype" w:cs="Palatino Linotype"/>
        </w:rPr>
        <w:t xml:space="preserve"> que los particulares y, en su caso, los recurrentes deban señalar, por el contrario la Ley de Transparencia prevé en su artículo 155, párrafos segundo, tercero y cuarto la posibilidad de que las solicitudes de información sean anónimas, con nombre incompleto o seudónimo.</w:t>
      </w:r>
    </w:p>
    <w:p w:rsidR="007E2F05" w:rsidRDefault="00AE79DA">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Correlativo a ello, cabe mencionar que los artículos 6, apartado A, fracciones I, II, III y IV de la Constitución Política de los Estados Unidos Mexicanos y 5 vigésimo segundo, vigésimo tercero y vigésimo cuarto fracciones I, III,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7E2F05" w:rsidRDefault="00AE79DA">
      <w:pPr>
        <w:spacing w:before="240" w:after="240" w:line="276" w:lineRule="auto"/>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7E2F05" w:rsidRDefault="00AE79DA">
      <w:pPr>
        <w:spacing w:before="240" w:after="240" w:line="276" w:lineRule="auto"/>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lastRenderedPageBreak/>
        <w:t>(…)</w:t>
      </w:r>
    </w:p>
    <w:p w:rsidR="007E2F05" w:rsidRDefault="00AE79DA">
      <w:pPr>
        <w:spacing w:before="240" w:after="240" w:line="276" w:lineRule="auto"/>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 Para efectos de lo dispuesto en el presente artículo se observará lo siguiente: </w:t>
      </w:r>
    </w:p>
    <w:p w:rsidR="007E2F05" w:rsidRDefault="00AE79DA">
      <w:pPr>
        <w:spacing w:before="240" w:after="240" w:line="276" w:lineRule="auto"/>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A. Para el ejercicio del derecho de acceso a la información, la Federación, los Estados y el Distrito Federal, en el ámbito de sus respectivas competencias, se regirán por los siguientes principios y bases: </w:t>
      </w:r>
    </w:p>
    <w:p w:rsidR="007E2F05" w:rsidRDefault="00AE79DA">
      <w:pPr>
        <w:spacing w:before="240" w:after="240" w:line="276" w:lineRule="auto"/>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7E2F05" w:rsidRDefault="00AE79DA">
      <w:pPr>
        <w:spacing w:before="240" w:after="240" w:line="276" w:lineRule="auto"/>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II. La información que se refiere a la vida privada y los datos personales será protegida en los términos y con las excepciones que fijen las leyes. </w:t>
      </w:r>
    </w:p>
    <w:p w:rsidR="007E2F05" w:rsidRDefault="00AE79DA">
      <w:pPr>
        <w:spacing w:before="240" w:after="240" w:line="276" w:lineRule="auto"/>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III. Toda persona, sin necesidad de acreditar interés alguno o justificar su utilización, tendrá acceso gratuito a la información pública, a sus datos personales o a la rectificación de éstos. </w:t>
      </w:r>
    </w:p>
    <w:p w:rsidR="007E2F05" w:rsidRDefault="00AE79DA">
      <w:pPr>
        <w:spacing w:before="240" w:after="240" w:line="276" w:lineRule="auto"/>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IV. Se establecerán mecanismos de acceso a la información y procedimientos de revisión expeditos que se sustanciarán ante los organismos autónomos especializados e imparciales que establece esta Constitución.” </w:t>
      </w:r>
    </w:p>
    <w:p w:rsidR="007E2F05" w:rsidRDefault="00AE79DA">
      <w:pPr>
        <w:spacing w:before="240" w:after="240" w:line="276" w:lineRule="auto"/>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 “Artículo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rsidR="007E2F05" w:rsidRDefault="00AE79DA">
      <w:pPr>
        <w:spacing w:before="240" w:after="240" w:line="276" w:lineRule="auto"/>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p>
    <w:p w:rsidR="007E2F05" w:rsidRDefault="00AE79DA">
      <w:pPr>
        <w:spacing w:before="240" w:after="240" w:line="276" w:lineRule="auto"/>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 Para garantizar el ejercicio del derecho de transparencia, acceso a la información pública y protección de datos personales, los poderes públicos y los organismos autónomos, </w:t>
      </w:r>
      <w:r>
        <w:rPr>
          <w:rFonts w:ascii="Palatino Linotype" w:eastAsia="Palatino Linotype" w:hAnsi="Palatino Linotype" w:cs="Palatino Linotype"/>
          <w:i/>
          <w:sz w:val="20"/>
          <w:szCs w:val="20"/>
        </w:rPr>
        <w:lastRenderedPageBreak/>
        <w:t>transparentarán sus acciones, en términos de las disposiciones aplicables, la información será oportuna, clara, veraz y de fácil acceso.</w:t>
      </w:r>
    </w:p>
    <w:p w:rsidR="007E2F05" w:rsidRDefault="00AE79DA">
      <w:pPr>
        <w:spacing w:before="240" w:after="240" w:line="276" w:lineRule="auto"/>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Este derecho se regirá por los principios y bases siguientes:</w:t>
      </w:r>
    </w:p>
    <w:p w:rsidR="007E2F05" w:rsidRDefault="00AE79DA">
      <w:pPr>
        <w:spacing w:before="240" w:after="240" w:line="276" w:lineRule="auto"/>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E2F05" w:rsidRDefault="00AE79DA">
      <w:pPr>
        <w:spacing w:before="240" w:after="240" w:line="276" w:lineRule="auto"/>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p>
    <w:p w:rsidR="007E2F05" w:rsidRDefault="00AE79DA">
      <w:pPr>
        <w:spacing w:before="240" w:after="240" w:line="276" w:lineRule="auto"/>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 III. Toda persona, sin necesidad de acreditar interés alguno o justificar su utilización, tendrá acceso gratuito a la información pública, a sus datos personales o a la rectificación de éstos;</w:t>
      </w:r>
    </w:p>
    <w:p w:rsidR="007E2F05" w:rsidRDefault="00AE79DA">
      <w:pPr>
        <w:spacing w:before="240" w:after="240" w:line="276" w:lineRule="auto"/>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p>
    <w:p w:rsidR="007E2F05" w:rsidRDefault="00AE79DA">
      <w:pPr>
        <w:spacing w:before="240" w:after="240" w:line="276" w:lineRule="auto"/>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 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7E2F05" w:rsidRDefault="00AE79DA">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Por otra parte, del contenido del artículo 1 de la Constitución Política de los Estados Unidos Mexicanos, se destaca lo siguiente:</w:t>
      </w:r>
    </w:p>
    <w:p w:rsidR="007E2F05" w:rsidRDefault="00AE79DA">
      <w:pPr>
        <w:spacing w:before="240" w:after="240" w:line="276" w:lineRule="auto"/>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“Artículo 1o. En los Estados Unidos Mexicanos todas las personas gozarán de los derechos humanos reconocidos en esta Constitución y en los tratados internacionales de los que el Estado Mexicano sea parte, así como de las garantías para su protección, cuyo </w:t>
      </w:r>
      <w:r>
        <w:rPr>
          <w:rFonts w:ascii="Palatino Linotype" w:eastAsia="Palatino Linotype" w:hAnsi="Palatino Linotype" w:cs="Palatino Linotype"/>
          <w:i/>
          <w:sz w:val="20"/>
          <w:szCs w:val="20"/>
        </w:rPr>
        <w:lastRenderedPageBreak/>
        <w:t>ejercicio no podrá restringirse ni suspenderse, salvo en los casos y bajo las condiciones que esta Constitución establece.</w:t>
      </w:r>
    </w:p>
    <w:p w:rsidR="007E2F05" w:rsidRDefault="00AE79DA">
      <w:pPr>
        <w:spacing w:before="240" w:after="240" w:line="276" w:lineRule="auto"/>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Las normas relativas a los derechos humanos se interpretarán de conformidad con esta Constitución y con los tratados internacionales de la materia favoreciendo en todo tiempo a las personas la protección más amplia.</w:t>
      </w:r>
    </w:p>
    <w:p w:rsidR="007E2F05" w:rsidRDefault="00AE79DA">
      <w:pPr>
        <w:spacing w:before="240" w:after="240" w:line="276" w:lineRule="auto"/>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7E2F05" w:rsidRDefault="00AE79DA">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E2F05" w:rsidRDefault="00AE79DA">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Robustece lo anterior, el Criterio 6/2014 del entonces Instituto Federal de Acceso a la Información y Protección de Datos, el cual se reproduce para una mayor referencia:</w:t>
      </w:r>
    </w:p>
    <w:p w:rsidR="007E2F05" w:rsidRDefault="00AE79DA">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0"/>
          <w:szCs w:val="20"/>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w:t>
      </w:r>
      <w:r>
        <w:rPr>
          <w:rFonts w:ascii="Palatino Linotype" w:eastAsia="Palatino Linotype" w:hAnsi="Palatino Linotype" w:cs="Palatino Linotype"/>
          <w:i/>
          <w:sz w:val="20"/>
          <w:szCs w:val="20"/>
        </w:rPr>
        <w:lastRenderedPageBreak/>
        <w:t>en su caso, se haya cubierto el pago de reproducción y envío de la información, mediante la exhibición del recibo correspondiente.”</w:t>
      </w:r>
    </w:p>
    <w:p w:rsidR="007E2F05" w:rsidRDefault="00AE79DA">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7E2F05" w:rsidRDefault="00AE79DA">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7E2F05" w:rsidRDefault="00AE79DA">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w:t>
      </w:r>
      <w:r>
        <w:rPr>
          <w:rFonts w:ascii="Palatino Linotype" w:eastAsia="Palatino Linotype" w:hAnsi="Palatino Linotype" w:cs="Palatino Linotype"/>
        </w:rPr>
        <w:lastRenderedPageBreak/>
        <w:t>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rsidR="007E2F05" w:rsidRDefault="00AE79DA">
      <w:pPr>
        <w:spacing w:before="240" w:after="240" w:line="360" w:lineRule="auto"/>
        <w:ind w:right="-9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consecuencia y después de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7E2F05" w:rsidRDefault="00AE79DA">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Ahora bien, resulta procedente la interposición del recurso de revisión, según lo aducido por </w:t>
      </w:r>
      <w:r>
        <w:rPr>
          <w:rFonts w:ascii="Palatino Linotype" w:eastAsia="Palatino Linotype" w:hAnsi="Palatino Linotype" w:cs="Palatino Linotype"/>
          <w:b/>
          <w:color w:val="000000"/>
        </w:rPr>
        <w:t>la parte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tanto en el acto impugnado como en sus razones o motivos de inconformidad, de acuerdo al artículo 179 fracción II de la Ley de Transparencia y Acceso a la Información Pública del Estado de México y Municipios; que a la letra dice:</w:t>
      </w:r>
    </w:p>
    <w:p w:rsidR="007E2F05" w:rsidRDefault="00AE79DA">
      <w:pPr>
        <w:pBdr>
          <w:top w:val="nil"/>
          <w:left w:val="nil"/>
          <w:bottom w:val="nil"/>
          <w:right w:val="nil"/>
          <w:between w:val="nil"/>
        </w:pBdr>
        <w:spacing w:before="240" w:after="240" w:line="360" w:lineRule="auto"/>
        <w:ind w:left="851"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7E2F05" w:rsidRDefault="00AE79DA">
      <w:pPr>
        <w:pBdr>
          <w:top w:val="nil"/>
          <w:left w:val="nil"/>
          <w:bottom w:val="nil"/>
          <w:right w:val="nil"/>
          <w:between w:val="nil"/>
        </w:pBdr>
        <w:spacing w:before="240" w:after="240" w:line="360" w:lineRule="auto"/>
        <w:ind w:left="851"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w:t>
      </w:r>
    </w:p>
    <w:p w:rsidR="007E2F05" w:rsidRDefault="00AE79DA">
      <w:pPr>
        <w:pBdr>
          <w:top w:val="nil"/>
          <w:left w:val="nil"/>
          <w:bottom w:val="nil"/>
          <w:right w:val="nil"/>
          <w:between w:val="nil"/>
        </w:pBdr>
        <w:spacing w:before="240" w:after="240" w:line="360"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II. La clasificación de la información;</w:t>
      </w:r>
      <w:r>
        <w:rPr>
          <w:rFonts w:ascii="Palatino Linotype" w:eastAsia="Palatino Linotype" w:hAnsi="Palatino Linotype" w:cs="Palatino Linotype"/>
          <w:i/>
          <w:color w:val="000000"/>
          <w:sz w:val="22"/>
          <w:szCs w:val="22"/>
        </w:rPr>
        <w:t>…” (Sic)</w:t>
      </w:r>
    </w:p>
    <w:p w:rsidR="007E2F05" w:rsidRDefault="00AE79DA">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Con base en las constancias que obran en el expediente que se actúa, este Instituto tiene la convicción de que la presente resolución tiene como </w:t>
      </w:r>
      <w:r>
        <w:rPr>
          <w:rFonts w:ascii="Palatino Linotype" w:eastAsia="Palatino Linotype" w:hAnsi="Palatino Linotype" w:cs="Palatino Linotype"/>
          <w:color w:val="000000"/>
        </w:rPr>
        <w:lastRenderedPageBreak/>
        <w:t>objetivo central determinar si la respuesta proporcionada por el Sujeto Obligado, es correcta y suficiente para tener por atendida la solicitud de acceso a la información.</w:t>
      </w:r>
    </w:p>
    <w:p w:rsidR="007E2F05" w:rsidRDefault="00AE79DA">
      <w:pPr>
        <w:spacing w:before="240" w:after="240" w:line="360" w:lineRule="auto"/>
        <w:jc w:val="both"/>
        <w:rPr>
          <w:rFonts w:ascii="Palatino Linotype" w:eastAsia="Palatino Linotype" w:hAnsi="Palatino Linotype" w:cs="Palatino Linotype"/>
          <w:i/>
          <w:color w:val="FF0000"/>
          <w:sz w:val="20"/>
          <w:szCs w:val="20"/>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Del análisis de la solicitud de información motivo del recurso de revisión que ahora se resuelve se advierte que el particular solicitó:</w:t>
      </w:r>
    </w:p>
    <w:p w:rsidR="007E2F05" w:rsidRDefault="00AE79DA">
      <w:pPr>
        <w:spacing w:before="240" w:after="240" w:line="360" w:lineRule="auto"/>
        <w:ind w:left="567"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Señalar quienes ocupan los siguientes cargos: </w:t>
      </w:r>
    </w:p>
    <w:p w:rsidR="007E2F05" w:rsidRDefault="00AE79DA">
      <w:pPr>
        <w:numPr>
          <w:ilvl w:val="0"/>
          <w:numId w:val="4"/>
        </w:numPr>
        <w:pBdr>
          <w:top w:val="nil"/>
          <w:left w:val="nil"/>
          <w:bottom w:val="nil"/>
          <w:right w:val="nil"/>
          <w:between w:val="nil"/>
        </w:pBdr>
        <w:spacing w:before="240" w:after="240" w:line="276" w:lineRule="auto"/>
        <w:ind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Secretario Del Ayuntamiento </w:t>
      </w:r>
    </w:p>
    <w:p w:rsidR="007E2F05" w:rsidRDefault="00AE79DA">
      <w:pPr>
        <w:numPr>
          <w:ilvl w:val="0"/>
          <w:numId w:val="4"/>
        </w:numPr>
        <w:pBdr>
          <w:top w:val="nil"/>
          <w:left w:val="nil"/>
          <w:bottom w:val="nil"/>
          <w:right w:val="nil"/>
          <w:between w:val="nil"/>
        </w:pBdr>
        <w:spacing w:before="240" w:after="240" w:line="276" w:lineRule="auto"/>
        <w:ind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Directores de Área </w:t>
      </w:r>
    </w:p>
    <w:p w:rsidR="007E2F05" w:rsidRDefault="00AE79DA">
      <w:pPr>
        <w:numPr>
          <w:ilvl w:val="0"/>
          <w:numId w:val="3"/>
        </w:numPr>
        <w:pBdr>
          <w:top w:val="nil"/>
          <w:left w:val="nil"/>
          <w:bottom w:val="nil"/>
          <w:right w:val="nil"/>
          <w:between w:val="nil"/>
        </w:pBdr>
        <w:spacing w:before="240" w:after="240" w:line="276" w:lineRule="auto"/>
        <w:ind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compartir título profesional y cedula de quienes ostentan dichos cargos que demuestran que cuentan con los conocimientos</w:t>
      </w:r>
    </w:p>
    <w:p w:rsidR="007E2F05" w:rsidRDefault="00AE79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los siguientes tres archivos electrónicos: </w:t>
      </w:r>
    </w:p>
    <w:p w:rsidR="007E2F05" w:rsidRDefault="00AE79DA">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 xml:space="preserve">“PRIMERA SESIÓN EXTRAORDINARIA.pdf”: </w:t>
      </w:r>
      <w:r>
        <w:rPr>
          <w:rFonts w:ascii="Palatino Linotype" w:eastAsia="Palatino Linotype" w:hAnsi="Palatino Linotype" w:cs="Palatino Linotype"/>
        </w:rPr>
        <w:t xml:space="preserve">Acta de la Primera Sesión del Comité de Transparencia del Ayuntamiento de Jocotitlán, en la que se analiza la propuesta presentada por la Tesorera Municipal, para la elaboración de la versión pública de los títulos profesionales de los servidores públicos materia de la solicitud. </w:t>
      </w:r>
    </w:p>
    <w:p w:rsidR="007E2F05" w:rsidRDefault="00AE79DA">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 xml:space="preserve">“ANEXO I.pdf”: </w:t>
      </w:r>
      <w:r>
        <w:rPr>
          <w:rFonts w:ascii="Palatino Linotype" w:eastAsia="Palatino Linotype" w:hAnsi="Palatino Linotype" w:cs="Palatino Linotype"/>
        </w:rPr>
        <w:t xml:space="preserve">Documento de dos fojas signado por la Tesorera Municipal en el que desglosa la información referente a los servidores públicos que ostentan los cargos requeridos por el solicitante, asimismo se pronuncia sobre los títulos profesionales. </w:t>
      </w:r>
    </w:p>
    <w:p w:rsidR="007E2F05" w:rsidRDefault="00AE79DA">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 xml:space="preserve">“TITULOS PROFESIONALES.pdf”: </w:t>
      </w:r>
      <w:r>
        <w:rPr>
          <w:rFonts w:ascii="Palatino Linotype" w:eastAsia="Palatino Linotype" w:hAnsi="Palatino Linotype" w:cs="Palatino Linotype"/>
        </w:rPr>
        <w:t xml:space="preserve">Documento de diez fojas en los que constan los títulos profesionales de los servidores públicos referidos. </w:t>
      </w:r>
    </w:p>
    <w:p w:rsidR="007E2F05" w:rsidRDefault="00AE79DA">
      <w:pPr>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rPr>
        <w:t xml:space="preserve">Derivado de dicha respuesta,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inconformó, interponiendo el medio de impugnación que es materia de esta resolución,  exponiendo los motivos o razones de inconformidad siguientes: </w:t>
      </w:r>
      <w:r>
        <w:rPr>
          <w:rFonts w:ascii="Palatino Linotype" w:eastAsia="Palatino Linotype" w:hAnsi="Palatino Linotype" w:cs="Palatino Linotype"/>
          <w:i/>
        </w:rPr>
        <w:t>“No hay motivos para testar información de servidores públicos en documentos oficilaes” (Sic)</w:t>
      </w:r>
      <w:r>
        <w:rPr>
          <w:rFonts w:ascii="Palatino Linotype" w:eastAsia="Palatino Linotype" w:hAnsi="Palatino Linotype" w:cs="Palatino Linotype"/>
        </w:rPr>
        <w:t xml:space="preserve"> advirtiéndose de esta manera que los agravios plasmados por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w:t>
      </w:r>
      <w:r>
        <w:rPr>
          <w:rFonts w:ascii="Palatino Linotype" w:eastAsia="Palatino Linotype" w:hAnsi="Palatino Linotype" w:cs="Palatino Linotype"/>
          <w:color w:val="222222"/>
        </w:rPr>
        <w:t xml:space="preserve">  se centran en señalar que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b/>
          <w:color w:val="222222"/>
          <w:u w:val="single"/>
        </w:rPr>
        <w:t>no debió</w:t>
      </w:r>
      <w:r>
        <w:rPr>
          <w:rFonts w:ascii="Palatino Linotype" w:eastAsia="Palatino Linotype" w:hAnsi="Palatino Linotype" w:cs="Palatino Linotype"/>
          <w:color w:val="222222"/>
          <w:u w:val="single"/>
        </w:rPr>
        <w:t xml:space="preserve"> </w:t>
      </w:r>
      <w:r>
        <w:rPr>
          <w:rFonts w:ascii="Palatino Linotype" w:eastAsia="Palatino Linotype" w:hAnsi="Palatino Linotype" w:cs="Palatino Linotype"/>
          <w:b/>
          <w:u w:val="single"/>
        </w:rPr>
        <w:t xml:space="preserve">clasificar como información confidencial, la fotografía ni el número de acuerdo puesto que no involucra datos personales; </w:t>
      </w:r>
      <w:r>
        <w:rPr>
          <w:rFonts w:ascii="Palatino Linotype" w:eastAsia="Palatino Linotype" w:hAnsi="Palatino Linotype" w:cs="Palatino Linotype"/>
          <w:color w:val="222222"/>
        </w:rPr>
        <w:t xml:space="preserve">de tal circunstancia, se considera que los motivos de inconformidad aducidos por </w:t>
      </w:r>
      <w:r>
        <w:rPr>
          <w:rFonts w:ascii="Palatino Linotype" w:eastAsia="Palatino Linotype" w:hAnsi="Palatino Linotype" w:cs="Palatino Linotype"/>
          <w:b/>
          <w:color w:val="222222"/>
        </w:rPr>
        <w:t>la parte Recurrente</w:t>
      </w:r>
      <w:r>
        <w:rPr>
          <w:rFonts w:ascii="Palatino Linotype" w:eastAsia="Palatino Linotype" w:hAnsi="Palatino Linotype" w:cs="Palatino Linotype"/>
          <w:color w:val="222222"/>
        </w:rPr>
        <w:t xml:space="preserve">  no se refieren a los títulos y cédulas proporcionados, sino por la versión pública de los mismos. </w:t>
      </w:r>
    </w:p>
    <w:p w:rsidR="007E2F05" w:rsidRDefault="00AE79DA">
      <w:pPr>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En este sentido, la información remitida, materia de la solicitud de información,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Sujeto Obligado, satisface la solicitud presentada.</w:t>
      </w:r>
    </w:p>
    <w:p w:rsidR="007E2F05" w:rsidRDefault="00AE79DA">
      <w:pPr>
        <w:spacing w:before="240" w:after="240" w:line="360" w:lineRule="auto"/>
        <w:jc w:val="both"/>
        <w:rPr>
          <w:color w:val="222222"/>
        </w:rPr>
      </w:pPr>
      <w:r>
        <w:rPr>
          <w:rFonts w:ascii="Palatino Linotype" w:eastAsia="Palatino Linotype" w:hAnsi="Palatino Linotype" w:cs="Palatino Linotype"/>
          <w:color w:val="222222"/>
        </w:rPr>
        <w:t xml:space="preserve">Lo anterior es así, debido a que cuando </w:t>
      </w:r>
      <w:r>
        <w:rPr>
          <w:rFonts w:ascii="Palatino Linotype" w:eastAsia="Palatino Linotype" w:hAnsi="Palatino Linotype" w:cs="Palatino Linotype"/>
          <w:b/>
          <w:color w:val="222222"/>
        </w:rPr>
        <w:t>la parte</w:t>
      </w:r>
      <w:r>
        <w:rPr>
          <w:rFonts w:ascii="Palatino Linotype" w:eastAsia="Palatino Linotype" w:hAnsi="Palatino Linotype" w:cs="Palatino Linotype"/>
          <w:color w:val="222222"/>
        </w:rPr>
        <w:t xml:space="preserve"> R</w:t>
      </w:r>
      <w:r>
        <w:rPr>
          <w:rFonts w:ascii="Palatino Linotype" w:eastAsia="Palatino Linotype" w:hAnsi="Palatino Linotype" w:cs="Palatino Linotype"/>
          <w:b/>
          <w:color w:val="222222"/>
        </w:rPr>
        <w:t>ecurrente</w:t>
      </w:r>
      <w:r>
        <w:rPr>
          <w:rFonts w:ascii="Palatino Linotype" w:eastAsia="Palatino Linotype" w:hAnsi="Palatino Linotype" w:cs="Palatino Linotype"/>
          <w:color w:val="222222"/>
        </w:rPr>
        <w:t xml:space="preserve"> no expresa razón o motivo de inconformidad en contra de la información proporcionada en la respuesta que pudieran ser un agravio a su derecho, los mismos deben estimarse atendidos. Sirve de apoyo a lo anterior, por analogía, la Tesis Jurisprudencial Número 3ª./J.7/91, </w:t>
      </w:r>
      <w:r>
        <w:rPr>
          <w:rFonts w:ascii="Palatino Linotype" w:eastAsia="Palatino Linotype" w:hAnsi="Palatino Linotype" w:cs="Palatino Linotype"/>
          <w:color w:val="222222"/>
        </w:rPr>
        <w:lastRenderedPageBreak/>
        <w:t>publicada en el Semanario Judicial de la Federación y su Gaceta bajo el número de registro 174,177, que establece lo siguiente:</w:t>
      </w:r>
    </w:p>
    <w:p w:rsidR="007E2F05" w:rsidRDefault="00AE79DA">
      <w:pPr>
        <w:shd w:val="clear" w:color="auto" w:fill="FFFFFF"/>
        <w:spacing w:before="240" w:after="240" w:line="276" w:lineRule="auto"/>
        <w:ind w:left="567" w:right="567"/>
        <w:jc w:val="both"/>
        <w:rPr>
          <w:color w:val="222222"/>
        </w:rPr>
      </w:pPr>
      <w:r>
        <w:rPr>
          <w:rFonts w:ascii="Palatino Linotype" w:eastAsia="Palatino Linotype" w:hAnsi="Palatino Linotype" w:cs="Palatino Linotype"/>
          <w:color w:val="222222"/>
        </w:rPr>
        <w:t> </w:t>
      </w:r>
      <w:r>
        <w:rPr>
          <w:rFonts w:ascii="Palatino Linotype" w:eastAsia="Palatino Linotype" w:hAnsi="Palatino Linotype" w:cs="Palatino Linotype"/>
          <w:color w:val="222222"/>
          <w:sz w:val="22"/>
          <w:szCs w:val="22"/>
        </w:rPr>
        <w:t>“</w:t>
      </w:r>
      <w:r>
        <w:rPr>
          <w:rFonts w:ascii="Palatino Linotype" w:eastAsia="Palatino Linotype" w:hAnsi="Palatino Linotype" w:cs="Palatino Linotype"/>
          <w:b/>
          <w:i/>
          <w:color w:val="222222"/>
          <w:sz w:val="22"/>
          <w:szCs w:val="22"/>
        </w:rPr>
        <w:t>REVISIÓN EN AMPARO. LOS RESOLUTIVOS NO COMBATIDOS DEBEN DECLARARSE FIRMES</w:t>
      </w:r>
      <w:r>
        <w:rPr>
          <w:rFonts w:ascii="Palatino Linotype" w:eastAsia="Palatino Linotype" w:hAnsi="Palatino Linotype" w:cs="Palatino Linotype"/>
          <w:i/>
          <w:color w:val="222222"/>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7E2F05" w:rsidRDefault="00AE79DA">
      <w:pPr>
        <w:shd w:val="clear" w:color="auto" w:fill="FFFFFF"/>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Esto es, la parte de la solicitud sobre la que no se expresó inconformidad, debe declararse consentida por </w:t>
      </w:r>
      <w:r>
        <w:rPr>
          <w:rFonts w:ascii="Palatino Linotype" w:eastAsia="Palatino Linotype" w:hAnsi="Palatino Linotype" w:cs="Palatino Linotype"/>
          <w:b/>
          <w:color w:val="222222"/>
        </w:rPr>
        <w:t>la parte Recurrente</w:t>
      </w:r>
      <w:r>
        <w:rPr>
          <w:rFonts w:ascii="Palatino Linotype" w:eastAsia="Palatino Linotype" w:hAnsi="Palatino Linotype" w:cs="Palatino Linotype"/>
          <w:color w:val="222222"/>
        </w:rPr>
        <w:t xml:space="preserve">, ya que no pueden producirse efectos jurídicos tendentes a revocar, confirmar o modificar la parte de la respuesta con relación a la parte de la solicitud que no fue motivo de inconformidad, ya que se infiere un consentimiento de </w:t>
      </w:r>
      <w:r>
        <w:rPr>
          <w:rFonts w:ascii="Palatino Linotype" w:eastAsia="Palatino Linotype" w:hAnsi="Palatino Linotype" w:cs="Palatino Linotype"/>
          <w:b/>
          <w:color w:val="222222"/>
        </w:rPr>
        <w:t>la parte Recurrente</w:t>
      </w:r>
      <w:r>
        <w:rPr>
          <w:rFonts w:ascii="Palatino Linotype" w:eastAsia="Palatino Linotype" w:hAnsi="Palatino Linotype" w:cs="Palatino Linotype"/>
          <w:color w:val="222222"/>
        </w:rPr>
        <w:t xml:space="preserve"> ante la falta de impugnación eficaz.</w:t>
      </w:r>
    </w:p>
    <w:p w:rsidR="007E2F05" w:rsidRDefault="00AE79DA">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Sirve de sustento a lo anterior, por analogía, la tesis jurisprudencial número VI.3o.C. J/60, publicada en el Semanario Judicial de la Federación y su Gaceta bajo el número de registro 176,608 que a la letra dice:</w:t>
      </w:r>
    </w:p>
    <w:p w:rsidR="007E2F05" w:rsidRDefault="00AE79DA">
      <w:pPr>
        <w:shd w:val="clear" w:color="auto" w:fill="FFFFFF"/>
        <w:spacing w:before="240" w:after="240" w:line="276" w:lineRule="auto"/>
        <w:ind w:left="851" w:right="900"/>
        <w:jc w:val="both"/>
        <w:rPr>
          <w:rFonts w:ascii="Palatino Linotype" w:eastAsia="Palatino Linotype" w:hAnsi="Palatino Linotype" w:cs="Palatino Linotype"/>
          <w:i/>
          <w:color w:val="222222"/>
          <w:sz w:val="22"/>
          <w:szCs w:val="22"/>
          <w:u w:val="single"/>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ACTOS CONSENTIDOS. SON LOS QUE NO SE IMPUGNAN MEDIANTE EL RECURSO IDÓNEO</w:t>
      </w:r>
      <w:r>
        <w:rPr>
          <w:rFonts w:ascii="Palatino Linotype" w:eastAsia="Palatino Linotype" w:hAnsi="Palatino Linotype" w:cs="Palatino Linotype"/>
          <w:i/>
          <w:color w:val="222222"/>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Pr>
          <w:rFonts w:ascii="Palatino Linotype" w:eastAsia="Palatino Linotype" w:hAnsi="Palatino Linotype" w:cs="Palatino Linotype"/>
          <w:i/>
          <w:color w:val="222222"/>
          <w:sz w:val="22"/>
          <w:szCs w:val="22"/>
          <w:u w:val="single"/>
        </w:rPr>
        <w:t xml:space="preserve"> (Sic)</w:t>
      </w:r>
    </w:p>
    <w:p w:rsidR="007E2F05" w:rsidRDefault="00AE79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este sentido únicamente estudiaremos, si la clasificación de la información como confidencial, por la que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inconforma y fue entregada en los términos conforme a lo que establece la ley en la materia.</w:t>
      </w:r>
    </w:p>
    <w:p w:rsidR="007E2F05" w:rsidRDefault="00AE79DA">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La inconformidad versa sobre la versión pública de los documentos proporcionados en respuesta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consta en los títulos profesionales de los servidores públicos referidos por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 solicitud,  por lo que se procederá al análisis de la clasificación referida por </w:t>
      </w:r>
      <w:r>
        <w:rPr>
          <w:rFonts w:ascii="Palatino Linotype" w:eastAsia="Palatino Linotype" w:hAnsi="Palatino Linotype" w:cs="Palatino Linotype"/>
          <w:b/>
        </w:rPr>
        <w:t>el Sujeto Obligado</w:t>
      </w:r>
      <w:r>
        <w:rPr>
          <w:rFonts w:ascii="Palatino Linotype" w:eastAsia="Palatino Linotype" w:hAnsi="Palatino Linotype" w:cs="Palatino Linotype"/>
        </w:rPr>
        <w:t>.</w:t>
      </w:r>
    </w:p>
    <w:p w:rsidR="007E2F05" w:rsidRDefault="00AE79DA">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esta tesitura, por cuanto hace a los motivos de inconformidad, debe mencionarse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rsidR="007E2F05" w:rsidRDefault="00AE79DA">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7E2F05" w:rsidRDefault="00AE79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Pr>
          <w:rFonts w:ascii="Palatino Linotype" w:eastAsia="Palatino Linotype" w:hAnsi="Palatino Linotype" w:cs="Palatino Linotype"/>
          <w:sz w:val="18"/>
          <w:szCs w:val="18"/>
        </w:rPr>
        <w:t xml:space="preserve">. </w:t>
      </w:r>
    </w:p>
    <w:p w:rsidR="007E2F05" w:rsidRDefault="00AE79D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manera que, la Ley de Transparencia y Acceso a la Información Pública del Estado de México y Municipios, en su artículo 143 prevé los siguientes supuestos para clasificar la información como confidencial:</w:t>
      </w:r>
    </w:p>
    <w:p w:rsidR="007E2F05" w:rsidRDefault="00AE79DA">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143. </w:t>
      </w:r>
      <w:r>
        <w:rPr>
          <w:rFonts w:ascii="Palatino Linotype" w:eastAsia="Palatino Linotype" w:hAnsi="Palatino Linotype" w:cs="Palatino Linotype"/>
          <w:i/>
          <w:sz w:val="22"/>
          <w:szCs w:val="22"/>
        </w:rPr>
        <w:t>Para los efectos de esta Ley se considera información confidencial, la clasificada como tal, de manera permanente, por su naturaleza, cuando:</w:t>
      </w:r>
    </w:p>
    <w:p w:rsidR="007E2F05" w:rsidRDefault="00AE79DA">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i/>
          <w:sz w:val="22"/>
          <w:szCs w:val="22"/>
        </w:rPr>
        <w:t>Se refiera a la información privada y los datos personales concernientes a una persona física o jurídico colectiva identificada o identificable;</w:t>
      </w:r>
    </w:p>
    <w:p w:rsidR="007E2F05" w:rsidRDefault="00AE79DA">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i/>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rsidR="007E2F05" w:rsidRDefault="00AE79DA">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i/>
          <w:sz w:val="22"/>
          <w:szCs w:val="22"/>
        </w:rPr>
        <w:t>La que presenten los particulares a los sujetos obligados, de conformidad con lo dispuesto por las leyes o los tratados internacionales.</w:t>
      </w:r>
    </w:p>
    <w:p w:rsidR="007E2F05" w:rsidRDefault="00AE79DA">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7E2F05" w:rsidRDefault="00AE79DA">
      <w:pPr>
        <w:spacing w:before="120" w:after="120"/>
        <w:ind w:left="709"/>
        <w:jc w:val="both"/>
        <w:rPr>
          <w:rFonts w:ascii="Palatino Linotype" w:eastAsia="Palatino Linotype" w:hAnsi="Palatino Linotype" w:cs="Palatino Linotype"/>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7E2F05" w:rsidRDefault="00AE79D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7E2F05" w:rsidRDefault="00AE79DA">
      <w:pPr>
        <w:numPr>
          <w:ilvl w:val="0"/>
          <w:numId w:val="1"/>
        </w:numPr>
        <w:tabs>
          <w:tab w:val="left" w:pos="851"/>
        </w:tabs>
        <w:spacing w:before="280" w:line="360" w:lineRule="auto"/>
        <w:ind w:left="567" w:firstLine="0"/>
        <w:jc w:val="both"/>
        <w:rPr>
          <w:rFonts w:ascii="Palatino Linotype" w:eastAsia="Palatino Linotype" w:hAnsi="Palatino Linotype" w:cs="Palatino Linotype"/>
        </w:rPr>
      </w:pPr>
      <w:r>
        <w:rPr>
          <w:rFonts w:ascii="Palatino Linotype" w:eastAsia="Palatino Linotype" w:hAnsi="Palatino Linotype" w:cs="Palatino Linotype"/>
        </w:rPr>
        <w:t>Se reciba una solicitud de acceso a la información;</w:t>
      </w:r>
    </w:p>
    <w:p w:rsidR="007E2F05" w:rsidRDefault="00AE79DA">
      <w:pPr>
        <w:numPr>
          <w:ilvl w:val="0"/>
          <w:numId w:val="1"/>
        </w:numPr>
        <w:tabs>
          <w:tab w:val="left" w:pos="851"/>
        </w:tabs>
        <w:spacing w:line="360" w:lineRule="auto"/>
        <w:ind w:left="567" w:firstLine="0"/>
        <w:jc w:val="both"/>
        <w:rPr>
          <w:rFonts w:ascii="Palatino Linotype" w:eastAsia="Palatino Linotype" w:hAnsi="Palatino Linotype" w:cs="Palatino Linotype"/>
        </w:rPr>
      </w:pPr>
      <w:r>
        <w:rPr>
          <w:rFonts w:ascii="Palatino Linotype" w:eastAsia="Palatino Linotype" w:hAnsi="Palatino Linotype" w:cs="Palatino Linotype"/>
        </w:rPr>
        <w:t>Se determine mediante resolución de autoridad competente; y/o</w:t>
      </w:r>
    </w:p>
    <w:p w:rsidR="007E2F05" w:rsidRDefault="00AE79DA">
      <w:pPr>
        <w:numPr>
          <w:ilvl w:val="0"/>
          <w:numId w:val="1"/>
        </w:numPr>
        <w:tabs>
          <w:tab w:val="left" w:pos="851"/>
        </w:tabs>
        <w:spacing w:after="280" w:line="360" w:lineRule="auto"/>
        <w:ind w:left="567" w:firstLine="0"/>
        <w:jc w:val="both"/>
        <w:rPr>
          <w:rFonts w:ascii="Palatino Linotype" w:eastAsia="Palatino Linotype" w:hAnsi="Palatino Linotype" w:cs="Palatino Linotype"/>
        </w:rPr>
      </w:pPr>
      <w:r>
        <w:rPr>
          <w:rFonts w:ascii="Palatino Linotype" w:eastAsia="Palatino Linotype" w:hAnsi="Palatino Linotype" w:cs="Palatino Linotype"/>
        </w:rPr>
        <w:t>Se generen versiones públicas para dar cumplimiento a las obligaciones de transparencia previstas en la Ley.</w:t>
      </w:r>
    </w:p>
    <w:p w:rsidR="007E2F05" w:rsidRDefault="00AE79D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cuando hace a la elaboración de versiones públicas, debe considerarse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fracción XII de la Ley de Protección de Datos Personales en Posesión de Sujetos Obligados del Estado de México y Municipios.</w:t>
      </w:r>
    </w:p>
    <w:p w:rsidR="007E2F05" w:rsidRDefault="00AE79DA">
      <w:pPr>
        <w:spacing w:before="280" w:after="28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igual forma, es de precisar que la clasificación de la información no se da por el simple mandato de la Ley, sino que es necesario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los artículos 59 fracción V, 53 fracción X, </w:t>
      </w:r>
      <w:r>
        <w:rPr>
          <w:rFonts w:ascii="Palatino Linotype" w:eastAsia="Palatino Linotype" w:hAnsi="Palatino Linotype" w:cs="Palatino Linotype"/>
        </w:rPr>
        <w:lastRenderedPageBreak/>
        <w:t>y 49 fracciones II y VIII de la Ley de Transparencia y Acceso a la Información Pública del Estado de México y Municipios, a saber:</w:t>
      </w:r>
    </w:p>
    <w:p w:rsidR="007E2F05" w:rsidRDefault="00AE79DA">
      <w:pPr>
        <w:pBdr>
          <w:top w:val="nil"/>
          <w:left w:val="nil"/>
          <w:bottom w:val="nil"/>
          <w:right w:val="nil"/>
          <w:between w:val="nil"/>
        </w:pBdr>
        <w:spacing w:before="120" w:after="12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59</w:t>
      </w:r>
      <w:r>
        <w:rPr>
          <w:rFonts w:ascii="Palatino Linotype" w:eastAsia="Palatino Linotype" w:hAnsi="Palatino Linotype" w:cs="Palatino Linotype"/>
          <w:i/>
          <w:color w:val="000000"/>
          <w:sz w:val="22"/>
          <w:szCs w:val="22"/>
        </w:rPr>
        <w:t>. Los servidores públicos habilitados tendrán las funciones siguientes:</w:t>
      </w:r>
    </w:p>
    <w:p w:rsidR="007E2F05" w:rsidRDefault="00AE79DA">
      <w:pPr>
        <w:pBdr>
          <w:top w:val="nil"/>
          <w:left w:val="nil"/>
          <w:bottom w:val="nil"/>
          <w:right w:val="nil"/>
          <w:between w:val="nil"/>
        </w:pBdr>
        <w:spacing w:before="120" w:after="120"/>
        <w:ind w:left="1134"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7E2F05" w:rsidRDefault="00AE79DA">
      <w:pPr>
        <w:pBdr>
          <w:top w:val="nil"/>
          <w:left w:val="nil"/>
          <w:bottom w:val="nil"/>
          <w:right w:val="nil"/>
          <w:between w:val="nil"/>
        </w:pBdr>
        <w:spacing w:before="120" w:after="12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V.</w:t>
      </w:r>
      <w:r>
        <w:rPr>
          <w:rFonts w:ascii="Palatino Linotype" w:eastAsia="Palatino Linotype" w:hAnsi="Palatino Linotype" w:cs="Palatino Linotype"/>
          <w:i/>
          <w:color w:val="000000"/>
          <w:sz w:val="22"/>
          <w:szCs w:val="22"/>
        </w:rPr>
        <w:t xml:space="preserve"> Integrar y presentar al responsable de la Unidad de Transparencia la propuesta de clasificación de información, la cual tendrá los fundamentos y argumentos en que se basa dicha propuesta;</w:t>
      </w:r>
    </w:p>
    <w:p w:rsidR="007E2F05" w:rsidRDefault="00AE79DA">
      <w:pPr>
        <w:pBdr>
          <w:top w:val="nil"/>
          <w:left w:val="nil"/>
          <w:bottom w:val="nil"/>
          <w:right w:val="nil"/>
          <w:between w:val="nil"/>
        </w:pBdr>
        <w:spacing w:before="120" w:after="12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7E2F05" w:rsidRDefault="00AE79DA">
      <w:pPr>
        <w:pBdr>
          <w:top w:val="nil"/>
          <w:left w:val="nil"/>
          <w:bottom w:val="nil"/>
          <w:right w:val="nil"/>
          <w:between w:val="nil"/>
        </w:pBdr>
        <w:spacing w:before="120" w:after="12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53</w:t>
      </w:r>
      <w:r>
        <w:rPr>
          <w:rFonts w:ascii="Palatino Linotype" w:eastAsia="Palatino Linotype" w:hAnsi="Palatino Linotype" w:cs="Palatino Linotype"/>
          <w:i/>
          <w:color w:val="000000"/>
          <w:sz w:val="22"/>
          <w:szCs w:val="22"/>
        </w:rPr>
        <w:t>. Las Unidades de Transparencia tendrán las siguientes funciones:</w:t>
      </w:r>
    </w:p>
    <w:p w:rsidR="007E2F05" w:rsidRDefault="00AE79DA">
      <w:pPr>
        <w:pBdr>
          <w:top w:val="nil"/>
          <w:left w:val="nil"/>
          <w:bottom w:val="nil"/>
          <w:right w:val="nil"/>
          <w:between w:val="nil"/>
        </w:pBdr>
        <w:spacing w:before="120" w:after="12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7E2F05" w:rsidRDefault="00AE79DA">
      <w:pPr>
        <w:pBdr>
          <w:top w:val="nil"/>
          <w:left w:val="nil"/>
          <w:bottom w:val="nil"/>
          <w:right w:val="nil"/>
          <w:between w:val="nil"/>
        </w:pBdr>
        <w:spacing w:before="120" w:after="12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w:t>
      </w:r>
      <w:r>
        <w:rPr>
          <w:rFonts w:ascii="Palatino Linotype" w:eastAsia="Palatino Linotype" w:hAnsi="Palatino Linotype" w:cs="Palatino Linotype"/>
          <w:i/>
          <w:color w:val="000000"/>
          <w:sz w:val="22"/>
          <w:szCs w:val="22"/>
        </w:rPr>
        <w:t xml:space="preserve"> Presentar ante el Comité, el proyecto de clasificación de información;</w:t>
      </w:r>
    </w:p>
    <w:p w:rsidR="007E2F05" w:rsidRDefault="00AE79DA">
      <w:pPr>
        <w:pBdr>
          <w:top w:val="nil"/>
          <w:left w:val="nil"/>
          <w:bottom w:val="nil"/>
          <w:right w:val="nil"/>
          <w:between w:val="nil"/>
        </w:pBdr>
        <w:spacing w:before="120" w:after="12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49</w:t>
      </w:r>
      <w:r>
        <w:rPr>
          <w:rFonts w:ascii="Palatino Linotype" w:eastAsia="Palatino Linotype" w:hAnsi="Palatino Linotype" w:cs="Palatino Linotype"/>
          <w:i/>
          <w:color w:val="000000"/>
          <w:sz w:val="22"/>
          <w:szCs w:val="22"/>
        </w:rPr>
        <w:t>. Los Comités de Transparencia tendrán las siguientes atribuciones:</w:t>
      </w:r>
    </w:p>
    <w:p w:rsidR="007E2F05" w:rsidRDefault="00AE79DA">
      <w:pPr>
        <w:pBdr>
          <w:top w:val="nil"/>
          <w:left w:val="nil"/>
          <w:bottom w:val="nil"/>
          <w:right w:val="nil"/>
          <w:between w:val="nil"/>
        </w:pBdr>
        <w:spacing w:before="120" w:after="12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7E2F05" w:rsidRDefault="00AE79DA">
      <w:pPr>
        <w:pBdr>
          <w:top w:val="nil"/>
          <w:left w:val="nil"/>
          <w:bottom w:val="nil"/>
          <w:right w:val="nil"/>
          <w:between w:val="nil"/>
        </w:pBdr>
        <w:spacing w:before="120" w:after="12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rsidR="007E2F05" w:rsidRDefault="00AE79DA">
      <w:pPr>
        <w:pBdr>
          <w:top w:val="nil"/>
          <w:left w:val="nil"/>
          <w:bottom w:val="nil"/>
          <w:right w:val="nil"/>
          <w:between w:val="nil"/>
        </w:pBdr>
        <w:spacing w:before="120" w:after="12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7E2F05" w:rsidRDefault="00AE79DA">
      <w:pPr>
        <w:pBdr>
          <w:top w:val="nil"/>
          <w:left w:val="nil"/>
          <w:bottom w:val="nil"/>
          <w:right w:val="nil"/>
          <w:between w:val="nil"/>
        </w:pBdr>
        <w:spacing w:before="120" w:after="12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VIII</w:t>
      </w:r>
      <w:r>
        <w:rPr>
          <w:rFonts w:ascii="Palatino Linotype" w:eastAsia="Palatino Linotype" w:hAnsi="Palatino Linotype" w:cs="Palatino Linotype"/>
          <w:i/>
          <w:color w:val="000000"/>
          <w:sz w:val="22"/>
          <w:szCs w:val="22"/>
        </w:rPr>
        <w:t>. Aprobar, modificar o revocar la clasificación de la información;”</w:t>
      </w:r>
    </w:p>
    <w:p w:rsidR="007E2F05" w:rsidRDefault="00AE79DA">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en efecto de los soportes documentales remitidos se advierte que en efecto se clasifican,  mediante Acuerdo No. 01/SE/01/CT/2022, dictado y aprobado en la Primera Sesión Extraordinaria del Comité de Transparencia del Ayuntamiento de Jocotitlán, Administración 2022-2024, de fecha veinticinco de enero de dos mil veintidós, los siguientes datos: </w:t>
      </w:r>
    </w:p>
    <w:p w:rsidR="007E2F05" w:rsidRDefault="00AE79DA">
      <w:pPr>
        <w:spacing w:before="240" w:after="240" w:line="360" w:lineRule="auto"/>
        <w:ind w:right="51"/>
        <w:jc w:val="both"/>
        <w:rPr>
          <w:rFonts w:ascii="Palatino Linotype" w:eastAsia="Palatino Linotype" w:hAnsi="Palatino Linotype" w:cs="Palatino Linotype"/>
          <w:b/>
        </w:rPr>
      </w:pPr>
      <w:r>
        <w:rPr>
          <w:rFonts w:ascii="Palatino Linotype" w:eastAsia="Palatino Linotype" w:hAnsi="Palatino Linotype" w:cs="Palatino Linotype"/>
          <w:b/>
        </w:rPr>
        <w:t>1.- De la fotografía</w:t>
      </w:r>
    </w:p>
    <w:p w:rsidR="007E2F05" w:rsidRDefault="00AE79DA">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Para iniciar este apartado, resulta conveniente traer a modo de ejemplo la siguiente imagen: </w:t>
      </w:r>
    </w:p>
    <w:p w:rsidR="007E2F05" w:rsidRDefault="00AE79DA">
      <w:pPr>
        <w:spacing w:before="240" w:after="240" w:line="360" w:lineRule="auto"/>
        <w:ind w:right="51"/>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extent cx="3606308" cy="4445127"/>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606308" cy="4445127"/>
                    </a:xfrm>
                    <a:prstGeom prst="rect">
                      <a:avLst/>
                    </a:prstGeom>
                    <a:ln/>
                  </pic:spPr>
                </pic:pic>
              </a:graphicData>
            </a:graphic>
          </wp:inline>
        </w:drawing>
      </w:r>
    </w:p>
    <w:p w:rsidR="007E2F05" w:rsidRDefault="00AE79DA">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en cuanto a la fotografía contenida en los documentos antes referidos, se testó y clasificó como dato confidencial se especifica en el referido acuerdo lo siguiente: </w:t>
      </w:r>
    </w:p>
    <w:p w:rsidR="007E2F05" w:rsidRDefault="007E2F05">
      <w:pPr>
        <w:spacing w:before="240" w:after="240" w:line="360" w:lineRule="auto"/>
        <w:ind w:right="51"/>
        <w:jc w:val="center"/>
        <w:rPr>
          <w:rFonts w:ascii="Palatino Linotype" w:eastAsia="Palatino Linotype" w:hAnsi="Palatino Linotype" w:cs="Palatino Linotype"/>
        </w:rPr>
      </w:pPr>
    </w:p>
    <w:p w:rsidR="007E2F05" w:rsidRDefault="00AE79DA">
      <w:pPr>
        <w:spacing w:before="240" w:after="240" w:line="360" w:lineRule="auto"/>
        <w:ind w:right="51"/>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5610225" cy="4591050"/>
            <wp:effectExtent l="0" t="0" r="0" b="0"/>
            <wp:docPr id="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610225" cy="4591050"/>
                    </a:xfrm>
                    <a:prstGeom prst="rect">
                      <a:avLst/>
                    </a:prstGeom>
                    <a:ln/>
                  </pic:spPr>
                </pic:pic>
              </a:graphicData>
            </a:graphic>
          </wp:inline>
        </w:drawing>
      </w:r>
    </w:p>
    <w:p w:rsidR="007E2F05" w:rsidRDefault="00AE79DA">
      <w:pPr>
        <w:tabs>
          <w:tab w:val="left" w:pos="4962"/>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extent cx="5619750" cy="1409700"/>
            <wp:effectExtent l="0" t="0" r="0" b="0"/>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619750" cy="1409700"/>
                    </a:xfrm>
                    <a:prstGeom prst="rect">
                      <a:avLst/>
                    </a:prstGeom>
                    <a:ln/>
                  </pic:spPr>
                </pic:pic>
              </a:graphicData>
            </a:graphic>
          </wp:inline>
        </w:drawing>
      </w:r>
    </w:p>
    <w:p w:rsidR="007E2F05" w:rsidRDefault="007E2F05">
      <w:pPr>
        <w:tabs>
          <w:tab w:val="left" w:pos="4962"/>
        </w:tabs>
        <w:spacing w:before="240" w:after="240" w:line="360" w:lineRule="auto"/>
        <w:jc w:val="both"/>
        <w:rPr>
          <w:rFonts w:ascii="Palatino Linotype" w:eastAsia="Palatino Linotype" w:hAnsi="Palatino Linotype" w:cs="Palatino Linotype"/>
        </w:rPr>
      </w:pPr>
    </w:p>
    <w:p w:rsidR="007E2F05" w:rsidRDefault="00AE79DA">
      <w:pPr>
        <w:tabs>
          <w:tab w:val="left" w:pos="4962"/>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advierte el Acuerdo de Clasificación carece de elementos fácticos y jurídicos que sustenten la clasificación como confidencial, este órgano garante, </w:t>
      </w:r>
      <w:r>
        <w:rPr>
          <w:rFonts w:ascii="Palatino Linotype" w:eastAsia="Palatino Linotype" w:hAnsi="Palatino Linotype" w:cs="Palatino Linotype"/>
        </w:rPr>
        <w:lastRenderedPageBreak/>
        <w:t xml:space="preserve">sostiene que </w:t>
      </w:r>
      <w:r>
        <w:rPr>
          <w:rFonts w:ascii="Palatino Linotype" w:eastAsia="Palatino Linotype" w:hAnsi="Palatino Linotype" w:cs="Palatino Linotype"/>
          <w:b/>
          <w:u w:val="single"/>
        </w:rPr>
        <w:t>no debió testarse la fotografía</w:t>
      </w:r>
      <w:r>
        <w:rPr>
          <w:rFonts w:ascii="Palatino Linotype" w:eastAsia="Palatino Linotype" w:hAnsi="Palatino Linotype" w:cs="Palatino Linotype"/>
          <w:b/>
          <w:color w:val="FF0000"/>
          <w:u w:val="single"/>
        </w:rPr>
        <w:t xml:space="preserve"> </w:t>
      </w:r>
      <w:r>
        <w:rPr>
          <w:rFonts w:ascii="Palatino Linotype" w:eastAsia="Palatino Linotype" w:hAnsi="Palatino Linotype" w:cs="Palatino Linotype"/>
          <w:b/>
          <w:u w:val="single"/>
        </w:rPr>
        <w:t>contenida en los títulos profesionales, ya que este dato personal</w:t>
      </w:r>
      <w:r>
        <w:rPr>
          <w:rFonts w:ascii="Palatino Linotype" w:eastAsia="Palatino Linotype" w:hAnsi="Palatino Linotype" w:cs="Palatino Linotype"/>
          <w:b/>
          <w:color w:val="000000"/>
          <w:u w:val="single"/>
        </w:rPr>
        <w:t xml:space="preserve"> no es susceptible de ser protegido, cuando se trate de </w:t>
      </w:r>
      <w:r>
        <w:rPr>
          <w:rFonts w:ascii="Palatino Linotype" w:eastAsia="Palatino Linotype" w:hAnsi="Palatino Linotype" w:cs="Palatino Linotype"/>
          <w:b/>
          <w:u w:val="single"/>
        </w:rPr>
        <w:t xml:space="preserve"> servidores públicos que tengan categoría de mando medio o superior</w:t>
      </w:r>
      <w:r>
        <w:rPr>
          <w:rFonts w:ascii="Palatino Linotype" w:eastAsia="Palatino Linotype" w:hAnsi="Palatino Linotype" w:cs="Palatino Linotype"/>
        </w:rPr>
        <w:t>; razón por la cual será de naturaleza pública, toda vez que existe un interés público de dar a conocer dicho dato, atendiendo a las atribuciones y funciones desarrolladas por el Secretario del Ayuntamiento y Directores de área.</w:t>
      </w:r>
    </w:p>
    <w:p w:rsidR="007E2F05" w:rsidRDefault="00AE79D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efecto, si bien la fotografía al tratarse de la reproducción fiel de la imagen de una persona, constituye el primer elemento de la esfera personal de todo individuo, en cuanto instrumento básico de identificación y proyección exterior y factor imprescindible para su propio reconocimiento como sujeto individual, debiendo protegerse por regla general, no obstante, en el caso de los servidores públicos que ostentan cargos de mandos medios y superiores, así como aquellos cuyas funciones se relacionan con la atención al público, dicha protección se encuentra limitada.</w:t>
      </w:r>
    </w:p>
    <w:p w:rsidR="007E2F05" w:rsidRDefault="00AE79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se sustenta con lo plasmado en el criterio de interpretación 03/19 emitido por el Pleno de este Instituto, en la Segunda Época, que lleva por rubro y texto los siguientes:</w:t>
      </w:r>
    </w:p>
    <w:p w:rsidR="007E2F05" w:rsidRDefault="00AE79DA">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SERVIDORES PÚBLICOS CON CATEGORÍA DE MANDO MEDIO Y SUPERIOR. LA FOTOGRAFÍA DE AQUELLOS ES DE CARÁCTER PÚBLICO. </w:t>
      </w:r>
      <w:r>
        <w:rPr>
          <w:rFonts w:ascii="Palatino Linotype" w:eastAsia="Palatino Linotype" w:hAnsi="Palatino Linotype" w:cs="Palatino Linotype"/>
          <w:i/>
          <w:sz w:val="22"/>
          <w:szCs w:val="22"/>
        </w:rPr>
        <w:t xml:space="preserve">Al tenor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través de cualquier documento informativo físico o electrónico, que permite </w:t>
      </w:r>
      <w:r>
        <w:rPr>
          <w:rFonts w:ascii="Palatino Linotype" w:eastAsia="Palatino Linotype" w:hAnsi="Palatino Linotype" w:cs="Palatino Linotype"/>
          <w:i/>
          <w:sz w:val="22"/>
          <w:szCs w:val="22"/>
        </w:rPr>
        <w:lastRenderedPageBreak/>
        <w:t xml:space="preserve">clasificarse como información confidencial. En ese sentido, </w:t>
      </w:r>
      <w:r>
        <w:rPr>
          <w:rFonts w:ascii="Palatino Linotype" w:eastAsia="Palatino Linotype" w:hAnsi="Palatino Linotype" w:cs="Palatino Linotype"/>
          <w:b/>
          <w:i/>
          <w:sz w:val="22"/>
          <w:szCs w:val="22"/>
        </w:rPr>
        <w:t>la fotografía por regla general es un dato personal de carácter confidencial que revela plenamente la identidad de su titular, por ser la reproducción fiel y directa de su imagen que incluye los rasgos fisionómicos que lo hacen identificable. No obstante, tratándose de servidores públicos, éstos cuentan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y así asociarla, en su caso, con su nombre, cargo, y función, lo que genera un beneficio mayor la divulgación de dicho dato personal que su clasificación</w:t>
      </w:r>
      <w:r>
        <w:rPr>
          <w:rFonts w:ascii="Palatino Linotype" w:eastAsia="Palatino Linotype" w:hAnsi="Palatino Linotype" w:cs="Palatino Linotype"/>
          <w:i/>
          <w:sz w:val="22"/>
          <w:szCs w:val="22"/>
        </w:rPr>
        <w:t>, ya que sus atribuciones van enfocadas a las actividades de dirección en el sector gubernamental, toma de decisiones y emisión de actos que pudieren generar molestia e incluso en algunos casos, al contacto directo con la ciudadanía. Determinación de publicidad basada en una prueba de interés público, a través de sus tres subprincipios, en tanto que es idónea al perseguir un fin constitucionalmente válido consagrado en los artículos 6 de la Constitución Política de los Estados Unidos Mexicanos y 5 de la Constitución del Estado Libre y Soberano de México, bajo el eje rector del principio de máxima publicidad y rendición de cuentas, para garantizar el derecho de acceso a la información de todo gobernado; necesaria en virtud de que no existe otro medio menos lesivo hacia sus titulares que permita satisfacer el interés público y proporcional, en razón de que la publicidad de su fotografía representa un mayor beneficio a la sociedad en comparación con la afectación que se pudiera causar a sus titulares.”</w:t>
      </w:r>
    </w:p>
    <w:p w:rsidR="007E2F05" w:rsidRDefault="00AE79DA">
      <w:pPr>
        <w:spacing w:before="240" w:after="240" w:line="276" w:lineRule="auto"/>
        <w:ind w:left="851"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(Énfasis añadido)</w:t>
      </w:r>
    </w:p>
    <w:p w:rsidR="007E2F05" w:rsidRDefault="00AE79DA">
      <w:pPr>
        <w:tabs>
          <w:tab w:val="left" w:pos="4962"/>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logra observar, la fotografía de servidores públicos que ocupan puestos de mandos medios o superiores, no actualizan la causal de clasificación prevista en el artículo 143, fracción I, de la Ley de Transparencia y Acceso a la Información Pública </w:t>
      </w:r>
      <w:r>
        <w:rPr>
          <w:rFonts w:ascii="Palatino Linotype" w:eastAsia="Palatino Linotype" w:hAnsi="Palatino Linotype" w:cs="Palatino Linotype"/>
        </w:rPr>
        <w:lastRenderedPageBreak/>
        <w:t>del Estado de México y Municipios; no obstante, el dato de aquellos trabajadores que no ostenten las categorías previamente señaladas, es confidencial.</w:t>
      </w:r>
    </w:p>
    <w:p w:rsidR="007E2F05" w:rsidRDefault="007E2F05">
      <w:pPr>
        <w:tabs>
          <w:tab w:val="left" w:pos="4962"/>
        </w:tabs>
        <w:spacing w:before="240" w:after="240" w:line="360" w:lineRule="auto"/>
        <w:jc w:val="both"/>
        <w:rPr>
          <w:rFonts w:ascii="Palatino Linotype" w:eastAsia="Palatino Linotype" w:hAnsi="Palatino Linotype" w:cs="Palatino Linotype"/>
        </w:rPr>
      </w:pPr>
    </w:p>
    <w:p w:rsidR="007E2F05" w:rsidRDefault="00AE79DA">
      <w:pPr>
        <w:tabs>
          <w:tab w:val="left" w:pos="4962"/>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2.- Del número de acuerdo</w:t>
      </w:r>
    </w:p>
    <w:p w:rsidR="007E2F05" w:rsidRDefault="00AE79DA">
      <w:pPr>
        <w:tabs>
          <w:tab w:val="left" w:pos="4962"/>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Debe precisarse que en el soporte documental </w:t>
      </w:r>
      <w:r>
        <w:rPr>
          <w:rFonts w:ascii="Palatino Linotype" w:eastAsia="Palatino Linotype" w:hAnsi="Palatino Linotype" w:cs="Palatino Linotype"/>
          <w:b/>
          <w:i/>
        </w:rPr>
        <w:t>“TITULOS PROFESIONALES.pdf”</w:t>
      </w:r>
      <w:r>
        <w:rPr>
          <w:rFonts w:ascii="Palatino Linotype" w:eastAsia="Palatino Linotype" w:hAnsi="Palatino Linotype" w:cs="Palatino Linotype"/>
        </w:rPr>
        <w:t xml:space="preserve">, en las fojas 3, 6, 8 y 10, consistentes en títulos profesionales emitidos por instituciones educativas privadas, se testó el número de acuerdo, sirve de referencia las siguientes capturas de pantalla: </w:t>
      </w:r>
    </w:p>
    <w:p w:rsidR="007E2F05" w:rsidRDefault="007E2F05">
      <w:pPr>
        <w:tabs>
          <w:tab w:val="left" w:pos="4962"/>
        </w:tabs>
        <w:spacing w:before="240" w:after="240" w:line="360" w:lineRule="auto"/>
        <w:jc w:val="both"/>
        <w:rPr>
          <w:rFonts w:ascii="Palatino Linotype" w:eastAsia="Palatino Linotype" w:hAnsi="Palatino Linotype" w:cs="Palatino Linotype"/>
        </w:rPr>
      </w:pPr>
    </w:p>
    <w:p w:rsidR="007E2F05" w:rsidRDefault="00AE79DA">
      <w:pPr>
        <w:tabs>
          <w:tab w:val="left" w:pos="4962"/>
        </w:tabs>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3636215" cy="4537552"/>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636215" cy="4537552"/>
                    </a:xfrm>
                    <a:prstGeom prst="rect">
                      <a:avLst/>
                    </a:prstGeom>
                    <a:ln/>
                  </pic:spPr>
                </pic:pic>
              </a:graphicData>
            </a:graphic>
          </wp:inline>
        </w:drawing>
      </w:r>
    </w:p>
    <w:p w:rsidR="007E2F05" w:rsidRDefault="00AE79DA">
      <w:pPr>
        <w:tabs>
          <w:tab w:val="left" w:pos="4962"/>
        </w:tabs>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4958089" cy="5160117"/>
            <wp:effectExtent l="0" t="0" r="0" b="0"/>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4958089" cy="5160117"/>
                    </a:xfrm>
                    <a:prstGeom prst="rect">
                      <a:avLst/>
                    </a:prstGeom>
                    <a:ln/>
                  </pic:spPr>
                </pic:pic>
              </a:graphicData>
            </a:graphic>
          </wp:inline>
        </w:drawing>
      </w:r>
    </w:p>
    <w:p w:rsidR="007E2F05" w:rsidRDefault="00AE79DA">
      <w:pPr>
        <w:tabs>
          <w:tab w:val="left" w:pos="4962"/>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debe apuntarse que este Instituto no estima que el número de acuerdo represente un dato personal y por el contrario, su divulgación reviste interés público, ello en razón de que dicho acuerdo hace referencia al Reconocimiento de Validez Oficial (RVOE) de la institución educativa privada, emisora del título profesional y no así, a algún dato personal del titular del documento, esto encuentra sustento en la Ley General de Educación Superior, la cual mandata a las instituciones educativas privadas que se autentiquen los certificados, diplomas, títulos </w:t>
      </w:r>
      <w:r>
        <w:rPr>
          <w:rFonts w:ascii="Palatino Linotype" w:eastAsia="Palatino Linotype" w:hAnsi="Palatino Linotype" w:cs="Palatino Linotype"/>
        </w:rPr>
        <w:lastRenderedPageBreak/>
        <w:t>profesionales o grados académicos por parte de las autoridades que otorgaron el reconocimiento de validez oficial de estudios.</w:t>
      </w:r>
    </w:p>
    <w:p w:rsidR="007E2F05" w:rsidRDefault="00AE79DA">
      <w:pPr>
        <w:tabs>
          <w:tab w:val="left" w:pos="4962"/>
        </w:tabs>
        <w:spacing w:before="240" w:after="240" w:line="276" w:lineRule="auto"/>
        <w:ind w:left="567"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 Las instituciones de educación superior podrán otorgar título profesional, diploma o grado académico a la persona que haya concluido estudios de tipo superior y cumplido los requisitos académicos establecidos en los planes de estudio y ordenamientos aplicables.</w:t>
      </w:r>
    </w:p>
    <w:p w:rsidR="007E2F05" w:rsidRDefault="00AE79DA">
      <w:pPr>
        <w:tabs>
          <w:tab w:val="left" w:pos="4962"/>
        </w:tabs>
        <w:spacing w:before="240" w:after="240" w:line="276" w:lineRule="auto"/>
        <w:ind w:left="567"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este propósito, las instituciones de educación superior determinarán los requisitos y modalidades en que sus egresados podrán obtener el título profesional, diploma o grado académico correspondiente.</w:t>
      </w:r>
    </w:p>
    <w:p w:rsidR="007E2F05" w:rsidRDefault="00AE79DA">
      <w:pPr>
        <w:tabs>
          <w:tab w:val="left" w:pos="4962"/>
        </w:tabs>
        <w:spacing w:before="240" w:after="240" w:line="276" w:lineRule="auto"/>
        <w:ind w:left="567"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Los certificados, diplomas, títulos profesionales y grados académicos que expidan los particulares respecto de estudios autorizados o reconocidos requerirán de autenticación por parte de la autoridad o institución pública que haya concedido la autorización o el reconocimiento de validez oficial de estudios. </w:t>
      </w:r>
    </w:p>
    <w:p w:rsidR="007E2F05" w:rsidRDefault="00AE79DA">
      <w:pPr>
        <w:tabs>
          <w:tab w:val="left" w:pos="4962"/>
        </w:tabs>
        <w:spacing w:before="240" w:after="240" w:line="276" w:lineRule="auto"/>
        <w:ind w:left="567"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tal efecto, podrán utilizar medios digitales y procesos electrónicos.</w:t>
      </w:r>
    </w:p>
    <w:p w:rsidR="007E2F05" w:rsidRDefault="00AE79DA">
      <w:pPr>
        <w:tabs>
          <w:tab w:val="left" w:pos="4962"/>
        </w:tabs>
        <w:spacing w:before="240" w:after="240" w:line="276" w:lineRule="auto"/>
        <w:ind w:left="567"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Todos los certificados, diplomas, títulos profesionales y grados académicos señalados en este artículo tendrán validez en todo el territorio nacional.”</w:t>
      </w:r>
    </w:p>
    <w:p w:rsidR="007E2F05" w:rsidRDefault="00AE79DA">
      <w:pPr>
        <w:tabs>
          <w:tab w:val="left" w:pos="4962"/>
        </w:tabs>
        <w:spacing w:before="240" w:after="240" w:line="360" w:lineRule="auto"/>
        <w:ind w:left="567"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7E2F05" w:rsidRDefault="00AE79DA">
      <w:pPr>
        <w:tabs>
          <w:tab w:val="left" w:pos="4962"/>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lo anteriormente citado, se colige que dicho acuerdo es el soporte documental que da sustento a la validez de los documentos emitidos por la institución educativa, asimismo el Acuerdo número 279 por el que se establecen los trámites y procedimientos relacionados con el reconocimiento de validez oficial de estudios del tipo superior, publicado en el Diario Oficial de la Federación establece los requisitos necesarios para la obtención de dicho acuerdo que le dé a las instituciones educativas privadas, el reconocimiento para su operación y validez:</w:t>
      </w:r>
    </w:p>
    <w:p w:rsidR="007E2F05" w:rsidRDefault="007E2F05">
      <w:pPr>
        <w:tabs>
          <w:tab w:val="left" w:pos="4962"/>
        </w:tabs>
        <w:spacing w:before="240" w:after="240" w:line="360" w:lineRule="auto"/>
        <w:ind w:right="49"/>
        <w:jc w:val="both"/>
        <w:rPr>
          <w:rFonts w:ascii="Palatino Linotype" w:eastAsia="Palatino Linotype" w:hAnsi="Palatino Linotype" w:cs="Palatino Linotype"/>
        </w:rPr>
      </w:pPr>
    </w:p>
    <w:p w:rsidR="007E2F05" w:rsidRDefault="00AE79DA">
      <w:pPr>
        <w:tabs>
          <w:tab w:val="left" w:pos="4962"/>
        </w:tabs>
        <w:spacing w:before="240" w:after="240" w:line="276" w:lineRule="auto"/>
        <w:ind w:left="567"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“TITULO II DE LOS REQUISITOS Y DEL PROCEDIMIENTO PARA OBTENER EL RECONOCIMIENTO DE VALIDEZ OFICIAL DE ESTUDIOS CAPITULO I DEL PROCEDIMIENTO </w:t>
      </w:r>
    </w:p>
    <w:p w:rsidR="007E2F05" w:rsidRDefault="00AE79DA">
      <w:pPr>
        <w:tabs>
          <w:tab w:val="left" w:pos="4962"/>
        </w:tabs>
        <w:spacing w:before="240" w:after="240" w:line="276" w:lineRule="auto"/>
        <w:ind w:left="567"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5o.- El particular que solicite el reconocimiento, deberá presentar a la autoridad educativa la solicitud correspondiente con los datos contenidos en el formato 1 y los anexos 1, 2, 3, 4 y 5 de este Acuerdo. </w:t>
      </w:r>
    </w:p>
    <w:p w:rsidR="007E2F05" w:rsidRDefault="00AE79DA">
      <w:pPr>
        <w:tabs>
          <w:tab w:val="left" w:pos="4962"/>
        </w:tabs>
        <w:spacing w:before="240" w:after="240" w:line="276" w:lineRule="auto"/>
        <w:ind w:left="567"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particular no estará obligado a proporcionar datos o documentos entregados previamente, siempre y cuando se haga referencia del escrito en el que se citaron o con el que se acompañaron y el nuevo trámite lo realice ante la propia autoridad educativa. </w:t>
      </w:r>
    </w:p>
    <w:p w:rsidR="007E2F05" w:rsidRDefault="00AE79DA">
      <w:pPr>
        <w:tabs>
          <w:tab w:val="left" w:pos="4962"/>
        </w:tabs>
        <w:spacing w:before="240" w:after="240" w:line="276" w:lineRule="auto"/>
        <w:ind w:left="567"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6o.- Las solicitudes, los formatos, los anexos y demás documentación requerida, se deberán presentar en las ventanillas de las unidades administrativas y órganos desconcentrados competentes. </w:t>
      </w:r>
    </w:p>
    <w:p w:rsidR="007E2F05" w:rsidRDefault="00AE79DA">
      <w:pPr>
        <w:tabs>
          <w:tab w:val="left" w:pos="4962"/>
        </w:tabs>
        <w:spacing w:before="240" w:after="240" w:line="276" w:lineRule="auto"/>
        <w:ind w:left="567"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La autoridad educativa resolverá emitiendo el acuerdo que otorga o niega el reconocimiento, en los siguientes plazos: </w:t>
      </w:r>
    </w:p>
    <w:p w:rsidR="007E2F05" w:rsidRDefault="00AE79DA">
      <w:pPr>
        <w:numPr>
          <w:ilvl w:val="0"/>
          <w:numId w:val="5"/>
        </w:numPr>
        <w:pBdr>
          <w:top w:val="nil"/>
          <w:left w:val="nil"/>
          <w:bottom w:val="nil"/>
          <w:right w:val="nil"/>
          <w:between w:val="nil"/>
        </w:pBdr>
        <w:tabs>
          <w:tab w:val="left" w:pos="4962"/>
        </w:tabs>
        <w:spacing w:before="240" w:after="240" w:line="276" w:lineRule="auto"/>
        <w:ind w:left="567" w:right="1041"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Sesenta días hábiles contados a partir de la fecha de presentación de la solicitud, respecto de planes de estudio propuestos por el particular en áreas distintas de las señaladas en la siguiente fracción, y </w:t>
      </w:r>
    </w:p>
    <w:p w:rsidR="007E2F05" w:rsidRDefault="00AE79DA">
      <w:pPr>
        <w:numPr>
          <w:ilvl w:val="0"/>
          <w:numId w:val="5"/>
        </w:numPr>
        <w:pBdr>
          <w:top w:val="nil"/>
          <w:left w:val="nil"/>
          <w:bottom w:val="nil"/>
          <w:right w:val="nil"/>
          <w:between w:val="nil"/>
        </w:pBdr>
        <w:tabs>
          <w:tab w:val="left" w:pos="4962"/>
        </w:tabs>
        <w:spacing w:before="240" w:after="240" w:line="276" w:lineRule="auto"/>
        <w:ind w:left="567" w:right="1041" w:hanging="28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Tratándose de solicitudes de reconocimiento en las áreas de salud, diez días hábiles, contados a partir de la opinión que emita la Comisión Interinstitucional para la Formación de Recursos Humanos para la Salud, conforme a lo dispuesto en el artículo tercero del Acuerdo por el que se crea dicha Comisión, publicado en el Diario Oficial de la Federación el 19 de octubre de 1983”</w:t>
      </w:r>
    </w:p>
    <w:p w:rsidR="007E2F05" w:rsidRDefault="00AE79DA">
      <w:pPr>
        <w:pBdr>
          <w:top w:val="nil"/>
          <w:left w:val="nil"/>
          <w:bottom w:val="nil"/>
          <w:right w:val="nil"/>
          <w:between w:val="nil"/>
        </w:pBdr>
        <w:tabs>
          <w:tab w:val="left" w:pos="4962"/>
        </w:tabs>
        <w:spacing w:before="240" w:after="240" w:line="276" w:lineRule="auto"/>
        <w:ind w:left="567"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rsidR="007E2F05" w:rsidRDefault="00AE79DA">
      <w:pPr>
        <w:tabs>
          <w:tab w:val="left" w:pos="4962"/>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como se apuntó en líneas anteriores, el número de acuerdo insertado en los títulos profesionales de instituciones educativas privadas no representan un </w:t>
      </w:r>
      <w:r>
        <w:rPr>
          <w:rFonts w:ascii="Palatino Linotype" w:eastAsia="Palatino Linotype" w:hAnsi="Palatino Linotype" w:cs="Palatino Linotype"/>
        </w:rPr>
        <w:lastRenderedPageBreak/>
        <w:t>dato personal que haga identificada o identificable a una persona, toda vez que este requisito es aplicable a las instituciones educativas para darle a los educandos la certeza de que sus estudios serán válidos dentro de la república mexicana, al ser su institución reconocida para tales efectos.</w:t>
      </w:r>
    </w:p>
    <w:p w:rsidR="007E2F05" w:rsidRDefault="00AE79DA">
      <w:pPr>
        <w:tabs>
          <w:tab w:val="left" w:pos="4962"/>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por todo lo expuesto anteriormente que este órgano garante estima que la clasificación como confidencial, del número de acuerdo carece de argumentación y elementos que efectivamente hagan identificada o identificable, en razón de que este dato concierne a una institución educativa y no así  a una persona, por lo que se concluye que la clasificación como confidencial es a todas luces improcedente. </w:t>
      </w:r>
    </w:p>
    <w:p w:rsidR="007E2F05" w:rsidRDefault="00AE79DA">
      <w:pPr>
        <w:tabs>
          <w:tab w:val="left" w:pos="4962"/>
        </w:tabs>
        <w:spacing w:before="240" w:after="240" w:line="360" w:lineRule="auto"/>
        <w:jc w:val="both"/>
      </w:pPr>
      <w:r>
        <w:rPr>
          <w:rFonts w:ascii="Palatino Linotype" w:eastAsia="Palatino Linotype" w:hAnsi="Palatino Linotype" w:cs="Palatino Linotype"/>
        </w:rPr>
        <w:t xml:space="preserve">Ahora bien, no pasa inadvertido para este Instituto, que si bien es cierto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 xml:space="preserve">no se inconforma de algún otro dato clasificado como confidencial, también lo es que se estudia la correcta clasificación de la información como confidencial remita en respuesta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t xml:space="preserve"> </w:t>
      </w:r>
    </w:p>
    <w:p w:rsidR="007E2F05" w:rsidRDefault="00AE79DA">
      <w:pPr>
        <w:tabs>
          <w:tab w:val="left" w:pos="4962"/>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del análisis de los datos personales contenidos en los títulos profesionales,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clasifica como confidenciales los códigos de barras. </w:t>
      </w:r>
    </w:p>
    <w:p w:rsidR="007E2F05" w:rsidRDefault="00AE79DA">
      <w:pPr>
        <w:tabs>
          <w:tab w:val="left" w:pos="4962"/>
        </w:tabs>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Respecto de los códigos de barras o códigos unidimensionales, son utilizados para almacenar diversos tipos datos de manera codificada, los cuales a través de lectores de acceso libre para cualquier persona, pueden obtenerse los datos que en éstos se contienen, por ejemplo la Clave Única de Registro de Población, nombre del titular del documento, algún número de folio, o en su caso, tratándose de certificados, la autoridad o entidad certificadora.</w:t>
      </w:r>
    </w:p>
    <w:p w:rsidR="007E2F05" w:rsidRDefault="007E2F05">
      <w:pPr>
        <w:tabs>
          <w:tab w:val="left" w:pos="4962"/>
        </w:tabs>
        <w:spacing w:before="240" w:after="240" w:line="360" w:lineRule="auto"/>
        <w:jc w:val="both"/>
        <w:rPr>
          <w:rFonts w:ascii="Palatino Linotype" w:eastAsia="Palatino Linotype" w:hAnsi="Palatino Linotype" w:cs="Palatino Linotype"/>
          <w:highlight w:val="white"/>
        </w:rPr>
      </w:pPr>
    </w:p>
    <w:p w:rsidR="007E2F05" w:rsidRDefault="00AE79DA">
      <w:pPr>
        <w:tabs>
          <w:tab w:val="left" w:pos="4962"/>
        </w:tabs>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Por lo anterior manifestado, es que 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deberá verificar si en efecto dicho código remite a información confidencial y de ser el caso reiterar la clasificación como confidencial de los códigos de barras, solo si advierte que de dichos códigos dirigen a datos personales, debiendo fundar y motivar la clasificación en el Acuerdo de Clasificación que para ello emita su Comité de Transparencia, en caso contrario, deberá dejarlo visible.</w:t>
      </w:r>
      <w:r>
        <w:rPr>
          <w:rFonts w:ascii="Palatino Linotype" w:eastAsia="Palatino Linotype" w:hAnsi="Palatino Linotype" w:cs="Palatino Linotype"/>
          <w:b/>
          <w:highlight w:val="white"/>
        </w:rPr>
        <w:t xml:space="preserve"> </w:t>
      </w:r>
      <w:r>
        <w:rPr>
          <w:rFonts w:ascii="Palatino Linotype" w:eastAsia="Palatino Linotype" w:hAnsi="Palatino Linotype" w:cs="Palatino Linotype"/>
          <w:highlight w:val="white"/>
        </w:rPr>
        <w:t xml:space="preserve">  </w:t>
      </w:r>
    </w:p>
    <w:p w:rsidR="007E2F05" w:rsidRDefault="00AE79DA">
      <w:pPr>
        <w:tabs>
          <w:tab w:val="left" w:pos="4962"/>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dichas consideraciones, este Órgano Garante, estima pertinente ordenar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remita nuevamente los títulos profesionales, proporcionados en respuesta; en una correcta versión pública, conforme a lo dispuesto en el considerando </w:t>
      </w:r>
      <w:r>
        <w:rPr>
          <w:rFonts w:ascii="Palatino Linotype" w:eastAsia="Palatino Linotype" w:hAnsi="Palatino Linotype" w:cs="Palatino Linotype"/>
          <w:b/>
        </w:rPr>
        <w:t>Quinto</w:t>
      </w:r>
      <w:r>
        <w:rPr>
          <w:rFonts w:ascii="Palatino Linotype" w:eastAsia="Palatino Linotype" w:hAnsi="Palatino Linotype" w:cs="Palatino Linotype"/>
        </w:rPr>
        <w:t xml:space="preserve">, a efecto de tener dicho requerimiento por atendido. </w:t>
      </w:r>
    </w:p>
    <w:p w:rsidR="007E2F05" w:rsidRDefault="00AE79D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Quinto.-Versión Pública. </w:t>
      </w:r>
      <w:r>
        <w:rPr>
          <w:rFonts w:ascii="Palatino Linotype" w:eastAsia="Palatino Linotype" w:hAnsi="Palatino Linotype" w:cs="Palatino Linotype"/>
          <w:color w:val="222222"/>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7E2F05" w:rsidRDefault="00AE79DA">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Lo anterior, de conformidad a lo que señalan los artículos 3, fracciones IX, XX, XXXII, XLV; 6, 137 y 143 fracción I, de la Ley de Transparencia y Acceso a la Información Pública del Estado de México y Municipios vigente, que se leen como sigue:</w:t>
      </w:r>
    </w:p>
    <w:p w:rsidR="007E2F05" w:rsidRDefault="00AE79DA">
      <w:pPr>
        <w:shd w:val="clear" w:color="auto" w:fill="FFFFFF"/>
        <w:spacing w:before="240" w:after="240" w:line="276" w:lineRule="auto"/>
        <w:ind w:left="851" w:right="851"/>
        <w:jc w:val="both"/>
        <w:rPr>
          <w:color w:val="222222"/>
        </w:rPr>
      </w:pPr>
      <w:r>
        <w:rPr>
          <w:rFonts w:ascii="Palatino Linotype" w:eastAsia="Palatino Linotype" w:hAnsi="Palatino Linotype" w:cs="Palatino Linotype"/>
          <w:b/>
          <w:i/>
          <w:color w:val="222222"/>
          <w:sz w:val="22"/>
          <w:szCs w:val="22"/>
        </w:rPr>
        <w:lastRenderedPageBreak/>
        <w:t> “Artículo 3. Para los efectos de la presente Ley se entenderá por:</w:t>
      </w:r>
    </w:p>
    <w:p w:rsidR="007E2F05" w:rsidRDefault="00AE79DA">
      <w:pPr>
        <w:shd w:val="clear" w:color="auto" w:fill="FFFFFF"/>
        <w:spacing w:before="240" w:after="240" w:line="276" w:lineRule="auto"/>
        <w:ind w:left="851" w:right="851"/>
        <w:jc w:val="both"/>
        <w:rPr>
          <w:color w:val="222222"/>
        </w:rPr>
      </w:pPr>
      <w:r>
        <w:rPr>
          <w:rFonts w:ascii="Palatino Linotype" w:eastAsia="Palatino Linotype" w:hAnsi="Palatino Linotype" w:cs="Palatino Linotype"/>
          <w:b/>
          <w:i/>
          <w:color w:val="222222"/>
          <w:sz w:val="22"/>
          <w:szCs w:val="22"/>
        </w:rPr>
        <w:t>IX. Datos personales:</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b/>
          <w:i/>
          <w:color w:val="222222"/>
          <w:sz w:val="22"/>
          <w:szCs w:val="22"/>
        </w:rPr>
        <w:t>La información concerniente a una persona, identificada o identificable</w:t>
      </w:r>
      <w:r>
        <w:rPr>
          <w:rFonts w:ascii="Palatino Linotype" w:eastAsia="Palatino Linotype" w:hAnsi="Palatino Linotype" w:cs="Palatino Linotype"/>
          <w:i/>
          <w:color w:val="222222"/>
          <w:sz w:val="22"/>
          <w:szCs w:val="22"/>
        </w:rPr>
        <w:t> según lo dispuesto por la Ley de Protección de Datos Personales del Estado de México;</w:t>
      </w:r>
    </w:p>
    <w:p w:rsidR="007E2F05" w:rsidRDefault="00AE79DA">
      <w:pPr>
        <w:shd w:val="clear" w:color="auto" w:fill="FFFFFF"/>
        <w:spacing w:before="240" w:after="240" w:line="276" w:lineRule="auto"/>
        <w:ind w:left="851" w:right="851"/>
        <w:jc w:val="both"/>
        <w:rPr>
          <w:color w:val="222222"/>
        </w:rPr>
      </w:pPr>
      <w:r>
        <w:rPr>
          <w:rFonts w:ascii="Palatino Linotype" w:eastAsia="Palatino Linotype" w:hAnsi="Palatino Linotype" w:cs="Palatino Linotype"/>
          <w:b/>
          <w:i/>
          <w:color w:val="222222"/>
          <w:sz w:val="22"/>
          <w:szCs w:val="22"/>
        </w:rPr>
        <w:t>XX. Información clasificada:</w:t>
      </w:r>
      <w:r>
        <w:rPr>
          <w:rFonts w:ascii="Palatino Linotype" w:eastAsia="Palatino Linotype" w:hAnsi="Palatino Linotype" w:cs="Palatino Linotype"/>
          <w:i/>
          <w:color w:val="222222"/>
          <w:sz w:val="22"/>
          <w:szCs w:val="22"/>
        </w:rPr>
        <w:t> Aquella considerada por la presente Ley como reservada o confidencial;</w:t>
      </w:r>
    </w:p>
    <w:p w:rsidR="007E2F05" w:rsidRDefault="00AE79DA">
      <w:pPr>
        <w:shd w:val="clear" w:color="auto" w:fill="FFFFFF"/>
        <w:spacing w:before="240" w:after="240" w:line="276" w:lineRule="auto"/>
        <w:ind w:left="851" w:right="851"/>
        <w:jc w:val="both"/>
        <w:rPr>
          <w:color w:val="222222"/>
        </w:rPr>
      </w:pPr>
      <w:r>
        <w:rPr>
          <w:rFonts w:ascii="Palatino Linotype" w:eastAsia="Palatino Linotype" w:hAnsi="Palatino Linotype" w:cs="Palatino Linotype"/>
          <w:b/>
          <w:i/>
          <w:color w:val="222222"/>
          <w:sz w:val="22"/>
          <w:szCs w:val="22"/>
        </w:rPr>
        <w:t>XXXII. Protección de Datos Personales:</w:t>
      </w:r>
      <w:r>
        <w:rPr>
          <w:rFonts w:ascii="Palatino Linotype" w:eastAsia="Palatino Linotype" w:hAnsi="Palatino Linotype" w:cs="Palatino Linotype"/>
          <w:i/>
          <w:color w:val="222222"/>
          <w:sz w:val="22"/>
          <w:szCs w:val="22"/>
        </w:rPr>
        <w:t> Derecho humano que tutela la privacidad de datos personales en poder de los sujetos obligados y sujetos particulares;</w:t>
      </w:r>
    </w:p>
    <w:p w:rsidR="007E2F05" w:rsidRDefault="00AE79DA">
      <w:pPr>
        <w:shd w:val="clear" w:color="auto" w:fill="FFFFFF"/>
        <w:spacing w:before="240" w:after="240" w:line="276" w:lineRule="auto"/>
        <w:ind w:left="851" w:right="851"/>
        <w:jc w:val="both"/>
        <w:rPr>
          <w:color w:val="222222"/>
        </w:rPr>
      </w:pPr>
      <w:r>
        <w:rPr>
          <w:rFonts w:ascii="Palatino Linotype" w:eastAsia="Palatino Linotype" w:hAnsi="Palatino Linotype" w:cs="Palatino Linotype"/>
          <w:b/>
          <w:i/>
          <w:color w:val="222222"/>
          <w:sz w:val="22"/>
          <w:szCs w:val="22"/>
        </w:rPr>
        <w:t>XLV. Versión pública</w:t>
      </w:r>
      <w:r>
        <w:rPr>
          <w:rFonts w:ascii="Palatino Linotype" w:eastAsia="Palatino Linotype" w:hAnsi="Palatino Linotype" w:cs="Palatino Linotype"/>
          <w:i/>
          <w:color w:val="222222"/>
          <w:sz w:val="22"/>
          <w:szCs w:val="22"/>
        </w:rPr>
        <w:t>: Documento en el que se elimine, suprime o borra la información clasificada como reservada o confidencial para permitir su acceso.”</w:t>
      </w:r>
    </w:p>
    <w:p w:rsidR="007E2F05" w:rsidRDefault="00AE79DA">
      <w:pPr>
        <w:shd w:val="clear" w:color="auto" w:fill="FFFFFF"/>
        <w:spacing w:before="240" w:after="240" w:line="276" w:lineRule="auto"/>
        <w:ind w:left="851" w:right="851"/>
        <w:jc w:val="both"/>
        <w:rPr>
          <w:rFonts w:ascii="Arial" w:eastAsia="Arial" w:hAnsi="Arial" w:cs="Arial"/>
          <w:color w:val="222222"/>
        </w:rPr>
      </w:pP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b/>
          <w:i/>
          <w:color w:val="222222"/>
          <w:sz w:val="22"/>
          <w:szCs w:val="22"/>
        </w:rPr>
        <w:t>“Artículo 6.</w:t>
      </w:r>
      <w:r>
        <w:rPr>
          <w:rFonts w:ascii="Palatino Linotype" w:eastAsia="Palatino Linotype" w:hAnsi="Palatino Linotype" w:cs="Palatino Linotype"/>
          <w:i/>
          <w:color w:val="222222"/>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7E2F05" w:rsidRDefault="00AE79DA">
      <w:pPr>
        <w:shd w:val="clear" w:color="auto" w:fill="FFFFFF"/>
        <w:spacing w:before="240" w:after="240" w:line="276" w:lineRule="auto"/>
        <w:ind w:left="851" w:right="851"/>
        <w:jc w:val="both"/>
        <w:rPr>
          <w:rFonts w:ascii="Arial" w:eastAsia="Arial" w:hAnsi="Arial" w:cs="Arial"/>
          <w:color w:val="222222"/>
        </w:rPr>
      </w:pP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b/>
          <w:i/>
          <w:color w:val="222222"/>
          <w:sz w:val="22"/>
          <w:szCs w:val="22"/>
        </w:rPr>
        <w:t>“Artículo 137.</w:t>
      </w:r>
      <w:r>
        <w:rPr>
          <w:rFonts w:ascii="Palatino Linotype" w:eastAsia="Palatino Linotype" w:hAnsi="Palatino Linotype" w:cs="Palatino Linotype"/>
          <w:i/>
          <w:color w:val="222222"/>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E2F05" w:rsidRDefault="00AE79DA">
      <w:pPr>
        <w:shd w:val="clear" w:color="auto" w:fill="FFFFFF"/>
        <w:spacing w:before="240" w:after="240" w:line="276" w:lineRule="auto"/>
        <w:ind w:left="851" w:right="851"/>
        <w:jc w:val="both"/>
        <w:rPr>
          <w:rFonts w:ascii="Arial" w:eastAsia="Arial" w:hAnsi="Arial" w:cs="Arial"/>
          <w:color w:val="222222"/>
        </w:rPr>
      </w:pPr>
      <w:r>
        <w:rPr>
          <w:rFonts w:ascii="Palatino Linotype" w:eastAsia="Palatino Linotype" w:hAnsi="Palatino Linotype" w:cs="Palatino Linotype"/>
          <w:b/>
          <w:i/>
          <w:color w:val="222222"/>
          <w:sz w:val="22"/>
          <w:szCs w:val="22"/>
        </w:rPr>
        <w:t> “Artículo 143</w:t>
      </w:r>
      <w:r>
        <w:rPr>
          <w:rFonts w:ascii="Palatino Linotype" w:eastAsia="Palatino Linotype" w:hAnsi="Palatino Linotype" w:cs="Palatino Linotype"/>
          <w:i/>
          <w:color w:val="222222"/>
          <w:sz w:val="22"/>
          <w:szCs w:val="22"/>
        </w:rPr>
        <w:t>. Para los efectos de esta Ley se considera información confidencial, la clasificada como tal, de manera permanente, por su naturaleza, cuando:</w:t>
      </w:r>
    </w:p>
    <w:p w:rsidR="007E2F05" w:rsidRDefault="00AE79DA">
      <w:pPr>
        <w:shd w:val="clear" w:color="auto" w:fill="FFFFFF"/>
        <w:spacing w:before="240" w:after="240" w:line="276" w:lineRule="auto"/>
        <w:ind w:left="851" w:right="851"/>
        <w:jc w:val="both"/>
        <w:rPr>
          <w:rFonts w:ascii="Arial" w:eastAsia="Arial" w:hAnsi="Arial" w:cs="Arial"/>
          <w:color w:val="222222"/>
        </w:rPr>
      </w:pPr>
      <w:r>
        <w:rPr>
          <w:rFonts w:ascii="Palatino Linotype" w:eastAsia="Palatino Linotype" w:hAnsi="Palatino Linotype" w:cs="Palatino Linotype"/>
          <w:b/>
          <w:i/>
          <w:color w:val="222222"/>
          <w:sz w:val="22"/>
          <w:szCs w:val="22"/>
        </w:rPr>
        <w:t>I.</w:t>
      </w:r>
      <w:r>
        <w:rPr>
          <w:rFonts w:ascii="Palatino Linotype" w:eastAsia="Palatino Linotype" w:hAnsi="Palatino Linotype" w:cs="Palatino Linotype"/>
          <w:i/>
          <w:color w:val="222222"/>
          <w:sz w:val="22"/>
          <w:szCs w:val="22"/>
        </w:rPr>
        <w:t> Se refiera a la información privada y los datos personales concernientes a una persona física o jurídica colectiva identificada o identificable;</w:t>
      </w:r>
    </w:p>
    <w:p w:rsidR="007E2F05" w:rsidRDefault="00AE79DA">
      <w:pPr>
        <w:shd w:val="clear" w:color="auto" w:fill="FFFFFF"/>
        <w:spacing w:before="240" w:after="240" w:line="276" w:lineRule="auto"/>
        <w:ind w:left="851" w:right="851"/>
        <w:jc w:val="both"/>
        <w:rPr>
          <w:rFonts w:ascii="Arial" w:eastAsia="Arial" w:hAnsi="Arial" w:cs="Arial"/>
          <w:color w:val="222222"/>
        </w:rPr>
      </w:pPr>
      <w:r>
        <w:rPr>
          <w:rFonts w:ascii="Palatino Linotype" w:eastAsia="Palatino Linotype" w:hAnsi="Palatino Linotype" w:cs="Palatino Linotype"/>
          <w:i/>
          <w:color w:val="222222"/>
          <w:sz w:val="22"/>
          <w:szCs w:val="22"/>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rsidR="007E2F05" w:rsidRDefault="00AE79DA">
      <w:pPr>
        <w:shd w:val="clear" w:color="auto" w:fill="FFFFFF"/>
        <w:spacing w:before="240" w:after="240" w:line="276" w:lineRule="auto"/>
        <w:ind w:left="851" w:right="851"/>
        <w:jc w:val="both"/>
        <w:rPr>
          <w:rFonts w:ascii="Arial" w:eastAsia="Arial" w:hAnsi="Arial" w:cs="Arial"/>
          <w:color w:val="222222"/>
        </w:rPr>
      </w:pPr>
      <w:r>
        <w:rPr>
          <w:rFonts w:ascii="Palatino Linotype" w:eastAsia="Palatino Linotype" w:hAnsi="Palatino Linotype" w:cs="Palatino Linotype"/>
          <w:i/>
          <w:color w:val="222222"/>
          <w:sz w:val="22"/>
          <w:szCs w:val="22"/>
        </w:rPr>
        <w:t>III. La que presenten los particulares a los sujetos obligados, de conformidad con lo dispuesto por las leyes o los tratados internacionales.” (Sic) </w:t>
      </w:r>
    </w:p>
    <w:p w:rsidR="007E2F05" w:rsidRDefault="00AE79DA">
      <w:pPr>
        <w:shd w:val="clear" w:color="auto" w:fill="FFFFFF"/>
        <w:spacing w:before="240" w:after="240" w:line="360" w:lineRule="auto"/>
        <w:jc w:val="both"/>
        <w:rPr>
          <w:rFonts w:ascii="Arial" w:eastAsia="Arial" w:hAnsi="Arial" w:cs="Arial"/>
          <w:color w:val="222222"/>
        </w:rPr>
      </w:pPr>
      <w:r>
        <w:rPr>
          <w:rFonts w:ascii="Palatino Linotype" w:eastAsia="Palatino Linotype" w:hAnsi="Palatino Linotype" w:cs="Palatino Linotype"/>
          <w:color w:val="2222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deberá proceder a testar los datos personales que se encuentren contenidos en los documentos a entregar para satisfacer el derecho de acceso a la información pública del </w:t>
      </w:r>
      <w:r>
        <w:rPr>
          <w:rFonts w:ascii="Palatino Linotype" w:eastAsia="Palatino Linotype" w:hAnsi="Palatino Linotype" w:cs="Palatino Linotype"/>
          <w:b/>
          <w:color w:val="222222"/>
        </w:rPr>
        <w:t>recurrente,</w:t>
      </w:r>
      <w:r>
        <w:rPr>
          <w:rFonts w:ascii="Palatino Linotype" w:eastAsia="Palatino Linotype" w:hAnsi="Palatino Linotype" w:cs="Palatino Linotype"/>
          <w:color w:val="222222"/>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7E2F05" w:rsidRDefault="00AE79DA">
      <w:pPr>
        <w:shd w:val="clear" w:color="auto" w:fill="FFFFFF"/>
        <w:spacing w:before="240" w:after="240" w:line="360" w:lineRule="auto"/>
        <w:jc w:val="both"/>
        <w:rPr>
          <w:rFonts w:ascii="Arial" w:eastAsia="Arial" w:hAnsi="Arial" w:cs="Arial"/>
          <w:color w:val="222222"/>
        </w:rPr>
      </w:pPr>
      <w:r>
        <w:rPr>
          <w:rFonts w:ascii="Palatino Linotype" w:eastAsia="Palatino Linotype" w:hAnsi="Palatino Linotype" w:cs="Palatino Linotype"/>
          <w:color w:val="2222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7E2F05" w:rsidRDefault="00AE79DA">
      <w:pPr>
        <w:shd w:val="clear" w:color="auto" w:fill="FFFFFF"/>
        <w:spacing w:before="240" w:after="240" w:line="360" w:lineRule="auto"/>
        <w:jc w:val="both"/>
        <w:rPr>
          <w:rFonts w:ascii="Arial" w:eastAsia="Arial" w:hAnsi="Arial" w:cs="Arial"/>
          <w:color w:val="222222"/>
        </w:rPr>
      </w:pPr>
      <w:r>
        <w:rPr>
          <w:rFonts w:ascii="Palatino Linotype" w:eastAsia="Palatino Linotype" w:hAnsi="Palatino Linotype" w:cs="Palatino Linotype"/>
          <w:color w:val="222222"/>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w:t>
      </w:r>
      <w:r>
        <w:rPr>
          <w:rFonts w:ascii="Palatino Linotype" w:eastAsia="Palatino Linotype" w:hAnsi="Palatino Linotype" w:cs="Palatino Linotype"/>
          <w:color w:val="222222"/>
        </w:rPr>
        <w:lastRenderedPageBreak/>
        <w:t>del Sujeto Obligado, sino que ello deberá realizarse en términos de lo que disponen los artículos 49 fracción VIII, 53, fracción X y 59, fracción V, de la Ley en consulta, cuyo sentido literal es el siguiente:</w:t>
      </w:r>
    </w:p>
    <w:p w:rsidR="007E2F05" w:rsidRDefault="00AE79DA">
      <w:pPr>
        <w:shd w:val="clear" w:color="auto" w:fill="FFFFFF"/>
        <w:spacing w:before="240" w:after="240"/>
        <w:ind w:left="851"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“Artículo 49.</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b/>
          <w:i/>
          <w:color w:val="222222"/>
          <w:sz w:val="22"/>
          <w:szCs w:val="22"/>
        </w:rPr>
        <w:t>Los Comités de Transparencia</w:t>
      </w:r>
      <w:r>
        <w:rPr>
          <w:rFonts w:ascii="Palatino Linotype" w:eastAsia="Palatino Linotype" w:hAnsi="Palatino Linotype" w:cs="Palatino Linotype"/>
          <w:i/>
          <w:color w:val="222222"/>
          <w:sz w:val="22"/>
          <w:szCs w:val="22"/>
        </w:rPr>
        <w:t> tendrán las siguientes atribuciones:</w:t>
      </w:r>
    </w:p>
    <w:p w:rsidR="007E2F05" w:rsidRDefault="00AE79DA">
      <w:pPr>
        <w:shd w:val="clear" w:color="auto" w:fill="FFFFFF"/>
        <w:spacing w:before="240" w:after="240"/>
        <w:ind w:left="851" w:right="851"/>
        <w:jc w:val="both"/>
        <w:rPr>
          <w:rFonts w:ascii="Arial" w:eastAsia="Arial" w:hAnsi="Arial" w:cs="Arial"/>
          <w:color w:val="222222"/>
        </w:rPr>
      </w:pPr>
      <w:r>
        <w:rPr>
          <w:rFonts w:ascii="Palatino Linotype" w:eastAsia="Palatino Linotype" w:hAnsi="Palatino Linotype" w:cs="Palatino Linotype"/>
          <w:b/>
          <w:i/>
          <w:color w:val="222222"/>
          <w:sz w:val="22"/>
          <w:szCs w:val="22"/>
        </w:rPr>
        <w:t>…</w:t>
      </w:r>
    </w:p>
    <w:p w:rsidR="007E2F05" w:rsidRDefault="00AE79DA">
      <w:pPr>
        <w:shd w:val="clear" w:color="auto" w:fill="FFFFFF"/>
        <w:spacing w:before="240" w:after="240"/>
        <w:ind w:left="851" w:right="851"/>
        <w:jc w:val="both"/>
        <w:rPr>
          <w:rFonts w:ascii="Arial" w:eastAsia="Arial" w:hAnsi="Arial" w:cs="Arial"/>
          <w:color w:val="222222"/>
        </w:rPr>
      </w:pPr>
      <w:r>
        <w:rPr>
          <w:rFonts w:ascii="Palatino Linotype" w:eastAsia="Palatino Linotype" w:hAnsi="Palatino Linotype" w:cs="Palatino Linotype"/>
          <w:b/>
          <w:i/>
          <w:color w:val="222222"/>
          <w:sz w:val="22"/>
          <w:szCs w:val="22"/>
        </w:rPr>
        <w:t>VIII. Aprobar, modificar o revocar la clasificación de la información</w:t>
      </w:r>
      <w:r>
        <w:rPr>
          <w:rFonts w:ascii="Palatino Linotype" w:eastAsia="Palatino Linotype" w:hAnsi="Palatino Linotype" w:cs="Palatino Linotype"/>
          <w:i/>
          <w:color w:val="222222"/>
          <w:sz w:val="22"/>
          <w:szCs w:val="22"/>
        </w:rPr>
        <w:t>…”</w:t>
      </w:r>
    </w:p>
    <w:p w:rsidR="007E2F05" w:rsidRDefault="00AE79DA">
      <w:pPr>
        <w:shd w:val="clear" w:color="auto" w:fill="FFFFFF"/>
        <w:spacing w:before="240" w:after="240"/>
        <w:ind w:left="851"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Artículo 53.</w:t>
      </w:r>
      <w:r>
        <w:rPr>
          <w:rFonts w:ascii="Palatino Linotype" w:eastAsia="Palatino Linotype" w:hAnsi="Palatino Linotype" w:cs="Palatino Linotype"/>
          <w:i/>
          <w:color w:val="222222"/>
          <w:sz w:val="22"/>
          <w:szCs w:val="22"/>
        </w:rPr>
        <w:t> Las </w:t>
      </w:r>
      <w:r>
        <w:rPr>
          <w:rFonts w:ascii="Palatino Linotype" w:eastAsia="Palatino Linotype" w:hAnsi="Palatino Linotype" w:cs="Palatino Linotype"/>
          <w:b/>
          <w:i/>
          <w:color w:val="222222"/>
          <w:sz w:val="22"/>
          <w:szCs w:val="22"/>
        </w:rPr>
        <w:t>Unidades de Transparencia</w:t>
      </w:r>
      <w:r>
        <w:rPr>
          <w:rFonts w:ascii="Palatino Linotype" w:eastAsia="Palatino Linotype" w:hAnsi="Palatino Linotype" w:cs="Palatino Linotype"/>
          <w:i/>
          <w:color w:val="222222"/>
          <w:sz w:val="22"/>
          <w:szCs w:val="22"/>
        </w:rPr>
        <w:t> tendrán las siguientes </w:t>
      </w:r>
      <w:r>
        <w:rPr>
          <w:rFonts w:ascii="Palatino Linotype" w:eastAsia="Palatino Linotype" w:hAnsi="Palatino Linotype" w:cs="Palatino Linotype"/>
          <w:b/>
          <w:i/>
          <w:color w:val="222222"/>
          <w:sz w:val="22"/>
          <w:szCs w:val="22"/>
        </w:rPr>
        <w:t>funciones</w:t>
      </w:r>
      <w:r>
        <w:rPr>
          <w:rFonts w:ascii="Palatino Linotype" w:eastAsia="Palatino Linotype" w:hAnsi="Palatino Linotype" w:cs="Palatino Linotype"/>
          <w:i/>
          <w:color w:val="222222"/>
          <w:sz w:val="22"/>
          <w:szCs w:val="22"/>
        </w:rPr>
        <w:t>:</w:t>
      </w:r>
    </w:p>
    <w:p w:rsidR="007E2F05" w:rsidRDefault="00AE79DA">
      <w:pPr>
        <w:shd w:val="clear" w:color="auto" w:fill="FFFFFF"/>
        <w:spacing w:before="240" w:after="240"/>
        <w:ind w:left="851" w:right="851"/>
        <w:jc w:val="both"/>
        <w:rPr>
          <w:rFonts w:ascii="Arial" w:eastAsia="Arial" w:hAnsi="Arial" w:cs="Arial"/>
          <w:color w:val="222222"/>
        </w:rPr>
      </w:pPr>
      <w:r>
        <w:rPr>
          <w:rFonts w:ascii="Palatino Linotype" w:eastAsia="Palatino Linotype" w:hAnsi="Palatino Linotype" w:cs="Palatino Linotype"/>
          <w:i/>
          <w:color w:val="222222"/>
          <w:sz w:val="22"/>
          <w:szCs w:val="22"/>
        </w:rPr>
        <w:t>…</w:t>
      </w:r>
    </w:p>
    <w:p w:rsidR="007E2F05" w:rsidRDefault="00AE79DA">
      <w:pPr>
        <w:shd w:val="clear" w:color="auto" w:fill="FFFFFF"/>
        <w:spacing w:before="240" w:after="240"/>
        <w:ind w:left="851" w:right="851"/>
        <w:jc w:val="both"/>
        <w:rPr>
          <w:rFonts w:ascii="Arial" w:eastAsia="Arial" w:hAnsi="Arial" w:cs="Arial"/>
          <w:color w:val="222222"/>
        </w:rPr>
      </w:pPr>
      <w:r>
        <w:rPr>
          <w:rFonts w:ascii="Palatino Linotype" w:eastAsia="Palatino Linotype" w:hAnsi="Palatino Linotype" w:cs="Palatino Linotype"/>
          <w:b/>
          <w:i/>
          <w:color w:val="222222"/>
          <w:sz w:val="22"/>
          <w:szCs w:val="22"/>
        </w:rPr>
        <w:t>X. Presentar ante el Comité, el proyecto de clasificación de información</w:t>
      </w:r>
      <w:r>
        <w:rPr>
          <w:rFonts w:ascii="Palatino Linotype" w:eastAsia="Palatino Linotype" w:hAnsi="Palatino Linotype" w:cs="Palatino Linotype"/>
          <w:i/>
          <w:color w:val="222222"/>
          <w:sz w:val="22"/>
          <w:szCs w:val="22"/>
        </w:rPr>
        <w:t>…”</w:t>
      </w:r>
    </w:p>
    <w:p w:rsidR="007E2F05" w:rsidRDefault="00AE79DA">
      <w:pPr>
        <w:shd w:val="clear" w:color="auto" w:fill="FFFFFF"/>
        <w:spacing w:before="240" w:after="240"/>
        <w:ind w:left="851"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“Artículo 59.</w:t>
      </w:r>
      <w:r>
        <w:rPr>
          <w:rFonts w:ascii="Palatino Linotype" w:eastAsia="Palatino Linotype" w:hAnsi="Palatino Linotype" w:cs="Palatino Linotype"/>
          <w:i/>
          <w:color w:val="222222"/>
          <w:sz w:val="22"/>
          <w:szCs w:val="22"/>
        </w:rPr>
        <w:t> Los </w:t>
      </w:r>
      <w:r>
        <w:rPr>
          <w:rFonts w:ascii="Palatino Linotype" w:eastAsia="Palatino Linotype" w:hAnsi="Palatino Linotype" w:cs="Palatino Linotype"/>
          <w:b/>
          <w:i/>
          <w:color w:val="222222"/>
          <w:sz w:val="22"/>
          <w:szCs w:val="22"/>
        </w:rPr>
        <w:t>servidores públicos habilitados</w:t>
      </w:r>
      <w:r>
        <w:rPr>
          <w:rFonts w:ascii="Palatino Linotype" w:eastAsia="Palatino Linotype" w:hAnsi="Palatino Linotype" w:cs="Palatino Linotype"/>
          <w:i/>
          <w:color w:val="222222"/>
          <w:sz w:val="22"/>
          <w:szCs w:val="22"/>
        </w:rPr>
        <w:t> tendrán las </w:t>
      </w:r>
      <w:r>
        <w:rPr>
          <w:rFonts w:ascii="Palatino Linotype" w:eastAsia="Palatino Linotype" w:hAnsi="Palatino Linotype" w:cs="Palatino Linotype"/>
          <w:b/>
          <w:i/>
          <w:color w:val="222222"/>
          <w:sz w:val="22"/>
          <w:szCs w:val="22"/>
        </w:rPr>
        <w:t>funciones</w:t>
      </w:r>
      <w:r>
        <w:rPr>
          <w:rFonts w:ascii="Palatino Linotype" w:eastAsia="Palatino Linotype" w:hAnsi="Palatino Linotype" w:cs="Palatino Linotype"/>
          <w:i/>
          <w:color w:val="222222"/>
          <w:sz w:val="22"/>
          <w:szCs w:val="22"/>
        </w:rPr>
        <w:t> siguientes:</w:t>
      </w:r>
    </w:p>
    <w:p w:rsidR="007E2F05" w:rsidRDefault="00AE79DA">
      <w:pPr>
        <w:shd w:val="clear" w:color="auto" w:fill="FFFFFF"/>
        <w:spacing w:before="240" w:after="240"/>
        <w:ind w:left="851" w:right="851"/>
        <w:jc w:val="both"/>
        <w:rPr>
          <w:rFonts w:ascii="Arial" w:eastAsia="Arial" w:hAnsi="Arial" w:cs="Arial"/>
          <w:color w:val="222222"/>
        </w:rPr>
      </w:pPr>
      <w:r>
        <w:rPr>
          <w:rFonts w:ascii="Palatino Linotype" w:eastAsia="Palatino Linotype" w:hAnsi="Palatino Linotype" w:cs="Palatino Linotype"/>
          <w:b/>
          <w:i/>
          <w:color w:val="222222"/>
          <w:sz w:val="22"/>
          <w:szCs w:val="22"/>
        </w:rPr>
        <w:t>…</w:t>
      </w:r>
    </w:p>
    <w:p w:rsidR="007E2F05" w:rsidRDefault="00AE79DA">
      <w:pPr>
        <w:shd w:val="clear" w:color="auto" w:fill="FFFFFF"/>
        <w:spacing w:before="240" w:after="240"/>
        <w:ind w:left="851" w:right="851"/>
        <w:jc w:val="both"/>
        <w:rPr>
          <w:rFonts w:ascii="Arial" w:eastAsia="Arial" w:hAnsi="Arial" w:cs="Arial"/>
          <w:color w:val="222222"/>
        </w:rPr>
      </w:pPr>
      <w:r>
        <w:rPr>
          <w:rFonts w:ascii="Palatino Linotype" w:eastAsia="Palatino Linotype" w:hAnsi="Palatino Linotype" w:cs="Palatino Linotype"/>
          <w:b/>
          <w:i/>
          <w:color w:val="222222"/>
          <w:sz w:val="22"/>
          <w:szCs w:val="22"/>
        </w:rPr>
        <w:t>V. Integrar y presentar al responsable de la Unidad de Transparencia la propuesta de clasificación de información</w:t>
      </w:r>
      <w:r>
        <w:rPr>
          <w:rFonts w:ascii="Palatino Linotype" w:eastAsia="Palatino Linotype" w:hAnsi="Palatino Linotype" w:cs="Palatino Linotype"/>
          <w:i/>
          <w:color w:val="222222"/>
          <w:sz w:val="22"/>
          <w:szCs w:val="22"/>
        </w:rPr>
        <w:t>, la cual tendrá los fundamentos y argumentos en que se basa dicha propuesta…” (Sic).</w:t>
      </w:r>
    </w:p>
    <w:p w:rsidR="007E2F05" w:rsidRDefault="00AE79DA">
      <w:pPr>
        <w:shd w:val="clear" w:color="auto" w:fill="FFFFFF"/>
        <w:spacing w:before="240" w:after="240" w:line="360" w:lineRule="auto"/>
        <w:jc w:val="both"/>
        <w:rPr>
          <w:rFonts w:ascii="Arial" w:eastAsia="Arial" w:hAnsi="Arial" w:cs="Arial"/>
          <w:color w:val="222222"/>
        </w:rPr>
      </w:pPr>
      <w:r>
        <w:rPr>
          <w:rFonts w:ascii="Palatino Linotype" w:eastAsia="Palatino Linotype" w:hAnsi="Palatino Linotype" w:cs="Palatino Linotype"/>
          <w:color w:val="222222"/>
        </w:rPr>
        <w:t xml:space="preserve">Denotándose de dichos elementos normativos que el determinar la clasificación de la información es un trabajo en conjunto; tanto de los Servidores Públicos Habilitados, de las Unidades de Transparencia y del Comité de Transparencia del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teniendo el deber los primeros de ellos de presentar ante la Unidad de Transparencia la propuesta de la clasificación de la información, para que luego ésta presente ante al Comité de Transparencia, de así resultar procedente, el </w:t>
      </w:r>
      <w:r>
        <w:rPr>
          <w:rFonts w:ascii="Palatino Linotype" w:eastAsia="Palatino Linotype" w:hAnsi="Palatino Linotype" w:cs="Palatino Linotype"/>
          <w:color w:val="222222"/>
        </w:rPr>
        <w:lastRenderedPageBreak/>
        <w:t>proyecto de clasificación de la información y finalmente sea éste último quien apruebe, modifique o revoque la clasificación de la información solicitada.</w:t>
      </w:r>
    </w:p>
    <w:p w:rsidR="007E2F05" w:rsidRDefault="00AE79DA">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 Para lo cual, a su vez, en el caso de información de carácter confidencial, se debe atender a lo que señala el artículo 149 de la Ley de Transparencia Local vigente, que se lee como sigue:</w:t>
      </w:r>
    </w:p>
    <w:p w:rsidR="007E2F05" w:rsidRDefault="00AE79DA">
      <w:pPr>
        <w:shd w:val="clear" w:color="auto" w:fill="FFFFFF"/>
        <w:spacing w:before="240" w:after="240" w:line="276" w:lineRule="auto"/>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Artículo 149.</w:t>
      </w:r>
      <w:r>
        <w:rPr>
          <w:rFonts w:ascii="Palatino Linotype" w:eastAsia="Palatino Linotype" w:hAnsi="Palatino Linotype" w:cs="Palatino Linotype"/>
          <w:i/>
          <w:color w:val="222222"/>
          <w:sz w:val="22"/>
          <w:szCs w:val="22"/>
        </w:rPr>
        <w:t> El </w:t>
      </w:r>
      <w:r>
        <w:rPr>
          <w:rFonts w:ascii="Palatino Linotype" w:eastAsia="Palatino Linotype" w:hAnsi="Palatino Linotype" w:cs="Palatino Linotype"/>
          <w:b/>
          <w:i/>
          <w:color w:val="222222"/>
          <w:sz w:val="22"/>
          <w:szCs w:val="22"/>
        </w:rPr>
        <w:t>acuerdo que clasifique la información como confidencial</w:t>
      </w:r>
      <w:r>
        <w:rPr>
          <w:rFonts w:ascii="Palatino Linotype" w:eastAsia="Palatino Linotype" w:hAnsi="Palatino Linotype" w:cs="Palatino Linotype"/>
          <w:i/>
          <w:color w:val="222222"/>
          <w:sz w:val="22"/>
          <w:szCs w:val="22"/>
        </w:rPr>
        <w:t> deberá contener un razonamiento lógico en el que demuestre que la información se encuentra en alguna o algunas de las hipótesis previstas en la presente Ley.” (Sic)</w:t>
      </w:r>
    </w:p>
    <w:p w:rsidR="007E2F05" w:rsidRDefault="00AE79DA">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 xml:space="preserve">Es decir,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7E2F05" w:rsidRDefault="00AE79DA">
      <w:pPr>
        <w:shd w:val="clear" w:color="auto" w:fill="FFFFFF"/>
        <w:spacing w:before="240" w:after="240" w:line="360" w:lineRule="auto"/>
        <w:jc w:val="both"/>
        <w:rPr>
          <w:rFonts w:ascii="Arial" w:eastAsia="Arial" w:hAnsi="Arial" w:cs="Arial"/>
          <w:color w:val="222222"/>
        </w:rPr>
      </w:pPr>
      <w:r>
        <w:rPr>
          <w:rFonts w:ascii="Palatino Linotype" w:eastAsia="Palatino Linotype" w:hAnsi="Palatino Linotype" w:cs="Palatino Linotype"/>
          <w:color w:val="222222"/>
        </w:rPr>
        <w:t xml:space="preserve">Al respecto, se destaca que la versión pública que elabore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debe cumplir con las formalidades exigidas en la Ley; es decir, resulta necesario que el Comité de Transparencia del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w:t>
      </w:r>
      <w:r>
        <w:rPr>
          <w:rFonts w:ascii="Palatino Linotype" w:eastAsia="Palatino Linotype" w:hAnsi="Palatino Linotype" w:cs="Palatino Linotype"/>
          <w:color w:val="222222"/>
        </w:rPr>
        <w:lastRenderedPageBreak/>
        <w:t>y Municipios, ya expuesto; así como con los numerales aplicables de los </w:t>
      </w:r>
      <w:r>
        <w:rPr>
          <w:rFonts w:ascii="Palatino Linotype" w:eastAsia="Palatino Linotype" w:hAnsi="Palatino Linotype" w:cs="Palatino Linotype"/>
          <w:b/>
          <w:color w:val="222222"/>
        </w:rPr>
        <w:t>LINEAMIENTOS GENERALES EN MATERIA DE CLASIFICACIÓN Y DESCLASIFICACIÓN DE LA INFORMACIÓN, ASÍ COMO PARA LA ELABORACIÓN DE VERSIONES PÚBLICAS</w:t>
      </w:r>
      <w:r>
        <w:rPr>
          <w:rFonts w:ascii="Palatino Linotype" w:eastAsia="Palatino Linotype" w:hAnsi="Palatino Linotype" w:cs="Palatino Linotype"/>
          <w:color w:val="222222"/>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rPr>
        <w:t>Lineamientos Generales en materia de Clasificación y Desclasificación de la Información, así como para la elaboración de Versiones Públicas</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Segundo.-</w:t>
      </w:r>
      <w:r>
        <w:rPr>
          <w:rFonts w:ascii="Palatino Linotype" w:eastAsia="Palatino Linotype" w:hAnsi="Palatino Linotype" w:cs="Palatino Linotype"/>
          <w:i/>
          <w:color w:val="222222"/>
          <w:sz w:val="22"/>
          <w:szCs w:val="22"/>
        </w:rPr>
        <w:t> Para efectos de los presentes Lineamientos Generales, se entenderá por:</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rPr>
        <w:t>XVIII.</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b/>
          <w:i/>
          <w:color w:val="222222"/>
          <w:sz w:val="22"/>
          <w:szCs w:val="22"/>
        </w:rPr>
        <w:t>Versión pública:</w:t>
      </w:r>
      <w:r>
        <w:rPr>
          <w:rFonts w:ascii="Palatino Linotype" w:eastAsia="Palatino Linotype" w:hAnsi="Palatino Linotype" w:cs="Palatino Linotype"/>
          <w:i/>
          <w:color w:val="222222"/>
          <w:sz w:val="22"/>
          <w:szCs w:val="22"/>
        </w:rPr>
        <w:t>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color w:val="222222"/>
          <w:sz w:val="22"/>
          <w:szCs w:val="22"/>
          <w:u w:val="single"/>
        </w:rPr>
        <w:t>fundando y motivando la</w:t>
      </w:r>
      <w:r>
        <w:rPr>
          <w:rFonts w:ascii="Palatino Linotype" w:eastAsia="Palatino Linotype" w:hAnsi="Palatino Linotype" w:cs="Palatino Linotype"/>
          <w:i/>
          <w:color w:val="222222"/>
          <w:sz w:val="22"/>
          <w:szCs w:val="22"/>
        </w:rPr>
        <w:t> reserva o </w:t>
      </w:r>
      <w:r>
        <w:rPr>
          <w:rFonts w:ascii="Palatino Linotype" w:eastAsia="Palatino Linotype" w:hAnsi="Palatino Linotype" w:cs="Palatino Linotype"/>
          <w:b/>
          <w:i/>
          <w:color w:val="222222"/>
          <w:sz w:val="22"/>
          <w:szCs w:val="22"/>
          <w:u w:val="single"/>
        </w:rPr>
        <w:t>confidencialidad</w:t>
      </w:r>
      <w:r>
        <w:rPr>
          <w:rFonts w:ascii="Palatino Linotype" w:eastAsia="Palatino Linotype" w:hAnsi="Palatino Linotype" w:cs="Palatino Linotype"/>
          <w:i/>
          <w:color w:val="222222"/>
          <w:sz w:val="22"/>
          <w:szCs w:val="22"/>
        </w:rPr>
        <w:t>, a través de la resolución que para tal efecto emita el Comité de Transparencia.</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rPr>
        <w:t>Cuarto.</w:t>
      </w:r>
      <w:r>
        <w:rPr>
          <w:rFonts w:ascii="Palatino Linotype" w:eastAsia="Palatino Linotype" w:hAnsi="Palatino Linotype" w:cs="Palatino Linotype"/>
          <w:i/>
          <w:color w:val="222222"/>
          <w:sz w:val="22"/>
          <w:szCs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Los sujetos obligados deberán aplicar, de manera estricta, las excepciones al derecho de acceso a la información y sólo podrán invocarlas cuando acrediten su procedencia.</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rPr>
        <w:t>Quinto.</w:t>
      </w:r>
      <w:r>
        <w:rPr>
          <w:rFonts w:ascii="Palatino Linotype" w:eastAsia="Palatino Linotype" w:hAnsi="Palatino Linotype" w:cs="Palatino Linotype"/>
          <w:i/>
          <w:color w:val="222222"/>
          <w:sz w:val="22"/>
          <w:szCs w:val="22"/>
        </w:rPr>
        <w:t xml:space="preserve"> La carga de la prueba para justificar toda negativa de acceso a la información, por actualizarse cualquiera de los supuestos de clasificación </w:t>
      </w:r>
      <w:r>
        <w:rPr>
          <w:rFonts w:ascii="Palatino Linotype" w:eastAsia="Palatino Linotype" w:hAnsi="Palatino Linotype" w:cs="Palatino Linotype"/>
          <w:i/>
          <w:color w:val="222222"/>
          <w:sz w:val="22"/>
          <w:szCs w:val="22"/>
        </w:rPr>
        <w:lastRenderedPageBreak/>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rPr>
        <w:t>Sexto.</w:t>
      </w:r>
      <w:r>
        <w:rPr>
          <w:rFonts w:ascii="Palatino Linotype" w:eastAsia="Palatino Linotype" w:hAnsi="Palatino Linotype" w:cs="Palatino Linotype"/>
          <w:i/>
          <w:color w:val="222222"/>
          <w:sz w:val="22"/>
          <w:szCs w:val="22"/>
        </w:rPr>
        <w:t> Los sujetos obligados no podrán emitir acuerdos de carácter general ni particular que clasifiquen documentos o expedientes como reservados, ni clasificar documentos antes de que se genere la información o cuando éstos no obren en sus archivos.</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La clasificación de información se realizará conforme a un análisis caso por caso, mediante la aplicación de la prueba de daño y de interés público.</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rPr>
        <w:t>Séptimo.</w:t>
      </w:r>
      <w:r>
        <w:rPr>
          <w:rFonts w:ascii="Palatino Linotype" w:eastAsia="Palatino Linotype" w:hAnsi="Palatino Linotype" w:cs="Palatino Linotype"/>
          <w:i/>
          <w:color w:val="222222"/>
          <w:sz w:val="22"/>
          <w:szCs w:val="22"/>
        </w:rPr>
        <w:t> La clasificación de la información se llevará a cabo en el momento en que:</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rPr>
        <w:t>I.</w:t>
      </w:r>
      <w:r>
        <w:rPr>
          <w:rFonts w:ascii="Palatino Linotype" w:eastAsia="Palatino Linotype" w:hAnsi="Palatino Linotype" w:cs="Palatino Linotype"/>
          <w:i/>
          <w:color w:val="222222"/>
          <w:sz w:val="22"/>
          <w:szCs w:val="22"/>
        </w:rPr>
        <w:t> Se reciba una solicitud de acceso a la información;</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rPr>
        <w:t>II.</w:t>
      </w:r>
      <w:r>
        <w:rPr>
          <w:rFonts w:ascii="Palatino Linotype" w:eastAsia="Palatino Linotype" w:hAnsi="Palatino Linotype" w:cs="Palatino Linotype"/>
          <w:i/>
          <w:color w:val="222222"/>
          <w:sz w:val="22"/>
          <w:szCs w:val="22"/>
        </w:rPr>
        <w:t> Se determine mediante resolución de autoridad competente, o</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rPr>
        <w:t>III.</w:t>
      </w:r>
      <w:r>
        <w:rPr>
          <w:rFonts w:ascii="Palatino Linotype" w:eastAsia="Palatino Linotype" w:hAnsi="Palatino Linotype" w:cs="Palatino Linotype"/>
          <w:i/>
          <w:color w:val="222222"/>
          <w:sz w:val="22"/>
          <w:szCs w:val="22"/>
        </w:rPr>
        <w:t> Se generen versiones públicas para dar cumplimiento a las obligaciones de transparencia previstas en la Ley General, la Ley Federal y las correspondientes de las entidades federativas.</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Los titulares de las áreas deberán revisar la clasificación al momento de la recepción de una solicitud de acceso a la información, para verificar si encuadra en una causal de reserva o de confidencialidad.</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rPr>
        <w:t>Octavo.</w:t>
      </w:r>
      <w:r>
        <w:rPr>
          <w:rFonts w:ascii="Palatino Linotype" w:eastAsia="Palatino Linotype" w:hAnsi="Palatino Linotype" w:cs="Palatino Linotype"/>
          <w:i/>
          <w:color w:val="222222"/>
          <w:sz w:val="22"/>
          <w:szCs w:val="22"/>
        </w:rPr>
        <w:t> Para fundar la clasificación de la información se debe señalar el artículo, fracción, inciso, párrafo o numeral de la ley o tratado internacional suscrito por el Estado mexicano que expresamente le otorga el carácter de reservada o confidencial.</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En caso de referirse a información reservada, la motivación de la clasificación también deberá comprender las circunstancias que justifican el establecimiento de determinado plazo de reserva.</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Los documentos contenidos en los archivos históricos y los identificados como históricos confidenciales no serán susceptibles de clasificación como reservados.</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rPr>
        <w:t>Noveno.</w:t>
      </w:r>
      <w:r>
        <w:rPr>
          <w:rFonts w:ascii="Palatino Linotype" w:eastAsia="Palatino Linotype" w:hAnsi="Palatino Linotype" w:cs="Palatino Linotype"/>
          <w:i/>
          <w:color w:val="222222"/>
          <w:sz w:val="22"/>
          <w:szCs w:val="22"/>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rPr>
        <w:t>Décimo.</w:t>
      </w:r>
      <w:r>
        <w:rPr>
          <w:rFonts w:ascii="Palatino Linotype" w:eastAsia="Palatino Linotype" w:hAnsi="Palatino Linotype" w:cs="Palatino Linotype"/>
          <w:i/>
          <w:color w:val="222222"/>
          <w:sz w:val="22"/>
          <w:szCs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En ausencia de los titulares de las áreas, la información será clasificada o desclasificada por la persona que lo supla, en términos de la normativa que rija la actuación del sujeto obligado.</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rPr>
        <w:t>Décimo primero.</w:t>
      </w:r>
      <w:r>
        <w:rPr>
          <w:rFonts w:ascii="Palatino Linotype" w:eastAsia="Palatino Linotype" w:hAnsi="Palatino Linotype" w:cs="Palatino Linotype"/>
          <w:i/>
          <w:color w:val="222222"/>
          <w:sz w:val="22"/>
          <w:szCs w:val="22"/>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lastRenderedPageBreak/>
        <w:t>…</w:t>
      </w:r>
    </w:p>
    <w:p w:rsidR="007E2F05" w:rsidRDefault="00AE79DA">
      <w:pPr>
        <w:shd w:val="clear" w:color="auto" w:fill="FFFFFF"/>
        <w:spacing w:before="240" w:after="240" w:line="276" w:lineRule="auto"/>
        <w:ind w:left="851" w:right="851"/>
        <w:jc w:val="center"/>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rPr>
        <w:t>CAPÍTULO VIII</w:t>
      </w:r>
    </w:p>
    <w:p w:rsidR="007E2F05" w:rsidRDefault="00AE79DA">
      <w:pPr>
        <w:shd w:val="clear" w:color="auto" w:fill="FFFFFF"/>
        <w:spacing w:before="240" w:after="240" w:line="276" w:lineRule="auto"/>
        <w:ind w:left="851" w:right="851"/>
        <w:jc w:val="center"/>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rPr>
        <w:t>DE LA LEYENDA DE CLASIFICACIÓN</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rPr>
        <w:t>Quincuagésimo. </w:t>
      </w:r>
      <w:r>
        <w:rPr>
          <w:rFonts w:ascii="Palatino Linotype" w:eastAsia="Palatino Linotype" w:hAnsi="Palatino Linotype" w:cs="Palatino Linotype"/>
          <w:b/>
          <w:i/>
          <w:color w:val="222222"/>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color w:val="222222"/>
          <w:sz w:val="22"/>
          <w:szCs w:val="22"/>
        </w:rPr>
        <w:t> para señalar la clasificación de documentos o expedientes, sin perjuicio de que establezcan los propios.</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w:t>
      </w:r>
    </w:p>
    <w:p w:rsidR="007E2F05" w:rsidRDefault="00AE79DA">
      <w:pPr>
        <w:shd w:val="clear" w:color="auto" w:fill="FFFFFF"/>
        <w:spacing w:before="240" w:after="24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rPr>
        <w:t>Quincuagésimo tercero. </w:t>
      </w:r>
      <w:r>
        <w:rPr>
          <w:rFonts w:ascii="Palatino Linotype" w:eastAsia="Palatino Linotype" w:hAnsi="Palatino Linotype" w:cs="Palatino Linotype"/>
          <w:b/>
          <w:i/>
          <w:color w:val="222222"/>
          <w:sz w:val="22"/>
          <w:szCs w:val="22"/>
          <w:u w:val="single"/>
        </w:rPr>
        <w:t>El formato para señalar la clasificación parcial de un documento</w:t>
      </w:r>
      <w:r>
        <w:rPr>
          <w:rFonts w:ascii="Palatino Linotype" w:eastAsia="Palatino Linotype" w:hAnsi="Palatino Linotype" w:cs="Palatino Linotype"/>
          <w:i/>
          <w:color w:val="222222"/>
          <w:sz w:val="22"/>
          <w:szCs w:val="22"/>
        </w:rPr>
        <w:t>, es el siguiente:</w:t>
      </w:r>
    </w:p>
    <w:p w:rsidR="007E2F05" w:rsidRDefault="00AE79DA">
      <w:pPr>
        <w:shd w:val="clear" w:color="auto" w:fill="FFFFFF"/>
        <w:spacing w:before="240" w:after="240" w:line="276" w:lineRule="auto"/>
        <w:ind w:left="709" w:right="709"/>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 </w:t>
      </w:r>
    </w:p>
    <w:tbl>
      <w:tblPr>
        <w:tblStyle w:val="a1"/>
        <w:tblW w:w="7650" w:type="dxa"/>
        <w:jc w:val="center"/>
        <w:tblInd w:w="0" w:type="dxa"/>
        <w:tblLayout w:type="fixed"/>
        <w:tblLook w:val="0400" w:firstRow="0" w:lastRow="0" w:firstColumn="0" w:lastColumn="0" w:noHBand="0" w:noVBand="1"/>
      </w:tblPr>
      <w:tblGrid>
        <w:gridCol w:w="1129"/>
        <w:gridCol w:w="1990"/>
        <w:gridCol w:w="4531"/>
      </w:tblGrid>
      <w:tr w:rsidR="007E2F05">
        <w:trPr>
          <w:jc w:val="center"/>
        </w:trPr>
        <w:tc>
          <w:tcPr>
            <w:tcW w:w="1129" w:type="dxa"/>
            <w:tcBorders>
              <w:top w:val="nil"/>
              <w:left w:val="nil"/>
              <w:bottom w:val="single" w:sz="8" w:space="0" w:color="000000"/>
              <w:right w:val="single" w:sz="8" w:space="0" w:color="000000"/>
            </w:tcBorders>
            <w:tcMar>
              <w:top w:w="0" w:type="dxa"/>
              <w:left w:w="108" w:type="dxa"/>
              <w:bottom w:w="0" w:type="dxa"/>
              <w:right w:w="108" w:type="dxa"/>
            </w:tcMar>
          </w:tcPr>
          <w:p w:rsidR="007E2F05" w:rsidRDefault="00AE79DA">
            <w:pPr>
              <w:spacing w:before="240" w:after="240"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w:t>
            </w:r>
          </w:p>
        </w:tc>
        <w:tc>
          <w:tcPr>
            <w:tcW w:w="199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7E2F05" w:rsidRDefault="00AE79DA">
            <w:pPr>
              <w:spacing w:before="240" w:after="240" w:line="276"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Concepto</w:t>
            </w:r>
          </w:p>
        </w:tc>
        <w:tc>
          <w:tcPr>
            <w:tcW w:w="453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7E2F05" w:rsidRDefault="00AE79DA">
            <w:pPr>
              <w:spacing w:before="240" w:after="240" w:line="276"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Dónde:</w:t>
            </w:r>
          </w:p>
        </w:tc>
      </w:tr>
      <w:tr w:rsidR="007E2F05">
        <w:trPr>
          <w:jc w:val="center"/>
        </w:trPr>
        <w:tc>
          <w:tcPr>
            <w:tcW w:w="112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2F05" w:rsidRDefault="00AE79DA">
            <w:pPr>
              <w:spacing w:before="240" w:after="240" w:line="276"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Sello oficial o logotipo del sujeto obligado</w:t>
            </w: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rsidR="007E2F05" w:rsidRDefault="00AE79DA">
            <w:pPr>
              <w:spacing w:before="240" w:after="240" w:line="276"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Fecha de clasificación</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rsidR="007E2F05" w:rsidRDefault="00AE79DA">
            <w:pPr>
              <w:spacing w:before="240" w:after="240"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Se anotará la fecha en la que el Comité de Transparencia confirmó la clasificación del documento, en su caso.</w:t>
            </w:r>
          </w:p>
        </w:tc>
      </w:tr>
      <w:tr w:rsidR="007E2F05">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2F05" w:rsidRDefault="007E2F05">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rsidR="007E2F05" w:rsidRDefault="00AE79DA">
            <w:pPr>
              <w:spacing w:before="240" w:after="240" w:line="276"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Área</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rsidR="007E2F05" w:rsidRDefault="00AE79DA">
            <w:pPr>
              <w:spacing w:before="240" w:after="240"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Se señalará el nombre del área del cual es titular quien clasifica.</w:t>
            </w:r>
          </w:p>
        </w:tc>
      </w:tr>
      <w:tr w:rsidR="007E2F05">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2F05" w:rsidRDefault="007E2F05">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rsidR="007E2F05" w:rsidRDefault="00AE79DA">
            <w:pPr>
              <w:spacing w:before="240" w:after="240" w:line="276"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Información reservada</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rsidR="007E2F05" w:rsidRDefault="00AE79DA">
            <w:pPr>
              <w:spacing w:before="240" w:after="240"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7E2F05">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2F05" w:rsidRDefault="007E2F05">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rsidR="007E2F05" w:rsidRDefault="00AE79DA">
            <w:pPr>
              <w:spacing w:before="240" w:after="240" w:line="276"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Periodo de reserva</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rsidR="007E2F05" w:rsidRDefault="00AE79DA">
            <w:pPr>
              <w:spacing w:before="240" w:after="240"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Se anotará el número de años o meses por los que se mantendrá el documento o las partes del mismo como reservado.</w:t>
            </w:r>
          </w:p>
        </w:tc>
      </w:tr>
      <w:tr w:rsidR="007E2F05">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2F05" w:rsidRDefault="007E2F05">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rsidR="007E2F05" w:rsidRDefault="00AE79DA">
            <w:pPr>
              <w:spacing w:before="240" w:after="240" w:line="276"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Fundamento legal</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rsidR="007E2F05" w:rsidRDefault="00AE79DA">
            <w:pPr>
              <w:spacing w:before="240" w:after="240"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Se señalará el nombre del ordenamiento, el o los artículos, fracción(es), párrafo(s) con base en los cuales se sustente la reserva.</w:t>
            </w:r>
          </w:p>
        </w:tc>
      </w:tr>
      <w:tr w:rsidR="007E2F05">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2F05" w:rsidRDefault="007E2F05">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rsidR="007E2F05" w:rsidRDefault="00AE79DA">
            <w:pPr>
              <w:spacing w:before="240" w:after="240" w:line="276"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Ampliación del periodo de reserva</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rsidR="007E2F05" w:rsidRDefault="00AE79DA">
            <w:pPr>
              <w:spacing w:before="240" w:after="240"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En caso de haber solicitado la ampliación del periodo de reserva originalmente establecido, se deberá anotar el número de años o meses por los que se amplía la reserva.</w:t>
            </w:r>
          </w:p>
        </w:tc>
      </w:tr>
      <w:tr w:rsidR="007E2F05">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2F05" w:rsidRDefault="007E2F05">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rsidR="007E2F05" w:rsidRDefault="00AE79DA">
            <w:pPr>
              <w:spacing w:before="240" w:after="240" w:line="276"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Confidencial</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rsidR="007E2F05" w:rsidRDefault="00AE79DA">
            <w:pPr>
              <w:spacing w:before="240" w:after="240"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7E2F05">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2F05" w:rsidRDefault="007E2F05">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rsidR="007E2F05" w:rsidRDefault="00AE79DA">
            <w:pPr>
              <w:spacing w:before="240" w:after="240" w:line="276"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Fundamento legal</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rsidR="007E2F05" w:rsidRDefault="00AE79DA">
            <w:pPr>
              <w:spacing w:before="240" w:after="240"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Se señalará el nombre del ordenamiento, el o los artículos, fracción(es), párrafo(s) con base en los cuales se sustente la confidencialidad.</w:t>
            </w:r>
          </w:p>
        </w:tc>
      </w:tr>
      <w:tr w:rsidR="007E2F05">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2F05" w:rsidRDefault="007E2F05">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rsidR="007E2F05" w:rsidRDefault="00AE79DA">
            <w:pPr>
              <w:spacing w:before="240" w:after="240" w:line="276"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Rúbrica del titular del área</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rsidR="007E2F05" w:rsidRDefault="00AE79DA">
            <w:pPr>
              <w:spacing w:before="240" w:after="240"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Rúbrica autógrafa de quien clasifica.</w:t>
            </w:r>
          </w:p>
        </w:tc>
      </w:tr>
      <w:tr w:rsidR="007E2F05">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2F05" w:rsidRDefault="007E2F05">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rsidR="007E2F05" w:rsidRDefault="00AE79DA">
            <w:pPr>
              <w:spacing w:before="240" w:after="240" w:line="276"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Fecha de desclasificación</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rsidR="007E2F05" w:rsidRDefault="00AE79DA">
            <w:pPr>
              <w:spacing w:before="240" w:after="240"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Se anotará la fecha en que se desclasifica el documento.</w:t>
            </w:r>
          </w:p>
        </w:tc>
      </w:tr>
      <w:tr w:rsidR="007E2F05">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2F05" w:rsidRDefault="007E2F05">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rsidR="007E2F05" w:rsidRDefault="00AE79DA">
            <w:pPr>
              <w:spacing w:before="240" w:after="240" w:line="276"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Rúbrica y cargo del servidor público</w:t>
            </w:r>
          </w:p>
        </w:tc>
        <w:tc>
          <w:tcPr>
            <w:tcW w:w="4531"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E2F05" w:rsidRDefault="00AE79DA">
            <w:pPr>
              <w:spacing w:before="240" w:after="240" w:line="276" w:lineRule="auto"/>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Rúbrica autógrafa de quien desclasifica.</w:t>
            </w:r>
          </w:p>
        </w:tc>
      </w:tr>
    </w:tbl>
    <w:p w:rsidR="007E2F05" w:rsidRDefault="00AE79DA">
      <w:pPr>
        <w:shd w:val="clear" w:color="auto" w:fill="FFFFFF"/>
        <w:spacing w:before="240" w:after="240" w:line="360" w:lineRule="auto"/>
        <w:jc w:val="both"/>
        <w:rPr>
          <w:rFonts w:ascii="Arial" w:eastAsia="Arial" w:hAnsi="Arial" w:cs="Arial"/>
          <w:color w:val="222222"/>
        </w:rPr>
      </w:pPr>
      <w:r>
        <w:rPr>
          <w:rFonts w:ascii="Palatino Linotype" w:eastAsia="Palatino Linotype" w:hAnsi="Palatino Linotype" w:cs="Palatino Linotype"/>
          <w:color w:val="222222"/>
        </w:rPr>
        <w:t>Efectivamente, cuando se clasifica información como confidencial es importante someterlo al Comité de Transparencia, quien debe confirmar, modificar o revocar la clasificación.</w:t>
      </w:r>
    </w:p>
    <w:p w:rsidR="007E2F05" w:rsidRDefault="00AE79DA">
      <w:pPr>
        <w:shd w:val="clear" w:color="auto" w:fill="FFFFFF"/>
        <w:spacing w:before="240" w:after="240" w:line="360" w:lineRule="auto"/>
        <w:jc w:val="both"/>
        <w:rPr>
          <w:rFonts w:ascii="Arial" w:eastAsia="Arial" w:hAnsi="Arial" w:cs="Arial"/>
          <w:color w:val="222222"/>
        </w:rPr>
      </w:pPr>
      <w:r>
        <w:rPr>
          <w:rFonts w:ascii="Palatino Linotype" w:eastAsia="Palatino Linotype" w:hAnsi="Palatino Linotype" w:cs="Palatino Linotype"/>
          <w:color w:val="222222"/>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a testar, suprimir o eliminar datos de dicho soporte documental, por lo que el Acuerdo respectivo, deberá hacerse del conocimiento del Recurrente.</w:t>
      </w:r>
    </w:p>
    <w:p w:rsidR="007E2F05" w:rsidRDefault="00AE79DA">
      <w:pPr>
        <w:shd w:val="clear" w:color="auto" w:fill="FFFFFF"/>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particulares que no tengan que ver con la rendición de cuentas públicas.</w:t>
      </w:r>
    </w:p>
    <w:p w:rsidR="007E2F05" w:rsidRDefault="00AE79DA">
      <w:pPr>
        <w:widowControl w:val="0"/>
        <w:pBdr>
          <w:top w:val="nil"/>
          <w:left w:val="nil"/>
          <w:bottom w:val="nil"/>
          <w:right w:val="nil"/>
          <w:between w:val="nil"/>
        </w:pBdr>
        <w:tabs>
          <w:tab w:val="left" w:pos="1701"/>
          <w:tab w:val="left" w:pos="1843"/>
        </w:tabs>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mérito de las consideraciones de hecho y de derecho, señaladas en párrafos anteriores, con fundamento en el artículo 186, fracción III, de la Ley de Transparencia y Acceso a la Información Pública del Estado de México y Municipios; ésta Autoridad estima que las razones o motivos de inconformidad hechos valer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resultan fundadas; por lo que, lo procedente es </w:t>
      </w:r>
      <w:r>
        <w:rPr>
          <w:rFonts w:ascii="Palatino Linotype" w:eastAsia="Palatino Linotype" w:hAnsi="Palatino Linotype" w:cs="Palatino Linotype"/>
          <w:b/>
          <w:color w:val="000000"/>
        </w:rPr>
        <w:t>MODIFICAR</w:t>
      </w:r>
      <w:r>
        <w:rPr>
          <w:rFonts w:ascii="Palatino Linotype" w:eastAsia="Palatino Linotype" w:hAnsi="Palatino Linotype" w:cs="Palatino Linotype"/>
          <w:color w:val="000000"/>
        </w:rPr>
        <w:t xml:space="preserve">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p>
    <w:p w:rsidR="007E2F05" w:rsidRDefault="00AE79DA" w:rsidP="00AE79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anteriormente expuesto y con fundamento en lo prescrito en los artículos 5 párrafos, trigésimo, trigésimo primero y trigésimo segundo de la Constitución Política del Estado Libre y Soberano de México; 2, fracción II; 29, 36 fracciones I y II; 176, 178, 181, 185 y 186 fracción III de la Ley de Transparencia y Acceso a la Información Pública del Estado de México y Municipios, este Pleno:</w:t>
      </w:r>
    </w:p>
    <w:p w:rsidR="007E2F05" w:rsidRDefault="00AE79DA">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RESUELVE</w:t>
      </w:r>
    </w:p>
    <w:p w:rsidR="007E2F05" w:rsidRDefault="00AE79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fundadas</w:t>
      </w:r>
      <w:r>
        <w:rPr>
          <w:rFonts w:ascii="Palatino Linotype" w:eastAsia="Palatino Linotype" w:hAnsi="Palatino Linotype" w:cs="Palatino Linotype"/>
        </w:rPr>
        <w:t xml:space="preserve"> las razones o motivos de inconformidad hechos valer por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00354/INFOEM/IP/RR/2022</w:t>
      </w:r>
      <w:r>
        <w:rPr>
          <w:rFonts w:ascii="Palatino Linotype" w:eastAsia="Palatino Linotype" w:hAnsi="Palatino Linotype" w:cs="Palatino Linotype"/>
        </w:rPr>
        <w:t xml:space="preserve">; 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7E2F05" w:rsidRDefault="00AE79D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Segundo</w:t>
      </w:r>
      <w:r>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 en términos de los </w:t>
      </w:r>
      <w:r>
        <w:rPr>
          <w:rFonts w:ascii="Palatino Linotype" w:eastAsia="Palatino Linotype" w:hAnsi="Palatino Linotype" w:cs="Palatino Linotype"/>
          <w:b/>
        </w:rPr>
        <w:t>Considerandos Cuarto</w:t>
      </w:r>
      <w:r>
        <w:rPr>
          <w:rFonts w:ascii="Palatino Linotype" w:eastAsia="Palatino Linotype" w:hAnsi="Palatino Linotype" w:cs="Palatino Linotype"/>
        </w:rPr>
        <w:t xml:space="preserve"> y </w:t>
      </w:r>
      <w:r>
        <w:rPr>
          <w:rFonts w:ascii="Palatino Linotype" w:eastAsia="Palatino Linotype" w:hAnsi="Palatino Linotype" w:cs="Palatino Linotype"/>
          <w:b/>
        </w:rPr>
        <w:t xml:space="preserve">Quinto </w:t>
      </w:r>
      <w:r>
        <w:rPr>
          <w:rFonts w:ascii="Palatino Linotype" w:eastAsia="Palatino Linotype" w:hAnsi="Palatino Linotype" w:cs="Palatino Linotype"/>
        </w:rPr>
        <w:t>de esta resolución, haga entrega vía el Sistema de Acceso a la Información Mexiquense (SAIMEX), en la correcta versión pública, de lo siguiente:</w:t>
      </w:r>
    </w:p>
    <w:p w:rsidR="007E2F05" w:rsidRDefault="00AE79DA">
      <w:pPr>
        <w:numPr>
          <w:ilvl w:val="0"/>
          <w:numId w:val="3"/>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Los títulos profesionales de los servidores públicos, proporcionados en respuesta.</w:t>
      </w:r>
    </w:p>
    <w:p w:rsidR="007E2F05" w:rsidRDefault="00AE79DA">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rsidR="007E2F05" w:rsidRDefault="00AE79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b/>
          <w:i/>
        </w:rPr>
        <w:t xml:space="preserve"> </w:t>
      </w:r>
      <w:r>
        <w:rPr>
          <w:rFonts w:ascii="Palatino Linotype" w:eastAsia="Palatino Linotype" w:hAnsi="Palatino Linotype" w:cs="Palatino Linotype"/>
        </w:rPr>
        <w:t>al Titular de la Unidad de Transparencia del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vía Sistema de Acceso a la Información Mexiquense (SAIMEX),  para que conforme al artículo 186 último párrafo, 189 segundo párrafo y 194 de la Ley de Transparencia </w:t>
      </w:r>
      <w:r>
        <w:rPr>
          <w:rFonts w:ascii="Palatino Linotype" w:eastAsia="Palatino Linotype" w:hAnsi="Palatino Linotype" w:cs="Palatino Linotype"/>
        </w:rPr>
        <w:lastRenderedPageBreak/>
        <w:t>y Acceso a la Información Pública del Estado de México y Municipios; de cumplimiento a lo ordenado dentro del plazo de diez días hábiles, debiendo informar a este Instituto en un plazo de tres días hábiles siguientes sobre el cumplimiento dado a la presente resolución.</w:t>
      </w:r>
    </w:p>
    <w:p w:rsidR="007E2F05" w:rsidRDefault="00AE79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7E2F05" w:rsidRDefault="00AE79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rPr>
        <w:t xml:space="preserve">Notifíquese </w:t>
      </w:r>
      <w:r>
        <w:rPr>
          <w:rFonts w:ascii="Palatino Linotype" w:eastAsia="Palatino Linotype" w:hAnsi="Palatino Linotype" w:cs="Palatino Linotype"/>
        </w:rPr>
        <w:t xml:space="preserve">al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la presente resolución vía Sistema de Acceso a la Información Mexiquense (SAIMEX) y hágase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rsidR="007E2F05" w:rsidRDefault="00AE79DA">
      <w:pPr>
        <w:spacing w:before="240" w:after="240" w:line="360" w:lineRule="auto"/>
        <w:jc w:val="both"/>
        <w:rPr>
          <w:rFonts w:ascii="Palatino Linotype" w:eastAsia="Palatino Linotype" w:hAnsi="Palatino Linotype" w:cs="Palatino Linotype"/>
        </w:rPr>
        <w:sectPr w:rsidR="007E2F05">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NUEVE DE MARZO DE DOS MIL VEINTIUNO, ANTE EL SECRETARIO TÉCNICO DEL PLENO, ALEXIS TAPIA RAMÍREZ.</w:t>
      </w:r>
    </w:p>
    <w:p w:rsidR="007E2F05" w:rsidRDefault="007E2F05">
      <w:pPr>
        <w:spacing w:before="240" w:after="240" w:line="360" w:lineRule="auto"/>
      </w:pPr>
      <w:bookmarkStart w:id="2" w:name="_heading=h.30j0zll" w:colFirst="0" w:colLast="0"/>
      <w:bookmarkEnd w:id="2"/>
    </w:p>
    <w:sectPr w:rsidR="007E2F05">
      <w:headerReference w:type="first" r:id="rId22"/>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259" w:rsidRDefault="00AE79DA">
      <w:r>
        <w:separator/>
      </w:r>
    </w:p>
  </w:endnote>
  <w:endnote w:type="continuationSeparator" w:id="0">
    <w:p w:rsidR="00BC1259" w:rsidRDefault="00AE7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F05" w:rsidRDefault="00AE79D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47793">
      <w:rPr>
        <w:rFonts w:ascii="Arial" w:eastAsia="Arial" w:hAnsi="Arial" w:cs="Arial"/>
        <w:b/>
        <w:noProof/>
        <w:color w:val="000000"/>
        <w:sz w:val="20"/>
        <w:szCs w:val="20"/>
      </w:rPr>
      <w:t>47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47793">
      <w:rPr>
        <w:rFonts w:ascii="Arial" w:eastAsia="Arial" w:hAnsi="Arial" w:cs="Arial"/>
        <w:b/>
        <w:noProof/>
        <w:color w:val="000000"/>
        <w:sz w:val="20"/>
        <w:szCs w:val="20"/>
      </w:rPr>
      <w:t>48</w:t>
    </w:r>
    <w:r>
      <w:rPr>
        <w:rFonts w:ascii="Arial" w:eastAsia="Arial" w:hAnsi="Arial" w:cs="Arial"/>
        <w:b/>
        <w:color w:val="000000"/>
        <w:sz w:val="20"/>
        <w:szCs w:val="20"/>
      </w:rPr>
      <w:fldChar w:fldCharType="end"/>
    </w:r>
  </w:p>
  <w:p w:rsidR="007E2F05" w:rsidRDefault="007E2F05">
    <w:pPr>
      <w:pBdr>
        <w:top w:val="nil"/>
        <w:left w:val="nil"/>
        <w:bottom w:val="nil"/>
        <w:right w:val="nil"/>
        <w:between w:val="nil"/>
      </w:pBdr>
      <w:tabs>
        <w:tab w:val="center" w:pos="4252"/>
        <w:tab w:val="right" w:pos="8504"/>
      </w:tabs>
      <w:rPr>
        <w:color w:val="000000"/>
      </w:rPr>
    </w:pPr>
  </w:p>
  <w:p w:rsidR="007E2F05" w:rsidRDefault="007E2F05">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F05" w:rsidRDefault="00AE79D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47793">
      <w:rPr>
        <w:rFonts w:ascii="Arial" w:eastAsia="Arial" w:hAnsi="Arial" w:cs="Arial"/>
        <w:b/>
        <w:noProof/>
        <w:color w:val="000000"/>
        <w:sz w:val="20"/>
        <w:szCs w:val="20"/>
      </w:rPr>
      <w:t>48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47793">
      <w:rPr>
        <w:rFonts w:ascii="Arial" w:eastAsia="Arial" w:hAnsi="Arial" w:cs="Arial"/>
        <w:b/>
        <w:noProof/>
        <w:color w:val="000000"/>
        <w:sz w:val="20"/>
        <w:szCs w:val="20"/>
      </w:rPr>
      <w:t>48</w:t>
    </w:r>
    <w:r>
      <w:rPr>
        <w:rFonts w:ascii="Arial" w:eastAsia="Arial" w:hAnsi="Arial" w:cs="Arial"/>
        <w:b/>
        <w:color w:val="000000"/>
        <w:sz w:val="20"/>
        <w:szCs w:val="20"/>
      </w:rPr>
      <w:fldChar w:fldCharType="end"/>
    </w:r>
  </w:p>
  <w:p w:rsidR="007E2F05" w:rsidRDefault="007E2F05">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259" w:rsidRDefault="00AE79DA">
      <w:r>
        <w:separator/>
      </w:r>
    </w:p>
  </w:footnote>
  <w:footnote w:type="continuationSeparator" w:id="0">
    <w:p w:rsidR="00BC1259" w:rsidRDefault="00AE79DA">
      <w:r>
        <w:continuationSeparator/>
      </w:r>
    </w:p>
  </w:footnote>
  <w:footnote w:id="1">
    <w:p w:rsidR="007E2F05" w:rsidRDefault="00AE79D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 Para los efectos de esta Ley se entenderá por:</w:t>
      </w:r>
    </w:p>
    <w:p w:rsidR="007E2F05" w:rsidRDefault="00AE79D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F05" w:rsidRDefault="007E2F05">
    <w:pPr>
      <w:widowControl w:val="0"/>
      <w:pBdr>
        <w:top w:val="nil"/>
        <w:left w:val="nil"/>
        <w:bottom w:val="nil"/>
        <w:right w:val="nil"/>
        <w:between w:val="nil"/>
      </w:pBdr>
      <w:spacing w:line="276" w:lineRule="auto"/>
      <w:rPr>
        <w:rFonts w:ascii="Calibri" w:eastAsia="Calibri" w:hAnsi="Calibri" w:cs="Calibri"/>
        <w:color w:val="000000"/>
      </w:rPr>
    </w:pPr>
  </w:p>
  <w:tbl>
    <w:tblPr>
      <w:tblStyle w:val="a3"/>
      <w:tblW w:w="5528" w:type="dxa"/>
      <w:tblInd w:w="3261" w:type="dxa"/>
      <w:tblLayout w:type="fixed"/>
      <w:tblLook w:val="0400" w:firstRow="0" w:lastRow="0" w:firstColumn="0" w:lastColumn="0" w:noHBand="0" w:noVBand="1"/>
    </w:tblPr>
    <w:tblGrid>
      <w:gridCol w:w="2552"/>
      <w:gridCol w:w="2976"/>
    </w:tblGrid>
    <w:tr w:rsidR="007E2F05">
      <w:tc>
        <w:tcPr>
          <w:tcW w:w="2552" w:type="dxa"/>
          <w:vAlign w:val="center"/>
        </w:tcPr>
        <w:p w:rsidR="007E2F05" w:rsidRDefault="00AE79DA">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rsidR="007E2F05" w:rsidRDefault="00AE79DA">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00354/INFOEM/IP/RR/2022 </w:t>
          </w:r>
        </w:p>
      </w:tc>
    </w:tr>
    <w:tr w:rsidR="007E2F05">
      <w:trPr>
        <w:trHeight w:val="228"/>
      </w:trPr>
      <w:tc>
        <w:tcPr>
          <w:tcW w:w="2552" w:type="dxa"/>
          <w:vAlign w:val="center"/>
        </w:tcPr>
        <w:p w:rsidR="007E2F05" w:rsidRDefault="00AE79DA">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rsidR="007E2F05" w:rsidRDefault="00AE79DA">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Jocotitlán</w:t>
          </w:r>
        </w:p>
      </w:tc>
    </w:tr>
    <w:tr w:rsidR="007E2F05">
      <w:tc>
        <w:tcPr>
          <w:tcW w:w="2552" w:type="dxa"/>
          <w:vAlign w:val="center"/>
        </w:tcPr>
        <w:p w:rsidR="007E2F05" w:rsidRDefault="00AE79DA">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rsidR="007E2F05" w:rsidRDefault="00AE79DA">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rsidR="007E2F05" w:rsidRDefault="00AE79DA">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-937259</wp:posOffset>
          </wp:positionH>
          <wp:positionV relativeFrom="paragraph">
            <wp:posOffset>-1068704</wp:posOffset>
          </wp:positionV>
          <wp:extent cx="7635163" cy="9944100"/>
          <wp:effectExtent l="0" t="0" r="0" b="0"/>
          <wp:wrapNone/>
          <wp:docPr id="3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F05" w:rsidRDefault="00AE79DA">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eastAsia="es-MX"/>
      </w:rPr>
      <w:drawing>
        <wp:anchor distT="0" distB="0" distL="0" distR="0" simplePos="0" relativeHeight="251659264" behindDoc="1" locked="0" layoutInCell="1" hidden="0" allowOverlap="1">
          <wp:simplePos x="0" y="0"/>
          <wp:positionH relativeFrom="column">
            <wp:posOffset>-1080134</wp:posOffset>
          </wp:positionH>
          <wp:positionV relativeFrom="paragraph">
            <wp:posOffset>-438784</wp:posOffset>
          </wp:positionV>
          <wp:extent cx="7635600" cy="9943200"/>
          <wp:effectExtent l="0" t="0" r="0" b="0"/>
          <wp:wrapNone/>
          <wp:docPr id="3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2"/>
      <w:tblW w:w="6238" w:type="dxa"/>
      <w:tblInd w:w="3119" w:type="dxa"/>
      <w:tblLayout w:type="fixed"/>
      <w:tblLook w:val="0400" w:firstRow="0" w:lastRow="0" w:firstColumn="0" w:lastColumn="0" w:noHBand="0" w:noVBand="1"/>
    </w:tblPr>
    <w:tblGrid>
      <w:gridCol w:w="2551"/>
      <w:gridCol w:w="3687"/>
    </w:tblGrid>
    <w:tr w:rsidR="007E2F05">
      <w:tc>
        <w:tcPr>
          <w:tcW w:w="2551" w:type="dxa"/>
          <w:vAlign w:val="center"/>
        </w:tcPr>
        <w:p w:rsidR="007E2F05" w:rsidRDefault="00AE79DA">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rsidR="007E2F05" w:rsidRDefault="00AE79DA">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00354/INFOEM/IP/RR/2022</w:t>
          </w:r>
        </w:p>
      </w:tc>
    </w:tr>
    <w:tr w:rsidR="007E2F05">
      <w:tc>
        <w:tcPr>
          <w:tcW w:w="2551" w:type="dxa"/>
          <w:vAlign w:val="center"/>
        </w:tcPr>
        <w:p w:rsidR="007E2F05" w:rsidRDefault="00AE79DA">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3687" w:type="dxa"/>
          <w:vAlign w:val="center"/>
        </w:tcPr>
        <w:p w:rsidR="007E2F05" w:rsidRDefault="00AE79DA">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Xxx</w:t>
          </w:r>
        </w:p>
      </w:tc>
    </w:tr>
    <w:tr w:rsidR="007E2F05">
      <w:trPr>
        <w:trHeight w:val="228"/>
      </w:trPr>
      <w:tc>
        <w:tcPr>
          <w:tcW w:w="2551" w:type="dxa"/>
          <w:vAlign w:val="center"/>
        </w:tcPr>
        <w:p w:rsidR="007E2F05" w:rsidRDefault="00AE79DA">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687" w:type="dxa"/>
          <w:vAlign w:val="center"/>
        </w:tcPr>
        <w:p w:rsidR="007E2F05" w:rsidRDefault="00AE79DA">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Jocotitlán</w:t>
          </w:r>
        </w:p>
      </w:tc>
    </w:tr>
    <w:tr w:rsidR="007E2F05">
      <w:tc>
        <w:tcPr>
          <w:tcW w:w="2551" w:type="dxa"/>
          <w:vAlign w:val="center"/>
        </w:tcPr>
        <w:p w:rsidR="007E2F05" w:rsidRDefault="00AE79DA">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rsidR="007E2F05" w:rsidRDefault="00AE79DA">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rsidR="007E2F05" w:rsidRDefault="007E2F05">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9DA" w:rsidRDefault="00AE79DA">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rsidR="00AE79DA" w:rsidRDefault="00AE79DA">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85E4F"/>
    <w:multiLevelType w:val="multilevel"/>
    <w:tmpl w:val="9C8AD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13C3DB8"/>
    <w:multiLevelType w:val="multilevel"/>
    <w:tmpl w:val="1B2CB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DF7702A"/>
    <w:multiLevelType w:val="multilevel"/>
    <w:tmpl w:val="9738C2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7C16F2A"/>
    <w:multiLevelType w:val="multilevel"/>
    <w:tmpl w:val="EFF40D2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C784A73"/>
    <w:multiLevelType w:val="multilevel"/>
    <w:tmpl w:val="D8B4131A"/>
    <w:lvl w:ilvl="0">
      <w:start w:val="1"/>
      <w:numFmt w:val="upperRoman"/>
      <w:lvlText w:val="%1."/>
      <w:lvlJc w:val="left"/>
      <w:pPr>
        <w:ind w:left="1080" w:hanging="72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F05"/>
    <w:rsid w:val="007E2F05"/>
    <w:rsid w:val="00AE79DA"/>
    <w:rsid w:val="00B47793"/>
    <w:rsid w:val="00BC12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7D2A16-4F54-456D-97E4-918FF372D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A4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eastAsia="es-MX"/>
    </w:rPr>
  </w:style>
  <w:style w:type="paragraph" w:styleId="Sinespaciado">
    <w:name w:val="No Spacing"/>
    <w:aliases w:val="Francesa,INAI"/>
    <w:link w:val="SinespaciadoCar"/>
    <w:uiPriority w:val="1"/>
    <w:qFormat/>
    <w:rsid w:val="00E5287B"/>
    <w:rPr>
      <w:lang w:eastAsia="es-ES"/>
    </w:rPr>
  </w:style>
  <w:style w:type="character" w:customStyle="1" w:styleId="SinespaciadoCar">
    <w:name w:val="Sin espaciado Car"/>
    <w:aliases w:val="Francesa Car,INAI Car"/>
    <w:link w:val="Sinespaciado"/>
    <w:uiPriority w:val="1"/>
    <w:locked/>
    <w:rsid w:val="00E5287B"/>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unhideWhenUsed/>
    <w:qFormat/>
    <w:rsid w:val="00F26318"/>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F26318"/>
    <w:rPr>
      <w:rFonts w:ascii="Times New Roman" w:hAnsi="Times New Roman" w:cs="Times New Roman"/>
      <w:sz w:val="23"/>
      <w:szCs w:val="23"/>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SJ8x4t0lv4Zcd2FoG0Cxw+U4GA==">AMUW2mXjmZeleFSkyy11eGTGbp0dEzfU3NJBz5qmMWu55JMMNhD1Vvt9TuiY+aQ/tcIdOCLzi+eLoC9tXA+NBebsBIysFq6PQnZIu/hVDKS+150dqvLoFZ8SMDo6c41avgWOr3wYX1Si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9971</Words>
  <Characters>54843</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cp:lastModifiedBy>
  <cp:revision>2</cp:revision>
  <dcterms:created xsi:type="dcterms:W3CDTF">2022-04-04T22:32:00Z</dcterms:created>
  <dcterms:modified xsi:type="dcterms:W3CDTF">2022-04-04T22:32:00Z</dcterms:modified>
</cp:coreProperties>
</file>