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3F291D84"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7C3694">
        <w:rPr>
          <w:rFonts w:ascii="Palatino Linotype" w:eastAsia="Times New Roman" w:hAnsi="Palatino Linotype" w:cs="Arial"/>
          <w:color w:val="000000"/>
          <w:sz w:val="24"/>
          <w:szCs w:val="24"/>
          <w:lang w:eastAsia="es-MX"/>
        </w:rPr>
        <w:t xml:space="preserve">ocho de junio de dos mil veintidós.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30B6CD0" w14:textId="21A00C44" w:rsidR="007C3694" w:rsidRPr="007C3694"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C3694">
        <w:rPr>
          <w:rFonts w:ascii="Palatino Linotype" w:hAnsi="Palatino Linotype" w:cs="Arial"/>
          <w:b/>
          <w:sz w:val="24"/>
        </w:rPr>
        <w:t>05170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7C3694">
        <w:rPr>
          <w:rFonts w:ascii="Palatino Linotype" w:hAnsi="Palatino Linotype" w:cs="Arial"/>
          <w:sz w:val="24"/>
        </w:rPr>
        <w:t xml:space="preserve">la </w:t>
      </w:r>
      <w:r w:rsidR="001642C7">
        <w:rPr>
          <w:rFonts w:ascii="Palatino Linotype" w:hAnsi="Palatino Linotype" w:cs="Arial"/>
          <w:b/>
          <w:sz w:val="24"/>
        </w:rPr>
        <w:t>XXXXXXXX XXXXXXXXXXX</w:t>
      </w:r>
      <w:r w:rsidR="007C3694">
        <w:rPr>
          <w:rFonts w:ascii="Palatino Linotype" w:hAnsi="Palatino Linotype" w:cs="Arial"/>
          <w:b/>
          <w:sz w:val="24"/>
        </w:rPr>
        <w:t xml:space="preserve"> </w:t>
      </w:r>
      <w:r w:rsidR="001642C7">
        <w:rPr>
          <w:rFonts w:ascii="Palatino Linotype" w:hAnsi="Palatino Linotype" w:cs="Arial"/>
          <w:b/>
          <w:sz w:val="24"/>
        </w:rPr>
        <w:t>XXXXXX XXXXXXXXX</w:t>
      </w:r>
      <w:bookmarkStart w:id="0" w:name="_GoBack"/>
      <w:bookmarkEnd w:id="0"/>
      <w:r w:rsidR="007C3694">
        <w:rPr>
          <w:rFonts w:ascii="Palatino Linotype" w:hAnsi="Palatino Linotype" w:cs="Arial"/>
          <w:b/>
          <w:sz w:val="24"/>
        </w:rPr>
        <w:t xml:space="preserve">, </w:t>
      </w:r>
      <w:r w:rsidR="007C3694">
        <w:rPr>
          <w:rFonts w:ascii="Palatino Linotype" w:hAnsi="Palatino Linotype" w:cs="Arial"/>
          <w:sz w:val="24"/>
        </w:rPr>
        <w:t xml:space="preserve">en lo sucesivo </w:t>
      </w:r>
      <w:r w:rsidR="007C3694">
        <w:rPr>
          <w:rFonts w:ascii="Palatino Linotype" w:hAnsi="Palatino Linotype" w:cs="Arial"/>
          <w:b/>
          <w:sz w:val="24"/>
        </w:rPr>
        <w:t xml:space="preserve">La Recurrente, </w:t>
      </w:r>
      <w:r w:rsidR="007C3694">
        <w:rPr>
          <w:rFonts w:ascii="Palatino Linotype" w:hAnsi="Palatino Linotype" w:cs="Arial"/>
          <w:sz w:val="24"/>
        </w:rPr>
        <w:t xml:space="preserve">en contra de la respuesta del </w:t>
      </w:r>
      <w:r w:rsidR="007C3694">
        <w:rPr>
          <w:rFonts w:ascii="Palatino Linotype" w:hAnsi="Palatino Linotype" w:cs="Arial"/>
          <w:b/>
          <w:sz w:val="24"/>
        </w:rPr>
        <w:t xml:space="preserve">Ayuntamiento de Ixtlahuaca, </w:t>
      </w:r>
      <w:r w:rsidR="007C3694">
        <w:rPr>
          <w:rFonts w:ascii="Palatino Linotype" w:hAnsi="Palatino Linotype" w:cs="Arial"/>
          <w:sz w:val="24"/>
        </w:rPr>
        <w:t xml:space="preserve">en lo sucesivo </w:t>
      </w:r>
      <w:r w:rsidR="007C3694">
        <w:rPr>
          <w:rFonts w:ascii="Palatino Linotype" w:hAnsi="Palatino Linotype" w:cs="Arial"/>
          <w:b/>
          <w:sz w:val="24"/>
        </w:rPr>
        <w:t xml:space="preserve">El Sujeto Obligado, </w:t>
      </w:r>
      <w:r w:rsidR="007C3694">
        <w:rPr>
          <w:rFonts w:ascii="Palatino Linotype" w:hAnsi="Palatino Linotype" w:cs="Arial"/>
          <w:sz w:val="24"/>
        </w:rPr>
        <w:t xml:space="preserve">se procede a dictar la presente resolución. </w:t>
      </w:r>
      <w:r w:rsidR="00F05231">
        <w:rPr>
          <w:rFonts w:ascii="Palatino Linotype" w:hAnsi="Palatino Linotype" w:cs="Arial"/>
          <w:sz w:val="24"/>
        </w:rPr>
        <w:t xml:space="preserve">Indíqueme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5E4EF51" w14:textId="3C998B83" w:rsidR="007C3694"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7C3694">
        <w:rPr>
          <w:rFonts w:ascii="Palatino Linotype" w:hAnsi="Palatino Linotype" w:cs="Arial"/>
          <w:sz w:val="24"/>
        </w:rPr>
        <w:t xml:space="preserve">veinticinco de febrero de dos mil veintidós, </w:t>
      </w:r>
      <w:r w:rsidR="007C3694">
        <w:rPr>
          <w:rFonts w:ascii="Palatino Linotype" w:hAnsi="Palatino Linotype" w:cs="Arial"/>
          <w:b/>
          <w:sz w:val="24"/>
        </w:rPr>
        <w:t xml:space="preserve">La Recurrente </w:t>
      </w:r>
      <w:r w:rsidR="007C3694">
        <w:rPr>
          <w:rFonts w:ascii="Palatino Linotype" w:hAnsi="Palatino Linotype" w:cs="Arial"/>
          <w:sz w:val="24"/>
        </w:rPr>
        <w:t>presentó a través del Sistema de Acceso a la Información Mexiquense (</w:t>
      </w:r>
      <w:r w:rsidR="007C3694">
        <w:rPr>
          <w:rFonts w:ascii="Palatino Linotype" w:hAnsi="Palatino Linotype" w:cs="Arial"/>
          <w:b/>
          <w:sz w:val="24"/>
        </w:rPr>
        <w:t>SAIMEX)</w:t>
      </w:r>
      <w:r w:rsidR="007C3694">
        <w:rPr>
          <w:rFonts w:ascii="Palatino Linotype" w:hAnsi="Palatino Linotype" w:cs="Arial"/>
          <w:sz w:val="24"/>
        </w:rPr>
        <w:t xml:space="preserve"> ante </w:t>
      </w:r>
      <w:r w:rsidR="007C3694">
        <w:rPr>
          <w:rFonts w:ascii="Palatino Linotype" w:hAnsi="Palatino Linotype" w:cs="Arial"/>
          <w:b/>
          <w:sz w:val="24"/>
        </w:rPr>
        <w:t>El Sujeto Obligado</w:t>
      </w:r>
      <w:r w:rsidR="007C3694">
        <w:rPr>
          <w:rFonts w:ascii="Palatino Linotype" w:hAnsi="Palatino Linotype" w:cs="Arial"/>
          <w:sz w:val="24"/>
        </w:rPr>
        <w:t xml:space="preserve">, solicitud de acceso a la información pública, registrada bajo el número de expediente </w:t>
      </w:r>
      <w:r w:rsidR="007C3694">
        <w:rPr>
          <w:rFonts w:ascii="Palatino Linotype" w:hAnsi="Palatino Linotype" w:cs="Arial"/>
          <w:b/>
          <w:sz w:val="24"/>
        </w:rPr>
        <w:t xml:space="preserve">00081/IXTLAHUA/IP/2022, </w:t>
      </w:r>
      <w:r w:rsidR="007C3694">
        <w:rPr>
          <w:rFonts w:ascii="Palatino Linotype" w:hAnsi="Palatino Linotype" w:cs="Arial"/>
          <w:sz w:val="24"/>
        </w:rPr>
        <w:t>mediante la cual solicitó información en el tenor siguiente:</w:t>
      </w:r>
    </w:p>
    <w:p w14:paraId="6989EAFE" w14:textId="765E68D0" w:rsidR="007C3694" w:rsidRPr="007C3694" w:rsidRDefault="007C3694" w:rsidP="007C3694">
      <w:pPr>
        <w:pStyle w:val="Citas"/>
        <w:rPr>
          <w:b/>
          <w:sz w:val="24"/>
        </w:rPr>
      </w:pPr>
      <w:r>
        <w:t xml:space="preserve">“Solicito la versión pública de todos y cada uno de los documentos que amparan la relación laboral entre el Ayuntamiento de Ixtlahuaca y todo el personal adscrito a la Contraloría Municipal y la Tesorería Municipal que hayan laborado o prestado sus </w:t>
      </w:r>
      <w:r>
        <w:lastRenderedPageBreak/>
        <w:t xml:space="preserve">servicios durante la primera y segunda quincena del mes de diciembre del año 2021.” </w:t>
      </w:r>
      <w:r>
        <w:rPr>
          <w:b/>
        </w:rPr>
        <w:t>(Sic)</w:t>
      </w:r>
    </w:p>
    <w:p w14:paraId="6C718A25" w14:textId="6EA03E2C"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1EE7F5DD" w14:textId="77777777" w:rsidR="007C3694" w:rsidRDefault="007C3694"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43CFF454" w14:textId="1A1BE560" w:rsidR="007C3694" w:rsidRPr="007C3694"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C3694">
        <w:rPr>
          <w:rFonts w:ascii="Palatino Linotype" w:hAnsi="Palatino Linotype" w:cs="Arial"/>
          <w:sz w:val="24"/>
          <w:szCs w:val="24"/>
        </w:rPr>
        <w:t xml:space="preserve">veintidós de marzo de dos mil veintidós, </w:t>
      </w:r>
      <w:r w:rsidR="007C3694">
        <w:rPr>
          <w:rFonts w:ascii="Palatino Linotype" w:hAnsi="Palatino Linotype" w:cs="Arial"/>
          <w:b/>
          <w:sz w:val="24"/>
          <w:szCs w:val="24"/>
        </w:rPr>
        <w:t xml:space="preserve">El Sujeto Obligado </w:t>
      </w:r>
      <w:r w:rsidR="007C3694">
        <w:rPr>
          <w:rFonts w:ascii="Palatino Linotype" w:hAnsi="Palatino Linotype" w:cs="Arial"/>
          <w:sz w:val="24"/>
          <w:szCs w:val="24"/>
        </w:rPr>
        <w:t xml:space="preserve">dio respuesta a la solicitud de información en los siguientes términos: </w:t>
      </w:r>
    </w:p>
    <w:p w14:paraId="0C514E00" w14:textId="01B803EC" w:rsidR="007C3694" w:rsidRPr="007C3694" w:rsidRDefault="007C3694" w:rsidP="007C3694">
      <w:pPr>
        <w:pStyle w:val="Citas"/>
        <w:rPr>
          <w:b/>
          <w:sz w:val="24"/>
          <w:szCs w:val="24"/>
        </w:rPr>
      </w:pPr>
      <w:r>
        <w:t xml:space="preserve">“na” </w:t>
      </w:r>
      <w:r>
        <w:rPr>
          <w:b/>
        </w:rPr>
        <w:t>(Sic)</w:t>
      </w:r>
    </w:p>
    <w:p w14:paraId="6F85B2D3" w14:textId="6184EE09" w:rsidR="007C3694" w:rsidRPr="00997DC4" w:rsidRDefault="007C3694" w:rsidP="007C3694">
      <w:pPr>
        <w:pStyle w:val="Citas"/>
        <w:ind w:left="0" w:right="0"/>
        <w:rPr>
          <w:i w:val="0"/>
          <w:sz w:val="24"/>
        </w:rPr>
      </w:pPr>
      <w:r>
        <w:rPr>
          <w:i w:val="0"/>
          <w:sz w:val="24"/>
        </w:rPr>
        <w:t xml:space="preserve">De forma complementaria, </w:t>
      </w:r>
      <w:r>
        <w:rPr>
          <w:b/>
          <w:i w:val="0"/>
          <w:sz w:val="24"/>
        </w:rPr>
        <w:t xml:space="preserve">El Sujeto Obligado </w:t>
      </w:r>
      <w:r>
        <w:rPr>
          <w:i w:val="0"/>
          <w:sz w:val="24"/>
        </w:rPr>
        <w:t xml:space="preserve">adjuntó los documentos electrónicos </w:t>
      </w:r>
      <w:r w:rsidR="00997DC4">
        <w:rPr>
          <w:b/>
          <w:i w:val="0"/>
          <w:sz w:val="24"/>
        </w:rPr>
        <w:t xml:space="preserve">“ACTA.pdf” </w:t>
      </w:r>
      <w:r w:rsidR="00997DC4">
        <w:rPr>
          <w:i w:val="0"/>
          <w:sz w:val="24"/>
        </w:rPr>
        <w:t xml:space="preserve">y </w:t>
      </w:r>
      <w:r w:rsidR="00997DC4">
        <w:rPr>
          <w:b/>
          <w:i w:val="0"/>
          <w:sz w:val="24"/>
        </w:rPr>
        <w:t xml:space="preserve">“VP RESP.SOL81.pdf”, </w:t>
      </w:r>
      <w:r w:rsidR="00997DC4">
        <w:rPr>
          <w:i w:val="0"/>
          <w:sz w:val="24"/>
        </w:rPr>
        <w:t xml:space="preserve">cuyo contenido será materia de estudio en el considerando respectivo. </w:t>
      </w:r>
    </w:p>
    <w:p w14:paraId="772A47F4" w14:textId="77777777" w:rsidR="007C3694" w:rsidRDefault="007C3694" w:rsidP="0034605F">
      <w:pPr>
        <w:pStyle w:val="Citas"/>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3ACCC1A" w14:textId="274CB301" w:rsidR="00997DC4" w:rsidRPr="00CF6263"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E548E7">
        <w:rPr>
          <w:rFonts w:ascii="Palatino Linotype" w:hAnsi="Palatino Linotype" w:cs="Arial"/>
          <w:b/>
          <w:sz w:val="24"/>
          <w:szCs w:val="24"/>
        </w:rPr>
        <w:t>El Sujeto Obligado, 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997DC4">
        <w:rPr>
          <w:rFonts w:ascii="Palatino Linotype" w:hAnsi="Palatino Linotype" w:cs="Arial"/>
          <w:sz w:val="24"/>
          <w:szCs w:val="24"/>
        </w:rPr>
        <w:t xml:space="preserve">veintinueve de marzo del presente, el cual fue registrado en el sistema electrónico con el expediente </w:t>
      </w:r>
      <w:r w:rsidR="00CF6263">
        <w:rPr>
          <w:rFonts w:ascii="Palatino Linotype" w:hAnsi="Palatino Linotype" w:cs="Arial"/>
          <w:b/>
          <w:sz w:val="24"/>
          <w:szCs w:val="24"/>
        </w:rPr>
        <w:t xml:space="preserve">05170/INFOEM/IP/RR/2022, </w:t>
      </w:r>
      <w:r w:rsidR="00CF6263">
        <w:rPr>
          <w:rFonts w:ascii="Palatino Linotype" w:hAnsi="Palatino Linotype" w:cs="Arial"/>
          <w:sz w:val="24"/>
          <w:szCs w:val="24"/>
        </w:rPr>
        <w:t xml:space="preserve">en el cual arguye las siguientes manifestaciones: </w:t>
      </w:r>
    </w:p>
    <w:p w14:paraId="53962ACC" w14:textId="77777777" w:rsidR="00997DC4" w:rsidRDefault="00997DC4" w:rsidP="00073E92">
      <w:pPr>
        <w:spacing w:before="240" w:line="360" w:lineRule="auto"/>
        <w:jc w:val="both"/>
        <w:rPr>
          <w:rFonts w:ascii="Palatino Linotype" w:hAnsi="Palatino Linotype" w:cs="Arial"/>
          <w:sz w:val="24"/>
          <w:szCs w:val="24"/>
        </w:rPr>
      </w:pP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0A34840" w14:textId="7DDE52B6" w:rsidR="0034605F" w:rsidRDefault="0034605F" w:rsidP="0034605F">
      <w:pPr>
        <w:pStyle w:val="Citas"/>
        <w:rPr>
          <w:b/>
        </w:rPr>
      </w:pPr>
      <w:r w:rsidRPr="00CF6263">
        <w:t>“</w:t>
      </w:r>
      <w:r w:rsidR="00CF6263" w:rsidRPr="00CF6263">
        <w:t>La respuesta generada a la solicitud de información número 00081/IXTLAHUA/IP/2022.</w:t>
      </w:r>
      <w:r w:rsidRPr="00CF6263">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5E08713E" w:rsidR="0034605F" w:rsidRDefault="00CF6263" w:rsidP="0034605F">
      <w:pPr>
        <w:pStyle w:val="Citas"/>
        <w:rPr>
          <w:b/>
        </w:rPr>
      </w:pPr>
      <w:r w:rsidRPr="00CF6263">
        <w:t>“El Sujeto Obligado hace entrega de información que no corresponde con lo solicitado, toda vez que la misma no es la idónea para amparar y/o acreditar una relación laboral, según lo establecido por la legislación laboral aplicable en la entidad mexiquense.</w:t>
      </w:r>
      <w:r w:rsidR="0034605F" w:rsidRPr="00CF6263">
        <w:t>”</w:t>
      </w:r>
      <w:r w:rsidR="0034605F" w:rsidRPr="007E24F0">
        <w:t xml:space="preserve"> </w:t>
      </w:r>
      <w:r w:rsidR="0034605F">
        <w:rPr>
          <w:b/>
        </w:rPr>
        <w:t>[Sic]</w:t>
      </w:r>
    </w:p>
    <w:p w14:paraId="5DC1A6E8" w14:textId="77777777" w:rsidR="00CF6263" w:rsidRDefault="00CF6263" w:rsidP="00073E92">
      <w:pPr>
        <w:spacing w:before="240" w:line="360" w:lineRule="auto"/>
        <w:jc w:val="both"/>
        <w:rPr>
          <w:rFonts w:ascii="Palatino Linotype" w:hAnsi="Palatino Linotype" w:cs="Arial"/>
          <w:b/>
          <w:sz w:val="28"/>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45D99534" w14:textId="77777777" w:rsidR="007C7678" w:rsidRDefault="00073E92" w:rsidP="007C76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w:t>
      </w:r>
      <w:r w:rsidRPr="00E548E7">
        <w:rPr>
          <w:rFonts w:ascii="Palatino Linotype" w:hAnsi="Palatino Linotype" w:cs="Arial"/>
          <w:sz w:val="24"/>
          <w:szCs w:val="24"/>
        </w:rPr>
        <w:t>fue turnado al Comisionado</w:t>
      </w:r>
      <w:r w:rsidR="0034605F" w:rsidRPr="00E548E7">
        <w:rPr>
          <w:rFonts w:ascii="Palatino Linotype" w:hAnsi="Palatino Linotype" w:cs="Arial"/>
          <w:sz w:val="24"/>
          <w:szCs w:val="24"/>
        </w:rPr>
        <w:t xml:space="preserve"> Presidente</w:t>
      </w:r>
      <w:r w:rsidRPr="00E548E7">
        <w:rPr>
          <w:rFonts w:ascii="Palatino Linotype" w:hAnsi="Palatino Linotype" w:cs="Arial"/>
          <w:sz w:val="24"/>
          <w:szCs w:val="24"/>
        </w:rPr>
        <w:t xml:space="preserve"> </w:t>
      </w:r>
      <w:r w:rsidRPr="00E548E7">
        <w:rPr>
          <w:rFonts w:ascii="Palatino Linotype" w:hAnsi="Palatino Linotype" w:cs="Arial"/>
          <w:b/>
          <w:sz w:val="24"/>
          <w:szCs w:val="24"/>
        </w:rPr>
        <w:t xml:space="preserve">José Martínez Vilchis, </w:t>
      </w:r>
      <w:r w:rsidRPr="00E548E7">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7C7678">
        <w:rPr>
          <w:rFonts w:ascii="Palatino Linotype" w:hAnsi="Palatino Linotype" w:cs="Arial"/>
          <w:sz w:val="24"/>
          <w:szCs w:val="24"/>
        </w:rPr>
        <w:t>uno de abril de dos mil veintidós, determinándose en él, un plazo de siete días para que las partes manifestaran lo que a su derecho corresponda en términos del numeral ya citado.</w:t>
      </w:r>
    </w:p>
    <w:p w14:paraId="04ED375C" w14:textId="28707A23" w:rsidR="00CF6263" w:rsidRDefault="00CF6263" w:rsidP="0036654D">
      <w:pPr>
        <w:spacing w:before="240" w:line="360" w:lineRule="auto"/>
        <w:jc w:val="both"/>
        <w:rPr>
          <w:rFonts w:ascii="Palatino Linotype" w:hAnsi="Palatino Linotype" w:cs="Arial"/>
          <w:sz w:val="24"/>
          <w:szCs w:val="24"/>
        </w:rPr>
      </w:pPr>
    </w:p>
    <w:p w14:paraId="6CE60F25" w14:textId="77777777" w:rsidR="00CF6263" w:rsidRDefault="00CF6263" w:rsidP="0036654D">
      <w:pPr>
        <w:spacing w:before="240" w:line="360" w:lineRule="auto"/>
        <w:jc w:val="both"/>
        <w:rPr>
          <w:rFonts w:ascii="Palatino Linotype" w:hAnsi="Palatino Linotype" w:cs="Arial"/>
          <w:sz w:val="24"/>
          <w:szCs w:val="24"/>
        </w:rPr>
      </w:pP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D6DAAA8" w14:textId="2BD8A263" w:rsidR="007C7678" w:rsidRPr="007C7678" w:rsidRDefault="007C7678" w:rsidP="007C7678">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sz w:val="24"/>
          <w:szCs w:val="24"/>
        </w:rPr>
        <w:t xml:space="preserve">diecinueve de abril, </w:t>
      </w:r>
      <w:r>
        <w:rPr>
          <w:rFonts w:ascii="Palatino Linotype" w:hAnsi="Palatino Linotype" w:cs="Arial"/>
          <w:sz w:val="24"/>
          <w:szCs w:val="24"/>
        </w:rPr>
        <w:t xml:space="preserve">mismo que fue puesto a la vista el </w:t>
      </w:r>
      <w:r>
        <w:rPr>
          <w:rFonts w:ascii="Palatino Linotype" w:hAnsi="Palatino Linotype" w:cs="Arial"/>
          <w:b/>
          <w:sz w:val="24"/>
          <w:szCs w:val="24"/>
        </w:rPr>
        <w:t xml:space="preserve">veintidós de abril de dos mil veintidós. </w:t>
      </w:r>
    </w:p>
    <w:p w14:paraId="53F279E0" w14:textId="77777777" w:rsidR="007C7678" w:rsidRDefault="007C7678" w:rsidP="007C76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sz w:val="24"/>
          <w:szCs w:val="24"/>
        </w:rPr>
        <w:t xml:space="preserve">dos de mayo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9228C4F" w14:textId="43653C77" w:rsidR="007C7678" w:rsidRDefault="007C7678" w:rsidP="007C7678">
      <w:pPr>
        <w:spacing w:after="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veinte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 xml:space="preserve">Constitución Política del Estado Libre y </w:t>
      </w:r>
      <w:r>
        <w:rPr>
          <w:rFonts w:ascii="Palatino Linotype" w:eastAsia="Calibri" w:hAnsi="Palatino Linotype"/>
          <w:b/>
          <w:color w:val="000000" w:themeColor="text1"/>
          <w:sz w:val="24"/>
          <w:szCs w:val="24"/>
        </w:rPr>
        <w:lastRenderedPageBreak/>
        <w:t>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1DCD6F3C" w14:textId="0CCBE877" w:rsidR="007C7678" w:rsidRPr="00B73F26"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7C7678">
        <w:rPr>
          <w:rFonts w:ascii="Palatino Linotype" w:hAnsi="Palatino Linotype"/>
          <w:b/>
          <w:sz w:val="24"/>
          <w:szCs w:val="24"/>
        </w:rPr>
        <w:t xml:space="preserve">00081/IXTLAHUA/IP/2022 </w:t>
      </w:r>
      <w:r w:rsidR="007C7678">
        <w:rPr>
          <w:rFonts w:ascii="Palatino Linotype" w:hAnsi="Palatino Linotype"/>
          <w:sz w:val="24"/>
          <w:szCs w:val="24"/>
        </w:rPr>
        <w:t xml:space="preserve">fue formulado </w:t>
      </w:r>
      <w:r w:rsidR="007C7678">
        <w:rPr>
          <w:rFonts w:ascii="Palatino Linotype" w:hAnsi="Palatino Linotype"/>
          <w:b/>
          <w:sz w:val="24"/>
          <w:szCs w:val="24"/>
        </w:rPr>
        <w:t xml:space="preserve">1 –un- </w:t>
      </w:r>
      <w:r w:rsidR="007C7678" w:rsidRPr="00B73F26">
        <w:rPr>
          <w:rFonts w:ascii="Palatino Linotype" w:hAnsi="Palatino Linotype"/>
          <w:sz w:val="24"/>
          <w:szCs w:val="24"/>
        </w:rPr>
        <w:t xml:space="preserve">requerimiento, que de manera objetiva se precisa que versa en conocer, la siguiente información: </w:t>
      </w:r>
    </w:p>
    <w:p w14:paraId="63A25489" w14:textId="3E144181" w:rsidR="00756B37" w:rsidRPr="008C08A3" w:rsidRDefault="0036654D" w:rsidP="007C7678">
      <w:pPr>
        <w:pStyle w:val="Prrafodelista"/>
        <w:numPr>
          <w:ilvl w:val="0"/>
          <w:numId w:val="3"/>
        </w:numPr>
        <w:spacing w:before="240" w:line="360" w:lineRule="auto"/>
        <w:jc w:val="both"/>
        <w:rPr>
          <w:rFonts w:ascii="Palatino Linotype" w:hAnsi="Palatino Linotype"/>
          <w:bCs/>
        </w:rPr>
      </w:pPr>
      <w:r w:rsidRPr="00B73F26">
        <w:rPr>
          <w:rFonts w:ascii="Palatino Linotype" w:hAnsi="Palatino Linotype"/>
        </w:rPr>
        <w:t xml:space="preserve">El o los documentos donde </w:t>
      </w:r>
      <w:r w:rsidR="007C7678" w:rsidRPr="00B73F26">
        <w:rPr>
          <w:rFonts w:ascii="Palatino Linotype" w:hAnsi="Palatino Linotype"/>
        </w:rPr>
        <w:t xml:space="preserve">conste la </w:t>
      </w:r>
      <w:r w:rsidR="008C08A3">
        <w:rPr>
          <w:rFonts w:ascii="Palatino Linotype" w:hAnsi="Palatino Linotype"/>
        </w:rPr>
        <w:t xml:space="preserve">formación de </w:t>
      </w:r>
      <w:r w:rsidR="007C7678" w:rsidRPr="00B73F26">
        <w:rPr>
          <w:rFonts w:ascii="Palatino Linotype" w:hAnsi="Palatino Linotype"/>
        </w:rPr>
        <w:t xml:space="preserve">relación laboral entre el Ayuntamiento de Ixtlahuaca y el personal </w:t>
      </w:r>
      <w:r w:rsidR="008C08A3">
        <w:rPr>
          <w:rFonts w:ascii="Palatino Linotype" w:hAnsi="Palatino Linotype"/>
        </w:rPr>
        <w:t xml:space="preserve">que se encontraba </w:t>
      </w:r>
      <w:r w:rsidR="00B73F26" w:rsidRPr="00B73F26">
        <w:rPr>
          <w:rFonts w:ascii="Palatino Linotype" w:hAnsi="Palatino Linotype"/>
        </w:rPr>
        <w:t xml:space="preserve">adscrito a la </w:t>
      </w:r>
      <w:r w:rsidR="00B73F26" w:rsidRPr="00B73F26">
        <w:rPr>
          <w:rFonts w:ascii="Palatino Linotype" w:hAnsi="Palatino Linotype"/>
        </w:rPr>
        <w:lastRenderedPageBreak/>
        <w:t>Tesorería y Contraloría Municipal durante</w:t>
      </w:r>
      <w:r w:rsidR="00B73F26">
        <w:rPr>
          <w:rFonts w:ascii="Palatino Linotype" w:hAnsi="Palatino Linotype"/>
        </w:rPr>
        <w:t xml:space="preserve"> la primera y segunda </w:t>
      </w:r>
      <w:r w:rsidR="008C08A3">
        <w:rPr>
          <w:rFonts w:ascii="Palatino Linotype" w:hAnsi="Palatino Linotype"/>
        </w:rPr>
        <w:t xml:space="preserve">quincena </w:t>
      </w:r>
      <w:r w:rsidR="00B73F26">
        <w:rPr>
          <w:rFonts w:ascii="Palatino Linotype" w:hAnsi="Palatino Linotype"/>
        </w:rPr>
        <w:t xml:space="preserve">del mes de diciembre de dos mil veintiuno. </w:t>
      </w:r>
    </w:p>
    <w:p w14:paraId="2A21D7C4" w14:textId="77777777" w:rsidR="008C08A3" w:rsidRDefault="008C08A3" w:rsidP="008C08A3">
      <w:pPr>
        <w:pStyle w:val="Prrafodelista"/>
        <w:spacing w:before="240" w:line="360" w:lineRule="auto"/>
        <w:ind w:left="720"/>
        <w:jc w:val="both"/>
        <w:rPr>
          <w:rFonts w:ascii="Palatino Linotype" w:hAnsi="Palatino Linotype"/>
          <w:bCs/>
        </w:rPr>
      </w:pPr>
    </w:p>
    <w:p w14:paraId="3D7353C7" w14:textId="30B8DBF3" w:rsidR="00A153AC" w:rsidRPr="00A153AC" w:rsidRDefault="00A153AC" w:rsidP="00A153AC">
      <w:pPr>
        <w:autoSpaceDE w:val="0"/>
        <w:autoSpaceDN w:val="0"/>
        <w:adjustRightInd w:val="0"/>
        <w:spacing w:line="360" w:lineRule="auto"/>
        <w:jc w:val="both"/>
        <w:rPr>
          <w:rFonts w:ascii="Palatino Linotype" w:hAnsi="Palatino Linotype" w:cs="Arial"/>
          <w:b/>
          <w:sz w:val="24"/>
          <w:szCs w:val="24"/>
        </w:rPr>
      </w:pPr>
      <w:r w:rsidRPr="00A153AC">
        <w:rPr>
          <w:rFonts w:ascii="Palatino Linotype" w:hAnsi="Palatino Linotype" w:cs="Arial"/>
          <w:sz w:val="24"/>
          <w:szCs w:val="24"/>
        </w:rPr>
        <w:t>Una vez precisado lo anterior y con el propósito de realizar un análisis exhaustivo de la información requerida, resulta oportuno delimitar las fronteras conceptuales de la</w:t>
      </w:r>
      <w:r>
        <w:rPr>
          <w:rFonts w:ascii="Palatino Linotype" w:hAnsi="Palatino Linotype" w:cs="Arial"/>
          <w:sz w:val="24"/>
          <w:szCs w:val="24"/>
        </w:rPr>
        <w:t>s</w:t>
      </w:r>
      <w:r w:rsidRPr="00A153AC">
        <w:rPr>
          <w:rFonts w:ascii="Palatino Linotype" w:hAnsi="Palatino Linotype" w:cs="Arial"/>
          <w:sz w:val="24"/>
          <w:szCs w:val="24"/>
        </w:rPr>
        <w:t xml:space="preserve"> palabra</w:t>
      </w:r>
      <w:r>
        <w:rPr>
          <w:rFonts w:ascii="Palatino Linotype" w:hAnsi="Palatino Linotype" w:cs="Arial"/>
          <w:sz w:val="24"/>
          <w:szCs w:val="24"/>
        </w:rPr>
        <w:t>s</w:t>
      </w:r>
      <w:r w:rsidRPr="00A153AC">
        <w:rPr>
          <w:rFonts w:ascii="Palatino Linotype" w:hAnsi="Palatino Linotype" w:cs="Arial"/>
          <w:sz w:val="24"/>
          <w:szCs w:val="24"/>
        </w:rPr>
        <w:t xml:space="preserve"> </w:t>
      </w:r>
      <w:r>
        <w:rPr>
          <w:rFonts w:ascii="Palatino Linotype" w:hAnsi="Palatino Linotype" w:cs="Arial"/>
          <w:b/>
          <w:sz w:val="24"/>
          <w:szCs w:val="24"/>
        </w:rPr>
        <w:t xml:space="preserve">relación laboral. </w:t>
      </w:r>
      <w:r w:rsidRPr="00A153AC">
        <w:rPr>
          <w:rFonts w:ascii="Palatino Linotype" w:hAnsi="Palatino Linotype" w:cs="Arial"/>
          <w:b/>
          <w:sz w:val="24"/>
          <w:szCs w:val="24"/>
        </w:rPr>
        <w:t xml:space="preserve"> </w:t>
      </w:r>
    </w:p>
    <w:p w14:paraId="47383297" w14:textId="77777777" w:rsidR="00A153AC" w:rsidRDefault="00A153AC" w:rsidP="00BB1C32">
      <w:pPr>
        <w:spacing w:after="0" w:line="360" w:lineRule="auto"/>
        <w:jc w:val="both"/>
        <w:rPr>
          <w:rFonts w:ascii="Palatino Linotype" w:hAnsi="Palatino Linotype"/>
          <w:sz w:val="24"/>
          <w:lang w:val="es-ES"/>
        </w:rPr>
      </w:pPr>
      <w:r>
        <w:rPr>
          <w:rFonts w:ascii="Palatino Linotype" w:hAnsi="Palatino Linotype"/>
          <w:sz w:val="24"/>
          <w:lang w:val="es-ES"/>
        </w:rPr>
        <w:t>En razón de lo anterior</w:t>
      </w:r>
      <w:r w:rsidRPr="00F86EDD">
        <w:rPr>
          <w:rFonts w:ascii="Palatino Linotype" w:hAnsi="Palatino Linotype"/>
          <w:sz w:val="24"/>
          <w:lang w:val="es-ES"/>
        </w:rPr>
        <w:t xml:space="preserve">, desde una perspectiva etimológica la  palabra </w:t>
      </w:r>
      <w:r w:rsidRPr="00A153AC">
        <w:rPr>
          <w:rFonts w:ascii="Palatino Linotype" w:hAnsi="Palatino Linotype"/>
          <w:b/>
          <w:sz w:val="24"/>
          <w:lang w:val="es-ES"/>
        </w:rPr>
        <w:t>relación</w:t>
      </w:r>
      <w:r>
        <w:rPr>
          <w:rFonts w:ascii="Palatino Linotype" w:hAnsi="Palatino Linotype"/>
          <w:sz w:val="24"/>
          <w:lang w:val="es-ES"/>
        </w:rPr>
        <w:t xml:space="preserve"> </w:t>
      </w:r>
      <w:r w:rsidRPr="00F86EDD">
        <w:rPr>
          <w:rFonts w:ascii="Palatino Linotype" w:hAnsi="Palatino Linotype"/>
          <w:sz w:val="24"/>
          <w:lang w:val="es-ES"/>
        </w:rPr>
        <w:t>proviene del latín</w:t>
      </w:r>
      <w:r>
        <w:rPr>
          <w:rFonts w:ascii="Palatino Linotype" w:hAnsi="Palatino Linotype"/>
          <w:sz w:val="24"/>
          <w:lang w:val="es-ES"/>
        </w:rPr>
        <w:t xml:space="preserve"> </w:t>
      </w:r>
      <w:proofErr w:type="spellStart"/>
      <w:r>
        <w:rPr>
          <w:rFonts w:ascii="Palatino Linotype" w:hAnsi="Palatino Linotype"/>
          <w:b/>
          <w:i/>
          <w:sz w:val="24"/>
          <w:lang w:val="es-ES"/>
        </w:rPr>
        <w:t>relatio</w:t>
      </w:r>
      <w:proofErr w:type="spellEnd"/>
      <w:r>
        <w:rPr>
          <w:rFonts w:ascii="Palatino Linotype" w:hAnsi="Palatino Linotype"/>
          <w:b/>
          <w:i/>
          <w:sz w:val="24"/>
          <w:lang w:val="es-ES"/>
        </w:rPr>
        <w:t xml:space="preserve">, </w:t>
      </w:r>
      <w:r>
        <w:rPr>
          <w:rFonts w:ascii="Palatino Linotype" w:hAnsi="Palatino Linotype"/>
          <w:sz w:val="24"/>
          <w:lang w:val="es-ES"/>
        </w:rPr>
        <w:t xml:space="preserve">formada por el prefijo </w:t>
      </w:r>
      <w:r>
        <w:rPr>
          <w:rFonts w:ascii="Palatino Linotype" w:hAnsi="Palatino Linotype"/>
          <w:b/>
          <w:i/>
          <w:sz w:val="24"/>
          <w:lang w:val="es-ES"/>
        </w:rPr>
        <w:t xml:space="preserve">re </w:t>
      </w:r>
      <w:r>
        <w:rPr>
          <w:rFonts w:ascii="Palatino Linotype" w:hAnsi="Palatino Linotype"/>
          <w:sz w:val="24"/>
          <w:lang w:val="es-ES"/>
        </w:rPr>
        <w:t xml:space="preserve">(reiteración), la raíz </w:t>
      </w:r>
      <w:proofErr w:type="spellStart"/>
      <w:r>
        <w:rPr>
          <w:rFonts w:ascii="Palatino Linotype" w:hAnsi="Palatino Linotype"/>
          <w:b/>
          <w:i/>
          <w:sz w:val="24"/>
          <w:lang w:val="es-ES"/>
        </w:rPr>
        <w:t>lat</w:t>
      </w:r>
      <w:proofErr w:type="spellEnd"/>
      <w:r>
        <w:rPr>
          <w:rFonts w:ascii="Palatino Linotype" w:hAnsi="Palatino Linotype"/>
          <w:b/>
          <w:i/>
          <w:sz w:val="24"/>
          <w:lang w:val="es-ES"/>
        </w:rPr>
        <w:t xml:space="preserve"> </w:t>
      </w:r>
      <w:r>
        <w:rPr>
          <w:rFonts w:ascii="Palatino Linotype" w:hAnsi="Palatino Linotype"/>
          <w:sz w:val="24"/>
          <w:lang w:val="es-ES"/>
        </w:rPr>
        <w:t xml:space="preserve">(llevar algo) y el sufijo </w:t>
      </w:r>
      <w:proofErr w:type="spellStart"/>
      <w:r>
        <w:rPr>
          <w:rFonts w:ascii="Palatino Linotype" w:hAnsi="Palatino Linotype"/>
          <w:b/>
          <w:i/>
          <w:sz w:val="24"/>
          <w:lang w:val="es-ES"/>
        </w:rPr>
        <w:t>tio</w:t>
      </w:r>
      <w:proofErr w:type="spellEnd"/>
      <w:r>
        <w:rPr>
          <w:rFonts w:ascii="Palatino Linotype" w:hAnsi="Palatino Linotype"/>
          <w:b/>
          <w:i/>
          <w:sz w:val="24"/>
          <w:lang w:val="es-ES"/>
        </w:rPr>
        <w:t xml:space="preserve"> </w:t>
      </w:r>
      <w:r>
        <w:rPr>
          <w:rFonts w:ascii="Palatino Linotype" w:hAnsi="Palatino Linotype"/>
          <w:sz w:val="24"/>
          <w:lang w:val="es-ES"/>
        </w:rPr>
        <w:t xml:space="preserve">(acción y efecto). En contraste, la palabra </w:t>
      </w:r>
      <w:r w:rsidRPr="00A153AC">
        <w:rPr>
          <w:rFonts w:ascii="Palatino Linotype" w:hAnsi="Palatino Linotype"/>
          <w:b/>
          <w:sz w:val="24"/>
          <w:lang w:val="es-ES"/>
        </w:rPr>
        <w:t xml:space="preserve">laboral </w:t>
      </w:r>
      <w:r>
        <w:rPr>
          <w:rFonts w:ascii="Palatino Linotype" w:hAnsi="Palatino Linotype"/>
          <w:sz w:val="24"/>
          <w:lang w:val="es-ES"/>
        </w:rPr>
        <w:t xml:space="preserve">proviene del latín </w:t>
      </w:r>
      <w:proofErr w:type="spellStart"/>
      <w:r>
        <w:rPr>
          <w:rFonts w:ascii="Palatino Linotype" w:hAnsi="Palatino Linotype"/>
          <w:b/>
          <w:i/>
          <w:sz w:val="24"/>
          <w:lang w:val="es-ES"/>
        </w:rPr>
        <w:t>laboralis</w:t>
      </w:r>
      <w:proofErr w:type="spellEnd"/>
      <w:r>
        <w:rPr>
          <w:rFonts w:ascii="Palatino Linotype" w:hAnsi="Palatino Linotype"/>
          <w:b/>
          <w:i/>
          <w:sz w:val="24"/>
          <w:lang w:val="es-ES"/>
        </w:rPr>
        <w:t xml:space="preserve"> </w:t>
      </w:r>
      <w:r>
        <w:rPr>
          <w:rFonts w:ascii="Palatino Linotype" w:hAnsi="Palatino Linotype"/>
          <w:sz w:val="24"/>
          <w:lang w:val="es-ES"/>
        </w:rPr>
        <w:t xml:space="preserve">que significa relativo al trabajo, sus componentes léxicos son </w:t>
      </w:r>
      <w:r>
        <w:rPr>
          <w:rFonts w:ascii="Palatino Linotype" w:hAnsi="Palatino Linotype"/>
          <w:b/>
          <w:i/>
          <w:sz w:val="24"/>
          <w:lang w:val="es-ES"/>
        </w:rPr>
        <w:t xml:space="preserve">labor </w:t>
      </w:r>
      <w:r>
        <w:rPr>
          <w:rFonts w:ascii="Palatino Linotype" w:hAnsi="Palatino Linotype"/>
          <w:sz w:val="24"/>
          <w:lang w:val="es-ES"/>
        </w:rPr>
        <w:t xml:space="preserve">(trabajo), más el sufijo </w:t>
      </w:r>
      <w:r>
        <w:rPr>
          <w:rFonts w:ascii="Palatino Linotype" w:hAnsi="Palatino Linotype"/>
          <w:b/>
          <w:i/>
          <w:sz w:val="24"/>
          <w:lang w:val="es-ES"/>
        </w:rPr>
        <w:t xml:space="preserve">al </w:t>
      </w:r>
      <w:r>
        <w:rPr>
          <w:rFonts w:ascii="Palatino Linotype" w:hAnsi="Palatino Linotype"/>
          <w:sz w:val="24"/>
          <w:lang w:val="es-ES"/>
        </w:rPr>
        <w:t xml:space="preserve">(relativo a). </w:t>
      </w:r>
    </w:p>
    <w:p w14:paraId="7104F446" w14:textId="77777777" w:rsidR="00A153AC" w:rsidRDefault="00A153AC" w:rsidP="00BB1C32">
      <w:pPr>
        <w:spacing w:after="0" w:line="360" w:lineRule="auto"/>
        <w:jc w:val="both"/>
        <w:rPr>
          <w:rFonts w:ascii="Palatino Linotype" w:hAnsi="Palatino Linotype"/>
          <w:sz w:val="24"/>
          <w:lang w:val="es-ES"/>
        </w:rPr>
      </w:pPr>
    </w:p>
    <w:p w14:paraId="2B9E4C7D" w14:textId="71BB05FC" w:rsidR="00811425" w:rsidRDefault="00A153AC" w:rsidP="00BB1C32">
      <w:pPr>
        <w:spacing w:after="0" w:line="360" w:lineRule="auto"/>
        <w:jc w:val="both"/>
        <w:rPr>
          <w:rFonts w:ascii="Palatino Linotype" w:hAnsi="Palatino Linotype"/>
          <w:sz w:val="24"/>
          <w:lang w:val="es-ES"/>
        </w:rPr>
      </w:pPr>
      <w:r>
        <w:rPr>
          <w:rFonts w:ascii="Palatino Linotype" w:hAnsi="Palatino Linotype"/>
          <w:sz w:val="24"/>
          <w:lang w:val="es-ES"/>
        </w:rPr>
        <w:t xml:space="preserve">Bajo este contexto, la Secretaría del Trabajo </w:t>
      </w:r>
      <w:r w:rsidR="00811425">
        <w:rPr>
          <w:rFonts w:ascii="Palatino Linotype" w:hAnsi="Palatino Linotype"/>
          <w:sz w:val="24"/>
          <w:lang w:val="es-ES"/>
        </w:rPr>
        <w:t>y Previsión Social en la obra “</w:t>
      </w:r>
      <w:r w:rsidR="00811425">
        <w:rPr>
          <w:rFonts w:ascii="Palatino Linotype" w:hAnsi="Palatino Linotype"/>
          <w:i/>
          <w:sz w:val="24"/>
          <w:lang w:val="es-ES"/>
        </w:rPr>
        <w:t xml:space="preserve">Glosario de términos laborales” </w:t>
      </w:r>
      <w:r w:rsidR="00811425">
        <w:rPr>
          <w:rFonts w:ascii="Palatino Linotype" w:hAnsi="Palatino Linotype"/>
          <w:sz w:val="24"/>
          <w:lang w:val="es-ES"/>
        </w:rPr>
        <w:t xml:space="preserve">define a la relación laboral como la: </w:t>
      </w:r>
    </w:p>
    <w:p w14:paraId="661C1245" w14:textId="402EE64A" w:rsidR="00A153AC" w:rsidRPr="00811425" w:rsidRDefault="00811425" w:rsidP="00811425">
      <w:pPr>
        <w:pStyle w:val="Citas"/>
        <w:rPr>
          <w:b/>
          <w:lang w:val="es-ES"/>
        </w:rPr>
      </w:pPr>
      <w:r>
        <w:rPr>
          <w:lang w:val="es-ES"/>
        </w:rPr>
        <w:t xml:space="preserve">“Relación existente entre el trabajador y la unidad económica, determinada por la continuidad </w:t>
      </w:r>
      <w:r w:rsidRPr="00811425">
        <w:t>en la percepción de ingresos y/o la garantía del retorno asegurado al trabajo. En el caso de los trabajadores subordinados, dependiendo del motivo y el tiempo que se esté ausente de la ocupación, pueden disminuir los ingresos, sin que por esto se rompa la relación laboral. En el caso de los trabajadores independientes, la percepción de sus ingresos depende de que durante su ausencia, la unidad económica continúe funcionando.</w:t>
      </w:r>
      <w:r>
        <w:t xml:space="preserve">” </w:t>
      </w:r>
      <w:r>
        <w:rPr>
          <w:b/>
        </w:rPr>
        <w:t>(Sic)</w:t>
      </w:r>
    </w:p>
    <w:p w14:paraId="704DBF1C" w14:textId="77777777" w:rsidR="00811425" w:rsidRDefault="00A153AC" w:rsidP="00BB1C32">
      <w:pPr>
        <w:spacing w:after="0" w:line="360" w:lineRule="auto"/>
        <w:jc w:val="both"/>
        <w:rPr>
          <w:rFonts w:ascii="Palatino Linotype" w:hAnsi="Palatino Linotype"/>
          <w:sz w:val="24"/>
          <w:lang w:val="es-ES"/>
        </w:rPr>
      </w:pPr>
      <w:r>
        <w:rPr>
          <w:rFonts w:ascii="Palatino Linotype" w:hAnsi="Palatino Linotype"/>
          <w:sz w:val="24"/>
          <w:lang w:val="es-ES"/>
        </w:rPr>
        <w:t xml:space="preserve"> </w:t>
      </w:r>
    </w:p>
    <w:p w14:paraId="4378F496" w14:textId="2DB1755E" w:rsidR="00A153AC" w:rsidRDefault="00811425" w:rsidP="00BB1C32">
      <w:pPr>
        <w:spacing w:after="0" w:line="360" w:lineRule="auto"/>
        <w:jc w:val="both"/>
        <w:rPr>
          <w:rFonts w:ascii="Palatino Linotype" w:hAnsi="Palatino Linotype"/>
          <w:sz w:val="24"/>
          <w:lang w:val="es-ES"/>
        </w:rPr>
      </w:pPr>
      <w:r w:rsidRPr="00F86EDD">
        <w:rPr>
          <w:rFonts w:ascii="Palatino Linotype" w:hAnsi="Palatino Linotype"/>
          <w:sz w:val="24"/>
          <w:lang w:val="es-ES"/>
        </w:rPr>
        <w:lastRenderedPageBreak/>
        <w:t>De esta manera</w:t>
      </w:r>
      <w:r>
        <w:rPr>
          <w:rFonts w:ascii="Palatino Linotype" w:hAnsi="Palatino Linotype"/>
          <w:sz w:val="24"/>
          <w:lang w:val="es-ES"/>
        </w:rPr>
        <w:t>, en el contexto que nos ocupa</w:t>
      </w:r>
      <w:r w:rsidRPr="00F86EDD">
        <w:rPr>
          <w:rFonts w:ascii="Palatino Linotype" w:hAnsi="Palatino Linotype"/>
          <w:sz w:val="24"/>
          <w:lang w:val="es-ES"/>
        </w:rPr>
        <w:t xml:space="preserve"> se arriba a la premisa de que</w:t>
      </w:r>
      <w:r>
        <w:rPr>
          <w:rFonts w:ascii="Palatino Linotype" w:hAnsi="Palatino Linotype"/>
          <w:sz w:val="24"/>
          <w:lang w:val="es-ES"/>
        </w:rPr>
        <w:t xml:space="preserve"> se entiende por relación de trabajo, cualquiera que sea el acto que le dé origen, a la prestación de un </w:t>
      </w:r>
      <w:r w:rsidRPr="002F192A">
        <w:rPr>
          <w:rFonts w:ascii="Palatino Linotype" w:hAnsi="Palatino Linotype"/>
          <w:b/>
          <w:sz w:val="24"/>
          <w:lang w:val="es-ES"/>
        </w:rPr>
        <w:t>trabajo personal subordinado</w:t>
      </w:r>
      <w:r>
        <w:rPr>
          <w:rFonts w:ascii="Palatino Linotype" w:hAnsi="Palatino Linotype"/>
          <w:sz w:val="24"/>
          <w:lang w:val="es-ES"/>
        </w:rPr>
        <w:t xml:space="preserve"> a una persona, mediante el pago de un </w:t>
      </w:r>
      <w:r w:rsidRPr="002F192A">
        <w:rPr>
          <w:rFonts w:ascii="Palatino Linotype" w:hAnsi="Palatino Linotype"/>
          <w:b/>
          <w:sz w:val="24"/>
          <w:lang w:val="es-ES"/>
        </w:rPr>
        <w:t>salario.</w:t>
      </w:r>
      <w:r>
        <w:rPr>
          <w:rFonts w:ascii="Palatino Linotype" w:hAnsi="Palatino Linotype"/>
          <w:sz w:val="24"/>
          <w:lang w:val="es-ES"/>
        </w:rPr>
        <w:t xml:space="preserve"> </w:t>
      </w:r>
    </w:p>
    <w:p w14:paraId="468D16D3" w14:textId="77777777" w:rsidR="00811425" w:rsidRDefault="00811425" w:rsidP="00BB1C32">
      <w:pPr>
        <w:spacing w:after="0" w:line="360" w:lineRule="auto"/>
        <w:jc w:val="both"/>
        <w:rPr>
          <w:rFonts w:ascii="Palatino Linotype" w:hAnsi="Palatino Linotype"/>
          <w:sz w:val="24"/>
          <w:lang w:val="es-ES"/>
        </w:rPr>
      </w:pPr>
    </w:p>
    <w:p w14:paraId="0BF07363" w14:textId="77DF9772" w:rsidR="00811425" w:rsidRDefault="00811425" w:rsidP="00BB1C32">
      <w:pPr>
        <w:spacing w:after="0" w:line="360" w:lineRule="auto"/>
        <w:jc w:val="both"/>
        <w:rPr>
          <w:rFonts w:ascii="Palatino Linotype" w:hAnsi="Palatino Linotype"/>
          <w:sz w:val="24"/>
          <w:lang w:val="es-ES"/>
        </w:rPr>
      </w:pPr>
      <w:r>
        <w:rPr>
          <w:rFonts w:ascii="Palatino Linotype" w:hAnsi="Palatino Linotype"/>
          <w:sz w:val="24"/>
          <w:lang w:val="es-ES"/>
        </w:rPr>
        <w:t xml:space="preserve">En razón de lo anterior, para ilustrar las formas en las que se </w:t>
      </w:r>
      <w:r w:rsidR="00B35527">
        <w:rPr>
          <w:rFonts w:ascii="Palatino Linotype" w:hAnsi="Palatino Linotype"/>
          <w:sz w:val="24"/>
          <w:lang w:val="es-ES"/>
        </w:rPr>
        <w:t xml:space="preserve">forman las relaciones de trabajo de los servidores públicos, resulta de nuestro particular interés traer a colación los numerales 1, primer párrafo, 5, 45, 48 y 49 de la Ley del Trabajo de los Servidores Públicos del Estado y Municipios, porciones normativas que disponen a la literalidad lo siguiente: </w:t>
      </w:r>
    </w:p>
    <w:p w14:paraId="5B8BE66A" w14:textId="6659EC10" w:rsidR="00B35527" w:rsidRPr="00B35527" w:rsidRDefault="00B35527" w:rsidP="00B35527">
      <w:pPr>
        <w:pStyle w:val="Citas"/>
        <w:rPr>
          <w:b/>
          <w:u w:val="single"/>
        </w:rPr>
      </w:pPr>
      <w:r w:rsidRPr="00B35527">
        <w:rPr>
          <w:b/>
          <w:u w:val="single"/>
        </w:rPr>
        <w:t>“ARTÍCULO 1.- Ésta ley es de orden público e interés social y tiene por objeto regular las relaciones de trabajo, comprendidas entre los poderes públicos del Estado y los Municipios y sus respectivos servidores públicos.</w:t>
      </w:r>
    </w:p>
    <w:p w14:paraId="57C1DFD5" w14:textId="5F260B9A" w:rsidR="00B35527" w:rsidRDefault="00B35527" w:rsidP="00B35527">
      <w:pPr>
        <w:pStyle w:val="Citas"/>
      </w:pPr>
      <w:r>
        <w:t>(…)</w:t>
      </w:r>
    </w:p>
    <w:p w14:paraId="732B87D0" w14:textId="211346AD" w:rsidR="00B35527" w:rsidRDefault="00B35527" w:rsidP="00B35527">
      <w:pPr>
        <w:pStyle w:val="Citas"/>
      </w:pPr>
      <w:r>
        <w:t>ARTICULO 5.- La relación de trabajo entre las instituciones públicas y sus servidores públicos se entiende establecida media te nombramiento, formato único de movimiento de personal, contrato o por cualquier otro acto que tenga como consecuencia la prestación personal subordinada del servicio y la percepción de un sueldo.</w:t>
      </w:r>
    </w:p>
    <w:p w14:paraId="1C12E9DB" w14:textId="64B39204" w:rsidR="00B35527" w:rsidRDefault="00B35527" w:rsidP="00B35527">
      <w:pPr>
        <w:pStyle w:val="Citas"/>
      </w:pPr>
      <w:r>
        <w:t>Para los efectos de esta ley, las instituciones públicas estarán representadas por sus titulares.</w:t>
      </w:r>
    </w:p>
    <w:p w14:paraId="57F57FC3" w14:textId="5CE19405" w:rsidR="00B35527" w:rsidRPr="00B35527" w:rsidRDefault="00B35527" w:rsidP="00B35527">
      <w:pPr>
        <w:pStyle w:val="Citas"/>
        <w:rPr>
          <w:b/>
          <w:u w:val="single"/>
        </w:rPr>
      </w:pPr>
      <w:r w:rsidRPr="00B35527">
        <w:rPr>
          <w:b/>
          <w:u w:val="single"/>
        </w:rPr>
        <w:t>ARTÍCULO 45.- Los servidores públicos prestarán sus servicios mediante nombramiento, contrato o formato único de Movimientos de Personal expedidos por quien estuviere facultado legalmente para extenderlo.</w:t>
      </w:r>
    </w:p>
    <w:p w14:paraId="407B49BC" w14:textId="77777777" w:rsidR="00B35527" w:rsidRDefault="00B35527" w:rsidP="00B35527">
      <w:pPr>
        <w:pStyle w:val="Citas"/>
      </w:pPr>
      <w:r>
        <w:lastRenderedPageBreak/>
        <w:t>ARTÍCULO 48. Para iniciar la prestación de los servicios se requiere:</w:t>
      </w:r>
    </w:p>
    <w:p w14:paraId="48D2ABAB" w14:textId="77777777" w:rsidR="00B35527" w:rsidRDefault="00B35527" w:rsidP="00B35527">
      <w:pPr>
        <w:pStyle w:val="Citas"/>
      </w:pPr>
      <w:r>
        <w:t xml:space="preserve"> I. Tener conferido el nombramiento, contrato respectivo o formato único de Movimientos de Personal; </w:t>
      </w:r>
    </w:p>
    <w:p w14:paraId="16819145" w14:textId="77777777" w:rsidR="00B35527" w:rsidRDefault="00B35527" w:rsidP="00B35527">
      <w:pPr>
        <w:pStyle w:val="Citas"/>
      </w:pPr>
      <w:r>
        <w:t xml:space="preserve">II. Rendir la protesta de ley en caso de nombramiento; y </w:t>
      </w:r>
    </w:p>
    <w:p w14:paraId="21D3FEC5" w14:textId="03AEBAEB" w:rsidR="00B35527" w:rsidRDefault="00B35527" w:rsidP="00B35527">
      <w:pPr>
        <w:pStyle w:val="Citas"/>
      </w:pPr>
      <w:r>
        <w:t>III. Tomar posesión del cargo.</w:t>
      </w:r>
    </w:p>
    <w:p w14:paraId="23146136" w14:textId="49055CE0" w:rsidR="00B35527" w:rsidRDefault="00B35527" w:rsidP="00B35527">
      <w:pPr>
        <w:pStyle w:val="Citas"/>
      </w:pPr>
      <w:r>
        <w:t xml:space="preserve">ARTÍCULO 49.- Los nombramientos, contratos o formato único de Movimientos de Personal de los servidores públicos deberá contener: </w:t>
      </w:r>
    </w:p>
    <w:p w14:paraId="7ECA61F6" w14:textId="77777777" w:rsidR="00B35527" w:rsidRDefault="00B35527" w:rsidP="00B35527">
      <w:pPr>
        <w:pStyle w:val="Citas"/>
      </w:pPr>
      <w:r>
        <w:t xml:space="preserve">I. Nombre completo del servidor público; </w:t>
      </w:r>
    </w:p>
    <w:p w14:paraId="4B0E0E74" w14:textId="77777777" w:rsidR="00B35527" w:rsidRDefault="00B35527" w:rsidP="00B35527">
      <w:pPr>
        <w:pStyle w:val="Citas"/>
      </w:pPr>
      <w:r>
        <w:t xml:space="preserve">II. Cargo para el que es designado, fecha de inicio de sus servicios y lugar de adscripción; </w:t>
      </w:r>
    </w:p>
    <w:p w14:paraId="33BBEB6F" w14:textId="77777777" w:rsidR="00B35527" w:rsidRDefault="00B35527" w:rsidP="00B35527">
      <w:pPr>
        <w:pStyle w:val="Citas"/>
      </w:pPr>
      <w:r>
        <w:t xml:space="preserve">III. Carácter del nombramiento, ya sea de servidores públicos generales o de confianza, así como la temporalidad del mismo; </w:t>
      </w:r>
    </w:p>
    <w:p w14:paraId="017B9721" w14:textId="77777777" w:rsidR="00B35527" w:rsidRDefault="00B35527" w:rsidP="00B35527">
      <w:pPr>
        <w:pStyle w:val="Citas"/>
      </w:pPr>
      <w:r>
        <w:t xml:space="preserve">IV. Remuneración correspondiente al puesto; </w:t>
      </w:r>
    </w:p>
    <w:p w14:paraId="244F3049" w14:textId="77777777" w:rsidR="00B35527" w:rsidRDefault="00B35527" w:rsidP="00B35527">
      <w:pPr>
        <w:pStyle w:val="Citas"/>
      </w:pPr>
      <w:r>
        <w:t xml:space="preserve">V. Jornada de trabajo; Ley del Trabajo de los Servidores Públicos del Estado y Municipios </w:t>
      </w:r>
    </w:p>
    <w:p w14:paraId="5397C0C3" w14:textId="77777777" w:rsidR="00B35527" w:rsidRDefault="00B35527" w:rsidP="00B35527">
      <w:pPr>
        <w:pStyle w:val="Citas"/>
      </w:pPr>
      <w:r>
        <w:t xml:space="preserve">VI. Derogada; </w:t>
      </w:r>
    </w:p>
    <w:p w14:paraId="61457B59" w14:textId="1565E304" w:rsidR="00B35527" w:rsidRPr="00B35527" w:rsidRDefault="00B35527" w:rsidP="00B35527">
      <w:pPr>
        <w:pStyle w:val="Citas"/>
        <w:rPr>
          <w:b/>
          <w:sz w:val="24"/>
          <w:lang w:val="es-ES"/>
        </w:rPr>
      </w:pPr>
      <w:r>
        <w:t xml:space="preserve">VII. Firma del servidor público autorizado para emitir el nombramiento, contrato o formato único de Movimientos de </w:t>
      </w:r>
      <w:proofErr w:type="spellStart"/>
      <w:r>
        <w:t>PersonaI</w:t>
      </w:r>
      <w:proofErr w:type="spellEnd"/>
      <w:r>
        <w:t xml:space="preserve">, así como el fundamento legal de esa atribución.” </w:t>
      </w:r>
      <w:r>
        <w:rPr>
          <w:b/>
        </w:rPr>
        <w:t>(Sic)</w:t>
      </w:r>
    </w:p>
    <w:p w14:paraId="106D05DE" w14:textId="77777777" w:rsidR="00811425" w:rsidRDefault="00811425" w:rsidP="00BB1C32">
      <w:pPr>
        <w:spacing w:after="0" w:line="360" w:lineRule="auto"/>
        <w:jc w:val="both"/>
        <w:rPr>
          <w:rFonts w:ascii="Palatino Linotype" w:hAnsi="Palatino Linotype"/>
          <w:sz w:val="24"/>
          <w:lang w:val="es-ES"/>
        </w:rPr>
      </w:pPr>
    </w:p>
    <w:p w14:paraId="00C2C894" w14:textId="0631492D" w:rsidR="00B35527" w:rsidRDefault="00B35527" w:rsidP="00BB1C32">
      <w:pPr>
        <w:spacing w:after="0" w:line="360" w:lineRule="auto"/>
        <w:jc w:val="both"/>
        <w:rPr>
          <w:rFonts w:ascii="Palatino Linotype" w:hAnsi="Palatino Linotype"/>
          <w:sz w:val="24"/>
          <w:lang w:val="es-ES"/>
        </w:rPr>
      </w:pPr>
      <w:r>
        <w:rPr>
          <w:rFonts w:ascii="Palatino Linotype" w:hAnsi="Palatino Linotype"/>
          <w:sz w:val="24"/>
          <w:lang w:val="es-ES"/>
        </w:rPr>
        <w:lastRenderedPageBreak/>
        <w:t>Hasta aquí lo expuesto, se arriba a la premisa de que las relaciones laborales entre el Estado y los servidores públicos se forman mediante</w:t>
      </w:r>
      <w:r w:rsidR="002F192A">
        <w:rPr>
          <w:rFonts w:ascii="Palatino Linotype" w:hAnsi="Palatino Linotype"/>
          <w:sz w:val="24"/>
          <w:lang w:val="es-ES"/>
        </w:rPr>
        <w:t xml:space="preserve"> las siguientes figuras:</w:t>
      </w:r>
    </w:p>
    <w:p w14:paraId="65E3293F" w14:textId="2BD0E7C4" w:rsidR="00B35527" w:rsidRDefault="002F192A" w:rsidP="00B35527">
      <w:pPr>
        <w:pStyle w:val="Prrafodelista"/>
        <w:numPr>
          <w:ilvl w:val="0"/>
          <w:numId w:val="14"/>
        </w:numPr>
        <w:spacing w:line="360" w:lineRule="auto"/>
        <w:jc w:val="both"/>
        <w:rPr>
          <w:rFonts w:ascii="Palatino Linotype" w:hAnsi="Palatino Linotype"/>
        </w:rPr>
      </w:pPr>
      <w:r>
        <w:rPr>
          <w:rFonts w:ascii="Palatino Linotype" w:hAnsi="Palatino Linotype"/>
        </w:rPr>
        <w:t>Ratificación mediante</w:t>
      </w:r>
      <w:r w:rsidR="00B35527">
        <w:rPr>
          <w:rFonts w:ascii="Palatino Linotype" w:hAnsi="Palatino Linotype"/>
        </w:rPr>
        <w:t xml:space="preserve"> nombramiento</w:t>
      </w:r>
      <w:r>
        <w:rPr>
          <w:rFonts w:ascii="Palatino Linotype" w:hAnsi="Palatino Linotype"/>
        </w:rPr>
        <w:t xml:space="preserve">. </w:t>
      </w:r>
    </w:p>
    <w:p w14:paraId="556C0A1A" w14:textId="5F0C1956" w:rsidR="00B35527" w:rsidRDefault="00B35527" w:rsidP="00B35527">
      <w:pPr>
        <w:pStyle w:val="Prrafodelista"/>
        <w:numPr>
          <w:ilvl w:val="0"/>
          <w:numId w:val="14"/>
        </w:numPr>
        <w:spacing w:line="360" w:lineRule="auto"/>
        <w:jc w:val="both"/>
        <w:rPr>
          <w:rFonts w:ascii="Palatino Linotype" w:hAnsi="Palatino Linotype"/>
        </w:rPr>
      </w:pPr>
      <w:r>
        <w:rPr>
          <w:rFonts w:ascii="Palatino Linotype" w:hAnsi="Palatino Linotype"/>
        </w:rPr>
        <w:t>Celebración de contrato</w:t>
      </w:r>
      <w:r w:rsidR="002F192A">
        <w:rPr>
          <w:rFonts w:ascii="Palatino Linotype" w:hAnsi="Palatino Linotype"/>
        </w:rPr>
        <w:t xml:space="preserve"> y/o instrumento jurídico análogo. </w:t>
      </w:r>
    </w:p>
    <w:p w14:paraId="68B20D4E" w14:textId="67048436" w:rsidR="00B35527" w:rsidRDefault="002F192A" w:rsidP="00B35527">
      <w:pPr>
        <w:pStyle w:val="Prrafodelista"/>
        <w:numPr>
          <w:ilvl w:val="0"/>
          <w:numId w:val="14"/>
        </w:numPr>
        <w:spacing w:line="360" w:lineRule="auto"/>
        <w:jc w:val="both"/>
        <w:rPr>
          <w:rFonts w:ascii="Palatino Linotype" w:hAnsi="Palatino Linotype"/>
        </w:rPr>
      </w:pPr>
      <w:r>
        <w:rPr>
          <w:rFonts w:ascii="Palatino Linotype" w:hAnsi="Palatino Linotype"/>
        </w:rPr>
        <w:t xml:space="preserve">Expedición de formato único de movimiento de personal. </w:t>
      </w:r>
    </w:p>
    <w:p w14:paraId="0600EACA" w14:textId="5E4641C2" w:rsidR="00B35527" w:rsidRPr="00B35527" w:rsidRDefault="002F192A" w:rsidP="00B35527">
      <w:pPr>
        <w:pStyle w:val="Prrafodelista"/>
        <w:numPr>
          <w:ilvl w:val="0"/>
          <w:numId w:val="14"/>
        </w:numPr>
        <w:spacing w:line="360" w:lineRule="auto"/>
        <w:jc w:val="both"/>
        <w:rPr>
          <w:rFonts w:ascii="Palatino Linotype" w:hAnsi="Palatino Linotype"/>
        </w:rPr>
      </w:pPr>
      <w:r>
        <w:rPr>
          <w:rFonts w:ascii="Palatino Linotype" w:hAnsi="Palatino Linotype"/>
        </w:rPr>
        <w:t xml:space="preserve">Ejecución de cualquier otro acto que tenga como consecuencia la prestación laboral subordinada del servicio y la percepción de un sueldo. </w:t>
      </w:r>
    </w:p>
    <w:p w14:paraId="4186C0BC" w14:textId="77777777" w:rsidR="00811425" w:rsidRDefault="00811425" w:rsidP="00BB1C32">
      <w:pPr>
        <w:spacing w:after="0" w:line="360" w:lineRule="auto"/>
        <w:jc w:val="both"/>
        <w:rPr>
          <w:rFonts w:ascii="Palatino Linotype" w:hAnsi="Palatino Linotype"/>
          <w:bCs/>
          <w:sz w:val="24"/>
          <w:szCs w:val="24"/>
        </w:rPr>
      </w:pPr>
    </w:p>
    <w:p w14:paraId="711D98D0" w14:textId="77777777" w:rsidR="002F192A" w:rsidRPr="00133322" w:rsidRDefault="002F192A" w:rsidP="002F192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 xml:space="preserve">Ahora bien, para identificar la unidad administrativa competente para atender la solicitud de información </w:t>
      </w:r>
      <w:r>
        <w:rPr>
          <w:rFonts w:ascii="Palatino Linotype" w:hAnsi="Palatino Linotype"/>
          <w:b/>
          <w:bCs/>
          <w:sz w:val="24"/>
          <w:szCs w:val="24"/>
        </w:rPr>
        <w:t>00081/IXTLAHUA/IP/2022</w:t>
      </w:r>
      <w:r>
        <w:rPr>
          <w:rFonts w:ascii="Palatino Linotype" w:hAnsi="Palatino Linotype"/>
          <w:bCs/>
          <w:sz w:val="24"/>
          <w:szCs w:val="24"/>
        </w:rPr>
        <w:t xml:space="preserve">, resulta oportuno traer a colación </w:t>
      </w:r>
      <w:r w:rsidRPr="00133322">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177C5DE3" w14:textId="77777777" w:rsidR="002F192A" w:rsidRPr="008B4658" w:rsidRDefault="002F192A" w:rsidP="002F192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192A8224" w14:textId="77777777" w:rsidR="002F192A" w:rsidRPr="008B4658" w:rsidRDefault="002F192A" w:rsidP="002F192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0ECF6D28" w14:textId="77777777" w:rsidR="002F192A" w:rsidRDefault="002F192A" w:rsidP="002F192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469B5559" w14:textId="77777777" w:rsidR="002F192A" w:rsidRPr="008B4658" w:rsidRDefault="002F192A" w:rsidP="002F192A">
      <w:pPr>
        <w:autoSpaceDE w:val="0"/>
        <w:autoSpaceDN w:val="0"/>
        <w:adjustRightInd w:val="0"/>
        <w:spacing w:before="240" w:line="360" w:lineRule="auto"/>
        <w:ind w:left="851" w:right="851"/>
        <w:jc w:val="both"/>
        <w:rPr>
          <w:rFonts w:ascii="Palatino Linotype" w:hAnsi="Palatino Linotype" w:cs="Arial"/>
          <w:i/>
          <w:iCs/>
        </w:rPr>
      </w:pPr>
      <w:r>
        <w:rPr>
          <w:rFonts w:ascii="Palatino Linotype" w:hAnsi="Palatino Linotype"/>
          <w:i/>
          <w:iCs/>
        </w:rPr>
        <w:t>(…)</w:t>
      </w:r>
    </w:p>
    <w:p w14:paraId="50260B8D" w14:textId="77777777" w:rsidR="002F192A" w:rsidRDefault="002F192A" w:rsidP="002F192A">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987E9F" w14:textId="77777777" w:rsidR="002F192A" w:rsidRPr="008B4658" w:rsidRDefault="002F192A" w:rsidP="002F192A">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43E7240" w14:textId="77777777" w:rsidR="002F192A" w:rsidRDefault="002F192A" w:rsidP="002F192A">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 xml:space="preserve">[Sic] </w:t>
      </w:r>
    </w:p>
    <w:p w14:paraId="4AB1EEF2" w14:textId="77777777" w:rsidR="002F192A" w:rsidRDefault="002F192A" w:rsidP="002F192A">
      <w:pPr>
        <w:spacing w:before="240" w:line="360" w:lineRule="auto"/>
        <w:jc w:val="both"/>
        <w:rPr>
          <w:rFonts w:ascii="Palatino Linotype" w:hAnsi="Palatino Linotype"/>
          <w:bCs/>
          <w:sz w:val="24"/>
          <w:szCs w:val="24"/>
        </w:rPr>
      </w:pPr>
    </w:p>
    <w:p w14:paraId="272890C2" w14:textId="77777777" w:rsidR="002F192A" w:rsidRDefault="002F192A" w:rsidP="002F192A">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360B6DFB" w14:textId="5D3FEFBC" w:rsidR="002F192A" w:rsidRPr="002F192A" w:rsidRDefault="008C08A3" w:rsidP="00BB1C32">
      <w:pPr>
        <w:spacing w:after="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682816" behindDoc="0" locked="0" layoutInCell="1" allowOverlap="1" wp14:anchorId="78DCF24F" wp14:editId="35862909">
                <wp:simplePos x="0" y="0"/>
                <wp:positionH relativeFrom="column">
                  <wp:posOffset>-77025</wp:posOffset>
                </wp:positionH>
                <wp:positionV relativeFrom="paragraph">
                  <wp:posOffset>590710</wp:posOffset>
                </wp:positionV>
                <wp:extent cx="5861714" cy="2006221"/>
                <wp:effectExtent l="0" t="0" r="24765" b="32385"/>
                <wp:wrapNone/>
                <wp:docPr id="11" name="Conector recto 11"/>
                <wp:cNvGraphicFramePr/>
                <a:graphic xmlns:a="http://schemas.openxmlformats.org/drawingml/2006/main">
                  <a:graphicData uri="http://schemas.microsoft.com/office/word/2010/wordprocessingShape">
                    <wps:wsp>
                      <wps:cNvCnPr/>
                      <wps:spPr>
                        <a:xfrm>
                          <a:off x="0" y="0"/>
                          <a:ext cx="5861714" cy="20062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6AB166" id="Conector recto 1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05pt,46.5pt" to="455.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" strokecolor="#5b9bd5 [3204]" strokeweight=".5pt">
                <v:stroke joinstyle="miter"/>
              </v:line>
            </w:pict>
          </mc:Fallback>
        </mc:AlternateContent>
      </w:r>
      <w:hyperlink r:id="rId8" w:history="1">
        <w:r w:rsidR="002F192A" w:rsidRPr="007407EE">
          <w:rPr>
            <w:rStyle w:val="Hipervnculo"/>
            <w:rFonts w:ascii="Palatino Linotype" w:hAnsi="Palatino Linotype"/>
            <w:bCs/>
            <w:sz w:val="24"/>
            <w:szCs w:val="24"/>
          </w:rPr>
          <w:t>https://www.ipomex.org.mx/ipo3/lgt/indice/IXTLAHUACA/art_92_ii_b/4.web</w:t>
        </w:r>
      </w:hyperlink>
      <w:r w:rsidR="002F192A">
        <w:rPr>
          <w:rFonts w:ascii="Palatino Linotype" w:hAnsi="Palatino Linotype"/>
          <w:bCs/>
          <w:sz w:val="24"/>
          <w:szCs w:val="24"/>
        </w:rPr>
        <w:t xml:space="preserve"> </w:t>
      </w:r>
    </w:p>
    <w:p w14:paraId="165924E4" w14:textId="5A028B72" w:rsidR="002F192A" w:rsidRDefault="002F192A" w:rsidP="00BB1C32">
      <w:pPr>
        <w:spacing w:after="0" w:line="360" w:lineRule="auto"/>
        <w:jc w:val="both"/>
        <w:rPr>
          <w:rFonts w:ascii="Palatino Linotype" w:hAnsi="Palatino Linotype"/>
          <w:bCs/>
          <w:sz w:val="24"/>
          <w:szCs w:val="24"/>
        </w:rPr>
      </w:pPr>
      <w:r>
        <w:rPr>
          <w:rFonts w:ascii="Palatino Linotype" w:hAnsi="Palatino Linotype"/>
          <w:bCs/>
          <w:noProof/>
          <w:lang w:eastAsia="es-MX"/>
        </w:rPr>
        <w:lastRenderedPageBreak/>
        <w:drawing>
          <wp:anchor distT="0" distB="0" distL="114300" distR="114300" simplePos="0" relativeHeight="251669502" behindDoc="0" locked="0" layoutInCell="1" allowOverlap="1" wp14:anchorId="45C6E711" wp14:editId="3DC94E4C">
            <wp:simplePos x="0" y="0"/>
            <wp:positionH relativeFrom="column">
              <wp:posOffset>-1602</wp:posOffset>
            </wp:positionH>
            <wp:positionV relativeFrom="paragraph">
              <wp:posOffset>81887</wp:posOffset>
            </wp:positionV>
            <wp:extent cx="5692140" cy="3225800"/>
            <wp:effectExtent l="19050" t="19050" r="22860" b="12700"/>
            <wp:wrapThrough wrapText="bothSides">
              <wp:wrapPolygon edited="0">
                <wp:start x="-72" y="-128"/>
                <wp:lineTo x="-72" y="21557"/>
                <wp:lineTo x="21614" y="21557"/>
                <wp:lineTo x="21614" y="-128"/>
                <wp:lineTo x="-72" y="-128"/>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2140" cy="3225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4E9008A" w14:textId="2B71A934" w:rsidR="002F192A" w:rsidRPr="00A153AC" w:rsidRDefault="008C08A3" w:rsidP="00BB1C32">
      <w:pPr>
        <w:spacing w:after="0" w:line="360" w:lineRule="auto"/>
        <w:jc w:val="both"/>
        <w:rPr>
          <w:rFonts w:ascii="Palatino Linotype" w:hAnsi="Palatino Linotype"/>
          <w:bCs/>
          <w:sz w:val="24"/>
          <w:szCs w:val="24"/>
        </w:rPr>
      </w:pPr>
      <w:r>
        <w:rPr>
          <w:rFonts w:ascii="Palatino Linotype" w:hAnsi="Palatino Linotype"/>
          <w:bCs/>
          <w:noProof/>
          <w:lang w:eastAsia="es-MX"/>
        </w:rPr>
        <w:drawing>
          <wp:anchor distT="0" distB="0" distL="114300" distR="114300" simplePos="0" relativeHeight="251681792" behindDoc="0" locked="0" layoutInCell="1" allowOverlap="1" wp14:anchorId="5B1C7B18" wp14:editId="32D270D5">
            <wp:simplePos x="0" y="0"/>
            <wp:positionH relativeFrom="column">
              <wp:posOffset>1457325</wp:posOffset>
            </wp:positionH>
            <wp:positionV relativeFrom="paragraph">
              <wp:posOffset>93876</wp:posOffset>
            </wp:positionV>
            <wp:extent cx="2585720" cy="947420"/>
            <wp:effectExtent l="19050" t="19050" r="24130" b="24130"/>
            <wp:wrapThrough wrapText="bothSides">
              <wp:wrapPolygon edited="0">
                <wp:start x="-159" y="-434"/>
                <wp:lineTo x="-159" y="21716"/>
                <wp:lineTo x="21642" y="21716"/>
                <wp:lineTo x="21642" y="-434"/>
                <wp:lineTo x="-159" y="-434"/>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720" cy="9474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4BFF61" w14:textId="5AD34FCF" w:rsidR="00A153AC" w:rsidRDefault="00A153AC" w:rsidP="00BB1C32">
      <w:pPr>
        <w:spacing w:after="0" w:line="360" w:lineRule="auto"/>
        <w:jc w:val="both"/>
        <w:rPr>
          <w:rFonts w:ascii="Palatino Linotype" w:hAnsi="Palatino Linotype"/>
          <w:bCs/>
          <w:sz w:val="24"/>
          <w:szCs w:val="24"/>
        </w:rPr>
      </w:pPr>
    </w:p>
    <w:p w14:paraId="03AD393D" w14:textId="2A878121" w:rsidR="003412D2" w:rsidRDefault="003412D2" w:rsidP="001C336E">
      <w:pPr>
        <w:spacing w:before="240" w:line="360" w:lineRule="auto"/>
        <w:jc w:val="both"/>
        <w:rPr>
          <w:rStyle w:val="Hipervnculo"/>
          <w:rFonts w:ascii="Palatino Linotype" w:hAnsi="Palatino Linotype"/>
          <w:bCs/>
        </w:rPr>
      </w:pPr>
    </w:p>
    <w:p w14:paraId="277987FE" w14:textId="05EBEEDB" w:rsidR="003412D2" w:rsidRDefault="003412D2" w:rsidP="001C336E">
      <w:pPr>
        <w:spacing w:before="240" w:line="360" w:lineRule="auto"/>
        <w:jc w:val="both"/>
        <w:rPr>
          <w:rStyle w:val="Hipervnculo"/>
          <w:rFonts w:ascii="Palatino Linotype" w:hAnsi="Palatino Linotype"/>
          <w:bCs/>
        </w:rPr>
      </w:pPr>
    </w:p>
    <w:p w14:paraId="692CC601" w14:textId="73CCDF09" w:rsidR="005E38DF" w:rsidRDefault="005E38DF" w:rsidP="005E38DF">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w:t>
      </w:r>
    </w:p>
    <w:p w14:paraId="580E826A" w14:textId="77777777" w:rsidR="002F192A" w:rsidRDefault="002F192A" w:rsidP="005E38DF">
      <w:pPr>
        <w:pStyle w:val="Sinespaciado"/>
        <w:spacing w:line="360" w:lineRule="auto"/>
        <w:jc w:val="both"/>
        <w:rPr>
          <w:rFonts w:ascii="Palatino Linotype" w:hAnsi="Palatino Linotype" w:cs="Arial"/>
        </w:rPr>
      </w:pPr>
    </w:p>
    <w:p w14:paraId="2B51D4D1" w14:textId="4EC05B49" w:rsidR="002F192A" w:rsidRDefault="002F192A" w:rsidP="005E38DF">
      <w:pPr>
        <w:pStyle w:val="Sinespaciado"/>
        <w:spacing w:line="360" w:lineRule="auto"/>
        <w:jc w:val="both"/>
        <w:rPr>
          <w:rFonts w:ascii="Palatino Linotype" w:hAnsi="Palatino Linotype" w:cs="Arial"/>
        </w:rPr>
      </w:pPr>
      <w:r>
        <w:rPr>
          <w:rFonts w:ascii="Palatino Linotype" w:hAnsi="Palatino Linotype" w:cs="Arial"/>
        </w:rPr>
        <w:lastRenderedPageBreak/>
        <w:t>En virtud de lo anterior, para delimitar las fronteras conceptuales de la unidad administrativa en cita, se traen a colación los numerales 130 y 131 del Bando Municipal de Ixtlahuaca, cuyo contenido literal es el siguiente:</w:t>
      </w:r>
    </w:p>
    <w:p w14:paraId="305E092D" w14:textId="3AB4DEC1" w:rsidR="001D7217" w:rsidRDefault="001D7217" w:rsidP="001D7217">
      <w:pPr>
        <w:pStyle w:val="Citas"/>
      </w:pPr>
      <w:r>
        <w:t>“</w:t>
      </w:r>
      <w:r w:rsidR="002F192A">
        <w:t xml:space="preserve">Artículo 130.- El Ayuntamiento, a través de la Dirección de Administración, tendrá la función de planear, organizar y controlar los recursos humanos, materiales y servicios generales e informáticos, para fortalecer las soluciones internas de las áreas administrativas del ayuntamiento que contribuyan a mejorar las respuestas frente a las demandas de la ciudadanía. </w:t>
      </w:r>
    </w:p>
    <w:p w14:paraId="15BEB6F0" w14:textId="2292D672" w:rsidR="002F192A" w:rsidRDefault="002F192A" w:rsidP="001D7217">
      <w:pPr>
        <w:pStyle w:val="Citas"/>
      </w:pPr>
      <w:r w:rsidRPr="003C25FD">
        <w:rPr>
          <w:b/>
          <w:u w:val="single"/>
        </w:rPr>
        <w:t>Ésta trabajará bajo tres grandes dimensiones; los recursos humanos como insumo principal del quehacer institucional</w:t>
      </w:r>
      <w:r>
        <w:t xml:space="preserve">, los recursos materiales, mismos que deberán ser utilizados con racionalidad económica, distribución administrativa-versus operativa y con transparencia en lo referente a su manejo, asignación y licitación, para, finalmente, generar una reingeniería de los sistemas computacionales, todo ello para el óptimo funcionamiento de las diversas áreas de la administración municipal. </w:t>
      </w:r>
    </w:p>
    <w:p w14:paraId="447AE559" w14:textId="2E192392" w:rsidR="002F192A" w:rsidRPr="001D7217" w:rsidRDefault="002F192A" w:rsidP="001D7217">
      <w:pPr>
        <w:pStyle w:val="Citas"/>
        <w:rPr>
          <w:b/>
        </w:rPr>
      </w:pPr>
      <w:r>
        <w:t>Artículo 131.- La Dirección de Administración se sujetara a la normatividad vigente en los diversos rubros que le compete, respetando en cada proceso la política de austeridad.</w:t>
      </w:r>
      <w:r w:rsidR="001D7217">
        <w:t xml:space="preserve">” </w:t>
      </w:r>
      <w:r w:rsidR="001D7217">
        <w:rPr>
          <w:b/>
        </w:rPr>
        <w:t>(Sic)</w:t>
      </w:r>
    </w:p>
    <w:p w14:paraId="7D5E1DDB" w14:textId="77777777" w:rsidR="002F192A" w:rsidRDefault="002F192A" w:rsidP="005E38DF">
      <w:pPr>
        <w:pStyle w:val="Sinespaciado"/>
        <w:spacing w:line="360" w:lineRule="auto"/>
        <w:jc w:val="both"/>
        <w:rPr>
          <w:rFonts w:ascii="Palatino Linotype" w:hAnsi="Palatino Linotype" w:cs="Arial"/>
        </w:rPr>
      </w:pPr>
    </w:p>
    <w:p w14:paraId="1EAC42C9" w14:textId="77777777" w:rsidR="002F192A" w:rsidRDefault="002F192A" w:rsidP="005E38DF">
      <w:pPr>
        <w:pStyle w:val="Sinespaciado"/>
        <w:spacing w:line="360" w:lineRule="auto"/>
        <w:jc w:val="both"/>
        <w:rPr>
          <w:rFonts w:ascii="Palatino Linotype" w:hAnsi="Palatino Linotype" w:cs="Arial"/>
        </w:rPr>
      </w:pPr>
    </w:p>
    <w:p w14:paraId="60F40EB5" w14:textId="352065D5" w:rsidR="005E38DF" w:rsidRDefault="001D7217" w:rsidP="005E38DF">
      <w:pPr>
        <w:pStyle w:val="Sinespaciado"/>
        <w:spacing w:line="360" w:lineRule="auto"/>
        <w:jc w:val="both"/>
        <w:rPr>
          <w:rFonts w:ascii="Palatino Linotype" w:hAnsi="Palatino Linotype" w:cs="Arial"/>
        </w:rPr>
      </w:pPr>
      <w:r>
        <w:rPr>
          <w:rFonts w:ascii="Palatino Linotype" w:hAnsi="Palatino Linotype" w:cs="Arial"/>
        </w:rPr>
        <w:t xml:space="preserve">Bajo este contexto, a toda luz se desprende que la </w:t>
      </w:r>
      <w:r w:rsidR="007302D5">
        <w:rPr>
          <w:rFonts w:ascii="Palatino Linotype" w:hAnsi="Palatino Linotype" w:cs="Arial"/>
        </w:rPr>
        <w:t xml:space="preserve">información requerida es susceptible de obrar en los archivos del </w:t>
      </w:r>
      <w:r w:rsidR="007302D5">
        <w:rPr>
          <w:rFonts w:ascii="Palatino Linotype" w:hAnsi="Palatino Linotype" w:cs="Arial"/>
          <w:b/>
        </w:rPr>
        <w:t xml:space="preserve">Sujeto Obligado, </w:t>
      </w:r>
      <w:r w:rsidR="007302D5">
        <w:rPr>
          <w:rFonts w:ascii="Palatino Linotype" w:hAnsi="Palatino Linotype" w:cs="Arial"/>
        </w:rPr>
        <w:t xml:space="preserve">precisando que la información estriba dentro de las fronteras conceptuales de la información general y el alcance público. </w:t>
      </w:r>
    </w:p>
    <w:p w14:paraId="3B1B9198" w14:textId="69831230" w:rsidR="007302D5" w:rsidRDefault="007302D5" w:rsidP="007302D5">
      <w:pPr>
        <w:pStyle w:val="Citas"/>
        <w:ind w:left="0" w:right="0"/>
        <w:rPr>
          <w:i w:val="0"/>
          <w:sz w:val="24"/>
          <w:szCs w:val="24"/>
        </w:rPr>
      </w:pPr>
      <w:r>
        <w:rPr>
          <w:i w:val="0"/>
          <w:sz w:val="24"/>
          <w:szCs w:val="24"/>
        </w:rPr>
        <w:lastRenderedPageBreak/>
        <w:t xml:space="preserve">Una vez sentado lo anterior, como se mencionó en el antecedente segundo </w:t>
      </w:r>
      <w:r>
        <w:rPr>
          <w:b/>
          <w:i w:val="0"/>
          <w:sz w:val="24"/>
          <w:szCs w:val="24"/>
        </w:rPr>
        <w:t xml:space="preserve">El Sujeto Obligado </w:t>
      </w:r>
      <w:r>
        <w:rPr>
          <w:i w:val="0"/>
          <w:sz w:val="24"/>
          <w:szCs w:val="24"/>
        </w:rPr>
        <w:t>rindió su respuesta en fecha veintidós de marzo del presente, adjuntando para tal efecto lo siguiente:</w:t>
      </w:r>
    </w:p>
    <w:p w14:paraId="498602A6" w14:textId="42D6DFCA" w:rsidR="007302D5" w:rsidRPr="007302D5" w:rsidRDefault="007302D5" w:rsidP="007302D5">
      <w:pPr>
        <w:pStyle w:val="Sinespaciado"/>
        <w:numPr>
          <w:ilvl w:val="0"/>
          <w:numId w:val="15"/>
        </w:numPr>
        <w:spacing w:line="360" w:lineRule="auto"/>
        <w:jc w:val="both"/>
        <w:rPr>
          <w:rFonts w:ascii="Palatino Linotype" w:hAnsi="Palatino Linotype" w:cs="Arial"/>
          <w:b/>
        </w:rPr>
      </w:pPr>
      <w:r>
        <w:rPr>
          <w:rFonts w:ascii="Palatino Linotype" w:hAnsi="Palatino Linotype" w:cs="Arial"/>
          <w:b/>
        </w:rPr>
        <w:t xml:space="preserve">“VP RESP.SOL.81.pdf”: </w:t>
      </w:r>
      <w:r>
        <w:rPr>
          <w:rFonts w:ascii="Palatino Linotype" w:hAnsi="Palatino Linotype" w:cs="Arial"/>
        </w:rPr>
        <w:t>Compila lo siguiente:</w:t>
      </w:r>
    </w:p>
    <w:p w14:paraId="485431E2" w14:textId="386D310E" w:rsidR="007302D5" w:rsidRPr="007302D5" w:rsidRDefault="007302D5" w:rsidP="007302D5">
      <w:pPr>
        <w:pStyle w:val="Sinespaciado"/>
        <w:numPr>
          <w:ilvl w:val="0"/>
          <w:numId w:val="16"/>
        </w:numPr>
        <w:spacing w:line="360" w:lineRule="auto"/>
        <w:jc w:val="both"/>
        <w:rPr>
          <w:rFonts w:ascii="Palatino Linotype" w:hAnsi="Palatino Linotype" w:cs="Arial"/>
          <w:b/>
        </w:rPr>
      </w:pPr>
      <w:r>
        <w:rPr>
          <w:rFonts w:ascii="Palatino Linotype" w:hAnsi="Palatino Linotype" w:cs="Arial"/>
        </w:rPr>
        <w:t xml:space="preserve">Oficio número </w:t>
      </w:r>
      <w:r>
        <w:rPr>
          <w:rFonts w:ascii="Palatino Linotype" w:hAnsi="Palatino Linotype" w:cs="Arial"/>
          <w:b/>
        </w:rPr>
        <w:t xml:space="preserve">PMIX/DA/RH/0422/2022 </w:t>
      </w:r>
      <w:r>
        <w:rPr>
          <w:rFonts w:ascii="Palatino Linotype" w:hAnsi="Palatino Linotype" w:cs="Arial"/>
        </w:rPr>
        <w:t xml:space="preserve">signado por la Directora de Administración y dirigido a la Titular de la Unidad de Transparencia, de fecha diecisiete de marzo de dos mil veintidós, en términos generales refiere adjuntar listado de servidores públicos que laboraron en la Tesorería y Contraloría Municipal durante las quincenas referidas, señalando que la Clave ISSEMYM acredita la relación laboral. </w:t>
      </w:r>
    </w:p>
    <w:p w14:paraId="320493EF" w14:textId="734A6489" w:rsidR="007302D5" w:rsidRDefault="007302D5" w:rsidP="007302D5">
      <w:pPr>
        <w:pStyle w:val="Sinespaciado"/>
        <w:numPr>
          <w:ilvl w:val="0"/>
          <w:numId w:val="16"/>
        </w:numPr>
        <w:spacing w:line="360" w:lineRule="auto"/>
        <w:jc w:val="both"/>
        <w:rPr>
          <w:rFonts w:ascii="Palatino Linotype" w:hAnsi="Palatino Linotype" w:cs="Arial"/>
          <w:b/>
        </w:rPr>
      </w:pPr>
      <w:r>
        <w:rPr>
          <w:rFonts w:ascii="Palatino Linotype" w:hAnsi="Palatino Linotype" w:cs="Arial"/>
        </w:rPr>
        <w:t xml:space="preserve">Remuneración de servidores públicos correspondiente al periodo 16/12/2021 al 31/12/2021, refleja los siguientes campos: Nombre, puesto funcional, dependencia, estatus, clave ISSEMYM (testada), fecha de alta, dietas, sueldo base, compensaciones, gratificaciones, otras percepciones, sueldo bruto y sueldo neto. </w:t>
      </w:r>
    </w:p>
    <w:p w14:paraId="1A6DC86D" w14:textId="26DF5115" w:rsidR="007302D5" w:rsidRPr="007302D5" w:rsidRDefault="007302D5" w:rsidP="007302D5">
      <w:pPr>
        <w:pStyle w:val="Sinespaciado"/>
        <w:numPr>
          <w:ilvl w:val="0"/>
          <w:numId w:val="15"/>
        </w:numPr>
        <w:spacing w:line="360" w:lineRule="auto"/>
        <w:jc w:val="both"/>
        <w:rPr>
          <w:rFonts w:ascii="Palatino Linotype" w:hAnsi="Palatino Linotype" w:cs="Arial"/>
          <w:b/>
        </w:rPr>
      </w:pPr>
      <w:r>
        <w:rPr>
          <w:rFonts w:ascii="Palatino Linotype" w:hAnsi="Palatino Linotype" w:cs="Arial"/>
          <w:b/>
        </w:rPr>
        <w:t xml:space="preserve">“ACTA.pdf”: </w:t>
      </w:r>
      <w:r>
        <w:rPr>
          <w:rFonts w:ascii="Palatino Linotype" w:hAnsi="Palatino Linotype" w:cs="Arial"/>
        </w:rPr>
        <w:t xml:space="preserve">Acta del Comité de Transparencia correspondiente a la Sexta Sesión Extraordinaria, celebrada el veintidós de marzo de dos mil veintidós, sustenta la versión pública respecto de diversas solicitudes de información, destacando la </w:t>
      </w:r>
      <w:r w:rsidR="00930D4A">
        <w:rPr>
          <w:rFonts w:ascii="Palatino Linotype" w:hAnsi="Palatino Linotype" w:cs="Arial"/>
        </w:rPr>
        <w:t xml:space="preserve">relativa al número </w:t>
      </w:r>
      <w:r>
        <w:rPr>
          <w:rFonts w:ascii="Palatino Linotype" w:hAnsi="Palatino Linotype" w:cs="Arial"/>
          <w:b/>
        </w:rPr>
        <w:t>00081/IXTLAHUA/IP/2022</w:t>
      </w:r>
    </w:p>
    <w:p w14:paraId="2BAD546E" w14:textId="77777777" w:rsidR="007302D5" w:rsidRDefault="007302D5" w:rsidP="005E38DF">
      <w:pPr>
        <w:pStyle w:val="Sinespaciado"/>
        <w:spacing w:line="360" w:lineRule="auto"/>
        <w:jc w:val="both"/>
        <w:rPr>
          <w:rFonts w:ascii="Palatino Linotype" w:hAnsi="Palatino Linotype" w:cs="Arial"/>
        </w:rPr>
      </w:pPr>
    </w:p>
    <w:p w14:paraId="338CBC21" w14:textId="44400E1B" w:rsidR="007302D5" w:rsidRDefault="00930D4A" w:rsidP="005E38DF">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rendida por </w:t>
      </w:r>
      <w:r>
        <w:rPr>
          <w:rFonts w:ascii="Palatino Linotype" w:hAnsi="Palatino Linotype" w:cs="Arial"/>
          <w:b/>
        </w:rPr>
        <w:t xml:space="preserve">El Sujeto Obligado, </w:t>
      </w:r>
      <w:r w:rsidR="00E548E7">
        <w:rPr>
          <w:rFonts w:ascii="Palatino Linotype" w:hAnsi="Palatino Linotype" w:cs="Arial"/>
          <w:b/>
        </w:rPr>
        <w:t>La</w:t>
      </w:r>
      <w:r>
        <w:rPr>
          <w:rFonts w:ascii="Palatino Linotype" w:hAnsi="Palatino Linotype" w:cs="Arial"/>
          <w:b/>
        </w:rPr>
        <w:t xml:space="preserve"> Recurrente </w:t>
      </w:r>
      <w:r>
        <w:rPr>
          <w:rFonts w:ascii="Palatino Linotype" w:hAnsi="Palatino Linotype" w:cs="Arial"/>
        </w:rPr>
        <w:t xml:space="preserve">interpuso recurso de revisión en fecha veintinueve de marzo, admitiéndose el uno de abril, ambos de dos mil veintidós. Señalando como acto impugnado: </w:t>
      </w:r>
    </w:p>
    <w:p w14:paraId="5E4B30B1" w14:textId="0C633F34" w:rsidR="00930D4A" w:rsidRPr="00930D4A" w:rsidRDefault="00930D4A" w:rsidP="00930D4A">
      <w:pPr>
        <w:pStyle w:val="Citas"/>
        <w:rPr>
          <w:b/>
        </w:rPr>
      </w:pPr>
      <w:r>
        <w:lastRenderedPageBreak/>
        <w:t xml:space="preserve">“El Sujeto Obligado hace entrega de información que no corresponde con lo solicitado, toda vez que la misma no es la idónea para amparar y/o acreditar una relación laboral, según lo establecido por la legislación laboral aplicable en la entidad mexiquense.” </w:t>
      </w:r>
      <w:r>
        <w:rPr>
          <w:b/>
        </w:rPr>
        <w:t>(Sic)</w:t>
      </w:r>
    </w:p>
    <w:p w14:paraId="30C5D81B" w14:textId="77777777" w:rsidR="00E556B6" w:rsidRDefault="00E556B6" w:rsidP="00E556B6">
      <w:pPr>
        <w:pStyle w:val="Citas"/>
        <w:rPr>
          <w:noProof/>
          <w:lang w:eastAsia="es-MX"/>
        </w:rPr>
      </w:pPr>
    </w:p>
    <w:p w14:paraId="24A89F0D" w14:textId="4AEC08FA" w:rsidR="00B07F0A" w:rsidRDefault="00B07F0A" w:rsidP="00B07F0A">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w:t>
      </w:r>
      <w:r w:rsidR="00930D4A">
        <w:rPr>
          <w:i w:val="0"/>
          <w:sz w:val="24"/>
          <w:szCs w:val="24"/>
        </w:rPr>
        <w:t>sta en el artículo 179, fracciones</w:t>
      </w:r>
      <w:r>
        <w:rPr>
          <w:i w:val="0"/>
          <w:sz w:val="24"/>
          <w:szCs w:val="24"/>
        </w:rPr>
        <w:t xml:space="preserve"> I</w:t>
      </w:r>
      <w:r w:rsidR="00930D4A">
        <w:rPr>
          <w:i w:val="0"/>
          <w:sz w:val="24"/>
          <w:szCs w:val="24"/>
        </w:rPr>
        <w:t xml:space="preserve"> y VI</w:t>
      </w:r>
      <w:r>
        <w:rPr>
          <w:i w:val="0"/>
          <w:sz w:val="24"/>
          <w:szCs w:val="24"/>
        </w:rPr>
        <w:t xml:space="preserve"> de la Ley de Transparencia y Acceso a la Información Pública del Estado de México y Municipios, normatividad que dispone a la literalidad lo siguiente:</w:t>
      </w:r>
    </w:p>
    <w:p w14:paraId="73EA6AD8" w14:textId="77777777" w:rsidR="00B07F0A" w:rsidRDefault="00B07F0A" w:rsidP="00B07F0A">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0311D85C" w14:textId="77777777" w:rsidR="00B07F0A" w:rsidRDefault="00B07F0A" w:rsidP="00B07F0A">
      <w:pPr>
        <w:pStyle w:val="Citas"/>
      </w:pPr>
      <w:r>
        <w:t xml:space="preserve">I. La negativa a la información solicitada; </w:t>
      </w:r>
    </w:p>
    <w:p w14:paraId="119EFE9D" w14:textId="77777777" w:rsidR="00E761C2" w:rsidRDefault="00B07F0A" w:rsidP="00B07F0A">
      <w:pPr>
        <w:pStyle w:val="Citas"/>
      </w:pPr>
      <w:r>
        <w:t>(…)</w:t>
      </w:r>
    </w:p>
    <w:p w14:paraId="24134FCE" w14:textId="77777777" w:rsidR="00930D4A" w:rsidRDefault="00930D4A" w:rsidP="00B07F0A">
      <w:pPr>
        <w:pStyle w:val="Citas"/>
      </w:pPr>
      <w:r>
        <w:t xml:space="preserve">VI. La entrega de información que no corresponda con lo solicitado; </w:t>
      </w:r>
    </w:p>
    <w:p w14:paraId="5EA5E683" w14:textId="13E956EC" w:rsidR="00B07F0A" w:rsidRPr="007818E1" w:rsidRDefault="00E761C2" w:rsidP="00B07F0A">
      <w:pPr>
        <w:pStyle w:val="Citas"/>
        <w:rPr>
          <w:b/>
        </w:rPr>
      </w:pPr>
      <w:r>
        <w:t>(…)</w:t>
      </w:r>
      <w:r w:rsidR="00B07F0A">
        <w:t xml:space="preserve">” </w:t>
      </w:r>
      <w:r w:rsidR="00B07F0A">
        <w:rPr>
          <w:b/>
        </w:rPr>
        <w:t>[Sic]</w:t>
      </w:r>
    </w:p>
    <w:p w14:paraId="1B4727C1" w14:textId="77777777" w:rsidR="00F46D41" w:rsidRDefault="00F46D41" w:rsidP="00E761C2">
      <w:pPr>
        <w:spacing w:before="240" w:after="240" w:line="360" w:lineRule="auto"/>
        <w:contextualSpacing/>
        <w:jc w:val="both"/>
        <w:rPr>
          <w:rFonts w:ascii="Palatino Linotype" w:eastAsia="Palatino Linotype" w:hAnsi="Palatino Linotype" w:cs="Palatino Linotype"/>
          <w:color w:val="000000"/>
          <w:sz w:val="24"/>
          <w:szCs w:val="24"/>
        </w:rPr>
      </w:pPr>
    </w:p>
    <w:p w14:paraId="4079BCED" w14:textId="5B317BEB" w:rsidR="00930D4A" w:rsidRDefault="00930D4A" w:rsidP="00930D4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diecinueve de abril del presente, adjuntando para tal efecto lo siguiente: </w:t>
      </w:r>
    </w:p>
    <w:p w14:paraId="5BC622CA" w14:textId="10A57CE2" w:rsidR="00930D4A" w:rsidRPr="00930D4A" w:rsidRDefault="00930D4A" w:rsidP="00930D4A">
      <w:pPr>
        <w:pStyle w:val="Prrafodelista"/>
        <w:numPr>
          <w:ilvl w:val="0"/>
          <w:numId w:val="17"/>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 xml:space="preserve">“INFORME JUSTIFICADO SOL RR 81.pdf”: </w:t>
      </w:r>
      <w:r>
        <w:rPr>
          <w:rFonts w:ascii="Palatino Linotype" w:hAnsi="Palatino Linotype" w:cs="Arial"/>
          <w:color w:val="000000"/>
          <w:lang w:val="es-ES_tradnl"/>
        </w:rPr>
        <w:t>Compila lo siguiente:</w:t>
      </w:r>
    </w:p>
    <w:p w14:paraId="37B49569" w14:textId="714990C0" w:rsidR="00930D4A" w:rsidRPr="00930D4A" w:rsidRDefault="00930D4A" w:rsidP="00930D4A">
      <w:pPr>
        <w:pStyle w:val="Prrafodelista"/>
        <w:numPr>
          <w:ilvl w:val="0"/>
          <w:numId w:val="16"/>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Informe justificado signado por la Titular de la Unidad de Transparencia y Acceso a la Información Pública Municipal y dirigido al Comisionado Ponente, de fecha diecinueve de abril de dos mil veintidós, en lo medular ratifica la respuesta primigenia. </w:t>
      </w:r>
    </w:p>
    <w:p w14:paraId="2E431042" w14:textId="53E89B94" w:rsidR="00930D4A" w:rsidRPr="00930D4A" w:rsidRDefault="00930D4A" w:rsidP="00930D4A">
      <w:pPr>
        <w:pStyle w:val="Prrafodelista"/>
        <w:numPr>
          <w:ilvl w:val="0"/>
          <w:numId w:val="16"/>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PMIX/DA/RH/0539/2022 </w:t>
      </w:r>
      <w:r>
        <w:rPr>
          <w:rFonts w:ascii="Palatino Linotype" w:hAnsi="Palatino Linotype" w:cs="Arial"/>
          <w:color w:val="000000"/>
          <w:lang w:val="es-ES_tradnl"/>
        </w:rPr>
        <w:t xml:space="preserve">signado por la Directora de Administración y dirigido a la Titular de la Unidad de Transparencia y Acceso a la Información Pública Municipal, en síntesis ratifica la respuesta primigenia, invocando diversas porciones normativas de la Constitución </w:t>
      </w:r>
      <w:r w:rsidR="00DC1FFC">
        <w:rPr>
          <w:rFonts w:ascii="Palatino Linotype" w:hAnsi="Palatino Linotype" w:cs="Arial"/>
          <w:color w:val="000000"/>
          <w:lang w:val="es-ES_tradnl"/>
        </w:rPr>
        <w:t>Política</w:t>
      </w:r>
      <w:r>
        <w:rPr>
          <w:rFonts w:ascii="Palatino Linotype" w:hAnsi="Palatino Linotype" w:cs="Arial"/>
          <w:color w:val="000000"/>
          <w:lang w:val="es-ES_tradnl"/>
        </w:rPr>
        <w:t xml:space="preserve"> de los Estados Unidos Mexicanos, Ley Federal del Trabajo, Ley del Trabajo de los Servidores Públicos del Estado y Municipios. </w:t>
      </w:r>
    </w:p>
    <w:p w14:paraId="6DCE83E6" w14:textId="77777777" w:rsidR="00930D4A" w:rsidRDefault="00930D4A" w:rsidP="00930D4A">
      <w:pPr>
        <w:spacing w:after="0" w:line="360" w:lineRule="auto"/>
        <w:jc w:val="both"/>
        <w:rPr>
          <w:rFonts w:ascii="Palatino Linotype" w:hAnsi="Palatino Linotype" w:cs="Arial"/>
          <w:color w:val="000000"/>
          <w:sz w:val="24"/>
          <w:lang w:val="es-ES_tradnl"/>
        </w:rPr>
      </w:pPr>
    </w:p>
    <w:p w14:paraId="52B96A52" w14:textId="5FD8FE6F" w:rsidR="008438CD" w:rsidRDefault="00B121DE" w:rsidP="00B07F0A">
      <w:pPr>
        <w:autoSpaceDE w:val="0"/>
        <w:autoSpaceDN w:val="0"/>
        <w:adjustRightInd w:val="0"/>
        <w:spacing w:before="240" w:line="360" w:lineRule="auto"/>
        <w:jc w:val="both"/>
        <w:rPr>
          <w:rFonts w:ascii="Palatino Linotype" w:hAnsi="Palatino Linotype"/>
          <w:sz w:val="24"/>
          <w:szCs w:val="24"/>
        </w:rPr>
      </w:pPr>
      <w:r w:rsidRPr="00B121DE">
        <w:rPr>
          <w:rFonts w:ascii="Palatino Linotype" w:hAnsi="Palatino Linotype"/>
          <w:sz w:val="24"/>
          <w:szCs w:val="24"/>
        </w:rPr>
        <w:t xml:space="preserve">De ahí que deban arribarse a las siguientes consideraciones: </w:t>
      </w:r>
    </w:p>
    <w:p w14:paraId="19954F5B" w14:textId="77777777" w:rsidR="00B121DE" w:rsidRPr="00AE6EF2" w:rsidRDefault="00B121DE" w:rsidP="00B121DE">
      <w:pPr>
        <w:pStyle w:val="Sinespaciado"/>
        <w:numPr>
          <w:ilvl w:val="0"/>
          <w:numId w:val="18"/>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Pr>
          <w:rFonts w:ascii="Palatino Linotype" w:hAnsi="Palatino Linotype"/>
          <w:b/>
          <w:bCs/>
        </w:rPr>
        <w:t xml:space="preserve">Sujetos Obligados, </w:t>
      </w:r>
      <w:r>
        <w:rPr>
          <w:rFonts w:ascii="Palatino Linotype" w:hAnsi="Palatino Linotype"/>
          <w:bCs/>
        </w:rPr>
        <w:t>observando las restricciones previstas en la normatividad aplicable.</w:t>
      </w:r>
    </w:p>
    <w:p w14:paraId="0AB0704F" w14:textId="06E8F4AB" w:rsidR="00B121DE" w:rsidRPr="00B121DE" w:rsidRDefault="00B121DE" w:rsidP="00405BB0">
      <w:pPr>
        <w:pStyle w:val="Sinespaciado"/>
        <w:numPr>
          <w:ilvl w:val="0"/>
          <w:numId w:val="18"/>
        </w:numPr>
        <w:spacing w:before="240" w:line="360" w:lineRule="auto"/>
        <w:jc w:val="both"/>
        <w:rPr>
          <w:rFonts w:ascii="Palatino Linotype" w:hAnsi="Palatino Linotype"/>
          <w:bCs/>
        </w:rPr>
      </w:pPr>
      <w:r w:rsidRPr="00B121DE">
        <w:rPr>
          <w:rFonts w:ascii="Palatino Linotype" w:hAnsi="Palatino Linotype"/>
        </w:rPr>
        <w:t xml:space="preserve">De una interpretación literal a la solicitud de información </w:t>
      </w:r>
      <w:r w:rsidRPr="00B121DE">
        <w:rPr>
          <w:rFonts w:ascii="Palatino Linotype" w:hAnsi="Palatino Linotype"/>
          <w:b/>
        </w:rPr>
        <w:t xml:space="preserve">00081/IXTLAHUA/IP/2022 </w:t>
      </w:r>
      <w:r w:rsidRPr="00B121DE">
        <w:rPr>
          <w:rFonts w:ascii="Palatino Linotype" w:hAnsi="Palatino Linotype"/>
        </w:rPr>
        <w:t xml:space="preserve">se advierte que fueron requeridos </w:t>
      </w:r>
      <w:r>
        <w:rPr>
          <w:rFonts w:ascii="Palatino Linotype" w:hAnsi="Palatino Linotype"/>
        </w:rPr>
        <w:t>e</w:t>
      </w:r>
      <w:r w:rsidRPr="00B121DE">
        <w:rPr>
          <w:rFonts w:ascii="Palatino Linotype" w:hAnsi="Palatino Linotype"/>
        </w:rPr>
        <w:t xml:space="preserve">l o los documentos donde conste la </w:t>
      </w:r>
      <w:r w:rsidR="008C08A3">
        <w:rPr>
          <w:rFonts w:ascii="Palatino Linotype" w:hAnsi="Palatino Linotype"/>
        </w:rPr>
        <w:t xml:space="preserve">formación de </w:t>
      </w:r>
      <w:r w:rsidRPr="00B121DE">
        <w:rPr>
          <w:rFonts w:ascii="Palatino Linotype" w:hAnsi="Palatino Linotype"/>
        </w:rPr>
        <w:t xml:space="preserve">relación laboral entre el Ayuntamiento de Ixtlahuaca y el personal </w:t>
      </w:r>
      <w:r w:rsidR="008C08A3">
        <w:rPr>
          <w:rFonts w:ascii="Palatino Linotype" w:hAnsi="Palatino Linotype"/>
        </w:rPr>
        <w:t xml:space="preserve">que se encontraba </w:t>
      </w:r>
      <w:r w:rsidRPr="00B121DE">
        <w:rPr>
          <w:rFonts w:ascii="Palatino Linotype" w:hAnsi="Palatino Linotype"/>
        </w:rPr>
        <w:t xml:space="preserve">adscrito a la Tesorería y Contraloría Municipal durante la primera y segunda </w:t>
      </w:r>
      <w:r w:rsidR="008C08A3">
        <w:rPr>
          <w:rFonts w:ascii="Palatino Linotype" w:hAnsi="Palatino Linotype"/>
        </w:rPr>
        <w:t xml:space="preserve">quincena </w:t>
      </w:r>
      <w:r w:rsidRPr="00B121DE">
        <w:rPr>
          <w:rFonts w:ascii="Palatino Linotype" w:hAnsi="Palatino Linotype"/>
        </w:rPr>
        <w:t xml:space="preserve">del mes de diciembre de dos mil veintiuno. </w:t>
      </w:r>
    </w:p>
    <w:p w14:paraId="679CF002" w14:textId="7439BC14" w:rsidR="00B121DE" w:rsidRPr="00B121DE" w:rsidRDefault="00B121DE" w:rsidP="005F4831">
      <w:pPr>
        <w:pStyle w:val="Sinespaciado"/>
        <w:numPr>
          <w:ilvl w:val="0"/>
          <w:numId w:val="18"/>
        </w:numPr>
        <w:spacing w:line="360" w:lineRule="auto"/>
        <w:jc w:val="both"/>
        <w:rPr>
          <w:rFonts w:ascii="Palatino Linotype" w:hAnsi="Palatino Linotype"/>
        </w:rPr>
      </w:pPr>
      <w:r w:rsidRPr="00B121DE">
        <w:rPr>
          <w:rFonts w:ascii="Palatino Linotype" w:hAnsi="Palatino Linotype"/>
        </w:rPr>
        <w:lastRenderedPageBreak/>
        <w:t xml:space="preserve">Que de una interpretación sistemática a los numerales  </w:t>
      </w:r>
      <w:r w:rsidRPr="00B121DE">
        <w:rPr>
          <w:rFonts w:ascii="Palatino Linotype" w:hAnsi="Palatino Linotype"/>
          <w:lang w:val="es-ES"/>
        </w:rPr>
        <w:t xml:space="preserve">1, primer párrafo, 5, 45, 48 y 49 de la Ley del Trabajo de los Servidores Públicos del Estado y Municipios, </w:t>
      </w:r>
      <w:r>
        <w:rPr>
          <w:rFonts w:ascii="Palatino Linotype" w:hAnsi="Palatino Linotype"/>
          <w:lang w:val="es-ES"/>
        </w:rPr>
        <w:t xml:space="preserve">se arriba a la premisa de que las relaciones laborales entre el Estado y los Servidores Públicos se forman mediante nombramiento, contrato, formato único de movimiento de personal, otros. </w:t>
      </w:r>
    </w:p>
    <w:p w14:paraId="5B5D7F33" w14:textId="48CB31C7" w:rsidR="00B121DE" w:rsidRDefault="00B121DE" w:rsidP="00B121DE">
      <w:pPr>
        <w:pStyle w:val="Sinespaciado"/>
        <w:numPr>
          <w:ilvl w:val="0"/>
          <w:numId w:val="18"/>
        </w:numPr>
        <w:spacing w:line="360" w:lineRule="auto"/>
        <w:jc w:val="both"/>
        <w:rPr>
          <w:rFonts w:ascii="Palatino Linotype" w:hAnsi="Palatino Linotype"/>
        </w:rPr>
      </w:pPr>
      <w:r>
        <w:rPr>
          <w:rFonts w:ascii="Palatino Linotype" w:hAnsi="Palatino Linotype"/>
        </w:rPr>
        <w:t xml:space="preserve">Que la respuesta primigenia rendida por </w:t>
      </w:r>
      <w:r>
        <w:rPr>
          <w:rFonts w:ascii="Palatino Linotype" w:hAnsi="Palatino Linotype"/>
          <w:b/>
        </w:rPr>
        <w:t xml:space="preserve">El Sujeto Obligado </w:t>
      </w:r>
      <w:r>
        <w:rPr>
          <w:rFonts w:ascii="Palatino Linotype" w:hAnsi="Palatino Linotype"/>
        </w:rPr>
        <w:t xml:space="preserve">es susceptible de actualizar las causales de procedencia inmersas en los numerales </w:t>
      </w:r>
      <w:r w:rsidRPr="00B121DE">
        <w:rPr>
          <w:rFonts w:ascii="Palatino Linotype" w:hAnsi="Palatino Linotype"/>
          <w:b/>
        </w:rPr>
        <w:t>I</w:t>
      </w:r>
      <w:r>
        <w:rPr>
          <w:rFonts w:ascii="Palatino Linotype" w:hAnsi="Palatino Linotype"/>
        </w:rPr>
        <w:t xml:space="preserve"> </w:t>
      </w:r>
      <w:r>
        <w:rPr>
          <w:rFonts w:ascii="Palatino Linotype" w:hAnsi="Palatino Linotype"/>
          <w:b/>
        </w:rPr>
        <w:t xml:space="preserve">–negativa a la información- </w:t>
      </w:r>
      <w:r>
        <w:rPr>
          <w:rFonts w:ascii="Palatino Linotype" w:hAnsi="Palatino Linotype"/>
        </w:rPr>
        <w:t xml:space="preserve">y </w:t>
      </w:r>
      <w:r>
        <w:rPr>
          <w:rFonts w:ascii="Palatino Linotype" w:hAnsi="Palatino Linotype"/>
          <w:b/>
        </w:rPr>
        <w:t xml:space="preserve">VI –entrega de información que no corresponda con lo solicitado-. </w:t>
      </w:r>
      <w:r>
        <w:rPr>
          <w:rFonts w:ascii="Palatino Linotype" w:hAnsi="Palatino Linotype"/>
        </w:rPr>
        <w:t xml:space="preserve">Lo anterior, al tomar en consideración que mediante la solicitud de información fueron requeridos de manera indirecta los nombramientos, contratos o formatos únicos de movimiento de personal. No obstante, fue remitida la nómina de servidores públicos. </w:t>
      </w:r>
    </w:p>
    <w:p w14:paraId="03FBBD0E" w14:textId="63339669" w:rsidR="00B121DE" w:rsidRPr="00AE6EF2" w:rsidRDefault="00B121DE" w:rsidP="00B121DE">
      <w:pPr>
        <w:pStyle w:val="Sinespaciado"/>
        <w:numPr>
          <w:ilvl w:val="0"/>
          <w:numId w:val="18"/>
        </w:numPr>
        <w:spacing w:line="360" w:lineRule="auto"/>
        <w:jc w:val="both"/>
        <w:rPr>
          <w:rFonts w:ascii="Palatino Linotype" w:hAnsi="Palatino Linotype"/>
        </w:rPr>
      </w:pPr>
      <w:r>
        <w:rPr>
          <w:rFonts w:ascii="Palatino Linotype" w:hAnsi="Palatino Linotype"/>
        </w:rPr>
        <w:t xml:space="preserve">Que mediante informe justificado, </w:t>
      </w:r>
      <w:r>
        <w:rPr>
          <w:rFonts w:ascii="Palatino Linotype" w:hAnsi="Palatino Linotype"/>
          <w:b/>
        </w:rPr>
        <w:t xml:space="preserve">El Sujeto Obligado </w:t>
      </w:r>
      <w:r>
        <w:rPr>
          <w:rFonts w:ascii="Palatino Linotype" w:hAnsi="Palatino Linotype"/>
        </w:rPr>
        <w:t xml:space="preserve">se limitó a ratificar la respuesta primigenia, es decir, no se subsanó la violación al derecho de acceso a la información pública. </w:t>
      </w:r>
    </w:p>
    <w:p w14:paraId="08A5F77F" w14:textId="77777777" w:rsidR="00B121DE" w:rsidRDefault="00B121DE" w:rsidP="00B07F0A">
      <w:pPr>
        <w:autoSpaceDE w:val="0"/>
        <w:autoSpaceDN w:val="0"/>
        <w:adjustRightInd w:val="0"/>
        <w:spacing w:before="240" w:line="360" w:lineRule="auto"/>
        <w:jc w:val="both"/>
        <w:rPr>
          <w:rFonts w:ascii="Palatino Linotype" w:hAnsi="Palatino Linotype"/>
          <w:sz w:val="24"/>
          <w:szCs w:val="24"/>
        </w:rPr>
      </w:pPr>
    </w:p>
    <w:p w14:paraId="5007BBE2" w14:textId="183B0D23" w:rsidR="00B76467" w:rsidRPr="00D02501" w:rsidRDefault="00B121DE" w:rsidP="00B07F0A">
      <w:pPr>
        <w:autoSpaceDE w:val="0"/>
        <w:autoSpaceDN w:val="0"/>
        <w:adjustRightInd w:val="0"/>
        <w:spacing w:before="240" w:line="360" w:lineRule="auto"/>
        <w:jc w:val="both"/>
        <w:rPr>
          <w:rFonts w:ascii="Palatino Linotype" w:hAnsi="Palatino Linotype"/>
          <w:b/>
          <w:sz w:val="24"/>
          <w:szCs w:val="24"/>
        </w:rPr>
      </w:pPr>
      <w:r w:rsidRPr="00D02501">
        <w:rPr>
          <w:rFonts w:ascii="Palatino Linotype" w:hAnsi="Palatino Linotype"/>
          <w:sz w:val="24"/>
          <w:szCs w:val="24"/>
        </w:rPr>
        <w:t xml:space="preserve">Luego entonces, resulta procedente ordenar, en versión pública de ser procedente, respecto </w:t>
      </w:r>
      <w:r w:rsidR="00D02501" w:rsidRPr="00D02501">
        <w:rPr>
          <w:rFonts w:ascii="Palatino Linotype" w:hAnsi="Palatino Linotype"/>
          <w:sz w:val="24"/>
          <w:szCs w:val="24"/>
        </w:rPr>
        <w:t xml:space="preserve">del o los documentos donde conste la </w:t>
      </w:r>
      <w:r w:rsidR="008C08A3">
        <w:rPr>
          <w:rFonts w:ascii="Palatino Linotype" w:hAnsi="Palatino Linotype"/>
          <w:sz w:val="24"/>
          <w:szCs w:val="24"/>
        </w:rPr>
        <w:t xml:space="preserve">formación de </w:t>
      </w:r>
      <w:r w:rsidR="00D02501" w:rsidRPr="00D02501">
        <w:rPr>
          <w:rFonts w:ascii="Palatino Linotype" w:hAnsi="Palatino Linotype"/>
          <w:sz w:val="24"/>
          <w:szCs w:val="24"/>
        </w:rPr>
        <w:t xml:space="preserve">relación laboral </w:t>
      </w:r>
      <w:r w:rsidR="00D02501">
        <w:rPr>
          <w:rFonts w:ascii="Palatino Linotype" w:hAnsi="Palatino Linotype"/>
          <w:sz w:val="24"/>
          <w:szCs w:val="24"/>
        </w:rPr>
        <w:t xml:space="preserve">(nombramiento, contrato, formato único de movimiento de personal, otro) </w:t>
      </w:r>
      <w:r w:rsidR="00D02501" w:rsidRPr="00D02501">
        <w:rPr>
          <w:rFonts w:ascii="Palatino Linotype" w:hAnsi="Palatino Linotype"/>
          <w:sz w:val="24"/>
          <w:szCs w:val="24"/>
        </w:rPr>
        <w:t xml:space="preserve">entre el Ayuntamiento de Ixtlahuaca y el personal </w:t>
      </w:r>
      <w:r w:rsidR="008C08A3">
        <w:rPr>
          <w:rFonts w:ascii="Palatino Linotype" w:hAnsi="Palatino Linotype"/>
          <w:sz w:val="24"/>
          <w:szCs w:val="24"/>
        </w:rPr>
        <w:t xml:space="preserve">que se encontraba </w:t>
      </w:r>
      <w:r w:rsidR="00D02501" w:rsidRPr="00D02501">
        <w:rPr>
          <w:rFonts w:ascii="Palatino Linotype" w:hAnsi="Palatino Linotype"/>
          <w:sz w:val="24"/>
          <w:szCs w:val="24"/>
        </w:rPr>
        <w:t>adscrito a la Tesorería y Contraloría Municipal durante la primera y segunda del mes de diciembre de dos mil veintiuno.</w:t>
      </w:r>
    </w:p>
    <w:p w14:paraId="06CD0FEA" w14:textId="77777777" w:rsidR="00D02501" w:rsidRDefault="00D02501" w:rsidP="00B07F0A">
      <w:pPr>
        <w:autoSpaceDE w:val="0"/>
        <w:autoSpaceDN w:val="0"/>
        <w:adjustRightInd w:val="0"/>
        <w:spacing w:before="240" w:line="360" w:lineRule="auto"/>
        <w:jc w:val="both"/>
        <w:rPr>
          <w:rFonts w:ascii="Palatino Linotype" w:hAnsi="Palatino Linotype"/>
          <w:b/>
          <w:sz w:val="28"/>
          <w:szCs w:val="28"/>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3BFA37E" w14:textId="77777777" w:rsidR="00B76467" w:rsidRDefault="00B76467" w:rsidP="00B07F0A">
      <w:pPr>
        <w:spacing w:after="0" w:line="360" w:lineRule="auto"/>
        <w:ind w:right="51"/>
        <w:jc w:val="both"/>
        <w:rPr>
          <w:rFonts w:ascii="Palatino Linotype" w:hAnsi="Palatino Linotype" w:cs="Arial"/>
          <w:sz w:val="24"/>
          <w:szCs w:val="24"/>
        </w:rPr>
      </w:pP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C2101B4" w14:textId="77777777" w:rsidR="00E761C2" w:rsidRDefault="00E761C2" w:rsidP="00B07F0A">
      <w:pPr>
        <w:spacing w:after="0" w:line="360" w:lineRule="auto"/>
        <w:jc w:val="both"/>
        <w:rPr>
          <w:rFonts w:ascii="Palatino Linotype" w:eastAsia="Times New Roman" w:hAnsi="Palatino Linotype" w:cs="Times New Roman"/>
          <w:sz w:val="24"/>
          <w:szCs w:val="24"/>
          <w:lang w:eastAsia="es-ES"/>
        </w:rPr>
      </w:pPr>
    </w:p>
    <w:p w14:paraId="688877F7" w14:textId="31525167" w:rsidR="00B07F0A" w:rsidRPr="00AB3254" w:rsidRDefault="00B07F0A" w:rsidP="00B07F0A">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E548E7">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III, </w:t>
      </w:r>
      <w:r w:rsidRPr="000F5B7E">
        <w:rPr>
          <w:rFonts w:ascii="Palatino Linotype" w:eastAsia="Times New Roman" w:hAnsi="Palatino Linotype" w:cs="Arial"/>
          <w:sz w:val="24"/>
          <w:szCs w:val="24"/>
          <w:lang w:eastAsia="es-ES"/>
        </w:rPr>
        <w:lastRenderedPageBreak/>
        <w:t>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D02501">
        <w:rPr>
          <w:rFonts w:ascii="Palatino Linotype" w:hAnsi="Palatino Linotype" w:cs="Arial"/>
          <w:b/>
          <w:sz w:val="24"/>
          <w:szCs w:val="24"/>
        </w:rPr>
        <w:t>00081/IXTLAHUA/IP/2022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566F34E4" w14:textId="77777777" w:rsidR="00B07F0A" w:rsidRDefault="00B07F0A" w:rsidP="00B07F0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4CF9D4" w14:textId="77777777" w:rsidR="00B07F0A" w:rsidRDefault="00B07F0A" w:rsidP="00B07F0A">
      <w:pPr>
        <w:spacing w:line="360" w:lineRule="auto"/>
        <w:contextualSpacing/>
        <w:jc w:val="both"/>
        <w:rPr>
          <w:rFonts w:ascii="Palatino Linotype" w:eastAsia="MS Mincho" w:hAnsi="Palatino Linotype"/>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88F3319" w14:textId="7D61BA2C" w:rsidR="00B07F0A" w:rsidRDefault="00B07F0A" w:rsidP="00B07F0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D02501">
        <w:rPr>
          <w:rFonts w:ascii="Palatino Linotype" w:hAnsi="Palatino Linotype" w:cs="Arial"/>
          <w:b/>
          <w:sz w:val="24"/>
          <w:szCs w:val="24"/>
        </w:rPr>
        <w:t xml:space="preserve">00081/IXTLAHUA/IP/2022 </w:t>
      </w:r>
      <w:r>
        <w:rPr>
          <w:rFonts w:ascii="Palatino Linotype" w:hAnsi="Palatino Linotype" w:cs="Arial"/>
          <w:sz w:val="24"/>
          <w:szCs w:val="24"/>
        </w:rPr>
        <w:t xml:space="preserve">por resultar fundados los motivos de inconformidad que arguye </w:t>
      </w:r>
      <w:r w:rsidR="00D02501">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F7FF168" w14:textId="77777777" w:rsidR="00B07F0A" w:rsidRPr="00AB3254" w:rsidRDefault="00B07F0A" w:rsidP="00B07F0A">
      <w:pPr>
        <w:spacing w:before="240" w:line="360" w:lineRule="auto"/>
        <w:jc w:val="both"/>
        <w:rPr>
          <w:rFonts w:ascii="Palatino Linotype" w:hAnsi="Palatino Linotype" w:cs="Arial"/>
          <w:sz w:val="24"/>
          <w:szCs w:val="24"/>
        </w:rPr>
      </w:pPr>
    </w:p>
    <w:p w14:paraId="7CBE464F" w14:textId="77777777"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3DBB2452" w14:textId="26BE7332" w:rsidR="00D02501" w:rsidRPr="00D02501" w:rsidRDefault="00D02501" w:rsidP="0053104B">
      <w:pPr>
        <w:pStyle w:val="Prrafodelista"/>
        <w:numPr>
          <w:ilvl w:val="0"/>
          <w:numId w:val="2"/>
        </w:numPr>
        <w:spacing w:before="240" w:line="360" w:lineRule="auto"/>
        <w:jc w:val="both"/>
        <w:rPr>
          <w:rFonts w:ascii="Palatino Linotype" w:hAnsi="Palatino Linotype"/>
          <w:i/>
        </w:rPr>
      </w:pPr>
      <w:r w:rsidRPr="00D02501">
        <w:rPr>
          <w:rFonts w:ascii="Palatino Linotype" w:hAnsi="Palatino Linotype"/>
          <w:i/>
        </w:rPr>
        <w:t xml:space="preserve">El o los documentos donde conste la </w:t>
      </w:r>
      <w:r w:rsidR="008C08A3">
        <w:rPr>
          <w:rFonts w:ascii="Palatino Linotype" w:hAnsi="Palatino Linotype"/>
          <w:i/>
        </w:rPr>
        <w:t xml:space="preserve">formación de </w:t>
      </w:r>
      <w:r w:rsidRPr="00D02501">
        <w:rPr>
          <w:rFonts w:ascii="Palatino Linotype" w:hAnsi="Palatino Linotype"/>
          <w:i/>
        </w:rPr>
        <w:t xml:space="preserve">relación laboral (nombramiento, contrato, formato único de movimiento de personal, otro) entre el Ayuntamiento de Ixtlahuaca y el personal </w:t>
      </w:r>
      <w:r w:rsidR="008C08A3">
        <w:rPr>
          <w:rFonts w:ascii="Palatino Linotype" w:hAnsi="Palatino Linotype"/>
          <w:i/>
        </w:rPr>
        <w:t>que se encontraba adscrito</w:t>
      </w:r>
      <w:r w:rsidRPr="00D02501">
        <w:rPr>
          <w:rFonts w:ascii="Palatino Linotype" w:hAnsi="Palatino Linotype"/>
          <w:i/>
        </w:rPr>
        <w:t xml:space="preserve"> a la Tesorería y Contraloría Municipal durante la primera y segunda </w:t>
      </w:r>
      <w:r w:rsidR="00E548E7">
        <w:rPr>
          <w:rFonts w:ascii="Palatino Linotype" w:hAnsi="Palatino Linotype"/>
          <w:i/>
        </w:rPr>
        <w:t xml:space="preserve">quincena </w:t>
      </w:r>
      <w:r w:rsidRPr="00D02501">
        <w:rPr>
          <w:rFonts w:ascii="Palatino Linotype" w:hAnsi="Palatino Linotype"/>
          <w:i/>
        </w:rPr>
        <w:t>del mes de diciembre de dos mil veintiuno.</w:t>
      </w:r>
    </w:p>
    <w:p w14:paraId="2B73FE2F" w14:textId="0019D980" w:rsidR="00B07F0A" w:rsidRDefault="00B07F0A"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E548E7">
        <w:rPr>
          <w:rFonts w:ascii="Palatino Linotype" w:hAnsi="Palatino Linotype" w:cs="Arial"/>
          <w:i/>
        </w:rPr>
        <w:t>nen y se ponga a disposición de la</w:t>
      </w:r>
      <w:r>
        <w:rPr>
          <w:rFonts w:ascii="Palatino Linotype" w:hAnsi="Palatino Linotype" w:cs="Arial"/>
          <w:i/>
        </w:rPr>
        <w:t xml:space="preserve">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B19E7DC"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00D02501">
        <w:rPr>
          <w:rFonts w:ascii="Palatino Linotype" w:eastAsia="Times New Roman" w:hAnsi="Palatino Linotype" w:cs="Arial"/>
          <w:sz w:val="24"/>
          <w:szCs w:val="24"/>
          <w:lang w:eastAsia="es-ES"/>
        </w:rPr>
        <w:t xml:space="preserve">la presente resolución a </w:t>
      </w:r>
      <w:r w:rsidR="00D02501">
        <w:rPr>
          <w:rFonts w:ascii="Palatino Linotype" w:eastAsia="Times New Roman" w:hAnsi="Palatino Linotype" w:cs="Arial"/>
          <w:b/>
          <w:sz w:val="24"/>
          <w:szCs w:val="24"/>
          <w:lang w:eastAsia="es-ES"/>
        </w:rPr>
        <w:t>LA</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 xml:space="preserve">de conformidad con lo establecido en el artículo 196, de la Ley de </w:t>
      </w:r>
      <w:r w:rsidRPr="00151D16">
        <w:rPr>
          <w:rFonts w:ascii="Palatino Linotype" w:eastAsia="Times New Roman" w:hAnsi="Palatino Linotype" w:cs="Times New Roman"/>
          <w:color w:val="222222"/>
          <w:sz w:val="24"/>
          <w:szCs w:val="24"/>
          <w:lang w:eastAsia="es-ES"/>
        </w:rPr>
        <w:lastRenderedPageBreak/>
        <w:t>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4D826" w14:textId="20EBBA27" w:rsidR="00E761C2" w:rsidRDefault="00E761C2" w:rsidP="00E761C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D02501">
        <w:rPr>
          <w:rFonts w:ascii="Palatino Linotype" w:hAnsi="Palatino Linotype" w:cs="Arial"/>
        </w:rPr>
        <w:t xml:space="preserve">VIGÉSIMA PRIMERA SESIÓN ORDINARIA CELEBRADA EL OCHO DE JUNIO </w:t>
      </w:r>
      <w:r w:rsidRPr="00266B85">
        <w:rPr>
          <w:rFonts w:ascii="Palatino Linotype" w:hAnsi="Palatino Linotype" w:cs="Arial"/>
        </w:rPr>
        <w:t>DE DOS MIL VEINTIDÓS, ANTE</w:t>
      </w:r>
      <w:r>
        <w:rPr>
          <w:rFonts w:ascii="Palatino Linotype" w:hAnsi="Palatino Linotype" w:cs="Arial"/>
        </w:rPr>
        <w:t xml:space="preserve"> EL  SECRETARIO TÉCNICO DEL PLENO, ALEXIS TAPIA RAMÍREZ. </w:t>
      </w:r>
    </w:p>
    <w:p w14:paraId="2A350C56" w14:textId="5A5510FB" w:rsidR="00CB4788" w:rsidRDefault="00E761C2" w:rsidP="00E761C2">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5026FF84" w14:textId="33525953" w:rsidR="00CB4788" w:rsidRDefault="003C25FD"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83840" behindDoc="0" locked="0" layoutInCell="1" allowOverlap="1" wp14:anchorId="79398763" wp14:editId="3C74B6DF">
                <wp:simplePos x="0" y="0"/>
                <wp:positionH relativeFrom="column">
                  <wp:posOffset>-179384</wp:posOffset>
                </wp:positionH>
                <wp:positionV relativeFrom="paragraph">
                  <wp:posOffset>144675</wp:posOffset>
                </wp:positionV>
                <wp:extent cx="5998191" cy="3562065"/>
                <wp:effectExtent l="0" t="0" r="22225" b="19685"/>
                <wp:wrapNone/>
                <wp:docPr id="13" name="Conector recto 13"/>
                <wp:cNvGraphicFramePr/>
                <a:graphic xmlns:a="http://schemas.openxmlformats.org/drawingml/2006/main">
                  <a:graphicData uri="http://schemas.microsoft.com/office/word/2010/wordprocessingShape">
                    <wps:wsp>
                      <wps:cNvCnPr/>
                      <wps:spPr>
                        <a:xfrm>
                          <a:off x="0" y="0"/>
                          <a:ext cx="5998191" cy="356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A5BD0" id="Conector recto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1pt,11.4pt" to="458.2pt,2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" strokecolor="#5b9bd5 [3204]" strokeweight=".5pt">
                <v:stroke joinstyle="miter"/>
              </v:line>
            </w:pict>
          </mc:Fallback>
        </mc:AlternateContent>
      </w: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873A1" w14:textId="77777777" w:rsidR="00BE1B99" w:rsidRDefault="00BE1B99" w:rsidP="006168E4">
      <w:pPr>
        <w:spacing w:after="0" w:line="240" w:lineRule="auto"/>
      </w:pPr>
      <w:r>
        <w:separator/>
      </w:r>
    </w:p>
  </w:endnote>
  <w:endnote w:type="continuationSeparator" w:id="0">
    <w:p w14:paraId="34FC2F42" w14:textId="77777777" w:rsidR="00BE1B99" w:rsidRDefault="00BE1B9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11425" w:rsidRPr="000B69FA" w:rsidRDefault="0081142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2C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42C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811425" w:rsidRPr="000B69FA" w:rsidRDefault="0081142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42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42C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16426" w14:textId="77777777" w:rsidR="00BE1B99" w:rsidRDefault="00BE1B99" w:rsidP="006168E4">
      <w:pPr>
        <w:spacing w:after="0" w:line="240" w:lineRule="auto"/>
      </w:pPr>
      <w:r>
        <w:separator/>
      </w:r>
    </w:p>
  </w:footnote>
  <w:footnote w:type="continuationSeparator" w:id="0">
    <w:p w14:paraId="216C1169" w14:textId="77777777" w:rsidR="00BE1B99" w:rsidRDefault="00BE1B99" w:rsidP="006168E4">
      <w:pPr>
        <w:spacing w:after="0" w:line="240" w:lineRule="auto"/>
      </w:pPr>
      <w:r>
        <w:continuationSeparator/>
      </w:r>
    </w:p>
  </w:footnote>
  <w:footnote w:id="1">
    <w:p w14:paraId="6BECEE51" w14:textId="77777777" w:rsidR="00811425" w:rsidRPr="005552A8" w:rsidRDefault="00811425"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811425" w:rsidRPr="005552A8" w:rsidRDefault="00811425"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811425" w:rsidRDefault="0081142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1425" w14:paraId="17981A04" w14:textId="77777777" w:rsidTr="00073E92">
      <w:trPr>
        <w:trHeight w:val="227"/>
      </w:trPr>
      <w:tc>
        <w:tcPr>
          <w:tcW w:w="5529" w:type="dxa"/>
          <w:hideMark/>
        </w:tcPr>
        <w:p w14:paraId="0E414BC5" w14:textId="19670DF2" w:rsidR="00811425" w:rsidRDefault="0081142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9A92308" w:rsidR="00811425" w:rsidRPr="00B4142F" w:rsidRDefault="008114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05170/INFOEM/IP/RR/2022</w:t>
          </w:r>
        </w:p>
      </w:tc>
    </w:tr>
    <w:tr w:rsidR="00811425" w14:paraId="637042F0" w14:textId="77777777" w:rsidTr="00073E92">
      <w:trPr>
        <w:trHeight w:val="242"/>
      </w:trPr>
      <w:tc>
        <w:tcPr>
          <w:tcW w:w="5529" w:type="dxa"/>
          <w:hideMark/>
        </w:tcPr>
        <w:p w14:paraId="412AD568" w14:textId="582E7AD7" w:rsidR="00811425" w:rsidRDefault="0081142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11A8972" w:rsidR="00811425" w:rsidRPr="00F06FED" w:rsidRDefault="00811425" w:rsidP="007C3694">
          <w:pPr>
            <w:spacing w:after="120" w:line="256" w:lineRule="auto"/>
            <w:ind w:left="639" w:right="214"/>
            <w:jc w:val="both"/>
            <w:rPr>
              <w:rFonts w:ascii="Palatino Linotype" w:hAnsi="Palatino Linotype" w:cs="Arial"/>
            </w:rPr>
          </w:pPr>
          <w:r>
            <w:rPr>
              <w:rFonts w:ascii="Palatino Linotype" w:hAnsi="Palatino Linotype" w:cs="Arial"/>
              <w:szCs w:val="20"/>
            </w:rPr>
            <w:t>Ayuntamiento de Ixtlahuaca</w:t>
          </w:r>
        </w:p>
      </w:tc>
    </w:tr>
    <w:tr w:rsidR="00811425" w14:paraId="21BFE746" w14:textId="77777777" w:rsidTr="00073E92">
      <w:trPr>
        <w:trHeight w:val="342"/>
      </w:trPr>
      <w:tc>
        <w:tcPr>
          <w:tcW w:w="5529" w:type="dxa"/>
          <w:hideMark/>
        </w:tcPr>
        <w:p w14:paraId="64C4E314" w14:textId="2A83840C" w:rsidR="00811425" w:rsidRDefault="0081142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811425" w:rsidRDefault="0081142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11425" w:rsidRDefault="008114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1425" w14:paraId="385FD437" w14:textId="77777777" w:rsidTr="00073E92">
      <w:trPr>
        <w:trHeight w:val="227"/>
      </w:trPr>
      <w:tc>
        <w:tcPr>
          <w:tcW w:w="5529" w:type="dxa"/>
          <w:hideMark/>
        </w:tcPr>
        <w:p w14:paraId="272860E8" w14:textId="6340DBC0"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EDC4832" w:rsidR="00811425" w:rsidRPr="00B4142F" w:rsidRDefault="008114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05170/INFOEM/IP/RR/2022</w:t>
          </w:r>
        </w:p>
      </w:tc>
    </w:tr>
    <w:tr w:rsidR="00811425" w14:paraId="33FC5097" w14:textId="77777777" w:rsidTr="00073E92">
      <w:trPr>
        <w:trHeight w:val="196"/>
      </w:trPr>
      <w:tc>
        <w:tcPr>
          <w:tcW w:w="5529" w:type="dxa"/>
          <w:hideMark/>
        </w:tcPr>
        <w:p w14:paraId="4F5D01E5" w14:textId="77777777"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2F4E13" w14:textId="77777777" w:rsidR="00811425" w:rsidRDefault="001642C7"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w:t>
          </w:r>
          <w:proofErr w:type="spellEnd"/>
          <w:r>
            <w:rPr>
              <w:rFonts w:ascii="Palatino Linotype" w:hAnsi="Palatino Linotype" w:cs="Arial"/>
            </w:rPr>
            <w:t xml:space="preserve">  </w:t>
          </w:r>
          <w:proofErr w:type="spellStart"/>
          <w:r>
            <w:rPr>
              <w:rFonts w:ascii="Palatino Linotype" w:hAnsi="Palatino Linotype" w:cs="Arial"/>
            </w:rPr>
            <w:t>xxxxxxxxxx</w:t>
          </w:r>
          <w:proofErr w:type="spellEnd"/>
        </w:p>
        <w:p w14:paraId="3E1E85B5" w14:textId="4BF13193" w:rsidR="001642C7" w:rsidRPr="00F06FED" w:rsidRDefault="001642C7"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w:t>
          </w:r>
          <w:proofErr w:type="spellEnd"/>
        </w:p>
      </w:tc>
    </w:tr>
    <w:tr w:rsidR="00811425" w14:paraId="178280DE" w14:textId="77777777" w:rsidTr="00073E92">
      <w:trPr>
        <w:trHeight w:val="242"/>
      </w:trPr>
      <w:tc>
        <w:tcPr>
          <w:tcW w:w="5529" w:type="dxa"/>
          <w:hideMark/>
        </w:tcPr>
        <w:p w14:paraId="71AC708B" w14:textId="19D2ED95" w:rsidR="00811425" w:rsidRDefault="0081142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C601688" w:rsidR="00811425" w:rsidRDefault="00811425" w:rsidP="007C369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Ixtlahuaca</w:t>
          </w:r>
        </w:p>
      </w:tc>
    </w:tr>
    <w:tr w:rsidR="00811425" w14:paraId="0518978B" w14:textId="77777777" w:rsidTr="00073E92">
      <w:trPr>
        <w:trHeight w:val="342"/>
      </w:trPr>
      <w:tc>
        <w:tcPr>
          <w:tcW w:w="5529" w:type="dxa"/>
          <w:hideMark/>
        </w:tcPr>
        <w:p w14:paraId="04968A43" w14:textId="7BE2A222" w:rsidR="00811425" w:rsidRDefault="0081142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811425" w:rsidRDefault="0081142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811425" w:rsidRDefault="0081142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E7BAD"/>
    <w:multiLevelType w:val="hybridMultilevel"/>
    <w:tmpl w:val="E2B6E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8739B"/>
    <w:multiLevelType w:val="hybridMultilevel"/>
    <w:tmpl w:val="F7F89FA2"/>
    <w:lvl w:ilvl="0" w:tplc="3104D56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5B4D39"/>
    <w:multiLevelType w:val="hybridMultilevel"/>
    <w:tmpl w:val="8A44C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56B26C3"/>
    <w:multiLevelType w:val="hybridMultilevel"/>
    <w:tmpl w:val="378EC7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1"/>
  </w:num>
  <w:num w:numId="5">
    <w:abstractNumId w:val="13"/>
  </w:num>
  <w:num w:numId="6">
    <w:abstractNumId w:val="8"/>
  </w:num>
  <w:num w:numId="7">
    <w:abstractNumId w:val="2"/>
  </w:num>
  <w:num w:numId="8">
    <w:abstractNumId w:val="11"/>
  </w:num>
  <w:num w:numId="9">
    <w:abstractNumId w:val="0"/>
  </w:num>
  <w:num w:numId="10">
    <w:abstractNumId w:val="7"/>
  </w:num>
  <w:num w:numId="11">
    <w:abstractNumId w:val="17"/>
  </w:num>
  <w:num w:numId="12">
    <w:abstractNumId w:val="12"/>
  </w:num>
  <w:num w:numId="13">
    <w:abstractNumId w:val="4"/>
  </w:num>
  <w:num w:numId="14">
    <w:abstractNumId w:val="10"/>
  </w:num>
  <w:num w:numId="15">
    <w:abstractNumId w:val="14"/>
  </w:num>
  <w:num w:numId="16">
    <w:abstractNumId w:val="6"/>
  </w:num>
  <w:num w:numId="17">
    <w:abstractNumId w:val="5"/>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4CD"/>
    <w:rsid w:val="000A5980"/>
    <w:rsid w:val="000A79DA"/>
    <w:rsid w:val="000A7EDC"/>
    <w:rsid w:val="000B03E0"/>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AB2"/>
    <w:rsid w:val="00152C2B"/>
    <w:rsid w:val="00161298"/>
    <w:rsid w:val="00161FBE"/>
    <w:rsid w:val="00163DF4"/>
    <w:rsid w:val="001642C7"/>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D7217"/>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2797"/>
    <w:rsid w:val="00212A9D"/>
    <w:rsid w:val="0021501E"/>
    <w:rsid w:val="00215192"/>
    <w:rsid w:val="0021530C"/>
    <w:rsid w:val="00215A5F"/>
    <w:rsid w:val="002205C0"/>
    <w:rsid w:val="00221889"/>
    <w:rsid w:val="00221AB3"/>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192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5FD"/>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1165"/>
    <w:rsid w:val="00593E91"/>
    <w:rsid w:val="00594C99"/>
    <w:rsid w:val="00595600"/>
    <w:rsid w:val="005965C7"/>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38DF"/>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60155"/>
    <w:rsid w:val="00661404"/>
    <w:rsid w:val="00661753"/>
    <w:rsid w:val="0066369C"/>
    <w:rsid w:val="006646AC"/>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02D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258"/>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694"/>
    <w:rsid w:val="007C3CA3"/>
    <w:rsid w:val="007C4C73"/>
    <w:rsid w:val="007C53E1"/>
    <w:rsid w:val="007C7678"/>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425"/>
    <w:rsid w:val="00811D16"/>
    <w:rsid w:val="00811DCF"/>
    <w:rsid w:val="00812C48"/>
    <w:rsid w:val="008146F9"/>
    <w:rsid w:val="00814D55"/>
    <w:rsid w:val="00814EDB"/>
    <w:rsid w:val="00821792"/>
    <w:rsid w:val="008230AE"/>
    <w:rsid w:val="00824DCD"/>
    <w:rsid w:val="00831D3F"/>
    <w:rsid w:val="00832986"/>
    <w:rsid w:val="00833DB5"/>
    <w:rsid w:val="00835692"/>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08A3"/>
    <w:rsid w:val="008C2A8B"/>
    <w:rsid w:val="008C2BCF"/>
    <w:rsid w:val="008C32A8"/>
    <w:rsid w:val="008C55A3"/>
    <w:rsid w:val="008C59E3"/>
    <w:rsid w:val="008C5EC3"/>
    <w:rsid w:val="008D06E0"/>
    <w:rsid w:val="008D1DFF"/>
    <w:rsid w:val="008D29A7"/>
    <w:rsid w:val="008D2F5B"/>
    <w:rsid w:val="008D7675"/>
    <w:rsid w:val="008E6375"/>
    <w:rsid w:val="008E7DB4"/>
    <w:rsid w:val="008E7F6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D4A"/>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97DC4"/>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153AC"/>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21DE"/>
    <w:rsid w:val="00B145FA"/>
    <w:rsid w:val="00B2037B"/>
    <w:rsid w:val="00B20C7F"/>
    <w:rsid w:val="00B23274"/>
    <w:rsid w:val="00B24D10"/>
    <w:rsid w:val="00B264D4"/>
    <w:rsid w:val="00B272A6"/>
    <w:rsid w:val="00B30856"/>
    <w:rsid w:val="00B32CD3"/>
    <w:rsid w:val="00B34CA9"/>
    <w:rsid w:val="00B35527"/>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66437"/>
    <w:rsid w:val="00B70133"/>
    <w:rsid w:val="00B70B11"/>
    <w:rsid w:val="00B71B05"/>
    <w:rsid w:val="00B730B4"/>
    <w:rsid w:val="00B73F26"/>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1B99"/>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263"/>
    <w:rsid w:val="00CF6B6C"/>
    <w:rsid w:val="00CF7B6B"/>
    <w:rsid w:val="00D0001C"/>
    <w:rsid w:val="00D00804"/>
    <w:rsid w:val="00D00A04"/>
    <w:rsid w:val="00D01094"/>
    <w:rsid w:val="00D01EA5"/>
    <w:rsid w:val="00D02501"/>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1FFC"/>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48E7"/>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5231"/>
    <w:rsid w:val="00F06275"/>
    <w:rsid w:val="00F06472"/>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65969"/>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XTLAHUACA/art_92_ii_b/4.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EA309-6C74-423D-96B1-111940A4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5416</Words>
  <Characters>29791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2022-06-23T16:16:00Z</dcterms:created>
  <dcterms:modified xsi:type="dcterms:W3CDTF">2022-06-23T16:24:00Z</dcterms:modified>
</cp:coreProperties>
</file>