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B777B" w14:textId="1B30698A" w:rsidR="00DE395A" w:rsidRPr="00EA49FC"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eastAsia="es-ES"/>
        </w:rPr>
      </w:pPr>
      <w:r w:rsidRPr="00EA49FC">
        <w:rPr>
          <w:rFonts w:ascii="Palatino Linotype" w:eastAsia="MS Mincho" w:hAnsi="Palatino Linotype" w:cs="Times New Roman"/>
          <w:color w:val="000000"/>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FC6D9A">
        <w:rPr>
          <w:rFonts w:ascii="Palatino Linotype" w:eastAsia="MS Mincho" w:hAnsi="Palatino Linotype" w:cs="Times New Roman"/>
          <w:color w:val="000000"/>
          <w:sz w:val="24"/>
          <w:szCs w:val="24"/>
          <w:lang w:val="es-ES_tradnl" w:eastAsia="es-ES"/>
        </w:rPr>
        <w:t>veinticinco (25) de mayo</w:t>
      </w:r>
      <w:r w:rsidR="009F169D" w:rsidRPr="00EA49FC">
        <w:rPr>
          <w:rFonts w:ascii="Palatino Linotype" w:eastAsia="MS Mincho" w:hAnsi="Palatino Linotype" w:cs="Times New Roman"/>
          <w:color w:val="000000"/>
          <w:sz w:val="24"/>
          <w:szCs w:val="24"/>
          <w:lang w:val="es-ES_tradnl" w:eastAsia="es-ES"/>
        </w:rPr>
        <w:t xml:space="preserve"> de</w:t>
      </w:r>
      <w:r w:rsidRPr="00EA49FC">
        <w:rPr>
          <w:rFonts w:ascii="Palatino Linotype" w:eastAsia="MS Mincho" w:hAnsi="Palatino Linotype" w:cs="Times New Roman"/>
          <w:color w:val="000000"/>
          <w:sz w:val="24"/>
          <w:szCs w:val="24"/>
          <w:lang w:eastAsia="es-ES"/>
        </w:rPr>
        <w:t xml:space="preserve"> dos mil veintidós.</w:t>
      </w:r>
    </w:p>
    <w:p w14:paraId="4F23791C" w14:textId="4BB38CA2" w:rsidR="00DE395A"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EA49FC">
        <w:rPr>
          <w:rFonts w:ascii="Palatino Linotype" w:eastAsia="MS Mincho" w:hAnsi="Palatino Linotype" w:cs="Times New Roman"/>
          <w:b/>
          <w:sz w:val="24"/>
          <w:szCs w:val="24"/>
          <w:lang w:val="es-ES_tradnl" w:eastAsia="es-ES"/>
        </w:rPr>
        <w:t>VISTO</w:t>
      </w:r>
      <w:r w:rsidRPr="00EA49FC">
        <w:rPr>
          <w:rFonts w:ascii="Palatino Linotype" w:eastAsia="MS Mincho" w:hAnsi="Palatino Linotype" w:cs="Times New Roman"/>
          <w:sz w:val="24"/>
          <w:szCs w:val="24"/>
          <w:lang w:val="es-ES_tradnl" w:eastAsia="es-ES"/>
        </w:rPr>
        <w:t xml:space="preserve"> el expediente electrónico formado con motivo del recurso de revisión </w:t>
      </w:r>
      <w:r w:rsidR="004A3550">
        <w:rPr>
          <w:rFonts w:ascii="Palatino Linotype" w:eastAsia="MS Mincho" w:hAnsi="Palatino Linotype" w:cs="Times New Roman"/>
          <w:b/>
          <w:sz w:val="24"/>
          <w:szCs w:val="24"/>
          <w:lang w:val="es-ES_tradnl" w:eastAsia="es-ES"/>
        </w:rPr>
        <w:t>01608/INFOEM/IP/RR/2022</w:t>
      </w:r>
      <w:r w:rsidRPr="00EA49FC">
        <w:rPr>
          <w:rFonts w:ascii="Palatino Linotype" w:eastAsia="MS Mincho" w:hAnsi="Palatino Linotype" w:cs="Times New Roman"/>
          <w:sz w:val="24"/>
          <w:szCs w:val="24"/>
          <w:lang w:val="es-ES_tradnl" w:eastAsia="es-ES"/>
        </w:rPr>
        <w:t xml:space="preserve"> promovido por </w:t>
      </w:r>
      <w:r w:rsidR="008A08A1" w:rsidRPr="00EA49FC">
        <w:rPr>
          <w:rFonts w:ascii="Palatino Linotype" w:eastAsia="MS Mincho" w:hAnsi="Palatino Linotype" w:cs="Times New Roman"/>
          <w:sz w:val="24"/>
          <w:szCs w:val="24"/>
          <w:lang w:eastAsia="es-ES"/>
        </w:rPr>
        <w:t xml:space="preserve">una o un usuario del Sistema de Acceso a la Información Mexiquense (SAIMEX), quien no señaló ningún nombre, seudónimo o carácter para ser identificado, por lo que </w:t>
      </w:r>
      <w:r w:rsidRPr="00EA49FC">
        <w:rPr>
          <w:rFonts w:ascii="Palatino Linotype" w:eastAsia="MS Mincho" w:hAnsi="Palatino Linotype" w:cs="Times New Roman"/>
          <w:sz w:val="24"/>
          <w:szCs w:val="24"/>
          <w:lang w:val="es-ES_tradnl" w:eastAsia="es-ES"/>
        </w:rPr>
        <w:t>lo sucesivo</w:t>
      </w:r>
      <w:r w:rsidR="008A08A1" w:rsidRPr="00EA49FC">
        <w:rPr>
          <w:rFonts w:ascii="Palatino Linotype" w:eastAsia="MS Mincho" w:hAnsi="Palatino Linotype" w:cs="Times New Roman"/>
          <w:sz w:val="24"/>
          <w:szCs w:val="24"/>
          <w:lang w:val="es-ES_tradnl" w:eastAsia="es-ES"/>
        </w:rPr>
        <w:t xml:space="preserve"> se le denominará como el</w:t>
      </w:r>
      <w:r w:rsidRPr="00EA49FC">
        <w:rPr>
          <w:rFonts w:ascii="Palatino Linotype" w:eastAsia="MS Mincho" w:hAnsi="Palatino Linotype" w:cs="Times New Roman"/>
          <w:sz w:val="24"/>
          <w:szCs w:val="24"/>
          <w:lang w:val="es-ES_tradnl" w:eastAsia="es-ES"/>
        </w:rPr>
        <w:t xml:space="preserve"> </w:t>
      </w:r>
      <w:r w:rsidRPr="00EA49FC">
        <w:rPr>
          <w:rFonts w:ascii="Palatino Linotype" w:eastAsia="MS Mincho" w:hAnsi="Palatino Linotype" w:cs="Times New Roman"/>
          <w:b/>
          <w:sz w:val="24"/>
          <w:szCs w:val="24"/>
          <w:lang w:val="es-ES_tradnl" w:eastAsia="es-ES"/>
        </w:rPr>
        <w:t>RECURRENTE</w:t>
      </w:r>
      <w:r w:rsidRPr="00EA49FC">
        <w:rPr>
          <w:rFonts w:ascii="Palatino Linotype" w:eastAsia="MS Mincho" w:hAnsi="Palatino Linotype" w:cs="Times New Roman"/>
          <w:sz w:val="24"/>
          <w:szCs w:val="24"/>
          <w:lang w:val="es-ES_tradnl" w:eastAsia="es-ES"/>
        </w:rPr>
        <w:t>, en contra de la respuesta de</w:t>
      </w:r>
      <w:r w:rsidR="009F169D" w:rsidRPr="00EA49FC">
        <w:rPr>
          <w:rFonts w:ascii="Palatino Linotype" w:eastAsia="MS Mincho" w:hAnsi="Palatino Linotype" w:cs="Times New Roman"/>
          <w:sz w:val="24"/>
          <w:szCs w:val="24"/>
          <w:lang w:val="es-ES_tradnl" w:eastAsia="es-ES"/>
        </w:rPr>
        <w:t>l</w:t>
      </w:r>
      <w:r w:rsidRPr="00EA49FC">
        <w:rPr>
          <w:rFonts w:ascii="Palatino Linotype" w:eastAsia="MS Mincho" w:hAnsi="Palatino Linotype" w:cs="Times New Roman"/>
          <w:sz w:val="24"/>
          <w:szCs w:val="24"/>
          <w:lang w:val="es-ES_tradnl" w:eastAsia="es-ES"/>
        </w:rPr>
        <w:t xml:space="preserve"> </w:t>
      </w:r>
      <w:r w:rsidR="004A3550">
        <w:rPr>
          <w:rFonts w:ascii="Palatino Linotype" w:eastAsia="MS Mincho" w:hAnsi="Palatino Linotype" w:cs="Times New Roman"/>
          <w:b/>
          <w:sz w:val="24"/>
          <w:szCs w:val="24"/>
          <w:lang w:val="es-ES_tradnl" w:eastAsia="es-ES"/>
        </w:rPr>
        <w:t>Sistema Municipal para el Desarrollo Integral de la Familia de Metepec</w:t>
      </w:r>
      <w:r w:rsidR="009F169D" w:rsidRPr="00EA49FC">
        <w:rPr>
          <w:rFonts w:ascii="Palatino Linotype" w:eastAsia="MS Mincho" w:hAnsi="Palatino Linotype" w:cs="Times New Roman"/>
          <w:sz w:val="24"/>
          <w:szCs w:val="24"/>
          <w:lang w:val="es-ES_tradnl" w:eastAsia="es-ES"/>
        </w:rPr>
        <w:t>,</w:t>
      </w:r>
      <w:r w:rsidRPr="00EA49FC">
        <w:rPr>
          <w:rFonts w:ascii="Palatino Linotype" w:eastAsia="MS Mincho" w:hAnsi="Palatino Linotype" w:cs="Times New Roman"/>
          <w:b/>
          <w:sz w:val="24"/>
          <w:szCs w:val="24"/>
          <w:lang w:val="es-ES_tradnl" w:eastAsia="es-ES"/>
        </w:rPr>
        <w:t xml:space="preserve"> </w:t>
      </w:r>
      <w:r w:rsidRPr="00EA49FC">
        <w:rPr>
          <w:rFonts w:ascii="Palatino Linotype" w:eastAsia="MS Mincho" w:hAnsi="Palatino Linotype" w:cs="Times New Roman"/>
          <w:sz w:val="24"/>
          <w:szCs w:val="24"/>
          <w:lang w:val="es-ES_tradnl" w:eastAsia="es-ES"/>
        </w:rPr>
        <w:t xml:space="preserve">en </w:t>
      </w:r>
      <w:r w:rsidR="009F169D" w:rsidRPr="00EA49FC">
        <w:rPr>
          <w:rFonts w:ascii="Palatino Linotype" w:eastAsia="MS Mincho" w:hAnsi="Palatino Linotype" w:cs="Times New Roman"/>
          <w:sz w:val="24"/>
          <w:szCs w:val="24"/>
          <w:lang w:val="es-ES_tradnl" w:eastAsia="es-ES"/>
        </w:rPr>
        <w:t>adelante,</w:t>
      </w:r>
      <w:r w:rsidRPr="00EA49FC">
        <w:rPr>
          <w:rFonts w:ascii="Palatino Linotype" w:eastAsia="MS Mincho" w:hAnsi="Palatino Linotype" w:cs="Times New Roman"/>
          <w:sz w:val="24"/>
          <w:szCs w:val="24"/>
          <w:lang w:val="es-ES_tradnl" w:eastAsia="es-ES"/>
        </w:rPr>
        <w:t xml:space="preserve"> el</w:t>
      </w:r>
      <w:r w:rsidRPr="00EA49FC">
        <w:rPr>
          <w:rFonts w:ascii="Palatino Linotype" w:eastAsia="MS Mincho" w:hAnsi="Palatino Linotype" w:cs="Times New Roman"/>
          <w:b/>
          <w:sz w:val="24"/>
          <w:szCs w:val="24"/>
          <w:lang w:val="es-ES_tradnl" w:eastAsia="es-ES"/>
        </w:rPr>
        <w:t xml:space="preserve"> SUJETO OBLIGADO</w:t>
      </w:r>
      <w:r w:rsidRPr="00EA49FC">
        <w:rPr>
          <w:rFonts w:ascii="Palatino Linotype" w:eastAsia="MS Mincho" w:hAnsi="Palatino Linotype" w:cs="Times New Roman"/>
          <w:sz w:val="24"/>
          <w:szCs w:val="24"/>
          <w:lang w:val="es-ES_tradnl" w:eastAsia="es-ES"/>
        </w:rPr>
        <w:t>,</w:t>
      </w:r>
      <w:r w:rsidRPr="00EA49FC">
        <w:rPr>
          <w:rFonts w:ascii="Palatino Linotype" w:eastAsia="MS Mincho" w:hAnsi="Palatino Linotype" w:cs="Times New Roman"/>
          <w:b/>
          <w:sz w:val="24"/>
          <w:szCs w:val="24"/>
          <w:lang w:val="es-ES_tradnl" w:eastAsia="es-ES"/>
        </w:rPr>
        <w:t xml:space="preserve"> </w:t>
      </w:r>
      <w:r w:rsidRPr="00EA49FC">
        <w:rPr>
          <w:rFonts w:ascii="Palatino Linotype" w:eastAsia="MS Mincho" w:hAnsi="Palatino Linotype" w:cs="Times New Roman"/>
          <w:sz w:val="24"/>
          <w:szCs w:val="24"/>
          <w:lang w:val="es-ES_tradnl" w:eastAsia="es-ES"/>
        </w:rPr>
        <w:t xml:space="preserve">se procede a dictar la presente resolución, con base en los siguientes: </w:t>
      </w:r>
    </w:p>
    <w:p w14:paraId="6BD0E3B4" w14:textId="77777777" w:rsidR="004A3550" w:rsidRPr="00EA49FC" w:rsidRDefault="004A3550" w:rsidP="00AC14BB">
      <w:pPr>
        <w:tabs>
          <w:tab w:val="left" w:pos="0"/>
        </w:tabs>
        <w:spacing w:after="0" w:line="360" w:lineRule="auto"/>
        <w:jc w:val="both"/>
        <w:rPr>
          <w:rFonts w:ascii="Palatino Linotype" w:eastAsia="MS Mincho" w:hAnsi="Palatino Linotype" w:cs="Times New Roman"/>
          <w:sz w:val="24"/>
          <w:szCs w:val="24"/>
          <w:lang w:val="es-ES_tradnl" w:eastAsia="es-ES"/>
        </w:rPr>
      </w:pPr>
    </w:p>
    <w:p w14:paraId="1EEA0655" w14:textId="77777777" w:rsidR="00DE395A" w:rsidRPr="00EA49FC" w:rsidRDefault="00DE395A" w:rsidP="004A3550">
      <w:pPr>
        <w:keepNext/>
        <w:keepLines/>
        <w:spacing w:after="0" w:line="360" w:lineRule="auto"/>
        <w:jc w:val="center"/>
        <w:outlineLvl w:val="0"/>
        <w:rPr>
          <w:rFonts w:ascii="Palatino Linotype" w:eastAsia="MS Gothic" w:hAnsi="Palatino Linotype" w:cs="Times New Roman"/>
          <w:b/>
          <w:color w:val="000000"/>
          <w:sz w:val="24"/>
          <w:szCs w:val="24"/>
        </w:rPr>
      </w:pPr>
      <w:bookmarkStart w:id="0" w:name="_Toc461555884"/>
      <w:bookmarkStart w:id="1" w:name="_Toc466371847"/>
      <w:bookmarkStart w:id="2" w:name="_Toc68804757"/>
      <w:bookmarkStart w:id="3" w:name="_Toc96617316"/>
      <w:r w:rsidRPr="00EA49FC">
        <w:rPr>
          <w:rFonts w:ascii="Palatino Linotype" w:eastAsia="MS Gothic" w:hAnsi="Palatino Linotype" w:cs="Times New Roman"/>
          <w:b/>
          <w:color w:val="000000"/>
          <w:sz w:val="24"/>
          <w:szCs w:val="24"/>
        </w:rPr>
        <w:t>ANTECEDENTES</w:t>
      </w:r>
      <w:bookmarkEnd w:id="0"/>
      <w:bookmarkEnd w:id="1"/>
      <w:bookmarkEnd w:id="2"/>
      <w:bookmarkEnd w:id="3"/>
    </w:p>
    <w:p w14:paraId="08BAC721" w14:textId="77777777" w:rsidR="004A3550" w:rsidRDefault="004A3550" w:rsidP="004A3550">
      <w:pPr>
        <w:tabs>
          <w:tab w:val="left" w:pos="0"/>
          <w:tab w:val="left" w:pos="426"/>
        </w:tabs>
        <w:spacing w:before="240" w:after="240" w:line="360" w:lineRule="auto"/>
        <w:contextualSpacing/>
        <w:jc w:val="both"/>
        <w:rPr>
          <w:rFonts w:ascii="Palatino Linotype" w:eastAsia="Calibri" w:hAnsi="Palatino Linotype" w:cs="Arial"/>
          <w:color w:val="000000"/>
          <w:sz w:val="24"/>
          <w:szCs w:val="24"/>
          <w:lang w:val="es-ES" w:eastAsia="es-ES"/>
        </w:rPr>
      </w:pPr>
    </w:p>
    <w:p w14:paraId="4412ED77" w14:textId="10E5FE4B" w:rsidR="00DE395A" w:rsidRPr="00EA49FC" w:rsidRDefault="00DE395A" w:rsidP="00A106A2">
      <w:pPr>
        <w:numPr>
          <w:ilvl w:val="0"/>
          <w:numId w:val="2"/>
        </w:numPr>
        <w:tabs>
          <w:tab w:val="left" w:pos="0"/>
          <w:tab w:val="left" w:pos="426"/>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EA49FC">
        <w:rPr>
          <w:rFonts w:ascii="Palatino Linotype" w:eastAsia="Calibri" w:hAnsi="Palatino Linotype" w:cs="Arial"/>
          <w:color w:val="000000"/>
          <w:sz w:val="24"/>
          <w:szCs w:val="24"/>
          <w:lang w:val="es-ES" w:eastAsia="es-ES"/>
        </w:rPr>
        <w:t xml:space="preserve">El </w:t>
      </w:r>
      <w:r w:rsidR="00235B58">
        <w:rPr>
          <w:rFonts w:ascii="Palatino Linotype" w:eastAsia="Calibri" w:hAnsi="Palatino Linotype" w:cs="Arial"/>
          <w:color w:val="000000"/>
          <w:sz w:val="24"/>
          <w:szCs w:val="24"/>
          <w:lang w:val="es-ES" w:eastAsia="es-ES"/>
        </w:rPr>
        <w:t>tres (03) de febrero</w:t>
      </w:r>
      <w:r w:rsidR="008A08A1" w:rsidRPr="00EA49FC">
        <w:rPr>
          <w:rFonts w:ascii="Palatino Linotype" w:eastAsia="Calibri" w:hAnsi="Palatino Linotype" w:cs="Arial"/>
          <w:color w:val="000000"/>
          <w:sz w:val="24"/>
          <w:szCs w:val="24"/>
          <w:lang w:val="es-ES" w:eastAsia="es-ES"/>
        </w:rPr>
        <w:t xml:space="preserve"> de dos mil veintidós</w:t>
      </w:r>
      <w:r w:rsidRPr="00EA49FC">
        <w:rPr>
          <w:rFonts w:ascii="Palatino Linotype" w:eastAsia="Calibri" w:hAnsi="Palatino Linotype" w:cs="Arial"/>
          <w:color w:val="000000"/>
          <w:sz w:val="24"/>
          <w:szCs w:val="24"/>
          <w:lang w:val="es-ES" w:eastAsia="es-ES"/>
        </w:rPr>
        <w:t xml:space="preserve">, </w:t>
      </w:r>
      <w:r w:rsidR="0039184D" w:rsidRPr="00EA49FC">
        <w:rPr>
          <w:rFonts w:ascii="Palatino Linotype" w:eastAsia="MS Mincho" w:hAnsi="Palatino Linotype" w:cs="Times New Roman"/>
          <w:color w:val="000000"/>
          <w:sz w:val="24"/>
          <w:szCs w:val="24"/>
          <w:lang w:val="es-ES_tradnl" w:eastAsia="es-ES"/>
        </w:rPr>
        <w:t>se</w:t>
      </w:r>
      <w:r w:rsidRPr="00EA49FC">
        <w:rPr>
          <w:rFonts w:ascii="Palatino Linotype" w:eastAsia="MS Mincho" w:hAnsi="Palatino Linotype" w:cs="Times New Roman"/>
          <w:color w:val="000000"/>
          <w:sz w:val="24"/>
          <w:szCs w:val="24"/>
          <w:lang w:val="es-ES_tradnl" w:eastAsia="es-ES"/>
        </w:rPr>
        <w:t xml:space="preserve"> presentó</w:t>
      </w:r>
      <w:r w:rsidRPr="00EA49FC">
        <w:rPr>
          <w:rFonts w:ascii="Palatino Linotype" w:eastAsia="MS Mincho" w:hAnsi="Palatino Linotype" w:cs="Times New Roman"/>
          <w:b/>
          <w:color w:val="000000"/>
          <w:sz w:val="24"/>
          <w:szCs w:val="24"/>
          <w:lang w:val="es-ES_tradnl" w:eastAsia="es-ES"/>
        </w:rPr>
        <w:t xml:space="preserve"> </w:t>
      </w:r>
      <w:r w:rsidRPr="00EA49FC">
        <w:rPr>
          <w:rFonts w:ascii="Palatino Linotype" w:eastAsia="MS Mincho" w:hAnsi="Palatino Linotype" w:cs="Times New Roman"/>
          <w:bCs/>
          <w:color w:val="000000"/>
          <w:sz w:val="24"/>
          <w:szCs w:val="24"/>
          <w:lang w:val="es-ES_tradnl" w:eastAsia="es-ES"/>
        </w:rPr>
        <w:t xml:space="preserve">a través del </w:t>
      </w:r>
      <w:r w:rsidR="008A08A1" w:rsidRPr="00EA49FC">
        <w:rPr>
          <w:rFonts w:ascii="Palatino Linotype" w:eastAsia="Calibri" w:hAnsi="Palatino Linotype" w:cs="Arial"/>
          <w:color w:val="000000"/>
          <w:sz w:val="24"/>
          <w:szCs w:val="24"/>
          <w:lang w:val="es-ES" w:eastAsia="es-ES"/>
        </w:rPr>
        <w:t>SAIMEX</w:t>
      </w:r>
      <w:r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b/>
          <w:color w:val="000000"/>
          <w:sz w:val="24"/>
          <w:szCs w:val="24"/>
          <w:lang w:val="es-ES" w:eastAsia="es-ES"/>
        </w:rPr>
        <w:t xml:space="preserve"> </w:t>
      </w:r>
      <w:r w:rsidRPr="00EA49FC">
        <w:rPr>
          <w:rFonts w:ascii="Palatino Linotype" w:eastAsia="Calibri" w:hAnsi="Palatino Linotype" w:cs="Arial"/>
          <w:color w:val="000000"/>
          <w:sz w:val="24"/>
          <w:szCs w:val="24"/>
          <w:lang w:val="es-ES" w:eastAsia="es-ES"/>
        </w:rPr>
        <w:t>la solicitud de información pública registrada con el número</w:t>
      </w:r>
      <w:r w:rsidR="00C5646D" w:rsidRPr="00EA49FC">
        <w:rPr>
          <w:rFonts w:ascii="Palatino Linotype" w:hAnsi="Palatino Linotype"/>
          <w:sz w:val="24"/>
          <w:szCs w:val="24"/>
        </w:rPr>
        <w:t xml:space="preserve"> </w:t>
      </w:r>
      <w:r w:rsidR="004A3550">
        <w:rPr>
          <w:rFonts w:ascii="Palatino Linotype" w:eastAsia="Calibri" w:hAnsi="Palatino Linotype" w:cs="Arial"/>
          <w:b/>
          <w:color w:val="000000"/>
          <w:sz w:val="24"/>
          <w:szCs w:val="24"/>
          <w:lang w:val="es-ES" w:eastAsia="es-ES"/>
        </w:rPr>
        <w:t>00327/METEPEC/IP/2022</w:t>
      </w:r>
      <w:r w:rsidRPr="00EA49FC">
        <w:rPr>
          <w:rFonts w:ascii="Palatino Linotype" w:eastAsia="MS Mincho" w:hAnsi="Palatino Linotype" w:cs="Times New Roman"/>
          <w:b/>
          <w:bCs/>
          <w:color w:val="000000"/>
          <w:sz w:val="24"/>
          <w:szCs w:val="24"/>
          <w:lang w:val="es-ES_tradnl" w:eastAsia="es-ES"/>
        </w:rPr>
        <w:t>,</w:t>
      </w:r>
      <w:r w:rsidRPr="00EA49FC">
        <w:rPr>
          <w:rFonts w:ascii="Palatino Linotype" w:eastAsia="Calibri" w:hAnsi="Palatino Linotype" w:cs="Arial"/>
          <w:color w:val="000000"/>
          <w:sz w:val="24"/>
          <w:szCs w:val="24"/>
          <w:lang w:val="es-ES" w:eastAsia="es-ES"/>
        </w:rPr>
        <w:t xml:space="preserve"> mediante la cual</w:t>
      </w:r>
      <w:r w:rsidR="00235B58">
        <w:rPr>
          <w:rFonts w:ascii="Palatino Linotype" w:eastAsia="Calibri" w:hAnsi="Palatino Linotype" w:cs="Arial"/>
          <w:color w:val="000000"/>
          <w:sz w:val="24"/>
          <w:szCs w:val="24"/>
          <w:lang w:val="es-ES" w:eastAsia="es-ES"/>
        </w:rPr>
        <w:t xml:space="preserve"> se</w:t>
      </w:r>
      <w:r w:rsidRPr="00EA49FC">
        <w:rPr>
          <w:rFonts w:ascii="Palatino Linotype" w:eastAsia="Calibri" w:hAnsi="Palatino Linotype" w:cs="Arial"/>
          <w:color w:val="000000"/>
          <w:sz w:val="24"/>
          <w:szCs w:val="24"/>
          <w:lang w:val="es-ES" w:eastAsia="es-ES"/>
        </w:rPr>
        <w:t xml:space="preserve"> requirió:</w:t>
      </w:r>
    </w:p>
    <w:p w14:paraId="252CD70F" w14:textId="77777777" w:rsidR="00DE395A" w:rsidRPr="00EA49FC"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44431259" w14:textId="2AA49FF1" w:rsidR="00DE395A" w:rsidRPr="00EA49FC" w:rsidRDefault="00DE395A" w:rsidP="0039184D">
      <w:pPr>
        <w:spacing w:after="0" w:line="276" w:lineRule="auto"/>
        <w:ind w:left="567" w:right="567"/>
        <w:contextualSpacing/>
        <w:jc w:val="both"/>
        <w:rPr>
          <w:rFonts w:ascii="Palatino Linotype" w:eastAsia="MS Mincho" w:hAnsi="Palatino Linotype" w:cs="Times New Roman"/>
          <w:color w:val="000000"/>
          <w:szCs w:val="24"/>
          <w:lang w:val="es-ES_tradnl" w:eastAsia="es-ES"/>
        </w:rPr>
      </w:pPr>
      <w:r w:rsidRPr="00EA49FC">
        <w:rPr>
          <w:rFonts w:ascii="Palatino Linotype" w:eastAsia="MS Mincho" w:hAnsi="Palatino Linotype" w:cs="Times New Roman"/>
          <w:i/>
          <w:color w:val="000000"/>
          <w:szCs w:val="24"/>
          <w:lang w:val="es-ES_tradnl" w:eastAsia="es-ES"/>
        </w:rPr>
        <w:t>“</w:t>
      </w:r>
      <w:r w:rsidR="004A3550" w:rsidRPr="004A3550">
        <w:rPr>
          <w:rFonts w:ascii="Palatino Linotype" w:eastAsia="MS Mincho" w:hAnsi="Palatino Linotype" w:cs="Times New Roman"/>
          <w:i/>
          <w:color w:val="000000"/>
          <w:szCs w:val="24"/>
          <w:lang w:eastAsia="es-ES"/>
        </w:rPr>
        <w:t>Solicito por este medio de forma digitalizada todos los gastos erogados en el evento denominado “primer foro internacional 20222 para la igualdad de género en metepec” (donaciones, adquisiciones, etc)</w:t>
      </w:r>
      <w:r w:rsidRPr="00EA49FC">
        <w:rPr>
          <w:rFonts w:ascii="Palatino Linotype" w:eastAsia="MS Mincho" w:hAnsi="Palatino Linotype" w:cs="Times New Roman"/>
          <w:i/>
          <w:color w:val="000000"/>
          <w:szCs w:val="24"/>
          <w:lang w:val="es-ES_tradnl" w:eastAsia="es-ES"/>
        </w:rPr>
        <w:t xml:space="preserve">” </w:t>
      </w:r>
      <w:r w:rsidRPr="00EA49FC">
        <w:rPr>
          <w:rFonts w:ascii="Palatino Linotype" w:eastAsia="MS Mincho" w:hAnsi="Palatino Linotype" w:cs="Times New Roman"/>
          <w:color w:val="000000"/>
          <w:szCs w:val="24"/>
          <w:lang w:val="es-ES_tradnl" w:eastAsia="es-ES"/>
        </w:rPr>
        <w:t>(Sic).</w:t>
      </w:r>
    </w:p>
    <w:p w14:paraId="5C23A723" w14:textId="77777777" w:rsidR="00DE395A" w:rsidRPr="00EA49FC"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5ECFDC81" w14:textId="77777777" w:rsidR="00DE395A" w:rsidRPr="00EA49FC"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A49FC">
        <w:rPr>
          <w:rFonts w:ascii="Palatino Linotype" w:eastAsia="MS Mincho" w:hAnsi="Palatino Linotype" w:cs="Arial"/>
          <w:color w:val="000000"/>
          <w:sz w:val="24"/>
          <w:szCs w:val="24"/>
          <w:lang w:val="es-ES_tradnl" w:eastAsia="es-ES"/>
        </w:rPr>
        <w:t xml:space="preserve">Se hace constar que </w:t>
      </w:r>
      <w:r w:rsidRPr="00EA49FC">
        <w:rPr>
          <w:rFonts w:ascii="Palatino Linotype" w:eastAsia="Times New Roman" w:hAnsi="Palatino Linotype" w:cs="Arial"/>
          <w:color w:val="000000"/>
          <w:sz w:val="24"/>
          <w:szCs w:val="24"/>
          <w:lang w:val="es-ES" w:eastAsia="es-ES"/>
        </w:rPr>
        <w:t xml:space="preserve">el entonces </w:t>
      </w:r>
      <w:r w:rsidRPr="00EA49FC">
        <w:rPr>
          <w:rFonts w:ascii="Palatino Linotype" w:eastAsia="Times New Roman" w:hAnsi="Palatino Linotype" w:cs="Arial"/>
          <w:b/>
          <w:color w:val="000000"/>
          <w:sz w:val="24"/>
          <w:szCs w:val="24"/>
          <w:lang w:val="es-ES" w:eastAsia="es-ES"/>
        </w:rPr>
        <w:t>SOLICITANTE</w:t>
      </w:r>
      <w:r w:rsidRPr="00EA49FC">
        <w:rPr>
          <w:rFonts w:ascii="Palatino Linotype" w:eastAsia="Times New Roman" w:hAnsi="Palatino Linotype" w:cs="Arial"/>
          <w:color w:val="000000"/>
          <w:sz w:val="24"/>
          <w:szCs w:val="24"/>
          <w:lang w:val="es-ES" w:eastAsia="es-ES"/>
        </w:rPr>
        <w:t xml:space="preserve"> señaló como modalidad de entrega de la información</w:t>
      </w:r>
      <w:r w:rsidRPr="00EA49FC">
        <w:rPr>
          <w:rFonts w:ascii="Palatino Linotype" w:eastAsia="Times New Roman" w:hAnsi="Palatino Linotype" w:cs="Arial"/>
          <w:b/>
          <w:color w:val="000000"/>
          <w:sz w:val="24"/>
          <w:szCs w:val="24"/>
          <w:lang w:val="es-ES" w:eastAsia="es-ES"/>
        </w:rPr>
        <w:t>:</w:t>
      </w:r>
      <w:r w:rsidRPr="00EA49FC">
        <w:rPr>
          <w:rFonts w:ascii="Palatino Linotype" w:eastAsia="Times New Roman" w:hAnsi="Palatino Linotype" w:cs="Arial"/>
          <w:color w:val="000000"/>
          <w:sz w:val="24"/>
          <w:szCs w:val="24"/>
          <w:lang w:val="es-ES" w:eastAsia="es-ES"/>
        </w:rPr>
        <w:t xml:space="preserve"> </w:t>
      </w:r>
      <w:r w:rsidRPr="00EA49FC">
        <w:rPr>
          <w:rFonts w:ascii="Palatino Linotype" w:eastAsia="Times New Roman" w:hAnsi="Palatino Linotype" w:cs="Arial"/>
          <w:b/>
          <w:color w:val="000000"/>
          <w:sz w:val="24"/>
          <w:szCs w:val="24"/>
          <w:lang w:val="es-ES" w:eastAsia="es-ES"/>
        </w:rPr>
        <w:t>A través del SAIMEX</w:t>
      </w:r>
      <w:r w:rsidRPr="00EA49FC">
        <w:rPr>
          <w:rFonts w:ascii="Palatino Linotype" w:eastAsia="Calibri" w:hAnsi="Palatino Linotype" w:cs="Arial"/>
          <w:color w:val="000000"/>
          <w:sz w:val="24"/>
          <w:szCs w:val="24"/>
          <w:lang w:val="es-AR" w:eastAsia="es-ES"/>
        </w:rPr>
        <w:t>.</w:t>
      </w:r>
    </w:p>
    <w:p w14:paraId="674B2531" w14:textId="77777777" w:rsidR="00DE395A" w:rsidRPr="00EA49FC"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48DEAAF5" w14:textId="265228BF" w:rsidR="00DE395A" w:rsidRPr="00EA49FC"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A49FC">
        <w:rPr>
          <w:rFonts w:ascii="Palatino Linotype" w:eastAsia="MS Mincho" w:hAnsi="Palatino Linotype" w:cs="Times New Roman"/>
          <w:color w:val="000000"/>
          <w:sz w:val="24"/>
          <w:szCs w:val="24"/>
          <w:lang w:val="es-ES_tradnl" w:eastAsia="es-ES"/>
        </w:rPr>
        <w:t xml:space="preserve">El </w:t>
      </w:r>
      <w:r w:rsidR="00235B58">
        <w:rPr>
          <w:rFonts w:ascii="Palatino Linotype" w:eastAsia="MS Mincho" w:hAnsi="Palatino Linotype" w:cs="Times New Roman"/>
          <w:color w:val="000000"/>
          <w:sz w:val="24"/>
          <w:szCs w:val="24"/>
          <w:lang w:val="es-ES_tradnl" w:eastAsia="es-ES"/>
        </w:rPr>
        <w:t>ocho (08) de febrero</w:t>
      </w:r>
      <w:r w:rsidR="0039184D" w:rsidRPr="00EA49FC">
        <w:rPr>
          <w:rFonts w:ascii="Palatino Linotype" w:eastAsia="MS Mincho" w:hAnsi="Palatino Linotype" w:cs="Times New Roman"/>
          <w:color w:val="000000"/>
          <w:sz w:val="24"/>
          <w:szCs w:val="24"/>
          <w:lang w:val="es-ES_tradnl" w:eastAsia="es-ES"/>
        </w:rPr>
        <w:t xml:space="preserve"> de dos mil veintidós</w:t>
      </w:r>
      <w:r w:rsidRPr="00EA49FC">
        <w:rPr>
          <w:rFonts w:ascii="Palatino Linotype" w:eastAsia="MS Mincho" w:hAnsi="Palatino Linotype" w:cs="Times New Roman"/>
          <w:color w:val="000000"/>
          <w:sz w:val="24"/>
          <w:szCs w:val="24"/>
          <w:lang w:val="es-ES_tradnl" w:eastAsia="es-ES"/>
        </w:rPr>
        <w:t xml:space="preserve">, el </w:t>
      </w:r>
      <w:r w:rsidRPr="00EA49FC">
        <w:rPr>
          <w:rFonts w:ascii="Palatino Linotype" w:eastAsia="MS Mincho" w:hAnsi="Palatino Linotype" w:cs="Times New Roman"/>
          <w:b/>
          <w:color w:val="000000"/>
          <w:sz w:val="24"/>
          <w:szCs w:val="24"/>
          <w:lang w:val="es-ES_tradnl" w:eastAsia="es-ES"/>
        </w:rPr>
        <w:t>SUJETO OBLIGADO</w:t>
      </w:r>
      <w:r w:rsidRPr="00EA49FC">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215150E6" w14:textId="77777777" w:rsidR="00DE395A" w:rsidRPr="00EA49FC"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69BE2A87" w14:textId="77777777" w:rsidR="004A3550" w:rsidRPr="004A3550" w:rsidRDefault="00DE395A" w:rsidP="004A3550">
      <w:pPr>
        <w:spacing w:after="0" w:line="276" w:lineRule="auto"/>
        <w:ind w:left="567" w:right="567"/>
        <w:jc w:val="both"/>
        <w:rPr>
          <w:rFonts w:ascii="Palatino Linotype" w:eastAsia="MS Mincho" w:hAnsi="Palatino Linotype" w:cs="Times New Roman"/>
          <w:i/>
          <w:noProof/>
          <w:color w:val="000000"/>
          <w:szCs w:val="24"/>
          <w:lang w:eastAsia="es-MX"/>
        </w:rPr>
      </w:pPr>
      <w:r w:rsidRPr="00EA49FC">
        <w:rPr>
          <w:rFonts w:ascii="Palatino Linotype" w:eastAsia="MS Mincho" w:hAnsi="Palatino Linotype" w:cs="Times New Roman"/>
          <w:i/>
          <w:noProof/>
          <w:color w:val="000000"/>
          <w:szCs w:val="24"/>
          <w:lang w:eastAsia="es-MX"/>
        </w:rPr>
        <w:t>“</w:t>
      </w:r>
      <w:r w:rsidR="004A3550" w:rsidRPr="004A3550">
        <w:rPr>
          <w:rFonts w:ascii="Palatino Linotype" w:eastAsia="MS Mincho" w:hAnsi="Palatino Linotype" w:cs="Times New Roman"/>
          <w:i/>
          <w:noProof/>
          <w:color w:val="000000"/>
          <w:szCs w:val="24"/>
          <w:lang w:eastAsia="es-MX"/>
        </w:rPr>
        <w:t>El “primer foro internacional 2022 para la igualdad de género en metepec” fue organizado en su totalidad por la Dirección de Igualdad de Genero del H. Ayuntamiento de Metepec.</w:t>
      </w:r>
    </w:p>
    <w:p w14:paraId="54F92E93" w14:textId="74E99931" w:rsidR="004A3550" w:rsidRDefault="00A6132E" w:rsidP="00A6132E">
      <w:pPr>
        <w:tabs>
          <w:tab w:val="left" w:pos="2731"/>
        </w:tabs>
        <w:spacing w:after="0" w:line="276" w:lineRule="auto"/>
        <w:ind w:left="567" w:right="567"/>
        <w:jc w:val="both"/>
        <w:rPr>
          <w:rFonts w:ascii="Palatino Linotype" w:eastAsia="MS Mincho" w:hAnsi="Palatino Linotype" w:cs="Times New Roman"/>
          <w:i/>
          <w:noProof/>
          <w:color w:val="000000"/>
          <w:szCs w:val="24"/>
          <w:lang w:eastAsia="es-MX"/>
        </w:rPr>
      </w:pPr>
      <w:r>
        <w:rPr>
          <w:rFonts w:ascii="Palatino Linotype" w:eastAsia="MS Mincho" w:hAnsi="Palatino Linotype" w:cs="Times New Roman"/>
          <w:i/>
          <w:noProof/>
          <w:color w:val="000000"/>
          <w:szCs w:val="24"/>
          <w:lang w:eastAsia="es-MX"/>
        </w:rPr>
        <w:tab/>
      </w:r>
    </w:p>
    <w:p w14:paraId="3F7261AC" w14:textId="77777777" w:rsidR="004A3550" w:rsidRPr="004A3550" w:rsidRDefault="004A3550" w:rsidP="004A3550">
      <w:pPr>
        <w:spacing w:after="0" w:line="276" w:lineRule="auto"/>
        <w:ind w:left="567" w:right="567"/>
        <w:jc w:val="both"/>
        <w:rPr>
          <w:rFonts w:ascii="Palatino Linotype" w:eastAsia="MS Mincho" w:hAnsi="Palatino Linotype" w:cs="Times New Roman"/>
          <w:i/>
          <w:noProof/>
          <w:color w:val="000000"/>
          <w:szCs w:val="24"/>
          <w:lang w:eastAsia="es-MX"/>
        </w:rPr>
      </w:pPr>
      <w:r w:rsidRPr="004A3550">
        <w:rPr>
          <w:rFonts w:ascii="Palatino Linotype" w:eastAsia="MS Mincho" w:hAnsi="Palatino Linotype" w:cs="Times New Roman"/>
          <w:i/>
          <w:noProof/>
          <w:color w:val="000000"/>
          <w:szCs w:val="24"/>
          <w:lang w:eastAsia="es-MX"/>
        </w:rPr>
        <w:t>ATENTAMENTE</w:t>
      </w:r>
    </w:p>
    <w:p w14:paraId="2A301B53" w14:textId="2219DB27" w:rsidR="00DE395A" w:rsidRPr="00EA49FC" w:rsidRDefault="004A3550" w:rsidP="004A3550">
      <w:pPr>
        <w:spacing w:after="0" w:line="276" w:lineRule="auto"/>
        <w:ind w:left="567" w:right="567"/>
        <w:jc w:val="both"/>
        <w:rPr>
          <w:rFonts w:ascii="Palatino Linotype" w:eastAsia="MS Mincho" w:hAnsi="Palatino Linotype" w:cs="Times New Roman"/>
          <w:i/>
          <w:noProof/>
          <w:color w:val="000000"/>
          <w:szCs w:val="24"/>
          <w:lang w:eastAsia="es-MX"/>
        </w:rPr>
      </w:pPr>
      <w:r w:rsidRPr="004A3550">
        <w:rPr>
          <w:rFonts w:ascii="Palatino Linotype" w:eastAsia="MS Mincho" w:hAnsi="Palatino Linotype" w:cs="Times New Roman"/>
          <w:i/>
          <w:noProof/>
          <w:color w:val="000000"/>
          <w:szCs w:val="24"/>
          <w:lang w:eastAsia="es-MX"/>
        </w:rPr>
        <w:t>Licenciado FERNANDO OSCAR ZAPATA NAVARRETE</w:t>
      </w:r>
      <w:r w:rsidR="00DE395A" w:rsidRPr="00EA49FC">
        <w:rPr>
          <w:rFonts w:ascii="Palatino Linotype" w:eastAsia="MS Mincho" w:hAnsi="Palatino Linotype" w:cs="Times New Roman"/>
          <w:i/>
          <w:noProof/>
          <w:color w:val="000000"/>
          <w:szCs w:val="24"/>
          <w:lang w:eastAsia="es-MX"/>
        </w:rPr>
        <w:t xml:space="preserve">” </w:t>
      </w:r>
      <w:r w:rsidR="00DE395A" w:rsidRPr="00EA49FC">
        <w:rPr>
          <w:rFonts w:ascii="Palatino Linotype" w:eastAsia="MS Mincho" w:hAnsi="Palatino Linotype" w:cs="Times New Roman"/>
          <w:noProof/>
          <w:color w:val="000000"/>
          <w:szCs w:val="24"/>
          <w:lang w:eastAsia="es-MX"/>
        </w:rPr>
        <w:t>(Sic)</w:t>
      </w:r>
    </w:p>
    <w:p w14:paraId="12951121" w14:textId="77777777" w:rsidR="00DE395A" w:rsidRPr="00EA49FC" w:rsidRDefault="00DE395A" w:rsidP="00AC14BB">
      <w:pPr>
        <w:spacing w:after="240" w:line="360" w:lineRule="auto"/>
        <w:ind w:right="567"/>
        <w:jc w:val="both"/>
        <w:rPr>
          <w:rFonts w:ascii="Palatino Linotype" w:eastAsia="MS Mincho" w:hAnsi="Palatino Linotype" w:cs="Times New Roman"/>
          <w:noProof/>
          <w:color w:val="000000"/>
          <w:sz w:val="24"/>
          <w:szCs w:val="24"/>
          <w:lang w:eastAsia="es-MX"/>
        </w:rPr>
      </w:pPr>
    </w:p>
    <w:p w14:paraId="7FE39251" w14:textId="1861ABA6" w:rsidR="00DE395A" w:rsidRPr="00EA49FC" w:rsidRDefault="008A08A1"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A49FC">
        <w:rPr>
          <w:rFonts w:ascii="Palatino Linotype" w:eastAsia="Times New Roman" w:hAnsi="Palatino Linotype" w:cs="Arial"/>
          <w:color w:val="000000"/>
          <w:sz w:val="24"/>
          <w:szCs w:val="24"/>
          <w:lang w:val="es-ES" w:eastAsia="es-ES"/>
        </w:rPr>
        <w:t>D</w:t>
      </w:r>
      <w:r w:rsidR="00DE395A" w:rsidRPr="00EA49FC">
        <w:rPr>
          <w:rFonts w:ascii="Palatino Linotype" w:eastAsia="Times New Roman" w:hAnsi="Palatino Linotype" w:cs="Arial"/>
          <w:color w:val="000000"/>
          <w:sz w:val="24"/>
          <w:szCs w:val="24"/>
          <w:lang w:val="es-ES" w:eastAsia="es-ES"/>
        </w:rPr>
        <w:t xml:space="preserve">erivado de la respuesta emitida por el </w:t>
      </w:r>
      <w:r w:rsidR="00DE395A" w:rsidRPr="00EA49FC">
        <w:rPr>
          <w:rFonts w:ascii="Palatino Linotype" w:eastAsia="Times New Roman" w:hAnsi="Palatino Linotype" w:cs="Arial"/>
          <w:b/>
          <w:color w:val="000000"/>
          <w:sz w:val="24"/>
          <w:szCs w:val="24"/>
          <w:lang w:val="es-ES" w:eastAsia="es-ES"/>
        </w:rPr>
        <w:t>SUJETO OBLIGADO</w:t>
      </w:r>
      <w:r w:rsidR="00DE395A" w:rsidRPr="00EA49FC">
        <w:rPr>
          <w:rFonts w:ascii="Palatino Linotype" w:eastAsia="Times New Roman" w:hAnsi="Palatino Linotype" w:cs="Arial"/>
          <w:color w:val="000000"/>
          <w:sz w:val="24"/>
          <w:szCs w:val="24"/>
          <w:lang w:val="es-ES" w:eastAsia="es-ES"/>
        </w:rPr>
        <w:t xml:space="preserve">, el </w:t>
      </w:r>
      <w:r w:rsidR="004A3550">
        <w:rPr>
          <w:rFonts w:ascii="Palatino Linotype" w:eastAsia="Times New Roman" w:hAnsi="Palatino Linotype" w:cs="Arial"/>
          <w:color w:val="000000"/>
          <w:sz w:val="24"/>
          <w:szCs w:val="24"/>
          <w:lang w:val="es-ES" w:eastAsia="es-ES"/>
        </w:rPr>
        <w:t>veintitrés (23</w:t>
      </w:r>
      <w:r w:rsidR="00EA1C6B">
        <w:rPr>
          <w:rFonts w:ascii="Palatino Linotype" w:eastAsia="Times New Roman" w:hAnsi="Palatino Linotype" w:cs="Arial"/>
          <w:color w:val="000000"/>
          <w:sz w:val="24"/>
          <w:szCs w:val="24"/>
          <w:lang w:val="es-ES" w:eastAsia="es-ES"/>
        </w:rPr>
        <w:t>) de febrero</w:t>
      </w:r>
      <w:r w:rsidR="00C5646D" w:rsidRPr="00EA49FC">
        <w:rPr>
          <w:rFonts w:ascii="Palatino Linotype" w:eastAsia="Times New Roman" w:hAnsi="Palatino Linotype" w:cs="Arial"/>
          <w:color w:val="000000"/>
          <w:sz w:val="24"/>
          <w:szCs w:val="24"/>
          <w:lang w:val="es-ES" w:eastAsia="es-ES"/>
        </w:rPr>
        <w:t xml:space="preserve"> de dos mil veintidós</w:t>
      </w:r>
      <w:r w:rsidR="00DE395A" w:rsidRPr="00EA49FC">
        <w:rPr>
          <w:rFonts w:ascii="Palatino Linotype" w:eastAsia="Times New Roman" w:hAnsi="Palatino Linotype" w:cs="Arial"/>
          <w:color w:val="000000"/>
          <w:sz w:val="24"/>
          <w:szCs w:val="24"/>
          <w:lang w:val="es-ES" w:eastAsia="es-ES"/>
        </w:rPr>
        <w:t>, el particular interpuso el recurso de revisión</w:t>
      </w:r>
      <w:r w:rsidR="00C5646D" w:rsidRPr="00EA49FC">
        <w:rPr>
          <w:rFonts w:ascii="Palatino Linotype" w:eastAsia="Times New Roman" w:hAnsi="Palatino Linotype" w:cs="Arial"/>
          <w:color w:val="000000"/>
          <w:sz w:val="24"/>
          <w:szCs w:val="24"/>
          <w:lang w:val="es-ES" w:eastAsia="es-ES"/>
        </w:rPr>
        <w:t xml:space="preserve"> </w:t>
      </w:r>
      <w:r w:rsidR="004A3550">
        <w:rPr>
          <w:rFonts w:ascii="Palatino Linotype" w:eastAsia="Times New Roman" w:hAnsi="Palatino Linotype" w:cs="Arial"/>
          <w:b/>
          <w:color w:val="000000"/>
          <w:sz w:val="24"/>
          <w:szCs w:val="24"/>
          <w:lang w:eastAsia="es-ES"/>
        </w:rPr>
        <w:t>01608/INFOEM/IP/RR/2022</w:t>
      </w:r>
      <w:r w:rsidR="00DE395A" w:rsidRPr="00EA49FC">
        <w:rPr>
          <w:rFonts w:ascii="Palatino Linotype" w:eastAsia="Calibri" w:hAnsi="Palatino Linotype" w:cs="Arial"/>
          <w:color w:val="000000"/>
          <w:sz w:val="24"/>
          <w:szCs w:val="24"/>
          <w:lang w:val="es-ES" w:eastAsia="es-ES"/>
        </w:rPr>
        <w:t>;</w:t>
      </w:r>
      <w:r w:rsidR="00DE395A" w:rsidRPr="00EA49FC">
        <w:rPr>
          <w:rFonts w:ascii="Palatino Linotype" w:eastAsia="Times New Roman" w:hAnsi="Palatino Linotype" w:cs="Arial"/>
          <w:color w:val="000000"/>
          <w:sz w:val="24"/>
          <w:szCs w:val="24"/>
          <w:lang w:val="es-ES" w:eastAsia="es-ES"/>
        </w:rPr>
        <w:t xml:space="preserve"> impugnación en la que refirió lo siguiente:</w:t>
      </w:r>
    </w:p>
    <w:p w14:paraId="58712EFA" w14:textId="77777777" w:rsidR="00DE395A" w:rsidRPr="00EA49FC"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092408E9" w14:textId="7A5AC623" w:rsidR="00DE395A" w:rsidRPr="00EA49FC" w:rsidRDefault="00DE395A" w:rsidP="004A3550">
      <w:pPr>
        <w:numPr>
          <w:ilvl w:val="0"/>
          <w:numId w:val="1"/>
        </w:numPr>
        <w:tabs>
          <w:tab w:val="left" w:pos="426"/>
          <w:tab w:val="left" w:pos="567"/>
          <w:tab w:val="left" w:pos="720"/>
        </w:tabs>
        <w:spacing w:after="0" w:line="360" w:lineRule="auto"/>
        <w:ind w:right="616"/>
        <w:contextualSpacing/>
        <w:jc w:val="both"/>
        <w:rPr>
          <w:rFonts w:ascii="Palatino Linotype" w:eastAsia="Times New Roman" w:hAnsi="Palatino Linotype" w:cs="Arial"/>
          <w:color w:val="000000"/>
          <w:sz w:val="24"/>
          <w:szCs w:val="24"/>
          <w:lang w:val="es-ES" w:eastAsia="es-ES"/>
        </w:rPr>
      </w:pPr>
      <w:r w:rsidRPr="00EA49FC">
        <w:rPr>
          <w:rFonts w:ascii="Palatino Linotype" w:eastAsia="Times New Roman" w:hAnsi="Palatino Linotype" w:cs="Arial"/>
          <w:b/>
          <w:color w:val="000000"/>
          <w:sz w:val="24"/>
          <w:szCs w:val="24"/>
          <w:lang w:val="es-ES" w:eastAsia="es-ES"/>
        </w:rPr>
        <w:t>Acto impugnado:</w:t>
      </w:r>
      <w:r w:rsidRPr="00EA49FC">
        <w:rPr>
          <w:rFonts w:ascii="Palatino Linotype" w:eastAsia="Times New Roman" w:hAnsi="Palatino Linotype" w:cs="Arial"/>
          <w:color w:val="000000"/>
          <w:sz w:val="24"/>
          <w:szCs w:val="24"/>
          <w:lang w:val="es-ES" w:eastAsia="es-ES"/>
        </w:rPr>
        <w:t xml:space="preserve"> </w:t>
      </w:r>
      <w:r w:rsidRPr="00EA49FC">
        <w:rPr>
          <w:rFonts w:ascii="Palatino Linotype" w:eastAsia="Times New Roman" w:hAnsi="Palatino Linotype" w:cs="Arial"/>
          <w:i/>
          <w:color w:val="000000"/>
          <w:sz w:val="24"/>
          <w:szCs w:val="24"/>
          <w:lang w:val="es-ES" w:eastAsia="es-ES"/>
        </w:rPr>
        <w:t>“</w:t>
      </w:r>
      <w:r w:rsidR="004A3550" w:rsidRPr="004A3550">
        <w:rPr>
          <w:rFonts w:ascii="Palatino Linotype" w:eastAsia="Times New Roman" w:hAnsi="Palatino Linotype" w:cs="Arial"/>
          <w:i/>
          <w:color w:val="000000"/>
          <w:sz w:val="24"/>
          <w:szCs w:val="24"/>
          <w:lang w:val="es-ES" w:eastAsia="es-ES"/>
        </w:rPr>
        <w:t>La respuesta proporcionada por el Sujeto Obligado.</w:t>
      </w:r>
      <w:r w:rsidRPr="00EA49FC">
        <w:rPr>
          <w:rFonts w:ascii="Palatino Linotype" w:eastAsia="Times New Roman" w:hAnsi="Palatino Linotype" w:cs="Arial"/>
          <w:i/>
          <w:color w:val="000000"/>
          <w:sz w:val="24"/>
          <w:szCs w:val="24"/>
          <w:lang w:val="es-ES" w:eastAsia="es-ES"/>
        </w:rPr>
        <w:t>”</w:t>
      </w:r>
      <w:r w:rsidRPr="00EA49FC">
        <w:rPr>
          <w:rFonts w:ascii="Palatino Linotype" w:eastAsia="Times New Roman" w:hAnsi="Palatino Linotype" w:cs="Arial"/>
          <w:color w:val="000000"/>
          <w:sz w:val="24"/>
          <w:szCs w:val="24"/>
          <w:lang w:val="es-ES" w:eastAsia="es-ES"/>
        </w:rPr>
        <w:t xml:space="preserve"> (Sic).</w:t>
      </w:r>
    </w:p>
    <w:p w14:paraId="46768F30" w14:textId="77777777" w:rsidR="00DE395A" w:rsidRPr="00EA49FC"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4D5FF549" w14:textId="2C4612CF" w:rsidR="00DE395A" w:rsidRPr="00EA49FC" w:rsidRDefault="00DE395A" w:rsidP="004A3550">
      <w:pPr>
        <w:numPr>
          <w:ilvl w:val="0"/>
          <w:numId w:val="1"/>
        </w:numPr>
        <w:tabs>
          <w:tab w:val="left" w:pos="0"/>
        </w:tabs>
        <w:spacing w:after="0" w:line="360" w:lineRule="auto"/>
        <w:ind w:right="616"/>
        <w:contextualSpacing/>
        <w:jc w:val="both"/>
        <w:rPr>
          <w:rFonts w:ascii="Palatino Linotype" w:eastAsia="Times New Roman" w:hAnsi="Palatino Linotype" w:cs="Arial"/>
          <w:color w:val="000000"/>
          <w:sz w:val="24"/>
          <w:szCs w:val="24"/>
          <w:lang w:val="es-ES" w:eastAsia="es-ES"/>
        </w:rPr>
      </w:pPr>
      <w:r w:rsidRPr="00EA49FC">
        <w:rPr>
          <w:rFonts w:ascii="Palatino Linotype" w:eastAsia="Times New Roman" w:hAnsi="Palatino Linotype" w:cs="Arial"/>
          <w:b/>
          <w:color w:val="000000"/>
          <w:sz w:val="24"/>
          <w:szCs w:val="24"/>
          <w:lang w:val="es-ES" w:eastAsia="es-ES"/>
        </w:rPr>
        <w:t>Razones o motivos de inconformidad:</w:t>
      </w:r>
      <w:r w:rsidRPr="00EA49FC">
        <w:rPr>
          <w:rFonts w:ascii="Palatino Linotype" w:eastAsia="Times New Roman" w:hAnsi="Palatino Linotype" w:cs="Arial"/>
          <w:color w:val="000000"/>
          <w:sz w:val="24"/>
          <w:szCs w:val="24"/>
          <w:lang w:val="es-ES" w:eastAsia="es-ES"/>
        </w:rPr>
        <w:t xml:space="preserve"> </w:t>
      </w:r>
      <w:r w:rsidRPr="00EA49FC">
        <w:rPr>
          <w:rFonts w:ascii="Palatino Linotype" w:eastAsia="Times New Roman" w:hAnsi="Palatino Linotype" w:cs="Arial"/>
          <w:i/>
          <w:color w:val="000000"/>
          <w:sz w:val="24"/>
          <w:szCs w:val="24"/>
          <w:lang w:val="es-ES" w:eastAsia="es-ES"/>
        </w:rPr>
        <w:t>“</w:t>
      </w:r>
      <w:r w:rsidR="004A3550" w:rsidRPr="004A3550">
        <w:rPr>
          <w:rFonts w:ascii="Palatino Linotype" w:eastAsia="Times New Roman" w:hAnsi="Palatino Linotype" w:cs="Arial"/>
          <w:i/>
          <w:color w:val="000000"/>
          <w:sz w:val="24"/>
          <w:szCs w:val="24"/>
          <w:lang w:eastAsia="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w:t>
      </w:r>
      <w:r w:rsidR="004A3550" w:rsidRPr="004A3550">
        <w:rPr>
          <w:rFonts w:ascii="Palatino Linotype" w:eastAsia="Times New Roman" w:hAnsi="Palatino Linotype" w:cs="Arial"/>
          <w:i/>
          <w:color w:val="000000"/>
          <w:sz w:val="24"/>
          <w:szCs w:val="24"/>
          <w:lang w:eastAsia="es-ES"/>
        </w:rPr>
        <w:lastRenderedPageBreak/>
        <w:t xml:space="preserve">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w:t>
      </w:r>
      <w:r w:rsidR="004A3550" w:rsidRPr="004A3550">
        <w:rPr>
          <w:rFonts w:ascii="Palatino Linotype" w:eastAsia="Times New Roman" w:hAnsi="Palatino Linotype" w:cs="Arial"/>
          <w:i/>
          <w:color w:val="000000"/>
          <w:sz w:val="24"/>
          <w:szCs w:val="24"/>
          <w:lang w:eastAsia="es-ES"/>
        </w:rPr>
        <w:lastRenderedPageBreak/>
        <w:t>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EA49FC">
        <w:rPr>
          <w:rFonts w:ascii="Palatino Linotype" w:eastAsia="Times New Roman" w:hAnsi="Palatino Linotype" w:cs="Arial"/>
          <w:i/>
          <w:color w:val="000000"/>
          <w:sz w:val="24"/>
          <w:szCs w:val="24"/>
          <w:lang w:val="es-ES" w:eastAsia="es-ES"/>
        </w:rPr>
        <w:t xml:space="preserve">” </w:t>
      </w:r>
      <w:r w:rsidRPr="00EA49FC">
        <w:rPr>
          <w:rFonts w:ascii="Palatino Linotype" w:eastAsia="Times New Roman" w:hAnsi="Palatino Linotype" w:cs="Arial"/>
          <w:color w:val="000000"/>
          <w:sz w:val="24"/>
          <w:szCs w:val="24"/>
          <w:lang w:val="es-ES" w:eastAsia="es-ES"/>
        </w:rPr>
        <w:t>(Sic).</w:t>
      </w:r>
    </w:p>
    <w:p w14:paraId="7551CAFB" w14:textId="77777777" w:rsidR="00DE395A" w:rsidRPr="00EA49FC"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5DE4FABD" w14:textId="77777777" w:rsidR="00C5646D" w:rsidRPr="00EA49FC"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A49FC">
        <w:rPr>
          <w:rFonts w:ascii="Palatino Linotype" w:eastAsia="Times New Roman" w:hAnsi="Palatino Linotype" w:cs="Arial"/>
          <w:color w:val="000000"/>
          <w:sz w:val="24"/>
          <w:szCs w:val="24"/>
          <w:lang w:val="es-ES" w:eastAsia="es-ES"/>
        </w:rPr>
        <w:t xml:space="preserve">Se registró el recurso de revisión bajo el número de expediente </w:t>
      </w:r>
      <w:r w:rsidRPr="00EA49FC">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EA49FC">
        <w:rPr>
          <w:rFonts w:ascii="Palatino Linotype" w:eastAsia="Calibri" w:hAnsi="Palatino Linotype" w:cs="Arial"/>
          <w:color w:val="000000"/>
          <w:sz w:val="24"/>
          <w:szCs w:val="24"/>
          <w:lang w:val="es-ES" w:eastAsia="es-ES"/>
        </w:rPr>
        <w:t>artículo 185</w:t>
      </w:r>
      <w:r w:rsidR="008A08A1"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fracción I</w:t>
      </w:r>
      <w:r w:rsidR="008A08A1"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de la </w:t>
      </w:r>
      <w:r w:rsidRPr="00EA49FC">
        <w:rPr>
          <w:rFonts w:ascii="Palatino Linotype" w:eastAsia="Calibri" w:hAnsi="Palatino Linotype" w:cs="Arial"/>
          <w:b/>
          <w:color w:val="000000"/>
          <w:sz w:val="24"/>
          <w:szCs w:val="24"/>
          <w:lang w:val="es-ES" w:eastAsia="es-ES"/>
        </w:rPr>
        <w:t xml:space="preserve">Ley de Transparencia y Acceso a la Información Pública del Estado de México y </w:t>
      </w:r>
      <w:r w:rsidRPr="00EA49FC">
        <w:rPr>
          <w:rFonts w:ascii="Palatino Linotype" w:eastAsia="Calibri" w:hAnsi="Palatino Linotype" w:cs="Arial"/>
          <w:b/>
          <w:color w:val="000000"/>
          <w:sz w:val="24"/>
          <w:szCs w:val="24"/>
          <w:lang w:val="es-ES" w:eastAsia="es-ES"/>
        </w:rPr>
        <w:lastRenderedPageBreak/>
        <w:t xml:space="preserve">Municipios </w:t>
      </w:r>
      <w:r w:rsidRPr="00EA49FC">
        <w:rPr>
          <w:rFonts w:ascii="Palatino Linotype" w:eastAsia="Times New Roman" w:hAnsi="Palatino Linotype" w:cs="Arial"/>
          <w:color w:val="000000"/>
          <w:sz w:val="24"/>
          <w:szCs w:val="24"/>
          <w:lang w:val="es-ES" w:eastAsia="es-ES"/>
        </w:rPr>
        <w:t>se turnó a la</w:t>
      </w:r>
      <w:r w:rsidRPr="00EA49FC">
        <w:rPr>
          <w:rFonts w:ascii="Palatino Linotype" w:eastAsia="Times New Roman" w:hAnsi="Palatino Linotype" w:cs="Arial"/>
          <w:b/>
          <w:color w:val="000000"/>
          <w:sz w:val="24"/>
          <w:szCs w:val="24"/>
          <w:lang w:val="es-ES" w:eastAsia="es-ES"/>
        </w:rPr>
        <w:t xml:space="preserve"> Comisionada</w:t>
      </w:r>
      <w:r w:rsidR="00C5646D" w:rsidRPr="00EA49FC">
        <w:rPr>
          <w:rFonts w:ascii="Palatino Linotype" w:eastAsia="Times New Roman" w:hAnsi="Palatino Linotype" w:cs="Arial"/>
          <w:b/>
          <w:color w:val="000000"/>
          <w:sz w:val="24"/>
          <w:szCs w:val="24"/>
          <w:lang w:val="es-ES" w:eastAsia="es-ES"/>
        </w:rPr>
        <w:t xml:space="preserve"> María del Rosario Mejía Ayala</w:t>
      </w:r>
      <w:r w:rsidRPr="00EA49FC">
        <w:rPr>
          <w:rFonts w:ascii="Palatino Linotype" w:eastAsia="Times New Roman" w:hAnsi="Palatino Linotype" w:cs="Arial"/>
          <w:b/>
          <w:color w:val="000000"/>
          <w:sz w:val="24"/>
          <w:szCs w:val="24"/>
          <w:lang w:val="es-ES" w:eastAsia="es-ES"/>
        </w:rPr>
        <w:t xml:space="preserve">, </w:t>
      </w:r>
      <w:r w:rsidRPr="00EA49FC">
        <w:rPr>
          <w:rFonts w:ascii="Palatino Linotype" w:eastAsia="Times New Roman" w:hAnsi="Palatino Linotype" w:cs="Arial"/>
          <w:color w:val="000000"/>
          <w:sz w:val="24"/>
          <w:szCs w:val="24"/>
          <w:lang w:val="es-ES" w:eastAsia="es-ES"/>
        </w:rPr>
        <w:t xml:space="preserve">con el objeto de </w:t>
      </w:r>
      <w:r w:rsidRPr="00EA49FC">
        <w:rPr>
          <w:rFonts w:ascii="Palatino Linotype" w:eastAsia="Times New Roman" w:hAnsi="Palatino Linotype" w:cs="Arial"/>
          <w:color w:val="000000"/>
          <w:sz w:val="24"/>
          <w:szCs w:val="24"/>
          <w:lang w:eastAsia="es-ES"/>
        </w:rPr>
        <w:t>su análisis.</w:t>
      </w:r>
    </w:p>
    <w:p w14:paraId="347412BB" w14:textId="77777777" w:rsidR="00C5646D" w:rsidRPr="00EA49FC"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63FF6341" w14:textId="5985AC7E" w:rsidR="00C5646D" w:rsidRPr="00EA49FC"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A49FC">
        <w:rPr>
          <w:rFonts w:ascii="Palatino Linotype" w:eastAsia="Times New Roman" w:hAnsi="Palatino Linotype" w:cs="Arial"/>
          <w:color w:val="000000"/>
          <w:sz w:val="24"/>
          <w:szCs w:val="24"/>
          <w:lang w:val="es-ES" w:eastAsia="es-ES"/>
        </w:rPr>
        <w:t>La</w:t>
      </w:r>
      <w:r w:rsidR="00C5646D" w:rsidRPr="00EA49FC">
        <w:rPr>
          <w:rFonts w:ascii="Palatino Linotype" w:eastAsia="Times New Roman" w:hAnsi="Palatino Linotype" w:cs="Arial"/>
          <w:b/>
          <w:color w:val="000000"/>
          <w:sz w:val="24"/>
          <w:szCs w:val="24"/>
          <w:lang w:val="es-ES" w:eastAsia="es-ES"/>
        </w:rPr>
        <w:t xml:space="preserve"> </w:t>
      </w:r>
      <w:r w:rsidR="0039184D" w:rsidRPr="00EA49FC">
        <w:rPr>
          <w:rFonts w:ascii="Palatino Linotype" w:eastAsia="Times New Roman" w:hAnsi="Palatino Linotype" w:cs="Arial"/>
          <w:color w:val="000000"/>
          <w:sz w:val="24"/>
          <w:szCs w:val="24"/>
          <w:lang w:val="es-ES" w:eastAsia="es-ES"/>
        </w:rPr>
        <w:t>Comisionada Ponente</w:t>
      </w:r>
      <w:r w:rsidRPr="00EA49FC">
        <w:rPr>
          <w:rFonts w:ascii="Palatino Linotype" w:eastAsia="Calibri" w:hAnsi="Palatino Linotype" w:cs="Arial"/>
          <w:color w:val="000000"/>
          <w:sz w:val="24"/>
          <w:szCs w:val="24"/>
          <w:lang w:val="es-ES" w:eastAsia="es-ES"/>
        </w:rPr>
        <w:t>, con fundamento en lo dispuesto por el artículo 185</w:t>
      </w:r>
      <w:r w:rsidR="00EA1C6B">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fracción II</w:t>
      </w:r>
      <w:r w:rsidR="00EA1C6B">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de la ley de la materia, a través del acuerdo de admisión de </w:t>
      </w:r>
      <w:r w:rsidR="004A3550">
        <w:rPr>
          <w:rFonts w:ascii="Palatino Linotype" w:eastAsia="Calibri" w:hAnsi="Palatino Linotype" w:cs="Arial"/>
          <w:color w:val="000000"/>
          <w:sz w:val="24"/>
          <w:szCs w:val="24"/>
          <w:lang w:val="es-ES" w:eastAsia="es-ES"/>
        </w:rPr>
        <w:t>veintiocho (28</w:t>
      </w:r>
      <w:r w:rsidR="008A08A1" w:rsidRPr="00EA49FC">
        <w:rPr>
          <w:rFonts w:ascii="Palatino Linotype" w:eastAsia="Calibri" w:hAnsi="Palatino Linotype" w:cs="Arial"/>
          <w:color w:val="000000"/>
          <w:sz w:val="24"/>
          <w:szCs w:val="24"/>
          <w:lang w:val="es-ES" w:eastAsia="es-ES"/>
        </w:rPr>
        <w:t>) de febrero</w:t>
      </w:r>
      <w:r w:rsidRPr="00EA49FC">
        <w:rPr>
          <w:rFonts w:ascii="Palatino Linotype" w:eastAsia="Calibri" w:hAnsi="Palatino Linotype" w:cs="Arial"/>
          <w:color w:val="000000"/>
          <w:sz w:val="24"/>
          <w:szCs w:val="24"/>
          <w:lang w:val="es-ES" w:eastAsia="es-ES"/>
        </w:rPr>
        <w:t xml:space="preserve"> de dos mil veinti</w:t>
      </w:r>
      <w:r w:rsidR="00C5646D" w:rsidRPr="00EA49FC">
        <w:rPr>
          <w:rFonts w:ascii="Palatino Linotype" w:eastAsia="Calibri" w:hAnsi="Palatino Linotype" w:cs="Arial"/>
          <w:color w:val="000000"/>
          <w:sz w:val="24"/>
          <w:szCs w:val="24"/>
          <w:lang w:val="es-ES" w:eastAsia="es-ES"/>
        </w:rPr>
        <w:t>dós,</w:t>
      </w:r>
      <w:r w:rsidRPr="00EA49FC">
        <w:rPr>
          <w:rFonts w:ascii="Palatino Linotype" w:eastAsia="Calibri" w:hAnsi="Palatino Linotype" w:cs="Arial"/>
          <w:color w:val="000000"/>
          <w:sz w:val="24"/>
          <w:szCs w:val="24"/>
          <w:lang w:val="es-ES" w:eastAsia="es-ES"/>
        </w:rPr>
        <w:t xml:space="preserve"> puso a disposición de las partes el expediente electrónico </w:t>
      </w:r>
      <w:r w:rsidRPr="00EA49FC">
        <w:rPr>
          <w:rFonts w:ascii="Palatino Linotype" w:eastAsia="Calibri" w:hAnsi="Palatino Linotype" w:cs="Arial"/>
          <w:color w:val="000000"/>
          <w:sz w:val="24"/>
          <w:szCs w:val="24"/>
          <w:lang w:val="es-ES_tradnl" w:eastAsia="es-ES"/>
        </w:rPr>
        <w:t xml:space="preserve">vía </w:t>
      </w:r>
      <w:r w:rsidR="008A08A1" w:rsidRPr="00EA49FC">
        <w:rPr>
          <w:rFonts w:ascii="Palatino Linotype" w:eastAsia="Calibri" w:hAnsi="Palatino Linotype" w:cs="Arial"/>
          <w:color w:val="000000"/>
          <w:sz w:val="24"/>
          <w:szCs w:val="24"/>
          <w:lang w:val="es-ES" w:eastAsia="es-ES"/>
        </w:rPr>
        <w:t>SAIMEX</w:t>
      </w:r>
      <w:r w:rsidRPr="00EA49FC">
        <w:rPr>
          <w:rFonts w:ascii="Palatino Linotype" w:eastAsia="Calibri" w:hAnsi="Palatino Linotype" w:cs="Arial"/>
          <w:color w:val="000000"/>
          <w:sz w:val="24"/>
          <w:szCs w:val="24"/>
          <w:lang w:val="es-ES" w:eastAsia="es-ES"/>
        </w:rPr>
        <w:t xml:space="preserve"> a efecto de que en un plazo máximo de siete días manifestaran lo que a su derecho convinieran, ofrecieran pruebas y alegatos según corresponda a los casos concretos, de esta forma para que el </w:t>
      </w:r>
      <w:r w:rsidRPr="00EA49FC">
        <w:rPr>
          <w:rFonts w:ascii="Palatino Linotype" w:eastAsia="Calibri" w:hAnsi="Palatino Linotype" w:cs="Arial"/>
          <w:b/>
          <w:color w:val="000000"/>
          <w:sz w:val="24"/>
          <w:szCs w:val="24"/>
          <w:lang w:val="es-ES" w:eastAsia="es-ES"/>
        </w:rPr>
        <w:t>SUJETO OBLIGADO</w:t>
      </w:r>
      <w:r w:rsidRPr="00EA49FC">
        <w:rPr>
          <w:rFonts w:ascii="Palatino Linotype" w:eastAsia="Calibri" w:hAnsi="Palatino Linotype" w:cs="Arial"/>
          <w:color w:val="000000"/>
          <w:sz w:val="24"/>
          <w:szCs w:val="24"/>
          <w:lang w:val="es-ES" w:eastAsia="es-ES"/>
        </w:rPr>
        <w:t xml:space="preserve"> presentara el informe justificado procedente</w:t>
      </w:r>
      <w:r w:rsidR="0039184D"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w:t>
      </w:r>
      <w:bookmarkStart w:id="4" w:name="_Toc461555889"/>
      <w:bookmarkStart w:id="5" w:name="_Toc466371858"/>
    </w:p>
    <w:p w14:paraId="578F8DDA" w14:textId="77777777" w:rsidR="0039184D" w:rsidRPr="00EA49FC"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727F223E" w14:textId="47E802C8" w:rsidR="0039184D" w:rsidRPr="004A3550" w:rsidRDefault="004A3550" w:rsidP="004A3550">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eastAsia="es-ES"/>
        </w:rPr>
      </w:pPr>
      <w:r>
        <w:rPr>
          <w:rFonts w:ascii="Palatino Linotype" w:eastAsia="Calibri" w:hAnsi="Palatino Linotype" w:cs="Arial"/>
          <w:color w:val="000000"/>
          <w:sz w:val="24"/>
          <w:szCs w:val="24"/>
          <w:lang w:val="es-ES" w:eastAsia="es-ES"/>
        </w:rPr>
        <w:t xml:space="preserve">De las </w:t>
      </w:r>
      <w:r w:rsidRPr="004A3550">
        <w:rPr>
          <w:rFonts w:ascii="Palatino Linotype" w:eastAsia="Calibri" w:hAnsi="Palatino Linotype" w:cs="Arial"/>
          <w:color w:val="000000"/>
          <w:sz w:val="24"/>
          <w:szCs w:val="24"/>
          <w:lang w:val="es-ES" w:eastAsia="es-ES"/>
        </w:rPr>
        <w:t xml:space="preserve">constancias que obran en el expediente digital del recurso de revisión que hoy se resuelve, se aprecia que el </w:t>
      </w:r>
      <w:r w:rsidRPr="004A3550">
        <w:rPr>
          <w:rFonts w:ascii="Palatino Linotype" w:eastAsia="Calibri" w:hAnsi="Palatino Linotype" w:cs="Arial"/>
          <w:b/>
          <w:bCs/>
          <w:color w:val="000000"/>
          <w:sz w:val="24"/>
          <w:szCs w:val="24"/>
          <w:lang w:val="es-ES" w:eastAsia="es-ES"/>
        </w:rPr>
        <w:t>SUJETO OBLIGADO</w:t>
      </w:r>
      <w:r w:rsidRPr="004A3550">
        <w:rPr>
          <w:rFonts w:ascii="Palatino Linotype" w:eastAsia="Calibri" w:hAnsi="Palatino Linotype" w:cs="Arial"/>
          <w:color w:val="000000"/>
          <w:sz w:val="24"/>
          <w:szCs w:val="24"/>
          <w:lang w:val="es-ES" w:eastAsia="es-ES"/>
        </w:rPr>
        <w:t xml:space="preserve"> no rindió su informe justificado para manifestar lo que a su derecho conviniera; por su parte, el </w:t>
      </w:r>
      <w:r w:rsidRPr="004A3550">
        <w:rPr>
          <w:rFonts w:ascii="Palatino Linotype" w:eastAsia="Calibri" w:hAnsi="Palatino Linotype" w:cs="Arial"/>
          <w:b/>
          <w:bCs/>
          <w:color w:val="000000"/>
          <w:sz w:val="24"/>
          <w:szCs w:val="24"/>
          <w:lang w:val="es-ES" w:eastAsia="es-ES"/>
        </w:rPr>
        <w:t>RECURRENTE</w:t>
      </w:r>
      <w:r w:rsidRPr="004A3550">
        <w:rPr>
          <w:rFonts w:ascii="Palatino Linotype" w:eastAsia="Calibri" w:hAnsi="Palatino Linotype" w:cs="Arial"/>
          <w:color w:val="000000"/>
          <w:sz w:val="24"/>
          <w:szCs w:val="24"/>
          <w:lang w:val="es-ES" w:eastAsia="es-ES"/>
        </w:rPr>
        <w:t xml:space="preserve"> no presentó alegatos ni ofreció medios de prueba. Se adjunta la captura del apartado de </w:t>
      </w:r>
      <w:r w:rsidRPr="004A3550">
        <w:rPr>
          <w:rFonts w:ascii="Palatino Linotype" w:eastAsia="Calibri" w:hAnsi="Palatino Linotype" w:cs="Arial"/>
          <w:i/>
          <w:iCs/>
          <w:color w:val="000000"/>
          <w:sz w:val="24"/>
          <w:szCs w:val="24"/>
          <w:lang w:val="es-ES" w:eastAsia="es-ES"/>
        </w:rPr>
        <w:t>Manifestaciones</w:t>
      </w:r>
      <w:r w:rsidRPr="004A3550">
        <w:rPr>
          <w:rFonts w:ascii="Palatino Linotype" w:eastAsia="Calibri" w:hAnsi="Palatino Linotype" w:cs="Arial"/>
          <w:color w:val="000000"/>
          <w:sz w:val="24"/>
          <w:szCs w:val="24"/>
          <w:lang w:val="es-ES" w:eastAsia="es-ES"/>
        </w:rPr>
        <w:t xml:space="preserve"> del SAIMEX a modo de referencia:</w:t>
      </w:r>
    </w:p>
    <w:p w14:paraId="7B659C4C" w14:textId="77777777" w:rsidR="004A3550" w:rsidRDefault="004A3550" w:rsidP="004A3550">
      <w:pPr>
        <w:tabs>
          <w:tab w:val="left" w:pos="426"/>
        </w:tabs>
        <w:spacing w:after="0" w:line="360" w:lineRule="auto"/>
        <w:contextualSpacing/>
        <w:jc w:val="both"/>
        <w:rPr>
          <w:rFonts w:ascii="Palatino Linotype" w:eastAsia="Calibri" w:hAnsi="Palatino Linotype" w:cs="Arial"/>
          <w:color w:val="000000"/>
          <w:sz w:val="24"/>
          <w:szCs w:val="24"/>
          <w:lang w:eastAsia="es-ES"/>
        </w:rPr>
      </w:pPr>
    </w:p>
    <w:p w14:paraId="2817F6CE" w14:textId="44BF293C" w:rsidR="004A3550" w:rsidRDefault="004A3550" w:rsidP="004A3550">
      <w:pPr>
        <w:tabs>
          <w:tab w:val="left" w:pos="426"/>
        </w:tabs>
        <w:spacing w:after="0" w:line="360" w:lineRule="auto"/>
        <w:contextualSpacing/>
        <w:jc w:val="center"/>
        <w:rPr>
          <w:rFonts w:ascii="Palatino Linotype" w:eastAsia="Calibri" w:hAnsi="Palatino Linotype" w:cs="Arial"/>
          <w:color w:val="000000"/>
          <w:sz w:val="24"/>
          <w:szCs w:val="24"/>
          <w:lang w:eastAsia="es-ES"/>
        </w:rPr>
      </w:pPr>
      <w:r>
        <w:object w:dxaOrig="14835" w:dyaOrig="3510" w14:anchorId="1976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pt;height:91.9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4922112" r:id="rId9"/>
        </w:object>
      </w:r>
    </w:p>
    <w:p w14:paraId="3A63F3C2" w14:textId="77777777" w:rsidR="004A3550" w:rsidRPr="00A25F7D" w:rsidRDefault="004A3550" w:rsidP="004A3550">
      <w:pPr>
        <w:tabs>
          <w:tab w:val="left" w:pos="426"/>
        </w:tabs>
        <w:spacing w:after="0" w:line="360" w:lineRule="auto"/>
        <w:contextualSpacing/>
        <w:jc w:val="both"/>
        <w:rPr>
          <w:rFonts w:ascii="Palatino Linotype" w:eastAsia="Calibri" w:hAnsi="Palatino Linotype" w:cs="Arial"/>
          <w:color w:val="000000"/>
          <w:sz w:val="24"/>
          <w:szCs w:val="24"/>
          <w:lang w:eastAsia="es-ES"/>
        </w:rPr>
      </w:pPr>
    </w:p>
    <w:p w14:paraId="76371035" w14:textId="32A693A6" w:rsidR="0039184D" w:rsidRPr="00EA49FC" w:rsidRDefault="0039184D"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A49FC">
        <w:rPr>
          <w:rFonts w:ascii="Palatino Linotype" w:eastAsia="Calibri" w:hAnsi="Palatino Linotype" w:cs="Arial"/>
          <w:color w:val="000000"/>
          <w:sz w:val="24"/>
          <w:szCs w:val="24"/>
          <w:lang w:val="es-ES" w:eastAsia="es-ES"/>
        </w:rPr>
        <w:lastRenderedPageBreak/>
        <w:t xml:space="preserve">El </w:t>
      </w:r>
      <w:r w:rsidR="004A3550">
        <w:rPr>
          <w:rFonts w:ascii="Palatino Linotype" w:eastAsia="Calibri" w:hAnsi="Palatino Linotype" w:cs="Arial"/>
          <w:color w:val="000000"/>
          <w:sz w:val="24"/>
          <w:szCs w:val="24"/>
          <w:lang w:val="es-ES" w:eastAsia="es-ES"/>
        </w:rPr>
        <w:t>diecinueve (19</w:t>
      </w:r>
      <w:r w:rsidR="00DD1822">
        <w:rPr>
          <w:rFonts w:ascii="Palatino Linotype" w:eastAsia="Calibri" w:hAnsi="Palatino Linotype" w:cs="Arial"/>
          <w:color w:val="000000"/>
          <w:sz w:val="24"/>
          <w:szCs w:val="24"/>
          <w:lang w:val="es-ES" w:eastAsia="es-ES"/>
        </w:rPr>
        <w:t>) de mayo</w:t>
      </w:r>
      <w:r w:rsidRPr="00EA49FC">
        <w:rPr>
          <w:rFonts w:ascii="Palatino Linotype" w:eastAsia="Calibri" w:hAnsi="Palatino Linotype" w:cs="Arial"/>
          <w:color w:val="000000"/>
          <w:sz w:val="24"/>
          <w:szCs w:val="24"/>
          <w:lang w:val="es-ES" w:eastAsia="es-ES"/>
        </w:rPr>
        <w:t xml:space="preserve"> de dos mil veintidós</w:t>
      </w:r>
      <w:r w:rsidRPr="00EA49FC">
        <w:rPr>
          <w:rFonts w:ascii="Palatino Linotype" w:eastAsia="Calibri" w:hAnsi="Palatino Linotype" w:cs="Arial"/>
          <w:color w:val="000000"/>
          <w:sz w:val="24"/>
          <w:szCs w:val="24"/>
          <w:lang w:val="es-ES_tradnl" w:eastAsia="es-ES"/>
        </w:rPr>
        <w:t>, la Comisionada Ponente decretó el cierre del periodo de instrucción, por lo que ordenó turnar el expediente para su resolución, misma que ahora se pronuncia</w:t>
      </w:r>
      <w:r w:rsidR="00A54713" w:rsidRPr="00EA49FC">
        <w:rPr>
          <w:rFonts w:ascii="Palatino Linotype" w:eastAsia="Calibri" w:hAnsi="Palatino Linotype" w:cs="Arial"/>
          <w:color w:val="000000"/>
          <w:sz w:val="24"/>
          <w:szCs w:val="24"/>
          <w:lang w:val="es-ES_tradnl" w:eastAsia="es-ES"/>
        </w:rPr>
        <w:t xml:space="preserve">; y, en misma fecha, con </w:t>
      </w:r>
      <w:r w:rsidRPr="00EA49FC">
        <w:rPr>
          <w:rFonts w:ascii="Palatino Linotype" w:eastAsia="Calibri" w:hAnsi="Palatino Linotype" w:cs="Arial"/>
          <w:color w:val="000000"/>
          <w:sz w:val="24"/>
          <w:szCs w:val="24"/>
          <w:lang w:val="es-ES" w:eastAsia="es-ES"/>
        </w:rPr>
        <w:t>fundamento en el artículo 181</w:t>
      </w:r>
      <w:r w:rsidR="00A54713"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tercer párrafo</w:t>
      </w:r>
      <w:r w:rsidR="00A54713" w:rsidRPr="00EA49FC">
        <w:rPr>
          <w:rFonts w:ascii="Palatino Linotype" w:eastAsia="Calibri" w:hAnsi="Palatino Linotype" w:cs="Arial"/>
          <w:color w:val="000000"/>
          <w:sz w:val="24"/>
          <w:szCs w:val="24"/>
          <w:lang w:val="es-ES" w:eastAsia="es-ES"/>
        </w:rPr>
        <w:t>,</w:t>
      </w:r>
      <w:r w:rsidRPr="00EA49FC">
        <w:rPr>
          <w:rFonts w:ascii="Palatino Linotype" w:eastAsia="Calibri" w:hAnsi="Palatino Linotype" w:cs="Arial"/>
          <w:color w:val="000000"/>
          <w:sz w:val="24"/>
          <w:szCs w:val="24"/>
          <w:lang w:val="es-ES" w:eastAsia="es-ES"/>
        </w:rPr>
        <w:t xml:space="preserve"> de la Ley de Transparencia y Acceso a la Información Pública del Estado de México y Municipios,</w:t>
      </w:r>
      <w:r w:rsidRPr="00EA49FC">
        <w:rPr>
          <w:rFonts w:ascii="Palatino Linotype" w:eastAsia="Calibri" w:hAnsi="Palatino Linotype" w:cs="Arial"/>
          <w:bCs/>
          <w:color w:val="000000"/>
          <w:sz w:val="24"/>
          <w:szCs w:val="24"/>
          <w:lang w:val="es-ES" w:eastAsia="es-ES"/>
        </w:rPr>
        <w:t xml:space="preserve"> </w:t>
      </w:r>
      <w:r w:rsidRPr="00EA49FC">
        <w:rPr>
          <w:rFonts w:ascii="Palatino Linotype" w:eastAsia="Calibri" w:hAnsi="Palatino Linotype" w:cs="Arial"/>
          <w:color w:val="000000"/>
          <w:sz w:val="24"/>
          <w:szCs w:val="24"/>
          <w:lang w:val="es-ES" w:eastAsia="es-ES"/>
        </w:rPr>
        <w:t>se notificó que el plazo de treinta (30) días para resolver el recurso de revisión sería ampliado por un periodo de quince (15) días hábiles adicionales; y -------------------------------------</w:t>
      </w:r>
      <w:r w:rsidR="00A54713" w:rsidRPr="00EA49FC">
        <w:rPr>
          <w:rFonts w:ascii="Palatino Linotype" w:eastAsia="Calibri" w:hAnsi="Palatino Linotype" w:cs="Arial"/>
          <w:color w:val="000000"/>
          <w:sz w:val="24"/>
          <w:szCs w:val="24"/>
          <w:lang w:val="es-ES" w:eastAsia="es-ES"/>
        </w:rPr>
        <w:t>--------</w:t>
      </w:r>
    </w:p>
    <w:p w14:paraId="3975AB6E" w14:textId="77777777" w:rsidR="00A25351" w:rsidRPr="00EA49FC" w:rsidRDefault="00A25351"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bookmarkStart w:id="6" w:name="_Toc68804758"/>
    </w:p>
    <w:p w14:paraId="5D8D16C0" w14:textId="77777777" w:rsidR="00DE395A" w:rsidRPr="00EA49FC"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7" w:name="_Toc96617317"/>
      <w:r w:rsidRPr="00EA49FC">
        <w:rPr>
          <w:rFonts w:ascii="Palatino Linotype" w:eastAsia="MS Gothic" w:hAnsi="Palatino Linotype" w:cs="Times New Roman"/>
          <w:b/>
          <w:color w:val="000000"/>
          <w:sz w:val="24"/>
          <w:szCs w:val="24"/>
        </w:rPr>
        <w:t>CONSIDERANDO</w:t>
      </w:r>
      <w:bookmarkEnd w:id="4"/>
      <w:bookmarkEnd w:id="5"/>
      <w:bookmarkEnd w:id="6"/>
      <w:bookmarkEnd w:id="7"/>
    </w:p>
    <w:p w14:paraId="08AEB92B" w14:textId="77777777" w:rsidR="00DE395A" w:rsidRPr="00EA49FC" w:rsidRDefault="00DE395A" w:rsidP="00AC14BB">
      <w:pPr>
        <w:spacing w:after="0" w:line="360" w:lineRule="auto"/>
        <w:rPr>
          <w:rFonts w:ascii="Palatino Linotype" w:eastAsia="MS Mincho" w:hAnsi="Palatino Linotype" w:cs="Times New Roman"/>
          <w:color w:val="000000"/>
          <w:sz w:val="24"/>
          <w:szCs w:val="24"/>
        </w:rPr>
      </w:pPr>
    </w:p>
    <w:p w14:paraId="32024BF0" w14:textId="77777777" w:rsidR="00DE395A" w:rsidRPr="00EA49FC"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8" w:name="_Toc461555890"/>
      <w:bookmarkStart w:id="9" w:name="_Toc466371859"/>
      <w:bookmarkStart w:id="10" w:name="_Toc68804759"/>
      <w:bookmarkStart w:id="11" w:name="_Toc96617318"/>
      <w:r w:rsidRPr="00EA49FC">
        <w:rPr>
          <w:rFonts w:ascii="Palatino Linotype" w:eastAsia="MS Gothic" w:hAnsi="Palatino Linotype" w:cs="Times New Roman"/>
          <w:b/>
          <w:color w:val="000000"/>
          <w:sz w:val="24"/>
          <w:szCs w:val="24"/>
        </w:rPr>
        <w:t>PRIMERO. De la competencia</w:t>
      </w:r>
      <w:bookmarkEnd w:id="8"/>
      <w:bookmarkEnd w:id="9"/>
      <w:bookmarkEnd w:id="10"/>
      <w:r w:rsidRPr="00EA49FC">
        <w:rPr>
          <w:rFonts w:ascii="Palatino Linotype" w:eastAsia="MS Gothic" w:hAnsi="Palatino Linotype" w:cs="Times New Roman"/>
          <w:b/>
          <w:color w:val="000000"/>
          <w:sz w:val="24"/>
          <w:szCs w:val="24"/>
        </w:rPr>
        <w:t>.</w:t>
      </w:r>
      <w:bookmarkEnd w:id="11"/>
    </w:p>
    <w:p w14:paraId="1D27FB33" w14:textId="77777777" w:rsidR="00DE395A" w:rsidRPr="00EA49FC" w:rsidRDefault="00DE395A" w:rsidP="00AC14BB">
      <w:pPr>
        <w:spacing w:after="0" w:line="360" w:lineRule="auto"/>
        <w:rPr>
          <w:rFonts w:ascii="Palatino Linotype" w:eastAsia="MS Mincho" w:hAnsi="Palatino Linotype" w:cs="Times New Roman"/>
          <w:color w:val="000000"/>
          <w:sz w:val="24"/>
          <w:szCs w:val="24"/>
        </w:rPr>
      </w:pPr>
    </w:p>
    <w:p w14:paraId="21DC922B" w14:textId="167EB59B" w:rsidR="00A25351" w:rsidRPr="00DD1822" w:rsidRDefault="00DE395A"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A49F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A49FC">
        <w:rPr>
          <w:rFonts w:ascii="Palatino Linotype" w:eastAsia="Calibri" w:hAnsi="Palatino Linotype" w:cs="Times New Roman"/>
          <w:b/>
          <w:sz w:val="24"/>
          <w:szCs w:val="24"/>
          <w:lang w:val="es-ES" w:eastAsia="es-ES"/>
        </w:rPr>
        <w:t>Constitución Política de los Estados Unidos Mexicanos</w:t>
      </w:r>
      <w:r w:rsidRPr="00EA49FC">
        <w:rPr>
          <w:rFonts w:ascii="Palatino Linotype" w:eastAsia="Calibri" w:hAnsi="Palatino Linotype" w:cs="Times New Roman"/>
          <w:sz w:val="24"/>
          <w:szCs w:val="24"/>
          <w:lang w:val="es-ES" w:eastAsia="es-ES"/>
        </w:rPr>
        <w:t xml:space="preserve">; </w:t>
      </w:r>
      <w:r w:rsidRPr="00EA49FC">
        <w:rPr>
          <w:rFonts w:ascii="Palatino Linotype" w:eastAsia="Calibri" w:hAnsi="Palatino Linotype" w:cs="Arial"/>
          <w:bCs/>
          <w:color w:val="222222"/>
          <w:sz w:val="24"/>
          <w:szCs w:val="24"/>
          <w:shd w:val="clear" w:color="auto" w:fill="FFFFFF"/>
          <w:lang w:val="es-ES"/>
        </w:rPr>
        <w:t>5, párrafo</w:t>
      </w:r>
      <w:r w:rsidRPr="00EA49FC">
        <w:rPr>
          <w:rFonts w:ascii="Palatino Linotype" w:eastAsia="Calibri" w:hAnsi="Palatino Linotype" w:cs="Times New Roman"/>
          <w:sz w:val="24"/>
          <w:szCs w:val="24"/>
        </w:rPr>
        <w:t xml:space="preserve"> trigésimo, trigésimo primero y trigésimo segundo, fracciones I, II, III, IV y V</w:t>
      </w:r>
      <w:r w:rsidRPr="00EA49FC">
        <w:rPr>
          <w:rFonts w:ascii="Palatino Linotype" w:eastAsia="MS Mincho" w:hAnsi="Palatino Linotype" w:cs="Times New Roman"/>
          <w:sz w:val="24"/>
          <w:szCs w:val="24"/>
          <w:lang w:val="es-ES_tradnl" w:eastAsia="es-ES"/>
        </w:rPr>
        <w:t xml:space="preserve"> </w:t>
      </w:r>
      <w:r w:rsidRPr="00EA49FC">
        <w:rPr>
          <w:rFonts w:ascii="Palatino Linotype" w:eastAsia="Calibri" w:hAnsi="Palatino Linotype" w:cs="Times New Roman"/>
          <w:sz w:val="24"/>
          <w:szCs w:val="24"/>
          <w:lang w:val="es-ES" w:eastAsia="es-ES"/>
        </w:rPr>
        <w:t xml:space="preserve">de la </w:t>
      </w:r>
      <w:r w:rsidRPr="00EA49FC">
        <w:rPr>
          <w:rFonts w:ascii="Palatino Linotype" w:eastAsia="Calibri" w:hAnsi="Palatino Linotype" w:cs="Times New Roman"/>
          <w:b/>
          <w:sz w:val="24"/>
          <w:szCs w:val="24"/>
          <w:lang w:val="es-ES" w:eastAsia="es-ES"/>
        </w:rPr>
        <w:t>Constitución Política del Estado Libre y Soberano de México</w:t>
      </w:r>
      <w:r w:rsidRPr="00EA49F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A49FC">
        <w:rPr>
          <w:rFonts w:ascii="Palatino Linotype" w:eastAsia="Calibri" w:hAnsi="Palatino Linotype" w:cs="Arial"/>
          <w:sz w:val="24"/>
          <w:szCs w:val="24"/>
          <w:lang w:val="es-ES" w:eastAsia="es-ES"/>
        </w:rPr>
        <w:t xml:space="preserve">de la </w:t>
      </w:r>
      <w:r w:rsidRPr="00EA49FC">
        <w:rPr>
          <w:rFonts w:ascii="Palatino Linotype" w:eastAsia="Calibri" w:hAnsi="Palatino Linotype" w:cs="Arial"/>
          <w:b/>
          <w:sz w:val="24"/>
          <w:szCs w:val="24"/>
          <w:lang w:val="es-ES" w:eastAsia="es-ES"/>
        </w:rPr>
        <w:t>Ley de Transparencia y Acceso a la Información Pública del Estado de México y Municipios</w:t>
      </w:r>
      <w:r w:rsidRPr="00EA49FC">
        <w:rPr>
          <w:rFonts w:ascii="Palatino Linotype" w:eastAsia="Calibri" w:hAnsi="Palatino Linotype" w:cs="Arial"/>
          <w:sz w:val="24"/>
          <w:szCs w:val="24"/>
          <w:lang w:val="es-ES" w:eastAsia="es-ES"/>
        </w:rPr>
        <w:t xml:space="preserve">; </w:t>
      </w:r>
      <w:r w:rsidRPr="00EA49FC">
        <w:rPr>
          <w:rFonts w:ascii="Palatino Linotype" w:eastAsia="Calibri" w:hAnsi="Palatino Linotype" w:cs="Arial"/>
          <w:b/>
          <w:sz w:val="24"/>
          <w:szCs w:val="24"/>
          <w:lang w:val="es-ES" w:eastAsia="es-ES"/>
        </w:rPr>
        <w:t>7, 9 fracciones I y XXIV, y 11</w:t>
      </w:r>
      <w:r w:rsidRPr="00EA49FC">
        <w:rPr>
          <w:rFonts w:ascii="Palatino Linotype" w:eastAsia="Calibri" w:hAnsi="Palatino Linotype" w:cs="Arial"/>
          <w:sz w:val="24"/>
          <w:szCs w:val="24"/>
          <w:lang w:val="es-ES" w:eastAsia="es-ES"/>
        </w:rPr>
        <w:t xml:space="preserve"> del </w:t>
      </w:r>
      <w:r w:rsidRPr="00EA49FC">
        <w:rPr>
          <w:rFonts w:ascii="Palatino Linotype" w:eastAsia="Calibri" w:hAnsi="Palatino Linotype" w:cs="Arial"/>
          <w:b/>
          <w:sz w:val="24"/>
          <w:szCs w:val="24"/>
          <w:lang w:val="es-ES" w:eastAsia="es-ES"/>
        </w:rPr>
        <w:t xml:space="preserve">Reglamento Interior del Instituto de </w:t>
      </w:r>
      <w:r w:rsidRPr="00EA49FC">
        <w:rPr>
          <w:rFonts w:ascii="Palatino Linotype" w:eastAsia="Calibri" w:hAnsi="Palatino Linotype" w:cs="Arial"/>
          <w:b/>
          <w:sz w:val="24"/>
          <w:szCs w:val="24"/>
          <w:lang w:val="es-ES" w:eastAsia="es-ES"/>
        </w:rPr>
        <w:lastRenderedPageBreak/>
        <w:t>Transparencia, Acceso a la Información Pública y Protección de Datos Personales del Estado de México y Municipios.</w:t>
      </w:r>
    </w:p>
    <w:p w14:paraId="1609AC51" w14:textId="77777777" w:rsidR="00DD1822" w:rsidRPr="00DD1822" w:rsidRDefault="00DD1822" w:rsidP="00DD1822">
      <w:pPr>
        <w:tabs>
          <w:tab w:val="left" w:pos="0"/>
        </w:tabs>
        <w:spacing w:after="0" w:line="360" w:lineRule="auto"/>
        <w:contextualSpacing/>
        <w:jc w:val="both"/>
        <w:rPr>
          <w:rFonts w:ascii="Palatino Linotype" w:eastAsia="MS Mincho" w:hAnsi="Palatino Linotype" w:cs="Times New Roman"/>
          <w:bCs/>
          <w:sz w:val="24"/>
          <w:szCs w:val="24"/>
          <w:lang w:val="es-ES_tradnl" w:eastAsia="es-ES"/>
        </w:rPr>
      </w:pPr>
    </w:p>
    <w:p w14:paraId="25E04FC4" w14:textId="77777777" w:rsidR="00DE395A" w:rsidRPr="00EA49FC"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12" w:name="_Toc461555891"/>
      <w:bookmarkStart w:id="13" w:name="_Toc466371860"/>
      <w:bookmarkStart w:id="14" w:name="_Toc68804760"/>
      <w:bookmarkStart w:id="15" w:name="_Toc96617319"/>
      <w:r w:rsidRPr="00EA49FC">
        <w:rPr>
          <w:rFonts w:ascii="Palatino Linotype" w:eastAsia="MS Gothic" w:hAnsi="Palatino Linotype" w:cs="Times New Roman"/>
          <w:b/>
          <w:color w:val="000000"/>
          <w:sz w:val="24"/>
          <w:szCs w:val="24"/>
        </w:rPr>
        <w:t>SEGUNDO. De la oportunidad y procedencia.</w:t>
      </w:r>
      <w:bookmarkEnd w:id="12"/>
      <w:bookmarkEnd w:id="13"/>
      <w:bookmarkEnd w:id="14"/>
      <w:bookmarkEnd w:id="15"/>
    </w:p>
    <w:p w14:paraId="2960EB5F" w14:textId="77777777" w:rsidR="00DE395A" w:rsidRPr="00EA49FC"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rPr>
      </w:pPr>
    </w:p>
    <w:p w14:paraId="063254D6" w14:textId="04505FC1" w:rsidR="00664FE5"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A49FC">
        <w:rPr>
          <w:rFonts w:ascii="Palatino Linotype" w:eastAsia="Calibri" w:hAnsi="Palatino Linotype" w:cs="Arial"/>
          <w:sz w:val="24"/>
          <w:szCs w:val="24"/>
          <w:lang w:val="es-ES_tradnl" w:eastAsia="es-ES"/>
        </w:rPr>
        <w:t>El medio de impugnación fue presentado a través del SAIMEX</w:t>
      </w:r>
      <w:r w:rsidRPr="00EA49FC">
        <w:rPr>
          <w:rFonts w:ascii="Palatino Linotype" w:eastAsia="Calibri" w:hAnsi="Palatino Linotype" w:cs="Arial"/>
          <w:b/>
          <w:sz w:val="24"/>
          <w:szCs w:val="24"/>
          <w:lang w:val="es-ES_tradnl" w:eastAsia="es-ES"/>
        </w:rPr>
        <w:t>,</w:t>
      </w:r>
      <w:r w:rsidRPr="00EA49FC">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sz w:val="24"/>
          <w:szCs w:val="24"/>
          <w:lang w:val="es-ES_tradnl" w:eastAsia="es-ES"/>
        </w:rPr>
        <w:t>SUJETO OBLIGADO</w:t>
      </w:r>
      <w:r w:rsidR="00A25351" w:rsidRPr="00EA49FC">
        <w:rPr>
          <w:rFonts w:ascii="Palatino Linotype" w:eastAsia="Calibri" w:hAnsi="Palatino Linotype" w:cs="Arial"/>
          <w:sz w:val="24"/>
          <w:szCs w:val="24"/>
          <w:lang w:val="es-ES_tradnl" w:eastAsia="es-ES"/>
        </w:rPr>
        <w:t xml:space="preserve"> entregó respuesta el </w:t>
      </w:r>
      <w:r w:rsidR="00DD1822">
        <w:rPr>
          <w:rFonts w:ascii="Palatino Linotype" w:eastAsia="Calibri" w:hAnsi="Palatino Linotype" w:cs="Arial"/>
          <w:sz w:val="24"/>
          <w:szCs w:val="24"/>
          <w:lang w:val="es-ES_tradnl" w:eastAsia="es-ES"/>
        </w:rPr>
        <w:t>ocho (08) de febrero</w:t>
      </w:r>
      <w:r w:rsidR="00664FE5" w:rsidRPr="00EA49FC">
        <w:rPr>
          <w:rFonts w:ascii="Palatino Linotype" w:eastAsia="Calibri" w:hAnsi="Palatino Linotype" w:cs="Arial"/>
          <w:sz w:val="24"/>
          <w:szCs w:val="24"/>
          <w:lang w:val="es-ES_tradnl" w:eastAsia="es-ES"/>
        </w:rPr>
        <w:t xml:space="preserve"> de dos mil veintidós</w:t>
      </w:r>
      <w:r w:rsidR="00A54713" w:rsidRPr="00EA49FC">
        <w:rPr>
          <w:rFonts w:ascii="Palatino Linotype" w:eastAsia="Calibri" w:hAnsi="Palatino Linotype" w:cs="Arial"/>
          <w:sz w:val="24"/>
          <w:szCs w:val="24"/>
        </w:rPr>
        <w:t xml:space="preserve">, </w:t>
      </w:r>
      <w:r w:rsidRPr="00EA49FC">
        <w:rPr>
          <w:rFonts w:ascii="Palatino Linotype" w:eastAsia="Calibri" w:hAnsi="Palatino Linotype" w:cs="Arial"/>
          <w:sz w:val="24"/>
          <w:szCs w:val="24"/>
        </w:rPr>
        <w:t>el plazo para interponer el recurso de revisión</w:t>
      </w:r>
      <w:r w:rsidR="00A25351" w:rsidRPr="00EA49FC">
        <w:rPr>
          <w:rFonts w:ascii="Palatino Linotype" w:eastAsia="Calibri" w:hAnsi="Palatino Linotype" w:cs="Arial"/>
          <w:sz w:val="24"/>
          <w:szCs w:val="24"/>
        </w:rPr>
        <w:t xml:space="preserve"> trascurrió del </w:t>
      </w:r>
      <w:r w:rsidR="00DD1822">
        <w:rPr>
          <w:rFonts w:ascii="Palatino Linotype" w:eastAsia="Calibri" w:hAnsi="Palatino Linotype" w:cs="Arial"/>
          <w:sz w:val="24"/>
          <w:szCs w:val="24"/>
        </w:rPr>
        <w:t xml:space="preserve">nueve (09) </w:t>
      </w:r>
      <w:r w:rsidR="00A54713" w:rsidRPr="00EA49FC">
        <w:rPr>
          <w:rFonts w:ascii="Palatino Linotype" w:eastAsia="Calibri" w:hAnsi="Palatino Linotype" w:cs="Arial"/>
          <w:sz w:val="24"/>
          <w:szCs w:val="24"/>
        </w:rPr>
        <w:t>de febrero</w:t>
      </w:r>
      <w:r w:rsidR="00DD1822">
        <w:rPr>
          <w:rFonts w:ascii="Palatino Linotype" w:eastAsia="Calibri" w:hAnsi="Palatino Linotype" w:cs="Arial"/>
          <w:sz w:val="24"/>
          <w:szCs w:val="24"/>
        </w:rPr>
        <w:t xml:space="preserve"> al uno (01) de marzo</w:t>
      </w:r>
      <w:r w:rsidR="00A54713" w:rsidRPr="00EA49FC">
        <w:rPr>
          <w:rFonts w:ascii="Palatino Linotype" w:eastAsia="Calibri" w:hAnsi="Palatino Linotype" w:cs="Arial"/>
          <w:sz w:val="24"/>
          <w:szCs w:val="24"/>
        </w:rPr>
        <w:t xml:space="preserve"> de dos mil veintidós</w:t>
      </w:r>
      <w:r w:rsidR="00664FE5" w:rsidRPr="00EA49FC">
        <w:rPr>
          <w:rFonts w:ascii="Palatino Linotype" w:eastAsia="Calibri" w:hAnsi="Palatino Linotype" w:cs="Arial"/>
          <w:sz w:val="24"/>
          <w:szCs w:val="24"/>
        </w:rPr>
        <w:t>; sin contemplar en el cómputo los días</w:t>
      </w:r>
      <w:r w:rsidR="00A54713" w:rsidRPr="00EA49FC">
        <w:rPr>
          <w:rFonts w:ascii="Palatino Linotype" w:eastAsia="Calibri" w:hAnsi="Palatino Linotype" w:cs="Arial"/>
          <w:sz w:val="24"/>
          <w:szCs w:val="24"/>
        </w:rPr>
        <w:t xml:space="preserve"> doce (12)</w:t>
      </w:r>
      <w:r w:rsidR="00DD1822">
        <w:rPr>
          <w:rFonts w:ascii="Palatino Linotype" w:eastAsia="Calibri" w:hAnsi="Palatino Linotype" w:cs="Arial"/>
          <w:sz w:val="24"/>
          <w:szCs w:val="24"/>
        </w:rPr>
        <w:t>,</w:t>
      </w:r>
      <w:r w:rsidR="00A54713" w:rsidRPr="00EA49FC">
        <w:rPr>
          <w:rFonts w:ascii="Palatino Linotype" w:eastAsia="Calibri" w:hAnsi="Palatino Linotype" w:cs="Arial"/>
          <w:sz w:val="24"/>
          <w:szCs w:val="24"/>
        </w:rPr>
        <w:t xml:space="preserve"> trece (13)</w:t>
      </w:r>
      <w:r w:rsidR="00DD1822">
        <w:rPr>
          <w:rFonts w:ascii="Palatino Linotype" w:eastAsia="Calibri" w:hAnsi="Palatino Linotype" w:cs="Arial"/>
          <w:sz w:val="24"/>
          <w:szCs w:val="24"/>
        </w:rPr>
        <w:t>, diecinueve (19), veinte (20), veintiséis (26) y veintisiete (27)</w:t>
      </w:r>
      <w:r w:rsidR="00A54713" w:rsidRPr="00EA49FC">
        <w:rPr>
          <w:rFonts w:ascii="Palatino Linotype" w:eastAsia="Calibri" w:hAnsi="Palatino Linotype" w:cs="Arial"/>
          <w:sz w:val="24"/>
          <w:szCs w:val="24"/>
        </w:rPr>
        <w:t xml:space="preserve"> de febrero</w:t>
      </w:r>
      <w:r w:rsidR="007D5EF5" w:rsidRPr="00EA49FC">
        <w:rPr>
          <w:rFonts w:ascii="Palatino Linotype" w:eastAsia="Calibri" w:hAnsi="Palatino Linotype" w:cs="Arial"/>
          <w:sz w:val="24"/>
          <w:szCs w:val="24"/>
        </w:rPr>
        <w:t>, por corresponder a sábados</w:t>
      </w:r>
      <w:r w:rsidR="00DD1822">
        <w:rPr>
          <w:rFonts w:ascii="Palatino Linotype" w:eastAsia="Calibri" w:hAnsi="Palatino Linotype" w:cs="Arial"/>
          <w:sz w:val="24"/>
          <w:szCs w:val="24"/>
        </w:rPr>
        <w:t xml:space="preserve"> y</w:t>
      </w:r>
      <w:r w:rsidR="007D5EF5" w:rsidRPr="00EA49FC">
        <w:rPr>
          <w:rFonts w:ascii="Palatino Linotype" w:eastAsia="Calibri" w:hAnsi="Palatino Linotype" w:cs="Arial"/>
          <w:sz w:val="24"/>
          <w:szCs w:val="24"/>
        </w:rPr>
        <w:t xml:space="preserve"> domingos, en términos del artículo 3, fracción X, de la Ley de Transparencia y Acceso a la Información Pública del Estado de México y Municipios.</w:t>
      </w:r>
    </w:p>
    <w:p w14:paraId="53ED477E" w14:textId="77777777" w:rsidR="00664FE5" w:rsidRPr="00EA49FC" w:rsidRDefault="00664FE5" w:rsidP="002B6F8E">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50DC9DFD" w14:textId="7E5E2159" w:rsidR="00DE395A" w:rsidRPr="00EA49FC" w:rsidRDefault="007D5EF5"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A49FC">
        <w:rPr>
          <w:rFonts w:ascii="Palatino Linotype" w:eastAsia="Calibri" w:hAnsi="Palatino Linotype" w:cs="Arial"/>
          <w:sz w:val="24"/>
          <w:szCs w:val="24"/>
        </w:rPr>
        <w:t xml:space="preserve">Luego entonces, si el presente recurso de revisión fue interpuesto el </w:t>
      </w:r>
      <w:r w:rsidR="004A3550">
        <w:rPr>
          <w:rFonts w:ascii="Palatino Linotype" w:eastAsia="Calibri" w:hAnsi="Palatino Linotype" w:cs="Arial"/>
          <w:sz w:val="24"/>
          <w:szCs w:val="24"/>
        </w:rPr>
        <w:t>veintitrés (23</w:t>
      </w:r>
      <w:r w:rsidR="00DD1822">
        <w:rPr>
          <w:rFonts w:ascii="Palatino Linotype" w:eastAsia="Calibri" w:hAnsi="Palatino Linotype" w:cs="Arial"/>
          <w:sz w:val="24"/>
          <w:szCs w:val="24"/>
        </w:rPr>
        <w:t>) de febrero</w:t>
      </w:r>
      <w:r w:rsidRPr="00EA49FC">
        <w:rPr>
          <w:rFonts w:ascii="Palatino Linotype" w:eastAsia="Calibri" w:hAnsi="Palatino Linotype" w:cs="Arial"/>
          <w:sz w:val="24"/>
          <w:szCs w:val="24"/>
        </w:rPr>
        <w:t xml:space="preserve"> de dos mil veintidós, éste se encuentra dentro de los márgenes temporales previstos en el artículo 178 de la Ley de Transparencia y Acceso a la Información Pública del Estado de México y Municipios</w:t>
      </w:r>
      <w:r w:rsidRPr="00EA49FC">
        <w:rPr>
          <w:rFonts w:ascii="Palatino Linotype" w:eastAsia="Calibri" w:hAnsi="Palatino Linotype" w:cs="Arial"/>
          <w:b/>
          <w:sz w:val="24"/>
          <w:szCs w:val="24"/>
        </w:rPr>
        <w:t xml:space="preserve"> </w:t>
      </w:r>
      <w:r w:rsidRPr="00EA49FC">
        <w:rPr>
          <w:rFonts w:ascii="Palatino Linotype" w:eastAsia="Calibri" w:hAnsi="Palatino Linotype" w:cs="Arial"/>
          <w:sz w:val="24"/>
          <w:szCs w:val="24"/>
        </w:rPr>
        <w:t>vigente.</w:t>
      </w:r>
    </w:p>
    <w:p w14:paraId="3AA5DE5C" w14:textId="77777777" w:rsidR="00664FE5" w:rsidRPr="00EA49FC" w:rsidRDefault="00664FE5" w:rsidP="002B6F8E">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08503509" w14:textId="77777777" w:rsidR="00E3225B"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_tradnl" w:eastAsia="es-ES"/>
        </w:rPr>
        <w:t xml:space="preserve">Por </w:t>
      </w:r>
      <w:r w:rsidRPr="00EA49FC">
        <w:rPr>
          <w:rFonts w:ascii="Palatino Linotype" w:eastAsia="Times New Roman" w:hAnsi="Palatino Linotype" w:cs="Arial"/>
          <w:bCs/>
          <w:sz w:val="24"/>
          <w:szCs w:val="24"/>
          <w:lang w:val="es-ES" w:eastAsia="es-ES"/>
        </w:rPr>
        <w:t xml:space="preserve">otro lado, de la revisión al expediente electrónico contenido en el sistema </w:t>
      </w:r>
      <w:r w:rsidRPr="00EA49FC">
        <w:rPr>
          <w:rFonts w:ascii="Palatino Linotype" w:eastAsia="Times New Roman" w:hAnsi="Palatino Linotype" w:cs="Arial"/>
          <w:b/>
          <w:bCs/>
          <w:sz w:val="24"/>
          <w:szCs w:val="24"/>
          <w:lang w:val="es-ES" w:eastAsia="es-ES"/>
        </w:rPr>
        <w:t>SAIMEX,</w:t>
      </w:r>
      <w:r w:rsidRPr="00EA49FC">
        <w:rPr>
          <w:rFonts w:ascii="Palatino Linotype" w:eastAsia="Times New Roman" w:hAnsi="Palatino Linotype" w:cs="Arial"/>
          <w:bCs/>
          <w:sz w:val="24"/>
          <w:szCs w:val="24"/>
          <w:lang w:val="es-ES" w:eastAsia="es-ES"/>
        </w:rPr>
        <w:t xml:space="preserve"> se desprende que la parte solicitante, en ejercicio de su derecho de acceso </w:t>
      </w:r>
      <w:r w:rsidRPr="00EA49FC">
        <w:rPr>
          <w:rFonts w:ascii="Palatino Linotype" w:eastAsia="Times New Roman" w:hAnsi="Palatino Linotype" w:cs="Arial"/>
          <w:bCs/>
          <w:sz w:val="24"/>
          <w:szCs w:val="24"/>
          <w:lang w:val="es-ES" w:eastAsia="es-ES"/>
        </w:rPr>
        <w:lastRenderedPageBreak/>
        <w:t xml:space="preserve">a la información pública, tanto en la solicitud de información como en el recurso de revisión, </w:t>
      </w:r>
      <w:r w:rsidRPr="00EA49FC">
        <w:rPr>
          <w:rFonts w:ascii="Palatino Linotype" w:eastAsia="Times New Roman" w:hAnsi="Palatino Linotype" w:cs="Arial"/>
          <w:b/>
          <w:bCs/>
          <w:sz w:val="24"/>
          <w:szCs w:val="24"/>
          <w:lang w:val="es-ES" w:eastAsia="es-ES"/>
        </w:rPr>
        <w:t xml:space="preserve">no señaló </w:t>
      </w:r>
      <w:r w:rsidR="00A54713" w:rsidRPr="00EA49FC">
        <w:rPr>
          <w:rFonts w:ascii="Palatino Linotype" w:eastAsia="Times New Roman" w:hAnsi="Palatino Linotype" w:cs="Arial"/>
          <w:b/>
          <w:bCs/>
          <w:sz w:val="24"/>
          <w:szCs w:val="24"/>
          <w:lang w:val="es-ES" w:eastAsia="es-ES"/>
        </w:rPr>
        <w:t>ningún</w:t>
      </w:r>
      <w:r w:rsidRPr="00EA49FC">
        <w:rPr>
          <w:rFonts w:ascii="Palatino Linotype" w:eastAsia="Times New Roman" w:hAnsi="Palatino Linotype" w:cs="Arial"/>
          <w:b/>
          <w:bCs/>
          <w:sz w:val="24"/>
          <w:szCs w:val="24"/>
          <w:lang w:val="es-ES" w:eastAsia="es-ES"/>
        </w:rPr>
        <w:t xml:space="preserve"> nombre, </w:t>
      </w:r>
      <w:r w:rsidR="00A54713" w:rsidRPr="00EA49FC">
        <w:rPr>
          <w:rFonts w:ascii="Palatino Linotype" w:eastAsia="Times New Roman" w:hAnsi="Palatino Linotype" w:cs="Arial"/>
          <w:b/>
          <w:bCs/>
          <w:sz w:val="24"/>
          <w:szCs w:val="24"/>
          <w:lang w:val="es-ES" w:eastAsia="es-ES"/>
        </w:rPr>
        <w:t xml:space="preserve">seudónimo o carácter para ser identificado, </w:t>
      </w:r>
      <w:r w:rsidRPr="00EA49FC">
        <w:rPr>
          <w:rFonts w:ascii="Palatino Linotype" w:eastAsia="Times New Roman" w:hAnsi="Palatino Linotype" w:cs="Arial"/>
          <w:b/>
          <w:bCs/>
          <w:sz w:val="24"/>
          <w:szCs w:val="24"/>
          <w:lang w:val="es-ES" w:eastAsia="es-ES"/>
        </w:rPr>
        <w:t>ni se tiene certeza sobre su identidad</w:t>
      </w:r>
      <w:r w:rsidRPr="00EA49FC">
        <w:rPr>
          <w:rFonts w:ascii="Palatino Linotype" w:eastAsia="Times New Roman" w:hAnsi="Palatino Linotype" w:cs="Arial"/>
          <w:bCs/>
          <w:sz w:val="24"/>
          <w:szCs w:val="24"/>
          <w:lang w:val="es-ES" w:eastAsia="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0F43EF" w14:textId="77777777" w:rsidR="00E3225B" w:rsidRPr="00EA49FC" w:rsidRDefault="00E3225B" w:rsidP="002B6F8E">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4CADDB00" w14:textId="77777777" w:rsidR="00E3225B"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 w:eastAsia="es-ES"/>
        </w:rPr>
        <w:t xml:space="preserve">Esto es así, ya que de conformidad con los artículos 6, apartado A, fracciones III y IV de la </w:t>
      </w:r>
      <w:r w:rsidRPr="00EA49FC">
        <w:rPr>
          <w:rFonts w:ascii="Palatino Linotype" w:eastAsia="Times New Roman" w:hAnsi="Palatino Linotype" w:cs="Arial"/>
          <w:b/>
          <w:bCs/>
          <w:sz w:val="24"/>
          <w:szCs w:val="24"/>
          <w:lang w:val="es-ES" w:eastAsia="es-ES"/>
        </w:rPr>
        <w:t>Constitución Política de los Estados Unidos Mexicanos</w:t>
      </w:r>
      <w:r w:rsidRPr="00EA49FC">
        <w:rPr>
          <w:rFonts w:ascii="Palatino Linotype" w:eastAsia="Times New Roman" w:hAnsi="Palatino Linotype" w:cs="Arial"/>
          <w:bCs/>
          <w:sz w:val="24"/>
          <w:szCs w:val="24"/>
          <w:lang w:val="es-ES" w:eastAsia="es-ES"/>
        </w:rPr>
        <w:t xml:space="preserve">; 5, párrafos trigésimo, trigésimo primero y trigésimo segundo, fracciones III, IV y V, de la </w:t>
      </w:r>
      <w:r w:rsidRPr="00EA49FC">
        <w:rPr>
          <w:rFonts w:ascii="Palatino Linotype" w:eastAsia="Times New Roman" w:hAnsi="Palatino Linotype" w:cs="Arial"/>
          <w:b/>
          <w:bCs/>
          <w:sz w:val="24"/>
          <w:szCs w:val="24"/>
          <w:lang w:val="es-ES" w:eastAsia="es-ES"/>
        </w:rPr>
        <w:t>Constitución Política del Estado Libre y Soberano de México</w:t>
      </w:r>
      <w:r w:rsidRPr="00EA49FC">
        <w:rPr>
          <w:rFonts w:ascii="Palatino Linotype" w:eastAsia="Times New Roman" w:hAnsi="Palatino Linotype" w:cs="Arial"/>
          <w:bCs/>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B76B29" w14:textId="77777777" w:rsidR="00E3225B" w:rsidRPr="00EA49FC" w:rsidRDefault="00E3225B" w:rsidP="002B6F8E">
      <w:pPr>
        <w:pStyle w:val="Prrafodelista"/>
        <w:tabs>
          <w:tab w:val="left" w:pos="426"/>
        </w:tabs>
        <w:spacing w:line="360" w:lineRule="auto"/>
        <w:rPr>
          <w:rFonts w:ascii="Palatino Linotype" w:hAnsi="Palatino Linotype" w:cs="Arial"/>
          <w:bCs/>
          <w:sz w:val="24"/>
          <w:szCs w:val="24"/>
          <w:lang w:eastAsia="es-ES"/>
        </w:rPr>
      </w:pPr>
    </w:p>
    <w:p w14:paraId="4B96EDC5" w14:textId="77777777" w:rsidR="00E3225B"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EA49FC">
        <w:rPr>
          <w:rFonts w:ascii="Palatino Linotype" w:eastAsia="Times New Roman" w:hAnsi="Palatino Linotype" w:cs="Arial"/>
          <w:bCs/>
          <w:sz w:val="24"/>
          <w:szCs w:val="24"/>
          <w:lang w:val="es-ES" w:eastAsia="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2C6B4A" w14:textId="77777777" w:rsidR="00E3225B" w:rsidRPr="00EA49FC" w:rsidRDefault="00E3225B" w:rsidP="002B6F8E">
      <w:pPr>
        <w:pStyle w:val="Prrafodelista"/>
        <w:tabs>
          <w:tab w:val="left" w:pos="426"/>
        </w:tabs>
        <w:spacing w:line="360" w:lineRule="auto"/>
        <w:rPr>
          <w:rFonts w:ascii="Palatino Linotype" w:hAnsi="Palatino Linotype" w:cs="Arial"/>
          <w:bCs/>
          <w:sz w:val="24"/>
          <w:szCs w:val="24"/>
          <w:lang w:eastAsia="es-ES"/>
        </w:rPr>
      </w:pPr>
    </w:p>
    <w:p w14:paraId="5B1CF615" w14:textId="77777777" w:rsidR="00E3225B"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 w:eastAsia="es-ES"/>
        </w:rPr>
        <w:t>Asimismo, como lo establece la Convención Americana, en su artículo 13, el derecho de acceso a la información es un derecho humano universal y, en consecuencia, toda persona tiene derecho a solicitar acceso a la información.</w:t>
      </w:r>
    </w:p>
    <w:p w14:paraId="01197BBE" w14:textId="77777777" w:rsidR="00E3225B" w:rsidRPr="00EA49FC" w:rsidRDefault="00E3225B" w:rsidP="002B6F8E">
      <w:pPr>
        <w:pStyle w:val="Prrafodelista"/>
        <w:tabs>
          <w:tab w:val="left" w:pos="426"/>
        </w:tabs>
        <w:spacing w:line="360" w:lineRule="auto"/>
        <w:rPr>
          <w:rFonts w:ascii="Palatino Linotype" w:hAnsi="Palatino Linotype" w:cs="Arial"/>
          <w:bCs/>
          <w:sz w:val="24"/>
          <w:szCs w:val="24"/>
          <w:lang w:eastAsia="es-ES"/>
        </w:rPr>
      </w:pPr>
    </w:p>
    <w:p w14:paraId="49ACE205" w14:textId="77777777" w:rsidR="00E3225B"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867A3ED" w14:textId="77777777" w:rsidR="00E3225B" w:rsidRPr="00EA49FC" w:rsidRDefault="00E3225B" w:rsidP="002B6F8E">
      <w:pPr>
        <w:pStyle w:val="Prrafodelista"/>
        <w:tabs>
          <w:tab w:val="left" w:pos="426"/>
        </w:tabs>
        <w:spacing w:line="360" w:lineRule="auto"/>
        <w:rPr>
          <w:rFonts w:ascii="Palatino Linotype" w:hAnsi="Palatino Linotype" w:cs="Arial"/>
          <w:bCs/>
          <w:sz w:val="24"/>
          <w:szCs w:val="24"/>
          <w:lang w:eastAsia="es-ES"/>
        </w:rPr>
      </w:pPr>
    </w:p>
    <w:p w14:paraId="0B086C54" w14:textId="77777777" w:rsidR="00DE395A" w:rsidRPr="00EA49FC"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EA49FC">
        <w:rPr>
          <w:rFonts w:ascii="Palatino Linotype" w:eastAsia="Times New Roman" w:hAnsi="Palatino Linotype" w:cs="Arial"/>
          <w:bCs/>
          <w:sz w:val="24"/>
          <w:szCs w:val="24"/>
          <w:lang w:val="es-ES" w:eastAsia="es-ES"/>
        </w:rPr>
        <w:t xml:space="preserve">Por lo tanto, el nombre del </w:t>
      </w:r>
      <w:r w:rsidRPr="00EA49FC">
        <w:rPr>
          <w:rFonts w:ascii="Palatino Linotype" w:eastAsia="Times New Roman" w:hAnsi="Palatino Linotype" w:cs="Arial"/>
          <w:b/>
          <w:bCs/>
          <w:sz w:val="24"/>
          <w:szCs w:val="24"/>
          <w:lang w:val="es-ES" w:eastAsia="es-ES"/>
        </w:rPr>
        <w:t>SOLICITANTE</w:t>
      </w:r>
      <w:r w:rsidRPr="00EA49FC">
        <w:rPr>
          <w:rFonts w:ascii="Palatino Linotype" w:eastAsia="Times New Roman" w:hAnsi="Palatino Linotype" w:cs="Arial"/>
          <w:bCs/>
          <w:sz w:val="24"/>
          <w:szCs w:val="24"/>
          <w:lang w:val="es-ES" w:eastAsia="es-ES"/>
        </w:rPr>
        <w:t xml:space="preserve"> y subsecuente </w:t>
      </w:r>
      <w:r w:rsidRPr="00EA49FC">
        <w:rPr>
          <w:rFonts w:ascii="Palatino Linotype" w:eastAsia="Times New Roman" w:hAnsi="Palatino Linotype" w:cs="Arial"/>
          <w:b/>
          <w:bCs/>
          <w:sz w:val="24"/>
          <w:szCs w:val="24"/>
          <w:lang w:val="es-ES" w:eastAsia="es-ES"/>
        </w:rPr>
        <w:t>RECURRENTE</w:t>
      </w:r>
      <w:r w:rsidRPr="00EA49FC">
        <w:rPr>
          <w:rFonts w:ascii="Palatino Linotype" w:eastAsia="Times New Roman" w:hAnsi="Palatino Linotype" w:cs="Arial"/>
          <w:bCs/>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E3225B" w:rsidRPr="00EA49FC">
        <w:rPr>
          <w:rFonts w:ascii="Palatino Linotype" w:eastAsia="Times New Roman" w:hAnsi="Palatino Linotype" w:cs="Arial"/>
          <w:bCs/>
          <w:sz w:val="24"/>
          <w:szCs w:val="24"/>
          <w:lang w:val="es-ES" w:eastAsia="es-ES"/>
        </w:rPr>
        <w:t xml:space="preserve">Garante. </w:t>
      </w:r>
    </w:p>
    <w:p w14:paraId="5D3092F4" w14:textId="77777777" w:rsidR="007D5EF5" w:rsidRPr="00EA49FC" w:rsidRDefault="007D5EF5" w:rsidP="002B6F8E">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2B827C93" w14:textId="77777777" w:rsidR="00DE395A" w:rsidRPr="00EA49FC" w:rsidRDefault="00A54713" w:rsidP="00A106A2">
      <w:pPr>
        <w:numPr>
          <w:ilvl w:val="0"/>
          <w:numId w:val="2"/>
        </w:numPr>
        <w:tabs>
          <w:tab w:val="left" w:pos="0"/>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A49FC">
        <w:rPr>
          <w:rFonts w:ascii="Palatino Linotype" w:eastAsia="Calibri" w:hAnsi="Palatino Linotype" w:cs="Arial"/>
          <w:sz w:val="24"/>
          <w:szCs w:val="24"/>
          <w:lang w:val="es-ES_tradnl" w:eastAsia="es-ES"/>
        </w:rPr>
        <w:t>Consecuencia de</w:t>
      </w:r>
      <w:r w:rsidR="00DE395A" w:rsidRPr="00EA49FC">
        <w:rPr>
          <w:rFonts w:ascii="Palatino Linotype" w:eastAsia="Calibri" w:hAnsi="Palatino Linotype" w:cs="Arial"/>
          <w:sz w:val="24"/>
          <w:szCs w:val="24"/>
          <w:lang w:val="es-ES_tradnl" w:eastAsia="es-ES"/>
        </w:rPr>
        <w:t xml:space="preserve"> lo anterior, el escrito contiene las formalidades previstas por el artículo 180</w:t>
      </w:r>
      <w:r w:rsidRPr="00EA49FC">
        <w:rPr>
          <w:rFonts w:ascii="Palatino Linotype" w:eastAsia="Calibri" w:hAnsi="Palatino Linotype" w:cs="Arial"/>
          <w:sz w:val="24"/>
          <w:szCs w:val="24"/>
          <w:lang w:val="es-ES_tradnl" w:eastAsia="es-ES"/>
        </w:rPr>
        <w:t>,</w:t>
      </w:r>
      <w:r w:rsidR="00DE395A" w:rsidRPr="00EA49FC">
        <w:rPr>
          <w:rFonts w:ascii="Palatino Linotype" w:eastAsia="Calibri" w:hAnsi="Palatino Linotype" w:cs="Arial"/>
          <w:sz w:val="24"/>
          <w:szCs w:val="24"/>
          <w:lang w:val="es-ES_tradnl" w:eastAsia="es-ES"/>
        </w:rPr>
        <w:t xml:space="preserve"> último párrafo</w:t>
      </w:r>
      <w:r w:rsidRPr="00EA49FC">
        <w:rPr>
          <w:rFonts w:ascii="Palatino Linotype" w:eastAsia="Calibri" w:hAnsi="Palatino Linotype" w:cs="Arial"/>
          <w:sz w:val="24"/>
          <w:szCs w:val="24"/>
          <w:lang w:val="es-ES_tradnl" w:eastAsia="es-ES"/>
        </w:rPr>
        <w:t>,</w:t>
      </w:r>
      <w:r w:rsidR="00DE395A" w:rsidRPr="00EA49FC">
        <w:rPr>
          <w:rFonts w:ascii="Palatino Linotype" w:eastAsia="Calibri" w:hAnsi="Palatino Linotype" w:cs="Arial"/>
          <w:sz w:val="24"/>
          <w:szCs w:val="24"/>
          <w:lang w:val="es-ES_tradnl" w:eastAsia="es-ES"/>
        </w:rPr>
        <w:t xml:space="preserve"> de la Ley de </w:t>
      </w:r>
      <w:r w:rsidRPr="00EA49FC">
        <w:rPr>
          <w:rFonts w:ascii="Palatino Linotype" w:eastAsia="Calibri" w:hAnsi="Palatino Linotype" w:cs="Arial"/>
          <w:sz w:val="24"/>
          <w:szCs w:val="24"/>
          <w:lang w:val="es-ES_tradnl" w:eastAsia="es-ES"/>
        </w:rPr>
        <w:t>la materia</w:t>
      </w:r>
      <w:r w:rsidR="00DE395A" w:rsidRPr="00EA49FC">
        <w:rPr>
          <w:rFonts w:ascii="Palatino Linotype" w:eastAsia="Calibri" w:hAnsi="Palatino Linotype" w:cs="Arial"/>
          <w:sz w:val="24"/>
          <w:szCs w:val="24"/>
          <w:lang w:val="es-ES_tradnl" w:eastAsia="es-ES"/>
        </w:rPr>
        <w:t xml:space="preserve">, por lo que es procedente que este Instituto de Transparencia, Acceso a la Información Pública y Protección de </w:t>
      </w:r>
      <w:r w:rsidR="00DE395A" w:rsidRPr="00EA49FC">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14:paraId="47F1D663" w14:textId="77777777" w:rsidR="007D5EF5" w:rsidRPr="00EA49FC" w:rsidRDefault="007D5EF5" w:rsidP="007D5EF5">
      <w:pPr>
        <w:tabs>
          <w:tab w:val="left" w:pos="0"/>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444C6FE7" w14:textId="2E73A1EA" w:rsidR="00B6069C" w:rsidRPr="00EA49FC" w:rsidRDefault="00DE395A" w:rsidP="00DD1822">
      <w:pPr>
        <w:keepNext/>
        <w:keepLines/>
        <w:spacing w:after="0" w:line="360" w:lineRule="auto"/>
        <w:outlineLvl w:val="0"/>
        <w:rPr>
          <w:rFonts w:ascii="Palatino Linotype" w:eastAsia="MS Gothic" w:hAnsi="Palatino Linotype" w:cs="Times New Roman"/>
          <w:b/>
          <w:i/>
          <w:color w:val="000000"/>
          <w:sz w:val="24"/>
          <w:szCs w:val="24"/>
        </w:rPr>
      </w:pPr>
      <w:bookmarkStart w:id="16" w:name="_Toc96617323"/>
      <w:r w:rsidRPr="00EA49FC">
        <w:rPr>
          <w:rFonts w:ascii="Palatino Linotype" w:eastAsia="MS Mincho" w:hAnsi="Palatino Linotype" w:cs="Times New Roman"/>
          <w:b/>
          <w:color w:val="000000"/>
          <w:sz w:val="24"/>
          <w:szCs w:val="24"/>
          <w:lang w:val="es-ES_tradnl" w:eastAsia="es-ES"/>
        </w:rPr>
        <w:t>TERCERO</w:t>
      </w:r>
      <w:r w:rsidRPr="00EA49FC">
        <w:rPr>
          <w:rFonts w:ascii="Palatino Linotype" w:eastAsia="MS Gothic" w:hAnsi="Palatino Linotype" w:cs="Times New Roman"/>
          <w:b/>
          <w:color w:val="000000"/>
          <w:sz w:val="24"/>
          <w:szCs w:val="24"/>
          <w:lang w:val="es-ES" w:eastAsia="es-ES"/>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Pr="00EA49FC">
        <w:rPr>
          <w:rFonts w:ascii="Palatino Linotype" w:eastAsia="MS Gothic" w:hAnsi="Palatino Linotype" w:cs="Times New Roman"/>
          <w:b/>
          <w:color w:val="000000"/>
          <w:sz w:val="24"/>
          <w:szCs w:val="24"/>
          <w:lang w:val="es-ES" w:eastAsia="es-ES"/>
        </w:rPr>
        <w:t xml:space="preserve"> </w:t>
      </w:r>
      <w:r w:rsidRPr="00EA49FC">
        <w:rPr>
          <w:rFonts w:ascii="Palatino Linotype" w:eastAsia="MS Gothic" w:hAnsi="Palatino Linotype" w:cs="Times New Roman"/>
          <w:b/>
          <w:color w:val="000000"/>
          <w:sz w:val="24"/>
          <w:szCs w:val="24"/>
        </w:rPr>
        <w:t xml:space="preserve">Del planteamiento de la </w:t>
      </w:r>
      <w:r w:rsidRPr="00EA49FC">
        <w:rPr>
          <w:rFonts w:ascii="Palatino Linotype" w:eastAsia="MS Gothic" w:hAnsi="Palatino Linotype" w:cs="Times New Roman"/>
          <w:b/>
          <w:i/>
          <w:color w:val="000000"/>
          <w:sz w:val="24"/>
          <w:szCs w:val="24"/>
        </w:rPr>
        <w:t>Litis.</w:t>
      </w:r>
      <w:bookmarkEnd w:id="16"/>
      <w:bookmarkEnd w:id="17"/>
      <w:bookmarkEnd w:id="18"/>
    </w:p>
    <w:p w14:paraId="0C039803" w14:textId="77777777" w:rsidR="00DD1822" w:rsidRPr="00DD1822" w:rsidRDefault="00DD1822" w:rsidP="00DD1822">
      <w:pPr>
        <w:spacing w:before="240" w:after="240" w:line="360" w:lineRule="auto"/>
        <w:contextualSpacing/>
        <w:jc w:val="both"/>
        <w:rPr>
          <w:rFonts w:ascii="Palatino Linotype" w:eastAsia="Times New Roman" w:hAnsi="Palatino Linotype" w:cs="Times New Roman"/>
          <w:iCs/>
          <w:sz w:val="24"/>
          <w:szCs w:val="24"/>
          <w:lang w:val="es-ES_tradnl" w:eastAsia="es-ES"/>
        </w:rPr>
      </w:pPr>
    </w:p>
    <w:p w14:paraId="436DBFF8" w14:textId="25175AD0" w:rsidR="00DE395A" w:rsidRPr="00EA49FC" w:rsidRDefault="00DE395A" w:rsidP="00A106A2">
      <w:pPr>
        <w:numPr>
          <w:ilvl w:val="0"/>
          <w:numId w:val="2"/>
        </w:numPr>
        <w:tabs>
          <w:tab w:val="left" w:pos="426"/>
        </w:tabs>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EA49FC">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EA49FC">
        <w:rPr>
          <w:rFonts w:ascii="Palatino Linotype" w:eastAsia="Calibri" w:hAnsi="Palatino Linotype" w:cs="Arial"/>
          <w:sz w:val="24"/>
          <w:szCs w:val="24"/>
          <w:lang w:val="es-ES" w:eastAsia="es-ES"/>
        </w:rPr>
        <w:t>Ley de Transparencia y Acceso a la Información Pública del Estado de México y Municipios</w:t>
      </w:r>
      <w:r w:rsidRPr="00EA49FC">
        <w:rPr>
          <w:rFonts w:ascii="Palatino Linotype" w:eastAsia="Times New Roman" w:hAnsi="Palatino Linotype" w:cs="Arial"/>
          <w:sz w:val="24"/>
          <w:szCs w:val="24"/>
          <w:lang w:val="es-ES_tradnl" w:eastAsia="es-ES"/>
        </w:rPr>
        <w:t xml:space="preserve"> y determinar la confirmación; revocación o modificación; desechamiento o sobreseimiento; y</w:t>
      </w:r>
      <w:r w:rsidR="00A54713" w:rsidRPr="00EA49FC">
        <w:rPr>
          <w:rFonts w:ascii="Palatino Linotype" w:eastAsia="Times New Roman" w:hAnsi="Palatino Linotype" w:cs="Arial"/>
          <w:sz w:val="24"/>
          <w:szCs w:val="24"/>
          <w:lang w:val="es-ES_tradnl" w:eastAsia="es-ES"/>
        </w:rPr>
        <w:t>,</w:t>
      </w:r>
      <w:r w:rsidRPr="00EA49FC">
        <w:rPr>
          <w:rFonts w:ascii="Palatino Linotype" w:eastAsia="Times New Roman" w:hAnsi="Palatino Linotype" w:cs="Arial"/>
          <w:sz w:val="24"/>
          <w:szCs w:val="24"/>
          <w:lang w:val="es-ES_tradnl" w:eastAsia="es-ES"/>
        </w:rPr>
        <w:t xml:space="preserve"> en su caso</w:t>
      </w:r>
      <w:r w:rsidR="00A54713" w:rsidRPr="00EA49FC">
        <w:rPr>
          <w:rFonts w:ascii="Palatino Linotype" w:eastAsia="Times New Roman" w:hAnsi="Palatino Linotype" w:cs="Arial"/>
          <w:sz w:val="24"/>
          <w:szCs w:val="24"/>
          <w:lang w:val="es-ES_tradnl" w:eastAsia="es-ES"/>
        </w:rPr>
        <w:t>,</w:t>
      </w:r>
      <w:r w:rsidRPr="00EA49FC">
        <w:rPr>
          <w:rFonts w:ascii="Palatino Linotype" w:eastAsia="Times New Roman" w:hAnsi="Palatino Linotype" w:cs="Arial"/>
          <w:sz w:val="24"/>
          <w:szCs w:val="24"/>
          <w:lang w:val="es-ES_tradnl" w:eastAsia="es-ES"/>
        </w:rPr>
        <w:t xml:space="preserve"> ordenar la entrega de la información,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46A58C5" w14:textId="77777777" w:rsidR="00DE395A" w:rsidRPr="00EA49FC" w:rsidRDefault="00DE395A" w:rsidP="002B6F8E">
      <w:pPr>
        <w:tabs>
          <w:tab w:val="left" w:pos="426"/>
        </w:tabs>
        <w:spacing w:before="240" w:after="240" w:line="360" w:lineRule="auto"/>
        <w:contextualSpacing/>
        <w:jc w:val="both"/>
        <w:rPr>
          <w:rFonts w:ascii="Palatino Linotype" w:eastAsia="Times New Roman" w:hAnsi="Palatino Linotype" w:cs="Times New Roman"/>
          <w:i/>
          <w:sz w:val="24"/>
          <w:szCs w:val="24"/>
          <w:lang w:val="es-ES_tradnl" w:eastAsia="es-ES"/>
        </w:rPr>
      </w:pPr>
    </w:p>
    <w:p w14:paraId="5EDC68F0" w14:textId="4682C48E" w:rsidR="007D5EF5" w:rsidRPr="00EA49FC"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A49FC">
        <w:rPr>
          <w:rFonts w:ascii="Palatino Linotype" w:eastAsia="MS Mincho" w:hAnsi="Palatino Linotype" w:cs="Times New Roman"/>
          <w:sz w:val="24"/>
          <w:szCs w:val="24"/>
          <w:lang w:val="es-ES_tradnl" w:eastAsia="es-ES"/>
        </w:rPr>
        <w:t xml:space="preserve">De las constancias </w:t>
      </w:r>
      <w:r w:rsidR="00483A9F" w:rsidRPr="00EA49FC">
        <w:rPr>
          <w:rFonts w:ascii="Palatino Linotype" w:eastAsia="MS Mincho" w:hAnsi="Palatino Linotype" w:cs="Times New Roman"/>
          <w:sz w:val="24"/>
          <w:szCs w:val="24"/>
          <w:lang w:val="es-ES_tradnl" w:eastAsia="es-ES"/>
        </w:rPr>
        <w:t xml:space="preserve">que obran </w:t>
      </w:r>
      <w:r w:rsidRPr="00EA49FC">
        <w:rPr>
          <w:rFonts w:ascii="Palatino Linotype" w:eastAsia="MS Mincho" w:hAnsi="Palatino Linotype" w:cs="Times New Roman"/>
          <w:sz w:val="24"/>
          <w:szCs w:val="24"/>
          <w:lang w:val="es-ES_tradnl" w:eastAsia="es-ES"/>
        </w:rPr>
        <w:t xml:space="preserve">en el expediente </w:t>
      </w:r>
      <w:r w:rsidR="00535477">
        <w:rPr>
          <w:rFonts w:ascii="Palatino Linotype" w:eastAsia="MS Mincho" w:hAnsi="Palatino Linotype" w:cs="Times New Roman"/>
          <w:sz w:val="24"/>
          <w:szCs w:val="24"/>
          <w:lang w:val="es-ES_tradnl" w:eastAsia="es-ES"/>
        </w:rPr>
        <w:t xml:space="preserve">digital </w:t>
      </w:r>
      <w:r w:rsidR="00483A9F" w:rsidRPr="00EA49FC">
        <w:rPr>
          <w:rFonts w:ascii="Palatino Linotype" w:eastAsia="MS Mincho" w:hAnsi="Palatino Linotype" w:cs="Times New Roman"/>
          <w:sz w:val="24"/>
          <w:szCs w:val="24"/>
          <w:lang w:val="es-ES_tradnl" w:eastAsia="es-ES"/>
        </w:rPr>
        <w:t xml:space="preserve">con número </w:t>
      </w:r>
      <w:r w:rsidRPr="00EA49FC">
        <w:rPr>
          <w:rFonts w:ascii="Palatino Linotype" w:eastAsia="MS Mincho" w:hAnsi="Palatino Linotype" w:cs="Times New Roman"/>
          <w:sz w:val="24"/>
          <w:szCs w:val="24"/>
          <w:lang w:val="es-ES_tradnl" w:eastAsia="es-ES"/>
        </w:rPr>
        <w:t xml:space="preserve">al rubro indicado, se desprende que el particular solicitó </w:t>
      </w:r>
      <w:r w:rsidR="003130CF">
        <w:rPr>
          <w:rFonts w:ascii="Palatino Linotype" w:eastAsia="MS Mincho" w:hAnsi="Palatino Linotype" w:cs="Times New Roman"/>
          <w:sz w:val="24"/>
          <w:szCs w:val="24"/>
          <w:lang w:val="es-ES_tradnl" w:eastAsia="es-ES"/>
        </w:rPr>
        <w:t>los gastos erogados en el evento denominado “Primer Foro Internacional 2022 para la Igualdad de Género en Metepec”</w:t>
      </w:r>
      <w:r w:rsidR="007D5EF5" w:rsidRPr="00EA49FC">
        <w:rPr>
          <w:rFonts w:ascii="Palatino Linotype" w:eastAsia="MS Mincho" w:hAnsi="Palatino Linotype" w:cs="Times New Roman"/>
          <w:sz w:val="24"/>
          <w:szCs w:val="24"/>
          <w:lang w:val="es-ES_tradnl" w:eastAsia="es-ES"/>
        </w:rPr>
        <w:t xml:space="preserve">. El </w:t>
      </w:r>
      <w:r w:rsidR="007D5EF5" w:rsidRPr="00EA49FC">
        <w:rPr>
          <w:rFonts w:ascii="Palatino Linotype" w:eastAsia="MS Mincho" w:hAnsi="Palatino Linotype" w:cs="Times New Roman"/>
          <w:b/>
          <w:sz w:val="24"/>
          <w:szCs w:val="24"/>
          <w:lang w:val="es-ES_tradnl" w:eastAsia="es-ES"/>
        </w:rPr>
        <w:t>SUJETO OBLIGADO</w:t>
      </w:r>
      <w:r w:rsidR="007D5EF5" w:rsidRPr="00EA49FC">
        <w:rPr>
          <w:rFonts w:ascii="Palatino Linotype" w:eastAsia="MS Mincho" w:hAnsi="Palatino Linotype" w:cs="Times New Roman"/>
          <w:sz w:val="24"/>
          <w:szCs w:val="24"/>
          <w:lang w:val="es-ES_tradnl" w:eastAsia="es-ES"/>
        </w:rPr>
        <w:t xml:space="preserve"> </w:t>
      </w:r>
      <w:r w:rsidR="003130CF">
        <w:rPr>
          <w:rFonts w:ascii="Palatino Linotype" w:eastAsia="MS Mincho" w:hAnsi="Palatino Linotype" w:cs="Times New Roman"/>
          <w:sz w:val="24"/>
          <w:szCs w:val="24"/>
          <w:lang w:val="es-ES_tradnl" w:eastAsia="es-ES"/>
        </w:rPr>
        <w:t>informó al particular que el evento había sido organizado en su totalidad por la Dirección de Igualdad de Género del Ayuntamiento de Metepec</w:t>
      </w:r>
      <w:r w:rsidR="00483A9F" w:rsidRPr="00EA49FC">
        <w:rPr>
          <w:rFonts w:ascii="Palatino Linotype" w:eastAsia="MS Mincho" w:hAnsi="Palatino Linotype" w:cs="Times New Roman"/>
          <w:sz w:val="24"/>
          <w:szCs w:val="24"/>
          <w:lang w:val="es-ES_tradnl" w:eastAsia="es-ES"/>
        </w:rPr>
        <w:t>.</w:t>
      </w:r>
    </w:p>
    <w:p w14:paraId="48B2A431" w14:textId="77777777" w:rsidR="007D5EF5" w:rsidRPr="00EA49FC" w:rsidRDefault="007D5EF5"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0851BFF3" w14:textId="684752BE" w:rsidR="00061AEC" w:rsidRPr="00EA49FC"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A49FC">
        <w:rPr>
          <w:rFonts w:ascii="Palatino Linotype" w:eastAsia="MS Mincho" w:hAnsi="Palatino Linotype" w:cs="Times New Roman"/>
          <w:sz w:val="24"/>
          <w:szCs w:val="24"/>
          <w:lang w:val="es-ES_tradnl" w:eastAsia="es-ES"/>
        </w:rPr>
        <w:t xml:space="preserve">El </w:t>
      </w:r>
      <w:r w:rsidRPr="00EA49FC">
        <w:rPr>
          <w:rFonts w:ascii="Palatino Linotype" w:eastAsia="MS Mincho" w:hAnsi="Palatino Linotype" w:cs="Times New Roman"/>
          <w:sz w:val="24"/>
          <w:szCs w:val="24"/>
          <w:lang w:eastAsia="es-ES"/>
        </w:rPr>
        <w:t>particular impugnó la respuesta mediante recurso de revisión, en el que señaló por agravios</w:t>
      </w:r>
      <w:r w:rsidR="00B7344D">
        <w:rPr>
          <w:rFonts w:ascii="Palatino Linotype" w:eastAsia="MS Mincho" w:hAnsi="Palatino Linotype" w:cs="Times New Roman"/>
          <w:sz w:val="24"/>
          <w:szCs w:val="24"/>
          <w:lang w:eastAsia="es-ES"/>
        </w:rPr>
        <w:t xml:space="preserve"> que la respuesta era deficiente, pues el </w:t>
      </w:r>
      <w:r w:rsidR="00B7344D">
        <w:rPr>
          <w:rFonts w:ascii="Palatino Linotype" w:eastAsia="MS Mincho" w:hAnsi="Palatino Linotype" w:cs="Times New Roman"/>
          <w:b/>
          <w:sz w:val="24"/>
          <w:szCs w:val="24"/>
          <w:lang w:eastAsia="es-ES"/>
        </w:rPr>
        <w:t>SUJETO OBLIGADO</w:t>
      </w:r>
      <w:r w:rsidR="00B7344D">
        <w:rPr>
          <w:rFonts w:ascii="Palatino Linotype" w:eastAsia="MS Mincho" w:hAnsi="Palatino Linotype" w:cs="Times New Roman"/>
          <w:sz w:val="24"/>
          <w:szCs w:val="24"/>
          <w:lang w:eastAsia="es-ES"/>
        </w:rPr>
        <w:t xml:space="preserve"> no dio cumplimiento al procedimiento establecido para la atención de las </w:t>
      </w:r>
      <w:r w:rsidR="00B7344D">
        <w:rPr>
          <w:rFonts w:ascii="Palatino Linotype" w:eastAsia="MS Mincho" w:hAnsi="Palatino Linotype" w:cs="Times New Roman"/>
          <w:sz w:val="24"/>
          <w:szCs w:val="24"/>
          <w:lang w:eastAsia="es-ES"/>
        </w:rPr>
        <w:lastRenderedPageBreak/>
        <w:t>solicitudes de acceso a la información, aunado a que fue omiso en las formalidades de clasificación.</w:t>
      </w:r>
    </w:p>
    <w:p w14:paraId="433D8014" w14:textId="77777777" w:rsidR="00483A9F" w:rsidRPr="00EA49FC" w:rsidRDefault="00483A9F"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29675EF3" w14:textId="66566E5F" w:rsidR="00061AEC" w:rsidRPr="00EA49FC"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A49FC">
        <w:rPr>
          <w:rFonts w:ascii="Palatino Linotype" w:eastAsia="MS Mincho" w:hAnsi="Palatino Linotype" w:cs="Times New Roman"/>
          <w:sz w:val="24"/>
          <w:szCs w:val="24"/>
          <w:lang w:val="es-ES_tradnl" w:eastAsia="es-ES"/>
        </w:rPr>
        <w:t>Así las cosas</w:t>
      </w:r>
      <w:r w:rsidR="00DE395A" w:rsidRPr="00EA49FC">
        <w:rPr>
          <w:rFonts w:ascii="Palatino Linotype" w:eastAsia="MS Mincho" w:hAnsi="Palatino Linotype" w:cs="Times New Roman"/>
          <w:sz w:val="24"/>
          <w:szCs w:val="24"/>
          <w:lang w:val="es-ES_tradnl" w:eastAsia="es-ES"/>
        </w:rPr>
        <w:t xml:space="preserve">, </w:t>
      </w:r>
      <w:r w:rsidRPr="004F7D89">
        <w:rPr>
          <w:rFonts w:ascii="Palatino Linotype" w:eastAsia="MS Mincho" w:hAnsi="Palatino Linotype" w:cs="Times New Roman"/>
          <w:sz w:val="24"/>
          <w:szCs w:val="24"/>
          <w:lang w:eastAsia="es-ES"/>
        </w:rPr>
        <w:t xml:space="preserve">se advierte que las razones o motivos de inconformidad manifestados por el </w:t>
      </w:r>
      <w:r w:rsidRPr="004F7D89">
        <w:rPr>
          <w:rFonts w:ascii="Palatino Linotype" w:eastAsia="MS Mincho" w:hAnsi="Palatino Linotype" w:cs="Times New Roman"/>
          <w:b/>
          <w:bCs/>
          <w:sz w:val="24"/>
          <w:szCs w:val="24"/>
          <w:lang w:eastAsia="es-ES"/>
        </w:rPr>
        <w:t>RECURRENTE</w:t>
      </w:r>
      <w:r w:rsidRPr="004F7D89">
        <w:rPr>
          <w:rFonts w:ascii="Palatino Linotype" w:eastAsia="MS Mincho" w:hAnsi="Palatino Linotype" w:cs="Times New Roman"/>
          <w:sz w:val="24"/>
          <w:szCs w:val="24"/>
          <w:lang w:eastAsia="es-ES"/>
        </w:rPr>
        <w:t xml:space="preserve"> sugieren que la respuesta proporcionada por el </w:t>
      </w:r>
      <w:r w:rsidRPr="004F7D89">
        <w:rPr>
          <w:rFonts w:ascii="Palatino Linotype" w:eastAsia="MS Mincho" w:hAnsi="Palatino Linotype" w:cs="Times New Roman"/>
          <w:b/>
          <w:bCs/>
          <w:sz w:val="24"/>
          <w:szCs w:val="24"/>
          <w:lang w:eastAsia="es-ES"/>
        </w:rPr>
        <w:t>SUJETO OBLIGADO</w:t>
      </w:r>
      <w:r w:rsidRPr="004F7D89">
        <w:rPr>
          <w:rFonts w:ascii="Palatino Linotype" w:eastAsia="MS Mincho" w:hAnsi="Palatino Linotype" w:cs="Times New Roman"/>
          <w:sz w:val="24"/>
          <w:szCs w:val="24"/>
          <w:lang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w:t>
      </w:r>
      <w:r w:rsidRPr="00EA49FC">
        <w:rPr>
          <w:rFonts w:ascii="Palatino Linotype" w:eastAsia="MS Mincho" w:hAnsi="Palatino Linotype" w:cs="Times New Roman"/>
          <w:sz w:val="24"/>
          <w:szCs w:val="24"/>
          <w:lang w:eastAsia="es-ES"/>
        </w:rPr>
        <w:t xml:space="preserve"> ésta sea </w:t>
      </w:r>
      <w:r w:rsidR="00B7344D">
        <w:rPr>
          <w:rFonts w:ascii="Palatino Linotype" w:eastAsia="MS Mincho" w:hAnsi="Palatino Linotype" w:cs="Times New Roman"/>
          <w:b/>
          <w:bCs/>
          <w:sz w:val="24"/>
          <w:szCs w:val="24"/>
          <w:lang w:eastAsia="es-ES"/>
        </w:rPr>
        <w:t>accesible</w:t>
      </w:r>
      <w:r w:rsidR="00B7344D">
        <w:rPr>
          <w:rFonts w:ascii="Palatino Linotype" w:eastAsia="MS Mincho" w:hAnsi="Palatino Linotype" w:cs="Times New Roman"/>
          <w:bCs/>
          <w:sz w:val="24"/>
          <w:szCs w:val="24"/>
          <w:lang w:eastAsia="es-ES"/>
        </w:rPr>
        <w:t xml:space="preserve"> y </w:t>
      </w:r>
      <w:r w:rsidR="00B7344D">
        <w:rPr>
          <w:rFonts w:ascii="Palatino Linotype" w:eastAsia="MS Mincho" w:hAnsi="Palatino Linotype" w:cs="Times New Roman"/>
          <w:b/>
          <w:bCs/>
          <w:sz w:val="24"/>
          <w:szCs w:val="24"/>
          <w:lang w:eastAsia="es-ES"/>
        </w:rPr>
        <w:t>confiable</w:t>
      </w:r>
      <w:r w:rsidRPr="00EA49FC">
        <w:rPr>
          <w:rFonts w:ascii="Palatino Linotype" w:eastAsia="MS Mincho" w:hAnsi="Palatino Linotype" w:cs="Times New Roman"/>
          <w:sz w:val="24"/>
          <w:szCs w:val="24"/>
          <w:lang w:eastAsia="es-ES"/>
        </w:rPr>
        <w:t>.</w:t>
      </w:r>
      <w:r w:rsidR="00753842" w:rsidRPr="00EA49FC">
        <w:rPr>
          <w:rFonts w:ascii="Palatino Linotype" w:eastAsia="MS Mincho" w:hAnsi="Palatino Linotype" w:cs="Times New Roman"/>
          <w:sz w:val="24"/>
          <w:szCs w:val="24"/>
          <w:lang w:val="es-ES_tradnl" w:eastAsia="es-ES"/>
        </w:rPr>
        <w:t xml:space="preserve"> </w:t>
      </w:r>
      <w:r w:rsidR="00061AEC" w:rsidRPr="00EA49FC">
        <w:rPr>
          <w:rFonts w:ascii="Palatino Linotype" w:eastAsia="MS Mincho" w:hAnsi="Palatino Linotype" w:cs="Times New Roman"/>
          <w:sz w:val="24"/>
          <w:szCs w:val="24"/>
          <w:lang w:val="es-ES_tradnl" w:eastAsia="es-ES"/>
        </w:rPr>
        <w:t xml:space="preserve"> </w:t>
      </w:r>
    </w:p>
    <w:p w14:paraId="7DB26864" w14:textId="77777777" w:rsidR="00061AEC" w:rsidRPr="00EA49FC" w:rsidRDefault="00061AEC" w:rsidP="002B6F8E">
      <w:pPr>
        <w:tabs>
          <w:tab w:val="left" w:pos="426"/>
        </w:tabs>
        <w:spacing w:line="360" w:lineRule="auto"/>
        <w:rPr>
          <w:rFonts w:ascii="Palatino Linotype" w:eastAsia="MS Mincho" w:hAnsi="Palatino Linotype"/>
          <w:sz w:val="24"/>
          <w:szCs w:val="24"/>
          <w:lang w:val="es-ES_tradnl" w:eastAsia="es-ES"/>
        </w:rPr>
      </w:pPr>
    </w:p>
    <w:p w14:paraId="405BB58C" w14:textId="56ADBD2C" w:rsidR="00DE395A" w:rsidRPr="00EA49FC"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A49FC">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EA49FC">
        <w:rPr>
          <w:rFonts w:ascii="Palatino Linotype" w:eastAsia="MS Mincho" w:hAnsi="Palatino Linotype" w:cs="Times New Roman"/>
          <w:b/>
          <w:sz w:val="24"/>
          <w:szCs w:val="24"/>
          <w:lang w:val="es-ES_tradnl" w:eastAsia="es-ES"/>
        </w:rPr>
        <w:t>SUJETO OBLIGADO</w:t>
      </w:r>
      <w:r w:rsidRPr="00EA49FC">
        <w:rPr>
          <w:rFonts w:ascii="Palatino Linotype" w:eastAsia="MS Mincho" w:hAnsi="Palatino Linotype" w:cs="Times New Roman"/>
          <w:sz w:val="24"/>
          <w:szCs w:val="24"/>
          <w:lang w:val="es-ES_tradnl" w:eastAsia="es-ES"/>
        </w:rPr>
        <w:t xml:space="preserve"> con la respuesta otorgada, vulnera el derecho de acceso a la información accionado por el particular actualizando la causal de procedencia prevista</w:t>
      </w:r>
      <w:r w:rsidR="00061AEC" w:rsidRPr="00EA49FC">
        <w:rPr>
          <w:rFonts w:ascii="Palatino Linotype" w:eastAsia="MS Mincho" w:hAnsi="Palatino Linotype" w:cs="Times New Roman"/>
          <w:sz w:val="24"/>
          <w:szCs w:val="24"/>
          <w:lang w:val="es-ES_tradnl" w:eastAsia="es-ES"/>
        </w:rPr>
        <w:t xml:space="preserve"> en el artículo 179</w:t>
      </w:r>
      <w:r w:rsidR="00483A9F" w:rsidRPr="00EA49FC">
        <w:rPr>
          <w:rFonts w:ascii="Palatino Linotype" w:eastAsia="MS Mincho" w:hAnsi="Palatino Linotype" w:cs="Times New Roman"/>
          <w:sz w:val="24"/>
          <w:szCs w:val="24"/>
          <w:lang w:val="es-ES_tradnl" w:eastAsia="es-ES"/>
        </w:rPr>
        <w:t>,</w:t>
      </w:r>
      <w:r w:rsidR="00061AEC" w:rsidRPr="00EA49FC">
        <w:rPr>
          <w:rFonts w:ascii="Palatino Linotype" w:eastAsia="MS Mincho" w:hAnsi="Palatino Linotype" w:cs="Times New Roman"/>
          <w:sz w:val="24"/>
          <w:szCs w:val="24"/>
          <w:lang w:val="es-ES_tradnl" w:eastAsia="es-ES"/>
        </w:rPr>
        <w:t xml:space="preserve"> fracciones I y </w:t>
      </w:r>
      <w:r w:rsidR="007D4C21">
        <w:rPr>
          <w:rFonts w:ascii="Palatino Linotype" w:eastAsia="MS Mincho" w:hAnsi="Palatino Linotype" w:cs="Times New Roman"/>
          <w:sz w:val="24"/>
          <w:szCs w:val="24"/>
          <w:lang w:val="es-ES_tradnl" w:eastAsia="es-ES"/>
        </w:rPr>
        <w:t>IV</w:t>
      </w:r>
      <w:r w:rsidRPr="00EA49FC">
        <w:rPr>
          <w:rFonts w:ascii="Palatino Linotype" w:eastAsia="MS Mincho" w:hAnsi="Palatino Linotype" w:cs="Times New Roman"/>
          <w:sz w:val="24"/>
          <w:szCs w:val="24"/>
          <w:vertAlign w:val="superscript"/>
          <w:lang w:val="es-ES_tradnl" w:eastAsia="es-ES"/>
        </w:rPr>
        <w:footnoteReference w:id="1"/>
      </w:r>
      <w:r w:rsidR="00483A9F" w:rsidRPr="00EA49FC">
        <w:rPr>
          <w:rFonts w:ascii="Palatino Linotype" w:eastAsia="MS Mincho" w:hAnsi="Palatino Linotype" w:cs="Times New Roman"/>
          <w:sz w:val="24"/>
          <w:szCs w:val="24"/>
          <w:lang w:val="es-ES_tradnl" w:eastAsia="es-ES"/>
        </w:rPr>
        <w:t>,</w:t>
      </w:r>
      <w:r w:rsidRPr="00EA49FC">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19508105" w14:textId="2ADA222F" w:rsidR="00483A9F" w:rsidRPr="00EA49FC" w:rsidRDefault="00483A9F" w:rsidP="00483A9F">
      <w:pPr>
        <w:spacing w:before="240" w:after="240" w:line="360" w:lineRule="auto"/>
        <w:ind w:left="90"/>
        <w:contextualSpacing/>
        <w:jc w:val="both"/>
        <w:rPr>
          <w:rFonts w:ascii="Palatino Linotype" w:eastAsia="Times New Roman" w:hAnsi="Palatino Linotype" w:cs="Times New Roman"/>
          <w:sz w:val="24"/>
          <w:szCs w:val="24"/>
          <w:lang w:val="es-ES_tradnl" w:eastAsia="es-ES"/>
        </w:rPr>
      </w:pPr>
    </w:p>
    <w:p w14:paraId="581A6040" w14:textId="5610F21C" w:rsidR="00DE395A" w:rsidRPr="0019353E" w:rsidRDefault="00DE395A" w:rsidP="0019353E">
      <w:pPr>
        <w:keepNext/>
        <w:keepLines/>
        <w:spacing w:before="240" w:line="360" w:lineRule="auto"/>
        <w:outlineLvl w:val="0"/>
        <w:rPr>
          <w:rFonts w:ascii="Palatino Linotype" w:eastAsia="MS Gothic" w:hAnsi="Palatino Linotype" w:cs="Times New Roman"/>
          <w:b/>
          <w:color w:val="000000"/>
          <w:sz w:val="24"/>
          <w:szCs w:val="24"/>
        </w:rPr>
      </w:pPr>
      <w:bookmarkStart w:id="36" w:name="_Toc68804767"/>
      <w:bookmarkStart w:id="37" w:name="_Toc96617324"/>
      <w:bookmarkStart w:id="38" w:name="_Toc459174366"/>
      <w:bookmarkStart w:id="39" w:name="_Toc459659884"/>
      <w:bookmarkStart w:id="40" w:name="_Toc461687280"/>
      <w:bookmarkStart w:id="41" w:name="_Toc462771051"/>
      <w:bookmarkStart w:id="42" w:name="_Toc464139201"/>
      <w:r w:rsidRPr="00EA49FC">
        <w:rPr>
          <w:rFonts w:ascii="Palatino Linotype" w:eastAsia="MS Gothic" w:hAnsi="Palatino Linotype" w:cs="Times New Roman"/>
          <w:b/>
          <w:color w:val="000000"/>
          <w:sz w:val="24"/>
          <w:szCs w:val="24"/>
        </w:rPr>
        <w:lastRenderedPageBreak/>
        <w:t>CUARTO. Estudio y resolución del asunto.</w:t>
      </w:r>
      <w:bookmarkEnd w:id="36"/>
      <w:bookmarkEnd w:id="37"/>
    </w:p>
    <w:p w14:paraId="0FF140A6" w14:textId="7B03F80E" w:rsidR="0019353E" w:rsidRPr="0019353E" w:rsidRDefault="0019353E" w:rsidP="0019353E">
      <w:pPr>
        <w:pStyle w:val="Ttulo3"/>
        <w:spacing w:line="360" w:lineRule="auto"/>
        <w:rPr>
          <w:rFonts w:ascii="Palatino Linotype" w:eastAsia="Times New Roman" w:hAnsi="Palatino Linotype" w:cs="Times New Roman"/>
          <w:b/>
          <w:color w:val="auto"/>
          <w:lang w:eastAsia="es-MX"/>
        </w:rPr>
      </w:pPr>
      <w:bookmarkStart w:id="43" w:name="_Toc466371865"/>
      <w:bookmarkStart w:id="44" w:name="_Toc466377653"/>
      <w:bookmarkEnd w:id="38"/>
      <w:bookmarkEnd w:id="39"/>
      <w:bookmarkEnd w:id="40"/>
      <w:bookmarkEnd w:id="41"/>
      <w:bookmarkEnd w:id="42"/>
      <w:r w:rsidRPr="0019353E">
        <w:rPr>
          <w:rFonts w:ascii="Palatino Linotype" w:eastAsia="Times New Roman" w:hAnsi="Palatino Linotype" w:cs="Times New Roman"/>
          <w:b/>
          <w:color w:val="auto"/>
          <w:lang w:eastAsia="es-MX"/>
        </w:rPr>
        <w:t>I. Del deber de las autoridades de promover</w:t>
      </w:r>
      <w:r>
        <w:rPr>
          <w:rFonts w:ascii="Palatino Linotype" w:eastAsia="Times New Roman" w:hAnsi="Palatino Linotype" w:cs="Times New Roman"/>
          <w:b/>
          <w:color w:val="auto"/>
          <w:lang w:eastAsia="es-MX"/>
        </w:rPr>
        <w:t>, respetar, proteger</w:t>
      </w:r>
      <w:r w:rsidRPr="0019353E">
        <w:rPr>
          <w:rFonts w:ascii="Palatino Linotype" w:eastAsia="Times New Roman" w:hAnsi="Palatino Linotype" w:cs="Times New Roman"/>
          <w:b/>
          <w:color w:val="auto"/>
          <w:lang w:eastAsia="es-MX"/>
        </w:rPr>
        <w:t xml:space="preserve"> y garantizar el derecho de acceso a la información pública.</w:t>
      </w:r>
    </w:p>
    <w:p w14:paraId="7BF92EB3" w14:textId="77777777" w:rsidR="0019353E" w:rsidRP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DB2E14A" w14:textId="722BB17C" w:rsidR="0019353E" w:rsidRPr="0019353E"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Times New Roman" w:hAnsi="Palatino Linotype" w:cs="Times New Roman"/>
          <w:bCs/>
          <w:sz w:val="24"/>
          <w:szCs w:val="24"/>
          <w:lang w:eastAsia="es-MX"/>
        </w:rPr>
        <w:t xml:space="preserve">Es </w:t>
      </w:r>
      <w:r w:rsidRPr="0019353E">
        <w:rPr>
          <w:rFonts w:ascii="Palatino Linotype" w:eastAsia="Times New Roman" w:hAnsi="Palatino Linotype" w:cs="Times New Roman"/>
          <w:bCs/>
          <w:sz w:val="24"/>
          <w:szCs w:val="24"/>
          <w:lang w:val="es-ES_tradnl" w:eastAsia="es-MX"/>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9353E">
        <w:rPr>
          <w:rFonts w:ascii="Palatino Linotype" w:eastAsia="Times New Roman" w:hAnsi="Palatino Linotype" w:cs="Times New Roman"/>
          <w:b/>
          <w:bCs/>
          <w:sz w:val="24"/>
          <w:szCs w:val="24"/>
          <w:lang w:val="es-ES_tradnl" w:eastAsia="es-MX"/>
        </w:rPr>
        <w:t>SUJETO OBLIGADO</w:t>
      </w:r>
      <w:r w:rsidRPr="0019353E">
        <w:rPr>
          <w:rFonts w:ascii="Palatino Linotype" w:eastAsia="Times New Roman" w:hAnsi="Palatino Linotype" w:cs="Times New Roman"/>
          <w:bCs/>
          <w:sz w:val="24"/>
          <w:szCs w:val="24"/>
          <w:lang w:val="es-ES_tradnl" w:eastAsia="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9353E">
        <w:rPr>
          <w:rFonts w:ascii="Palatino Linotype" w:eastAsia="Times New Roman" w:hAnsi="Palatino Linotype" w:cs="Times New Roman"/>
          <w:b/>
          <w:bCs/>
          <w:sz w:val="24"/>
          <w:szCs w:val="24"/>
          <w:lang w:val="es-ES_tradnl" w:eastAsia="es-MX"/>
        </w:rPr>
        <w:t xml:space="preserve">Constitución Política de los Estados Unidos Mexicanos </w:t>
      </w:r>
      <w:r w:rsidRPr="0019353E">
        <w:rPr>
          <w:rFonts w:ascii="Palatino Linotype" w:eastAsia="Times New Roman" w:hAnsi="Palatino Linotype" w:cs="Times New Roman"/>
          <w:bCs/>
          <w:sz w:val="24"/>
          <w:szCs w:val="24"/>
          <w:lang w:val="es-ES_tradnl" w:eastAsia="es-MX"/>
        </w:rPr>
        <w:t xml:space="preserve">al señalar la obligación de “promover, </w:t>
      </w:r>
      <w:r w:rsidRPr="0019353E">
        <w:rPr>
          <w:rFonts w:ascii="Palatino Linotype" w:eastAsia="Times New Roman" w:hAnsi="Palatino Linotype" w:cs="Times New Roman"/>
          <w:b/>
          <w:bCs/>
          <w:sz w:val="24"/>
          <w:szCs w:val="24"/>
          <w:lang w:val="es-ES_tradnl" w:eastAsia="es-MX"/>
        </w:rPr>
        <w:t>respetar</w:t>
      </w:r>
      <w:r w:rsidRPr="0019353E">
        <w:rPr>
          <w:rFonts w:ascii="Palatino Linotype" w:eastAsia="Times New Roman" w:hAnsi="Palatino Linotype" w:cs="Times New Roman"/>
          <w:bCs/>
          <w:sz w:val="24"/>
          <w:szCs w:val="24"/>
          <w:lang w:val="es-ES_tradnl" w:eastAsia="es-MX"/>
        </w:rPr>
        <w:t xml:space="preserve">, proteger y </w:t>
      </w:r>
      <w:r w:rsidRPr="0019353E">
        <w:rPr>
          <w:rFonts w:ascii="Palatino Linotype" w:eastAsia="Times New Roman" w:hAnsi="Palatino Linotype" w:cs="Times New Roman"/>
          <w:b/>
          <w:bCs/>
          <w:sz w:val="24"/>
          <w:szCs w:val="24"/>
          <w:u w:val="single"/>
          <w:lang w:val="es-ES_tradnl" w:eastAsia="es-MX"/>
        </w:rPr>
        <w:t>garantizar</w:t>
      </w:r>
      <w:r w:rsidRPr="0019353E">
        <w:rPr>
          <w:rFonts w:ascii="Palatino Linotype" w:eastAsia="Times New Roman" w:hAnsi="Palatino Linotype" w:cs="Times New Roman"/>
          <w:bCs/>
          <w:sz w:val="24"/>
          <w:szCs w:val="24"/>
          <w:lang w:val="es-ES_tradnl" w:eastAsia="es-MX"/>
        </w:rPr>
        <w:t xml:space="preserve"> los derechos humanos”, entre los cuales se encuentra dicho derecho.</w:t>
      </w:r>
    </w:p>
    <w:p w14:paraId="2CB661D8" w14:textId="77777777" w:rsidR="0019353E" w:rsidRP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9678376" w14:textId="780F1B83" w:rsidR="0019353E" w:rsidRPr="0019353E"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Times New Roman" w:hAnsi="Palatino Linotype" w:cs="Times New Roman"/>
          <w:bCs/>
          <w:sz w:val="24"/>
          <w:szCs w:val="24"/>
          <w:lang w:eastAsia="es-MX"/>
        </w:rPr>
        <w:t xml:space="preserve">Definiendo </w:t>
      </w:r>
      <w:r w:rsidRPr="0019353E">
        <w:rPr>
          <w:rFonts w:ascii="Palatino Linotype" w:eastAsia="Times New Roman" w:hAnsi="Palatino Linotype" w:cs="Times New Roman"/>
          <w:bCs/>
          <w:sz w:val="24"/>
          <w:szCs w:val="24"/>
          <w:lang w:val="es-ES_tradnl" w:eastAsia="es-MX"/>
        </w:rPr>
        <w:t xml:space="preserve">el Derecho de Acceso a la Información Pública como: </w:t>
      </w:r>
      <w:r w:rsidRPr="0019353E">
        <w:rPr>
          <w:rFonts w:ascii="Palatino Linotype" w:eastAsia="Times New Roman" w:hAnsi="Palatino Linotype" w:cs="Times New Roman"/>
          <w:bCs/>
          <w:i/>
          <w:sz w:val="24"/>
          <w:szCs w:val="24"/>
          <w:lang w:val="es-ES_tradnl" w:eastAsia="es-MX"/>
        </w:rPr>
        <w:t>La igualdad de oportunidades para recibir, buscar e impartir información</w:t>
      </w:r>
      <w:r w:rsidRPr="0019353E">
        <w:rPr>
          <w:rFonts w:ascii="Palatino Linotype" w:eastAsia="Times New Roman" w:hAnsi="Palatino Linotype" w:cs="Times New Roman"/>
          <w:bCs/>
          <w:i/>
          <w:sz w:val="24"/>
          <w:szCs w:val="24"/>
          <w:vertAlign w:val="superscript"/>
          <w:lang w:val="es-ES_tradnl" w:eastAsia="es-MX"/>
        </w:rPr>
        <w:footnoteReference w:id="2"/>
      </w:r>
      <w:r w:rsidRPr="0019353E">
        <w:rPr>
          <w:rFonts w:ascii="Palatino Linotype" w:eastAsia="Times New Roman" w:hAnsi="Palatino Linotype" w:cs="Times New Roman"/>
          <w:bCs/>
          <w:i/>
          <w:sz w:val="24"/>
          <w:szCs w:val="24"/>
          <w:lang w:val="es-ES_tradnl" w:eastAsia="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19353E">
        <w:rPr>
          <w:rFonts w:ascii="Palatino Linotype" w:eastAsia="Times New Roman" w:hAnsi="Palatino Linotype" w:cs="Times New Roman"/>
          <w:bCs/>
          <w:i/>
          <w:sz w:val="24"/>
          <w:szCs w:val="24"/>
          <w:lang w:val="es-ES_tradnl" w:eastAsia="es-MX"/>
        </w:rPr>
        <w:lastRenderedPageBreak/>
        <w:t>autoridad en el ámbito federal, estatal y municipal,</w:t>
      </w:r>
      <w:r w:rsidRPr="0019353E">
        <w:rPr>
          <w:rFonts w:ascii="Palatino Linotype" w:eastAsia="Times New Roman" w:hAnsi="Palatino Linotype" w:cs="Times New Roman"/>
          <w:bCs/>
          <w:i/>
          <w:sz w:val="24"/>
          <w:szCs w:val="24"/>
          <w:vertAlign w:val="superscript"/>
          <w:lang w:val="es-ES_tradnl" w:eastAsia="es-MX"/>
        </w:rPr>
        <w:footnoteReference w:id="3"/>
      </w:r>
      <w:r w:rsidRPr="0019353E">
        <w:rPr>
          <w:rFonts w:ascii="Palatino Linotype" w:eastAsia="Times New Roman" w:hAnsi="Palatino Linotype" w:cs="Times New Roman"/>
          <w:bCs/>
          <w:sz w:val="24"/>
          <w:szCs w:val="24"/>
          <w:lang w:val="es-ES_tradnl" w:eastAsia="es-MX"/>
        </w:rPr>
        <w:t>que se constituye como una herramienta fundamental para ejercer</w:t>
      </w:r>
      <w:r w:rsidRPr="0019353E">
        <w:rPr>
          <w:rFonts w:ascii="Palatino Linotype" w:eastAsia="Times New Roman" w:hAnsi="Palatino Linotype" w:cs="Times New Roman"/>
          <w:bCs/>
          <w:i/>
          <w:sz w:val="24"/>
          <w:szCs w:val="24"/>
          <w:lang w:val="es-ES_tradnl" w:eastAsia="es-MX"/>
        </w:rPr>
        <w:t xml:space="preserve"> el control democrático de las gestiones estatales, de forma tal que puedan cuestionar, indagar y considerar si se está dando un adecuado cumplimiento a las funciones públicas,</w:t>
      </w:r>
      <w:r w:rsidRPr="0019353E">
        <w:rPr>
          <w:rFonts w:ascii="Palatino Linotype" w:eastAsia="Times New Roman" w:hAnsi="Palatino Linotype" w:cs="Times New Roman"/>
          <w:bCs/>
          <w:i/>
          <w:sz w:val="24"/>
          <w:szCs w:val="24"/>
          <w:vertAlign w:val="superscript"/>
          <w:lang w:val="es-ES_tradnl" w:eastAsia="es-MX"/>
        </w:rPr>
        <w:footnoteReference w:id="4"/>
      </w:r>
      <w:r w:rsidRPr="0019353E">
        <w:rPr>
          <w:rFonts w:ascii="Palatino Linotype" w:eastAsia="Times New Roman" w:hAnsi="Palatino Linotype" w:cs="Times New Roman"/>
          <w:bCs/>
          <w:i/>
          <w:sz w:val="24"/>
          <w:szCs w:val="24"/>
          <w:lang w:val="es-ES_tradnl" w:eastAsia="es-MX"/>
        </w:rPr>
        <w:t xml:space="preserve"> </w:t>
      </w:r>
      <w:r w:rsidRPr="0019353E">
        <w:rPr>
          <w:rFonts w:ascii="Palatino Linotype" w:eastAsia="Times New Roman" w:hAnsi="Palatino Linotype" w:cs="Times New Roman"/>
          <w:bCs/>
          <w:sz w:val="24"/>
          <w:szCs w:val="24"/>
          <w:lang w:val="es-ES_tradnl" w:eastAsia="es-MX"/>
        </w:rPr>
        <w:t>fomentando</w:t>
      </w:r>
      <w:r w:rsidRPr="0019353E">
        <w:rPr>
          <w:rFonts w:ascii="Palatino Linotype" w:eastAsia="Times New Roman" w:hAnsi="Palatino Linotype" w:cs="Times New Roman"/>
          <w:bCs/>
          <w:i/>
          <w:sz w:val="24"/>
          <w:szCs w:val="24"/>
          <w:lang w:val="es-ES_tradnl" w:eastAsia="es-MX"/>
        </w:rPr>
        <w:t xml:space="preserve"> la transparencia de las actividades estatales y </w:t>
      </w:r>
      <w:r w:rsidRPr="0019353E">
        <w:rPr>
          <w:rFonts w:ascii="Palatino Linotype" w:eastAsia="Times New Roman" w:hAnsi="Palatino Linotype" w:cs="Times New Roman"/>
          <w:bCs/>
          <w:sz w:val="24"/>
          <w:szCs w:val="24"/>
          <w:lang w:val="es-ES_tradnl" w:eastAsia="es-MX"/>
        </w:rPr>
        <w:t>promoviendo</w:t>
      </w:r>
      <w:r w:rsidRPr="0019353E">
        <w:rPr>
          <w:rFonts w:ascii="Palatino Linotype" w:eastAsia="Times New Roman" w:hAnsi="Palatino Linotype" w:cs="Times New Roman"/>
          <w:bCs/>
          <w:i/>
          <w:sz w:val="24"/>
          <w:szCs w:val="24"/>
          <w:lang w:val="es-ES_tradnl" w:eastAsia="es-MX"/>
        </w:rPr>
        <w:t xml:space="preserve"> la responsabilidad de los funcionarios sobre su gestión pública,</w:t>
      </w:r>
      <w:r w:rsidRPr="0019353E">
        <w:rPr>
          <w:rFonts w:ascii="Palatino Linotype" w:eastAsia="Times New Roman" w:hAnsi="Palatino Linotype" w:cs="Times New Roman"/>
          <w:bCs/>
          <w:i/>
          <w:sz w:val="24"/>
          <w:szCs w:val="24"/>
          <w:vertAlign w:val="superscript"/>
          <w:lang w:val="es-ES_tradnl" w:eastAsia="es-MX"/>
        </w:rPr>
        <w:footnoteReference w:id="5"/>
      </w:r>
      <w:r w:rsidRPr="0019353E">
        <w:rPr>
          <w:rFonts w:ascii="Palatino Linotype" w:eastAsia="Times New Roman" w:hAnsi="Palatino Linotype" w:cs="Times New Roman"/>
          <w:bCs/>
          <w:sz w:val="24"/>
          <w:szCs w:val="24"/>
          <w:lang w:val="es-ES_tradnl" w:eastAsia="es-MX"/>
        </w:rPr>
        <w:t>que permite</w:t>
      </w:r>
      <w:r w:rsidRPr="0019353E">
        <w:rPr>
          <w:rFonts w:ascii="Palatino Linotype" w:eastAsia="Times New Roman" w:hAnsi="Palatino Linotype" w:cs="Times New Roman"/>
          <w:bCs/>
          <w:i/>
          <w:sz w:val="24"/>
          <w:szCs w:val="24"/>
          <w:lang w:val="es-ES_tradnl" w:eastAsia="es-MX"/>
        </w:rPr>
        <w:t xml:space="preserve"> saber qué están haciendo los gobiernos por sus pueblos, sin lo cual la verdad languidecería y la participación en el gobierno permanecería fragmentada.</w:t>
      </w:r>
    </w:p>
    <w:p w14:paraId="51406DE3" w14:textId="77777777" w:rsidR="0019353E" w:rsidRP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285C751" w14:textId="52B20807" w:rsidR="0019353E" w:rsidRPr="0019353E"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Times New Roman" w:hAnsi="Palatino Linotype" w:cs="Times New Roman"/>
          <w:bCs/>
          <w:sz w:val="24"/>
          <w:szCs w:val="24"/>
          <w:lang w:eastAsia="es-MX"/>
        </w:rPr>
        <w:t xml:space="preserve">Por </w:t>
      </w:r>
      <w:r w:rsidRPr="0019353E">
        <w:rPr>
          <w:rFonts w:ascii="Palatino Linotype" w:eastAsia="Times New Roman" w:hAnsi="Palatino Linotype" w:cs="Times New Roman"/>
          <w:bCs/>
          <w:sz w:val="24"/>
          <w:szCs w:val="24"/>
          <w:lang w:val="es-ES_tradnl" w:eastAsia="es-MX"/>
        </w:rPr>
        <w:t>lo anterior, se deduce que el derecho de acceso a la información pública es un derecho humano constitucionalmente reconocido y, a consecuencia de ello, todas las autoridades en el ámbito de sus competencias, funciones y atribuciones tienen la obligación de respetarlo, protegerlo y garantizarlo.</w:t>
      </w:r>
    </w:p>
    <w:p w14:paraId="2269173F" w14:textId="77777777" w:rsidR="0019353E" w:rsidRP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BB22FFB" w14:textId="13E07997" w:rsidR="0019353E" w:rsidRPr="0019353E"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Times New Roman" w:hAnsi="Palatino Linotype" w:cs="Times New Roman"/>
          <w:bCs/>
          <w:sz w:val="24"/>
          <w:szCs w:val="24"/>
          <w:lang w:eastAsia="es-MX"/>
        </w:rPr>
        <w:t xml:space="preserve">Por </w:t>
      </w:r>
      <w:r w:rsidRPr="0019353E">
        <w:rPr>
          <w:rFonts w:ascii="Palatino Linotype" w:eastAsia="Times New Roman" w:hAnsi="Palatino Linotype" w:cs="Times New Roman"/>
          <w:bCs/>
          <w:sz w:val="24"/>
          <w:szCs w:val="24"/>
          <w:lang w:val="es-ES_tradnl" w:eastAsia="es-MX"/>
        </w:rPr>
        <w:t xml:space="preserve">su parte, la </w:t>
      </w:r>
      <w:r w:rsidRPr="0019353E">
        <w:rPr>
          <w:rFonts w:ascii="Palatino Linotype" w:eastAsia="Times New Roman" w:hAnsi="Palatino Linotype" w:cs="Times New Roman"/>
          <w:b/>
          <w:bCs/>
          <w:sz w:val="24"/>
          <w:szCs w:val="24"/>
          <w:lang w:val="es-ES_tradnl" w:eastAsia="es-MX"/>
        </w:rPr>
        <w:t xml:space="preserve">Ley de Transparencia y Acceso a la Información Pública del Estado de México y Municipios, </w:t>
      </w:r>
      <w:r w:rsidRPr="0019353E">
        <w:rPr>
          <w:rFonts w:ascii="Palatino Linotype" w:eastAsia="Times New Roman" w:hAnsi="Palatino Linotype" w:cs="Times New Roman"/>
          <w:bCs/>
          <w:sz w:val="24"/>
          <w:szCs w:val="24"/>
          <w:lang w:val="es-ES_tradnl" w:eastAsia="es-MX"/>
        </w:rPr>
        <w:t>cuyo objeto es establecer principios, bases generales y procedimientos para tutelar y garantizar la transparencia y el derecho humano de acceso a la información pública en posesión de los sujetos obligados; en su artículo 176</w:t>
      </w:r>
      <w:r w:rsidRPr="0019353E">
        <w:rPr>
          <w:rFonts w:ascii="Palatino Linotype" w:eastAsia="Times New Roman" w:hAnsi="Palatino Linotype" w:cs="Times New Roman"/>
          <w:b/>
          <w:bCs/>
          <w:sz w:val="24"/>
          <w:szCs w:val="24"/>
          <w:lang w:val="es-ES_tradnl" w:eastAsia="es-MX"/>
        </w:rPr>
        <w:t xml:space="preserve"> </w:t>
      </w:r>
      <w:r w:rsidRPr="0019353E">
        <w:rPr>
          <w:rFonts w:ascii="Palatino Linotype" w:eastAsia="Times New Roman" w:hAnsi="Palatino Linotype" w:cs="Times New Roman"/>
          <w:bCs/>
          <w:sz w:val="24"/>
          <w:szCs w:val="24"/>
          <w:lang w:val="es-ES_tradnl" w:eastAsia="es-MX"/>
        </w:rPr>
        <w:t xml:space="preserve">establece que </w:t>
      </w:r>
      <w:r w:rsidRPr="0019353E">
        <w:rPr>
          <w:rFonts w:ascii="Palatino Linotype" w:eastAsia="Times New Roman" w:hAnsi="Palatino Linotype" w:cs="Times New Roman"/>
          <w:bCs/>
          <w:i/>
          <w:sz w:val="24"/>
          <w:szCs w:val="24"/>
          <w:lang w:val="es-ES_tradnl" w:eastAsia="es-MX"/>
        </w:rPr>
        <w:t xml:space="preserve">el </w:t>
      </w:r>
      <w:r w:rsidRPr="0019353E">
        <w:rPr>
          <w:rFonts w:ascii="Palatino Linotype" w:eastAsia="Times New Roman" w:hAnsi="Palatino Linotype" w:cs="Times New Roman"/>
          <w:bCs/>
          <w:i/>
          <w:sz w:val="24"/>
          <w:szCs w:val="24"/>
          <w:u w:val="single"/>
          <w:lang w:val="es-ES_tradnl" w:eastAsia="es-MX"/>
        </w:rPr>
        <w:t>recurso de revisión</w:t>
      </w:r>
      <w:r w:rsidRPr="0019353E">
        <w:rPr>
          <w:rFonts w:ascii="Palatino Linotype" w:eastAsia="Times New Roman" w:hAnsi="Palatino Linotype" w:cs="Times New Roman"/>
          <w:bCs/>
          <w:i/>
          <w:sz w:val="24"/>
          <w:szCs w:val="24"/>
          <w:lang w:val="es-ES_tradnl" w:eastAsia="es-MX"/>
        </w:rPr>
        <w:t xml:space="preserve"> es la garantía secundaria mediante la cual se pretende reparar cualquier posible afectación al derecho de acceso a la información pública</w:t>
      </w:r>
      <w:r w:rsidRPr="0019353E">
        <w:rPr>
          <w:rFonts w:ascii="Palatino Linotype" w:eastAsia="Times New Roman" w:hAnsi="Palatino Linotype" w:cs="Times New Roman"/>
          <w:bCs/>
          <w:sz w:val="24"/>
          <w:szCs w:val="24"/>
          <w:lang w:val="es-ES_tradnl" w:eastAsia="es-MX"/>
        </w:rPr>
        <w:t xml:space="preserve">, siendo éste el medio a través del cual, este Órgano Garante después de realizar el análisis al procedimiento de acceso a la información, podrá determinar la </w:t>
      </w:r>
      <w:r w:rsidRPr="0019353E">
        <w:rPr>
          <w:rFonts w:ascii="Palatino Linotype" w:eastAsia="Times New Roman" w:hAnsi="Palatino Linotype" w:cs="Times New Roman"/>
          <w:bCs/>
          <w:sz w:val="24"/>
          <w:szCs w:val="24"/>
          <w:lang w:val="es-ES_tradnl" w:eastAsia="es-MX"/>
        </w:rPr>
        <w:lastRenderedPageBreak/>
        <w:t>posible afectación y de ser el caso ordenar la reparación a la violación del derecho en cuestión.</w:t>
      </w:r>
    </w:p>
    <w:p w14:paraId="573A1AF8" w14:textId="4712660D" w:rsid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5E13E12" w14:textId="72E6401A" w:rsidR="0019353E" w:rsidRPr="0019353E" w:rsidRDefault="00E40F40" w:rsidP="0019353E">
      <w:pPr>
        <w:pStyle w:val="Ttulo3"/>
        <w:spacing w:before="0" w:line="360" w:lineRule="auto"/>
        <w:rPr>
          <w:rFonts w:ascii="Palatino Linotype" w:eastAsia="Times New Roman" w:hAnsi="Palatino Linotype" w:cs="Times New Roman"/>
          <w:b/>
          <w:color w:val="auto"/>
          <w:lang w:eastAsia="es-MX"/>
        </w:rPr>
      </w:pPr>
      <w:r>
        <w:rPr>
          <w:rFonts w:ascii="Palatino Linotype" w:eastAsia="Times New Roman" w:hAnsi="Palatino Linotype" w:cs="Times New Roman"/>
          <w:b/>
          <w:color w:val="auto"/>
          <w:lang w:eastAsia="es-MX"/>
        </w:rPr>
        <w:t>II</w:t>
      </w:r>
      <w:r w:rsidR="0019353E" w:rsidRPr="0019353E">
        <w:rPr>
          <w:rFonts w:ascii="Palatino Linotype" w:eastAsia="Times New Roman" w:hAnsi="Palatino Linotype" w:cs="Times New Roman"/>
          <w:b/>
          <w:color w:val="auto"/>
          <w:lang w:eastAsia="es-MX"/>
        </w:rPr>
        <w:t>. De la atención a la solicitud de información.</w:t>
      </w:r>
    </w:p>
    <w:p w14:paraId="4A5FCB65" w14:textId="580AB10A" w:rsidR="0019353E" w:rsidRPr="0019353E"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E1DB687" w14:textId="1677E7A5" w:rsidR="001867A5" w:rsidRPr="0044231B" w:rsidRDefault="0044231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U</w:t>
      </w:r>
      <w:r w:rsidR="001867A5" w:rsidRPr="00EA49FC">
        <w:rPr>
          <w:rFonts w:ascii="Palatino Linotype" w:eastAsia="MS Mincho" w:hAnsi="Palatino Linotype" w:cs="Times New Roman"/>
          <w:color w:val="000000"/>
          <w:sz w:val="24"/>
          <w:szCs w:val="24"/>
          <w:lang w:eastAsia="es-ES"/>
        </w:rPr>
        <w:t xml:space="preserve">na vez expuesto lo anterior, de la lectura a la solicitud de información </w:t>
      </w:r>
      <w:r w:rsidR="004A3550">
        <w:rPr>
          <w:rFonts w:ascii="Palatino Linotype" w:eastAsia="MS Mincho" w:hAnsi="Palatino Linotype" w:cs="Times New Roman"/>
          <w:b/>
          <w:bCs/>
          <w:color w:val="000000"/>
          <w:sz w:val="24"/>
          <w:szCs w:val="24"/>
          <w:lang w:eastAsia="es-ES"/>
        </w:rPr>
        <w:t>00327/METEPEC/IP/2022</w:t>
      </w:r>
      <w:r w:rsidR="001867A5" w:rsidRPr="00EA49FC">
        <w:rPr>
          <w:rFonts w:ascii="Palatino Linotype" w:eastAsia="MS Mincho" w:hAnsi="Palatino Linotype" w:cs="Times New Roman"/>
          <w:color w:val="000000"/>
          <w:sz w:val="24"/>
          <w:szCs w:val="24"/>
          <w:lang w:eastAsia="es-ES"/>
        </w:rPr>
        <w:t xml:space="preserve">, y como fuera señalado en el </w:t>
      </w:r>
      <w:r w:rsidR="001867A5" w:rsidRPr="00EA49FC">
        <w:rPr>
          <w:rFonts w:ascii="Palatino Linotype" w:eastAsia="MS Mincho" w:hAnsi="Palatino Linotype" w:cs="Times New Roman"/>
          <w:i/>
          <w:iCs/>
          <w:color w:val="000000"/>
          <w:sz w:val="24"/>
          <w:szCs w:val="24"/>
          <w:lang w:eastAsia="es-ES"/>
        </w:rPr>
        <w:t>Planteamiento de la Litis</w:t>
      </w:r>
      <w:r w:rsidR="001867A5" w:rsidRPr="00EA49FC">
        <w:rPr>
          <w:rFonts w:ascii="Palatino Linotype" w:eastAsia="MS Mincho" w:hAnsi="Palatino Linotype" w:cs="Times New Roman"/>
          <w:color w:val="000000"/>
          <w:sz w:val="24"/>
          <w:szCs w:val="24"/>
          <w:lang w:eastAsia="es-ES"/>
        </w:rPr>
        <w:t xml:space="preserve"> de esta resolución, se advierte que el entonces </w:t>
      </w:r>
      <w:r w:rsidR="001867A5" w:rsidRPr="00EA49FC">
        <w:rPr>
          <w:rFonts w:ascii="Palatino Linotype" w:eastAsia="MS Mincho" w:hAnsi="Palatino Linotype" w:cs="Times New Roman"/>
          <w:b/>
          <w:color w:val="000000"/>
          <w:sz w:val="24"/>
          <w:szCs w:val="24"/>
          <w:lang w:eastAsia="es-ES"/>
        </w:rPr>
        <w:t>SOLICITANTE</w:t>
      </w:r>
      <w:r w:rsidR="001867A5" w:rsidRPr="00EA49FC">
        <w:rPr>
          <w:rFonts w:ascii="Palatino Linotype" w:eastAsia="MS Mincho" w:hAnsi="Palatino Linotype" w:cs="Times New Roman"/>
          <w:color w:val="000000"/>
          <w:sz w:val="24"/>
          <w:szCs w:val="24"/>
          <w:lang w:eastAsia="es-ES"/>
        </w:rPr>
        <w:t xml:space="preserve"> requirió</w:t>
      </w:r>
      <w:r>
        <w:rPr>
          <w:rFonts w:ascii="Palatino Linotype" w:eastAsia="MS Mincho" w:hAnsi="Palatino Linotype" w:cs="Times New Roman"/>
          <w:color w:val="000000"/>
          <w:sz w:val="24"/>
          <w:szCs w:val="24"/>
          <w:lang w:eastAsia="es-ES"/>
        </w:rPr>
        <w:t xml:space="preserve"> al </w:t>
      </w:r>
      <w:r w:rsidR="004A3550">
        <w:rPr>
          <w:rFonts w:ascii="Palatino Linotype" w:eastAsia="MS Mincho" w:hAnsi="Palatino Linotype" w:cs="Times New Roman"/>
          <w:color w:val="000000"/>
          <w:sz w:val="24"/>
          <w:szCs w:val="24"/>
          <w:lang w:eastAsia="es-ES"/>
        </w:rPr>
        <w:t>Sistema Municipal para el Desarrollo Integral de la Familia de Metepec</w:t>
      </w:r>
      <w:r>
        <w:rPr>
          <w:rFonts w:ascii="Palatino Linotype" w:eastAsia="MS Mincho" w:hAnsi="Palatino Linotype" w:cs="Times New Roman"/>
          <w:color w:val="000000"/>
          <w:sz w:val="24"/>
          <w:szCs w:val="24"/>
          <w:lang w:eastAsia="es-ES"/>
        </w:rPr>
        <w:t xml:space="preserve"> la siguiente información:</w:t>
      </w:r>
    </w:p>
    <w:p w14:paraId="19E4A148" w14:textId="3840B66E" w:rsidR="0044231B" w:rsidRPr="00EA49FC" w:rsidRDefault="004F7D89" w:rsidP="00A106A2">
      <w:pPr>
        <w:numPr>
          <w:ilvl w:val="1"/>
          <w:numId w:val="7"/>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sz w:val="24"/>
          <w:szCs w:val="24"/>
          <w:lang w:val="es-ES_tradnl" w:eastAsia="es-ES"/>
        </w:rPr>
        <w:t>Los gastos erogados en el evento denominado ‘Primer Foro Internacional 2022 para la Igualdad de Género en Metepec’, incluyendo donaciones, adquisiciones, etc</w:t>
      </w:r>
      <w:r w:rsidR="0044231B">
        <w:rPr>
          <w:rFonts w:ascii="Palatino Linotype" w:eastAsia="MS Mincho" w:hAnsi="Palatino Linotype" w:cs="Times New Roman"/>
          <w:sz w:val="24"/>
          <w:szCs w:val="24"/>
          <w:lang w:val="es-ES_tradnl" w:eastAsia="es-ES"/>
        </w:rPr>
        <w:t>.</w:t>
      </w:r>
    </w:p>
    <w:p w14:paraId="54F04B75" w14:textId="77777777" w:rsidR="001867A5" w:rsidRPr="00EA49FC"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18BAF6E" w14:textId="0C12F0A8" w:rsidR="001867A5" w:rsidRPr="00EA49FC"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A49FC">
        <w:rPr>
          <w:rFonts w:ascii="Palatino Linotype" w:eastAsia="MS Mincho" w:hAnsi="Palatino Linotype" w:cs="Times New Roman"/>
          <w:color w:val="000000"/>
          <w:sz w:val="24"/>
          <w:szCs w:val="24"/>
          <w:lang w:eastAsia="es-ES"/>
        </w:rPr>
        <w:t xml:space="preserve">En respuesta a la solicitud de información, el </w:t>
      </w:r>
      <w:r w:rsidRPr="00EA49FC">
        <w:rPr>
          <w:rFonts w:ascii="Palatino Linotype" w:eastAsia="MS Mincho" w:hAnsi="Palatino Linotype" w:cs="Times New Roman"/>
          <w:b/>
          <w:color w:val="000000"/>
          <w:sz w:val="24"/>
          <w:szCs w:val="24"/>
          <w:lang w:eastAsia="es-ES"/>
        </w:rPr>
        <w:t>SUJETO OBLIGADO</w:t>
      </w:r>
      <w:r w:rsidRPr="00EA49FC">
        <w:rPr>
          <w:rFonts w:ascii="Palatino Linotype" w:eastAsia="MS Mincho" w:hAnsi="Palatino Linotype" w:cs="Times New Roman"/>
          <w:color w:val="000000"/>
          <w:sz w:val="24"/>
          <w:szCs w:val="24"/>
          <w:lang w:eastAsia="es-ES"/>
        </w:rPr>
        <w:t xml:space="preserve"> </w:t>
      </w:r>
      <w:r w:rsidR="0044231B">
        <w:rPr>
          <w:rFonts w:ascii="Palatino Linotype" w:eastAsia="MS Mincho" w:hAnsi="Palatino Linotype" w:cs="Times New Roman"/>
          <w:color w:val="000000"/>
          <w:sz w:val="24"/>
          <w:szCs w:val="24"/>
          <w:lang w:eastAsia="es-ES"/>
        </w:rPr>
        <w:t>hizo del conocimiento del particular</w:t>
      </w:r>
      <w:r w:rsidR="000C1C5A">
        <w:rPr>
          <w:rFonts w:ascii="Palatino Linotype" w:eastAsia="MS Mincho" w:hAnsi="Palatino Linotype" w:cs="Times New Roman"/>
          <w:color w:val="000000"/>
          <w:sz w:val="24"/>
          <w:szCs w:val="24"/>
          <w:lang w:eastAsia="es-ES"/>
        </w:rPr>
        <w:t xml:space="preserve"> lo siguiente</w:t>
      </w:r>
      <w:r w:rsidRPr="00EA49FC">
        <w:rPr>
          <w:rFonts w:ascii="Palatino Linotype" w:eastAsia="MS Mincho" w:hAnsi="Palatino Linotype" w:cs="Times New Roman"/>
          <w:color w:val="000000"/>
          <w:sz w:val="24"/>
          <w:szCs w:val="24"/>
          <w:lang w:eastAsia="es-ES"/>
        </w:rPr>
        <w:t>:</w:t>
      </w:r>
    </w:p>
    <w:p w14:paraId="06D5E655" w14:textId="77777777" w:rsidR="001867A5" w:rsidRPr="00EA49FC"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6F1F669" w14:textId="39053CF5" w:rsidR="00087736" w:rsidRPr="00EA49FC" w:rsidRDefault="00087736" w:rsidP="00087736">
      <w:pPr>
        <w:tabs>
          <w:tab w:val="left" w:pos="426"/>
        </w:tabs>
        <w:spacing w:after="0" w:line="276" w:lineRule="auto"/>
        <w:ind w:left="567" w:right="567"/>
        <w:contextualSpacing/>
        <w:jc w:val="both"/>
        <w:rPr>
          <w:rFonts w:ascii="Palatino Linotype" w:eastAsia="Times New Roman" w:hAnsi="Palatino Linotype" w:cs="Times New Roman"/>
          <w:szCs w:val="24"/>
          <w:lang w:eastAsia="es-MX"/>
        </w:rPr>
      </w:pPr>
      <w:r w:rsidRPr="00EA49FC">
        <w:rPr>
          <w:rFonts w:ascii="Palatino Linotype" w:eastAsia="Times New Roman" w:hAnsi="Palatino Linotype" w:cs="Times New Roman"/>
          <w:i/>
          <w:szCs w:val="24"/>
          <w:lang w:eastAsia="es-MX"/>
        </w:rPr>
        <w:t>“</w:t>
      </w:r>
      <w:r w:rsidR="004F7D89" w:rsidRPr="004F7D89">
        <w:rPr>
          <w:rFonts w:ascii="Palatino Linotype" w:eastAsia="Times New Roman" w:hAnsi="Palatino Linotype" w:cs="Times New Roman"/>
          <w:i/>
          <w:szCs w:val="24"/>
          <w:lang w:eastAsia="es-MX"/>
        </w:rPr>
        <w:t>El “primer foro internacional 2022 para la igualdad de género en metepec” fue organizado en su totalidad por la Dirección de Igualdad de Genero del H. Ayuntamiento de Metepec.</w:t>
      </w:r>
      <w:r w:rsidRPr="00EA49FC">
        <w:rPr>
          <w:rFonts w:ascii="Palatino Linotype" w:eastAsia="Times New Roman" w:hAnsi="Palatino Linotype" w:cs="Times New Roman"/>
          <w:i/>
          <w:szCs w:val="24"/>
          <w:lang w:eastAsia="es-MX"/>
        </w:rPr>
        <w:t>”</w:t>
      </w:r>
      <w:r w:rsidRPr="00EA49FC">
        <w:rPr>
          <w:rFonts w:ascii="Palatino Linotype" w:eastAsia="Times New Roman" w:hAnsi="Palatino Linotype" w:cs="Times New Roman"/>
          <w:szCs w:val="24"/>
          <w:lang w:eastAsia="es-MX"/>
        </w:rPr>
        <w:t xml:space="preserve"> (Sic)</w:t>
      </w:r>
    </w:p>
    <w:p w14:paraId="1B870871" w14:textId="77777777" w:rsidR="00087736" w:rsidRPr="00EA49FC" w:rsidRDefault="0008773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92025C9" w14:textId="4373F406" w:rsidR="000C1C5A" w:rsidRPr="000C1C5A"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A49FC">
        <w:rPr>
          <w:rFonts w:ascii="Palatino Linotype" w:eastAsia="MS Mincho" w:hAnsi="Palatino Linotype" w:cs="Times New Roman"/>
          <w:color w:val="000000"/>
          <w:sz w:val="24"/>
          <w:szCs w:val="24"/>
          <w:lang w:eastAsia="es-ES"/>
        </w:rPr>
        <w:t>D</w:t>
      </w:r>
      <w:r w:rsidR="000C1C5A">
        <w:rPr>
          <w:rFonts w:ascii="Palatino Linotype" w:eastAsia="MS Mincho" w:hAnsi="Palatino Linotype" w:cs="Times New Roman"/>
          <w:color w:val="000000"/>
          <w:sz w:val="24"/>
          <w:szCs w:val="24"/>
          <w:lang w:eastAsia="es-ES"/>
        </w:rPr>
        <w:t xml:space="preserve">e las manifestaciones transcritas </w:t>
      </w:r>
      <w:r w:rsidR="000C1C5A">
        <w:rPr>
          <w:rFonts w:ascii="Palatino Linotype" w:eastAsia="MS Mincho" w:hAnsi="Palatino Linotype" w:cs="Times New Roman"/>
          <w:i/>
          <w:iCs/>
          <w:color w:val="000000"/>
          <w:sz w:val="24"/>
          <w:szCs w:val="24"/>
          <w:lang w:eastAsia="es-ES"/>
        </w:rPr>
        <w:t>supra</w:t>
      </w:r>
      <w:r w:rsidR="000C1C5A">
        <w:rPr>
          <w:rFonts w:ascii="Palatino Linotype" w:eastAsia="MS Mincho" w:hAnsi="Palatino Linotype" w:cs="Times New Roman"/>
          <w:color w:val="000000"/>
          <w:sz w:val="24"/>
          <w:szCs w:val="24"/>
          <w:lang w:eastAsia="es-ES"/>
        </w:rPr>
        <w:t xml:space="preserve">, podemos recuperar los siguientes elementos esenciales que componen la respuesta del </w:t>
      </w:r>
      <w:r w:rsidR="000C1C5A">
        <w:rPr>
          <w:rFonts w:ascii="Palatino Linotype" w:eastAsia="MS Mincho" w:hAnsi="Palatino Linotype" w:cs="Times New Roman"/>
          <w:b/>
          <w:bCs/>
          <w:color w:val="000000"/>
          <w:sz w:val="24"/>
          <w:szCs w:val="24"/>
          <w:lang w:eastAsia="es-ES"/>
        </w:rPr>
        <w:t>SUJETO OBLIGADO</w:t>
      </w:r>
      <w:r w:rsidR="000C1C5A">
        <w:rPr>
          <w:rFonts w:ascii="Palatino Linotype" w:eastAsia="MS Mincho" w:hAnsi="Palatino Linotype" w:cs="Times New Roman"/>
          <w:color w:val="000000"/>
          <w:sz w:val="24"/>
          <w:szCs w:val="24"/>
          <w:lang w:eastAsia="es-ES"/>
        </w:rPr>
        <w:t>:</w:t>
      </w:r>
    </w:p>
    <w:p w14:paraId="7A4097C0" w14:textId="77C6E6C1" w:rsidR="000C1C5A" w:rsidRPr="000C1C5A" w:rsidRDefault="000C1C5A" w:rsidP="004F7D89">
      <w:pPr>
        <w:numPr>
          <w:ilvl w:val="1"/>
          <w:numId w:val="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 xml:space="preserve">Que el Titular de la Unidad de Transparencia comunicó al particular que </w:t>
      </w:r>
      <w:r w:rsidR="004F7D89">
        <w:rPr>
          <w:rFonts w:ascii="Palatino Linotype" w:eastAsia="MS Mincho" w:hAnsi="Palatino Linotype" w:cs="Times New Roman"/>
          <w:color w:val="000000"/>
          <w:sz w:val="24"/>
          <w:szCs w:val="24"/>
          <w:lang w:eastAsia="es-ES"/>
        </w:rPr>
        <w:t>el ‘Primer Foro Internacional 2022 para la Igualdad de Género en Metepec’ había sido organizado, en su totalidad, por la Dirección de Igualdad de Género del Ayuntamiento de Metepec.</w:t>
      </w:r>
    </w:p>
    <w:p w14:paraId="3F18EF14" w14:textId="77777777" w:rsidR="004F7D89" w:rsidRPr="004F7D89" w:rsidRDefault="004F7D89" w:rsidP="004F7D89">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65B98EA" w14:textId="6B05BB80" w:rsidR="001867A5" w:rsidRPr="003804B0" w:rsidRDefault="000C1C5A"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D</w:t>
      </w:r>
      <w:r w:rsidR="00087736" w:rsidRPr="00EA49FC">
        <w:rPr>
          <w:rFonts w:ascii="Palatino Linotype" w:eastAsia="MS Mincho" w:hAnsi="Palatino Linotype" w:cs="Times New Roman"/>
          <w:color w:val="000000"/>
          <w:sz w:val="24"/>
          <w:szCs w:val="24"/>
          <w:lang w:eastAsia="es-ES"/>
        </w:rPr>
        <w:t xml:space="preserve">erivado de lo anterior, el </w:t>
      </w:r>
      <w:r w:rsidR="00087736" w:rsidRPr="00EA49FC">
        <w:rPr>
          <w:rFonts w:ascii="Palatino Linotype" w:eastAsia="MS Mincho" w:hAnsi="Palatino Linotype" w:cs="Times New Roman"/>
          <w:b/>
          <w:color w:val="000000"/>
          <w:sz w:val="24"/>
          <w:szCs w:val="24"/>
          <w:lang w:eastAsia="es-ES"/>
        </w:rPr>
        <w:t>RECURRENTE</w:t>
      </w:r>
      <w:r w:rsidR="00087736" w:rsidRPr="00EA49FC">
        <w:rPr>
          <w:rFonts w:ascii="Palatino Linotype" w:eastAsia="MS Mincho" w:hAnsi="Palatino Linotype" w:cs="Times New Roman"/>
          <w:color w:val="000000"/>
          <w:sz w:val="24"/>
          <w:szCs w:val="24"/>
          <w:lang w:eastAsia="es-ES"/>
        </w:rPr>
        <w:t xml:space="preserve"> promovió el recurso de revisión con número al rubro indicado en contra de la respuesta del </w:t>
      </w:r>
      <w:r w:rsidR="00087736" w:rsidRPr="00EA49FC">
        <w:rPr>
          <w:rFonts w:ascii="Palatino Linotype" w:eastAsia="MS Mincho" w:hAnsi="Palatino Linotype" w:cs="Times New Roman"/>
          <w:b/>
          <w:color w:val="000000"/>
          <w:sz w:val="24"/>
          <w:szCs w:val="24"/>
          <w:lang w:eastAsia="es-ES"/>
        </w:rPr>
        <w:t>SUJETO OBLIGADO</w:t>
      </w:r>
      <w:r w:rsidR="00087736" w:rsidRPr="00EA49FC">
        <w:rPr>
          <w:rFonts w:ascii="Palatino Linotype" w:eastAsia="MS Mincho" w:hAnsi="Palatino Linotype" w:cs="Times New Roman"/>
          <w:color w:val="000000"/>
          <w:sz w:val="24"/>
          <w:szCs w:val="24"/>
          <w:lang w:eastAsia="es-ES"/>
        </w:rPr>
        <w:t xml:space="preserve"> y, en el que señaló por </w:t>
      </w:r>
      <w:r w:rsidR="003804B0">
        <w:rPr>
          <w:rFonts w:ascii="Palatino Linotype" w:eastAsia="MS Mincho" w:hAnsi="Palatino Linotype" w:cs="Times New Roman"/>
          <w:iCs/>
          <w:color w:val="000000"/>
          <w:sz w:val="24"/>
          <w:szCs w:val="24"/>
          <w:lang w:eastAsia="es-ES"/>
        </w:rPr>
        <w:t>agravios, esencialmente,</w:t>
      </w:r>
      <w:r w:rsidR="00087736" w:rsidRPr="00EA49FC">
        <w:rPr>
          <w:rFonts w:ascii="Palatino Linotype" w:eastAsia="MS Mincho" w:hAnsi="Palatino Linotype" w:cs="Times New Roman"/>
          <w:color w:val="000000"/>
          <w:sz w:val="24"/>
          <w:szCs w:val="24"/>
          <w:lang w:eastAsia="es-ES"/>
        </w:rPr>
        <w:t xml:space="preserve"> lo siguiente:</w:t>
      </w:r>
    </w:p>
    <w:p w14:paraId="719F2E32" w14:textId="77777777" w:rsidR="004F7D89" w:rsidRPr="004F7D89" w:rsidRDefault="00626CCA"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Que </w:t>
      </w:r>
      <w:r w:rsidR="004F7D89">
        <w:rPr>
          <w:rFonts w:ascii="Palatino Linotype" w:eastAsia="MS Mincho" w:hAnsi="Palatino Linotype" w:cs="Times New Roman"/>
          <w:sz w:val="24"/>
          <w:szCs w:val="24"/>
          <w:lang w:eastAsia="es-ES"/>
        </w:rPr>
        <w:t xml:space="preserve">la respuesta era deficiente, pues el </w:t>
      </w:r>
      <w:r w:rsidR="004F7D89">
        <w:rPr>
          <w:rFonts w:ascii="Palatino Linotype" w:eastAsia="MS Mincho" w:hAnsi="Palatino Linotype" w:cs="Times New Roman"/>
          <w:b/>
          <w:sz w:val="24"/>
          <w:szCs w:val="24"/>
          <w:lang w:eastAsia="es-ES"/>
        </w:rPr>
        <w:t>SUJETO OBLIGADO</w:t>
      </w:r>
      <w:r w:rsidR="004F7D89">
        <w:rPr>
          <w:rFonts w:ascii="Palatino Linotype" w:eastAsia="MS Mincho" w:hAnsi="Palatino Linotype" w:cs="Times New Roman"/>
          <w:sz w:val="24"/>
          <w:szCs w:val="24"/>
          <w:lang w:eastAsia="es-ES"/>
        </w:rPr>
        <w:t xml:space="preserve"> no dio cumplimiento al procedimiento establecido para la atención de las solicitudes de acceso a la información, </w:t>
      </w:r>
    </w:p>
    <w:p w14:paraId="55F70E6A" w14:textId="180E6346" w:rsidR="003804B0" w:rsidRPr="00EA49FC" w:rsidRDefault="004F7D89"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sz w:val="24"/>
          <w:szCs w:val="24"/>
          <w:lang w:eastAsia="es-ES"/>
        </w:rPr>
        <w:t xml:space="preserve">Que el </w:t>
      </w:r>
      <w:r>
        <w:rPr>
          <w:rFonts w:ascii="Palatino Linotype" w:eastAsia="MS Mincho" w:hAnsi="Palatino Linotype" w:cs="Times New Roman"/>
          <w:b/>
          <w:sz w:val="24"/>
          <w:szCs w:val="24"/>
          <w:lang w:eastAsia="es-ES"/>
        </w:rPr>
        <w:t>SUJETO OBLIGADO</w:t>
      </w:r>
      <w:r>
        <w:rPr>
          <w:rFonts w:ascii="Palatino Linotype" w:eastAsia="MS Mincho" w:hAnsi="Palatino Linotype" w:cs="Times New Roman"/>
          <w:sz w:val="24"/>
          <w:szCs w:val="24"/>
          <w:lang w:eastAsia="es-ES"/>
        </w:rPr>
        <w:t xml:space="preserve"> fue omiso en las formalidades de clasificación</w:t>
      </w:r>
      <w:r w:rsidR="00626CCA">
        <w:rPr>
          <w:rFonts w:ascii="Palatino Linotype" w:eastAsia="MS Mincho" w:hAnsi="Palatino Linotype" w:cs="Times New Roman"/>
          <w:color w:val="000000"/>
          <w:sz w:val="24"/>
          <w:szCs w:val="24"/>
          <w:lang w:eastAsia="es-ES"/>
        </w:rPr>
        <w:t>.</w:t>
      </w:r>
    </w:p>
    <w:p w14:paraId="226D84AE" w14:textId="77777777" w:rsidR="001D1F46" w:rsidRPr="001D1F46" w:rsidRDefault="001D1F46" w:rsidP="001D1F46">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60BE39E" w14:textId="7AB00B63" w:rsidR="001867A5" w:rsidRPr="00221BE4" w:rsidRDefault="001D1F4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C</w:t>
      </w:r>
      <w:r w:rsidR="001B76B6" w:rsidRPr="00EA49FC">
        <w:rPr>
          <w:rFonts w:ascii="Palatino Linotype" w:eastAsia="MS Mincho" w:hAnsi="Palatino Linotype" w:cs="Times New Roman"/>
          <w:color w:val="000000"/>
          <w:sz w:val="24"/>
          <w:szCs w:val="24"/>
          <w:lang w:eastAsia="es-ES"/>
        </w:rPr>
        <w:t xml:space="preserve">on base en lo anterior, se procede a analizar la naturaleza jurídica así como la competencia del </w:t>
      </w:r>
      <w:r w:rsidR="001B76B6" w:rsidRPr="00EA49FC">
        <w:rPr>
          <w:rFonts w:ascii="Palatino Linotype" w:eastAsia="MS Mincho" w:hAnsi="Palatino Linotype" w:cs="Times New Roman"/>
          <w:b/>
          <w:color w:val="000000"/>
          <w:sz w:val="24"/>
          <w:szCs w:val="24"/>
          <w:lang w:eastAsia="es-ES"/>
        </w:rPr>
        <w:t>SUJETO OBLIGADO</w:t>
      </w:r>
      <w:r w:rsidR="001B76B6" w:rsidRPr="00EA49FC">
        <w:rPr>
          <w:rFonts w:ascii="Palatino Linotype" w:eastAsia="MS Mincho" w:hAnsi="Palatino Linotype" w:cs="Times New Roman"/>
          <w:color w:val="000000"/>
          <w:sz w:val="24"/>
          <w:szCs w:val="24"/>
          <w:lang w:eastAsia="es-ES"/>
        </w:rPr>
        <w:t xml:space="preserve"> para </w:t>
      </w:r>
      <w:r w:rsidR="0019337E">
        <w:rPr>
          <w:rFonts w:ascii="Palatino Linotype" w:eastAsia="MS Mincho" w:hAnsi="Palatino Linotype" w:cs="Times New Roman"/>
          <w:color w:val="000000"/>
          <w:sz w:val="24"/>
          <w:szCs w:val="24"/>
          <w:lang w:eastAsia="es-ES"/>
        </w:rPr>
        <w:t xml:space="preserve">poseer, generar y/o administrar </w:t>
      </w:r>
      <w:r w:rsidR="00221BE4">
        <w:rPr>
          <w:rFonts w:ascii="Palatino Linotype" w:eastAsia="MS Mincho" w:hAnsi="Palatino Linotype" w:cs="Times New Roman"/>
          <w:color w:val="000000"/>
          <w:sz w:val="24"/>
          <w:szCs w:val="24"/>
          <w:lang w:eastAsia="es-ES"/>
        </w:rPr>
        <w:t>información relacionada con las erogaciones generadas por el ‘Primer Foro Internacional 2022 para la Igualdad de Género en Metepec’</w:t>
      </w:r>
      <w:r w:rsidR="001B76B6" w:rsidRPr="00EA49FC">
        <w:rPr>
          <w:rFonts w:ascii="Palatino Linotype" w:eastAsia="MS Mincho" w:hAnsi="Palatino Linotype" w:cs="Times New Roman"/>
          <w:color w:val="000000"/>
          <w:sz w:val="24"/>
          <w:szCs w:val="24"/>
          <w:lang w:eastAsia="es-ES"/>
        </w:rPr>
        <w:t>.</w:t>
      </w:r>
    </w:p>
    <w:p w14:paraId="63717788" w14:textId="77777777" w:rsid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29F3B5B" w14:textId="2AF9B925" w:rsidR="00221BE4" w:rsidRPr="00221BE4" w:rsidRDefault="00221BE4" w:rsidP="00221BE4">
      <w:pPr>
        <w:pStyle w:val="Ttulo3"/>
        <w:spacing w:line="360" w:lineRule="auto"/>
        <w:rPr>
          <w:rFonts w:ascii="Palatino Linotype" w:eastAsia="Times New Roman" w:hAnsi="Palatino Linotype" w:cs="Times New Roman"/>
          <w:b/>
          <w:color w:val="auto"/>
          <w:lang w:eastAsia="es-MX"/>
        </w:rPr>
      </w:pPr>
      <w:r w:rsidRPr="00221BE4">
        <w:rPr>
          <w:rFonts w:ascii="Palatino Linotype" w:eastAsia="Times New Roman" w:hAnsi="Palatino Linotype" w:cs="Times New Roman"/>
          <w:b/>
          <w:color w:val="auto"/>
          <w:lang w:eastAsia="es-MX"/>
        </w:rPr>
        <w:t>III. De la esencia del derecho de acceso a la información.</w:t>
      </w:r>
    </w:p>
    <w:p w14:paraId="21B4EED2"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EB1BE3D" w14:textId="4AA76D10"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Previo a iniciar el análisis de competencia del </w:t>
      </w:r>
      <w:r>
        <w:rPr>
          <w:rFonts w:ascii="Palatino Linotype" w:eastAsia="MS Mincho" w:hAnsi="Palatino Linotype" w:cs="Times New Roman"/>
          <w:b/>
          <w:color w:val="000000"/>
          <w:sz w:val="24"/>
          <w:szCs w:val="24"/>
          <w:lang w:eastAsia="es-ES"/>
        </w:rPr>
        <w:t>SUJETO OBLIGADO</w:t>
      </w:r>
      <w:r>
        <w:rPr>
          <w:rFonts w:ascii="Palatino Linotype" w:eastAsia="MS Mincho" w:hAnsi="Palatino Linotype" w:cs="Times New Roman"/>
          <w:color w:val="000000"/>
          <w:sz w:val="24"/>
          <w:szCs w:val="24"/>
          <w:lang w:eastAsia="es-ES"/>
        </w:rPr>
        <w:t xml:space="preserve"> para determinar si, con su respuesta, se colmó o no el derecho de acceso a la información </w:t>
      </w:r>
      <w:r>
        <w:rPr>
          <w:rFonts w:ascii="Palatino Linotype" w:eastAsia="MS Mincho" w:hAnsi="Palatino Linotype" w:cs="Times New Roman"/>
          <w:color w:val="000000"/>
          <w:sz w:val="24"/>
          <w:szCs w:val="24"/>
          <w:lang w:eastAsia="es-ES"/>
        </w:rPr>
        <w:lastRenderedPageBreak/>
        <w:t xml:space="preserve">ejercido por el particular, se considera importante </w:t>
      </w:r>
      <w:r w:rsidRPr="00221BE4">
        <w:rPr>
          <w:rFonts w:ascii="Palatino Linotype" w:eastAsia="MS Mincho" w:hAnsi="Palatino Linotype" w:cs="Times New Roman"/>
          <w:color w:val="000000"/>
          <w:sz w:val="24"/>
          <w:szCs w:val="24"/>
          <w:lang w:eastAsia="es-ES"/>
        </w:rPr>
        <w:t>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13039066" w14:textId="77777777" w:rsid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E187C8D"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 4,11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6F2C01"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1FF7E2BB"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03C1D48A"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3E0352E0" w14:textId="77777777" w:rsidR="00221BE4" w:rsidRDefault="00221BE4" w:rsidP="00221BE4">
      <w:pPr>
        <w:spacing w:after="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3E565795"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3DC0BF2" w14:textId="36A0A5F9"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 xml:space="preserve">El </w:t>
      </w:r>
      <w:r w:rsidRPr="00221BE4">
        <w:rPr>
          <w:rFonts w:ascii="Palatino Linotype" w:eastAsia="MS Mincho" w:hAnsi="Palatino Linotype" w:cs="Times New Roman"/>
          <w:color w:val="000000"/>
          <w:sz w:val="24"/>
          <w:szCs w:val="24"/>
          <w:lang w:val="es-ES_tradnl" w:eastAsia="es-ES"/>
        </w:rPr>
        <w:t>derecho de acceso a la información encuentra su materia elemental en los documentos, y la Ley de Transparencia local nos brinda el siguiente concepto</w:t>
      </w:r>
      <w:r w:rsidRPr="00221BE4">
        <w:rPr>
          <w:rFonts w:ascii="Palatino Linotype" w:eastAsia="MS Mincho" w:hAnsi="Palatino Linotype" w:cs="Times New Roman"/>
          <w:color w:val="000000"/>
          <w:sz w:val="24"/>
          <w:szCs w:val="24"/>
          <w:vertAlign w:val="superscript"/>
          <w:lang w:val="es-ES_tradnl" w:eastAsia="es-ES"/>
        </w:rPr>
        <w:footnoteReference w:id="6"/>
      </w:r>
      <w:r w:rsidRPr="00221BE4">
        <w:rPr>
          <w:rFonts w:ascii="Palatino Linotype" w:eastAsia="MS Mincho" w:hAnsi="Palatino Linotype" w:cs="Times New Roman"/>
          <w:color w:val="000000"/>
          <w:sz w:val="24"/>
          <w:szCs w:val="24"/>
          <w:lang w:val="es-ES_tradnl" w:eastAsia="es-ES"/>
        </w:rPr>
        <w:t>, para darnos un mejor panorama:</w:t>
      </w:r>
    </w:p>
    <w:p w14:paraId="0AC7536D" w14:textId="77777777" w:rsid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655397D" w14:textId="77777777" w:rsidR="00221BE4" w:rsidRDefault="00221BE4" w:rsidP="00221BE4">
      <w:pPr>
        <w:spacing w:after="0" w:line="276" w:lineRule="auto"/>
        <w:ind w:left="567" w:right="567"/>
        <w:jc w:val="both"/>
        <w:rPr>
          <w:rFonts w:ascii="Palatino Linotype" w:eastAsia="Palatino Linotype" w:hAnsi="Palatino Linotype" w:cs="Palatino Linotype"/>
          <w:iCs/>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 xml:space="preserve">Los expedientes, </w:t>
      </w:r>
      <w:r w:rsidRPr="00856DA7">
        <w:rPr>
          <w:rFonts w:ascii="Palatino Linotype" w:eastAsia="Palatino Linotype" w:hAnsi="Palatino Linotype" w:cs="Palatino Linotype"/>
          <w:b/>
          <w:bCs/>
          <w:i/>
        </w:rPr>
        <w:t>reportes</w:t>
      </w:r>
      <w:r>
        <w:rPr>
          <w:rFonts w:ascii="Palatino Linotype" w:eastAsia="Palatino Linotype" w:hAnsi="Palatino Linotype" w:cs="Palatino Linotype"/>
          <w:i/>
        </w:rPr>
        <w:t xml:space="preserve">, estudios, </w:t>
      </w:r>
      <w:r w:rsidRPr="00856DA7">
        <w:rPr>
          <w:rFonts w:ascii="Palatino Linotype" w:eastAsia="Palatino Linotype" w:hAnsi="Palatino Linotype" w:cs="Palatino Linotype"/>
          <w:b/>
          <w:bCs/>
          <w:i/>
        </w:rPr>
        <w:t>actas</w:t>
      </w:r>
      <w:r>
        <w:rPr>
          <w:rFonts w:ascii="Palatino Linotype" w:eastAsia="Palatino Linotype" w:hAnsi="Palatino Linotype" w:cs="Palatino Linotype"/>
          <w:i/>
        </w:rPr>
        <w:t xml:space="preserve">, resoluciones, oficios, correspondencia, acuerdos, directivas, directrices, circulares, contratos, convenios, instructivos, </w:t>
      </w:r>
      <w:r w:rsidRPr="00856DA7">
        <w:rPr>
          <w:rFonts w:ascii="Palatino Linotype" w:eastAsia="Palatino Linotype" w:hAnsi="Palatino Linotype" w:cs="Palatino Linotype"/>
          <w:b/>
          <w:bCs/>
          <w:i/>
        </w:rPr>
        <w:t>notas</w:t>
      </w:r>
      <w:r>
        <w:rPr>
          <w:rFonts w:ascii="Palatino Linotype" w:eastAsia="Palatino Linotype" w:hAnsi="Palatino Linotype" w:cs="Palatino Linotype"/>
          <w:i/>
        </w:rPr>
        <w:t xml:space="preserve">, memorandos, estadísticas o bien, </w:t>
      </w:r>
      <w:r w:rsidRPr="00856DA7">
        <w:rPr>
          <w:rFonts w:ascii="Palatino Linotype" w:eastAsia="Palatino Linotype" w:hAnsi="Palatino Linotype" w:cs="Palatino Linotype"/>
          <w:b/>
          <w:bCs/>
          <w:i/>
        </w:rPr>
        <w:t>cualquier</w:t>
      </w:r>
      <w:r>
        <w:rPr>
          <w:rFonts w:ascii="Palatino Linotype" w:eastAsia="Palatino Linotype" w:hAnsi="Palatino Linotype" w:cs="Palatino Linotype"/>
          <w:i/>
        </w:rPr>
        <w:t xml:space="preserve"> otro </w:t>
      </w:r>
      <w:r w:rsidRPr="00856DA7">
        <w:rPr>
          <w:rFonts w:ascii="Palatino Linotype" w:eastAsia="Palatino Linotype" w:hAnsi="Palatino Linotype" w:cs="Palatino Linotype"/>
          <w:b/>
          <w:bCs/>
          <w:i/>
        </w:rPr>
        <w:t>registro que documente el ejercicio de las facultades, funciones y competencias de los</w:t>
      </w:r>
      <w:r>
        <w:rPr>
          <w:rFonts w:ascii="Palatino Linotype" w:eastAsia="Palatino Linotype" w:hAnsi="Palatino Linotype" w:cs="Palatino Linotype"/>
          <w:i/>
        </w:rPr>
        <w:t xml:space="preserve"> sujetos obligados, sus </w:t>
      </w:r>
      <w:r w:rsidRPr="00856DA7">
        <w:rPr>
          <w:rFonts w:ascii="Palatino Linotype" w:eastAsia="Palatino Linotype" w:hAnsi="Palatino Linotype" w:cs="Palatino Linotype"/>
          <w:b/>
          <w:bCs/>
          <w:i/>
        </w:rPr>
        <w:t>servidores públicos</w:t>
      </w:r>
      <w:r>
        <w:rPr>
          <w:rFonts w:ascii="Palatino Linotype" w:eastAsia="Palatino Linotype" w:hAnsi="Palatino Linotype" w:cs="Palatino Linotype"/>
          <w:i/>
        </w:rPr>
        <w:t xml:space="preserve"> e integrantes, sin importar su fuente o fecha de elaboración. Los documentos podrán estar en cualquier medio, sea escrito, impreso,  sonoro, visual, electrónico, informático u holográfico;”</w:t>
      </w:r>
    </w:p>
    <w:p w14:paraId="6E8B5257" w14:textId="77777777" w:rsidR="00221BE4" w:rsidRPr="00856DA7" w:rsidRDefault="00221BE4" w:rsidP="00221BE4">
      <w:pPr>
        <w:spacing w:after="0" w:line="276" w:lineRule="auto"/>
        <w:ind w:left="567" w:right="567"/>
        <w:jc w:val="both"/>
        <w:rPr>
          <w:rFonts w:ascii="Palatino Linotype" w:eastAsia="Palatino Linotype" w:hAnsi="Palatino Linotype" w:cs="Palatino Linotype"/>
          <w:iCs/>
        </w:rPr>
      </w:pPr>
      <w:r>
        <w:rPr>
          <w:rFonts w:ascii="Palatino Linotype" w:eastAsia="Palatino Linotype" w:hAnsi="Palatino Linotype" w:cs="Palatino Linotype"/>
          <w:iCs/>
        </w:rPr>
        <w:t>(Énfasis añadido)</w:t>
      </w:r>
    </w:p>
    <w:p w14:paraId="10E83D50"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B2B9FB0" w14:textId="29ABFAEA"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Correlativo </w:t>
      </w:r>
      <w:r w:rsidRPr="00221BE4">
        <w:rPr>
          <w:rFonts w:ascii="Palatino Linotype" w:eastAsia="MS Mincho" w:hAnsi="Palatino Linotype" w:cs="Times New Roman"/>
          <w:color w:val="000000"/>
          <w:sz w:val="24"/>
          <w:szCs w:val="24"/>
          <w:lang w:val="es-ES_tradnl" w:eastAsia="es-ES"/>
        </w:rPr>
        <w:t>a lo anterior, debemos tomar en cuenta los artículos 4 y 12, de la Ley de Transparencia y Acceso a la Información Pública del Estado de México y Municipios, los cuales establecen lo siguiente:</w:t>
      </w:r>
    </w:p>
    <w:p w14:paraId="1BD8432F" w14:textId="77777777" w:rsid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34116B0"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23104770"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Pr>
          <w:rFonts w:ascii="Palatino Linotype" w:eastAsia="Palatino Linotype" w:hAnsi="Palatino Linotype" w:cs="Palatino Linotype"/>
          <w:i/>
        </w:rPr>
        <w:lastRenderedPageBreak/>
        <w:t>excepcionalmente como reservada temporalmente por razones de interés público, en los términos de las causas legítimas y estrictamente necesarias previstas por esta Ley.</w:t>
      </w:r>
    </w:p>
    <w:p w14:paraId="429163F0" w14:textId="77777777" w:rsidR="00221BE4" w:rsidRDefault="00221BE4" w:rsidP="00221BE4">
      <w:pPr>
        <w:spacing w:after="0" w:line="276"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
    <w:p w14:paraId="5EB3B644" w14:textId="77777777" w:rsidR="00221BE4" w:rsidRDefault="00221BE4" w:rsidP="00221BE4">
      <w:pPr>
        <w:spacing w:after="0" w:line="276" w:lineRule="auto"/>
        <w:ind w:right="567"/>
        <w:jc w:val="both"/>
        <w:rPr>
          <w:rFonts w:ascii="Palatino Linotype" w:eastAsia="Palatino Linotype" w:hAnsi="Palatino Linotype" w:cs="Palatino Linotype"/>
          <w:i/>
          <w:color w:val="000000"/>
          <w:sz w:val="28"/>
          <w:szCs w:val="28"/>
        </w:rPr>
      </w:pPr>
    </w:p>
    <w:p w14:paraId="2F6444DE"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rPr>
        <w:t xml:space="preserve">. </w:t>
      </w:r>
    </w:p>
    <w:p w14:paraId="34B2BD49" w14:textId="77777777" w:rsidR="00221BE4" w:rsidRDefault="00221BE4" w:rsidP="00221BE4">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8145BAE" w14:textId="77777777" w:rsidR="00221BE4" w:rsidRDefault="00221BE4" w:rsidP="00221BE4">
      <w:pPr>
        <w:spacing w:after="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08999D40"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62DC018" w14:textId="45EA712C"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Es </w:t>
      </w:r>
      <w:r w:rsidRPr="00221BE4">
        <w:rPr>
          <w:rFonts w:ascii="Palatino Linotype" w:eastAsia="MS Mincho" w:hAnsi="Palatino Linotype" w:cs="Times New Roman"/>
          <w:color w:val="000000"/>
          <w:sz w:val="24"/>
          <w:szCs w:val="24"/>
          <w:lang w:val="es-ES_tradnl" w:eastAsia="es-ES"/>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2961998"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9EFCD9C" w14:textId="61F5BCAA"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w:t>
      </w:r>
      <w:r w:rsidRPr="00221BE4">
        <w:rPr>
          <w:rFonts w:ascii="Palatino Linotype" w:eastAsia="MS Mincho" w:hAnsi="Palatino Linotype" w:cs="Times New Roman"/>
          <w:color w:val="000000"/>
          <w:sz w:val="24"/>
          <w:szCs w:val="24"/>
          <w:lang w:val="es-ES_tradnl" w:eastAsia="es-ES"/>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221BE4">
        <w:rPr>
          <w:rFonts w:ascii="Palatino Linotype" w:eastAsia="MS Mincho" w:hAnsi="Palatino Linotype" w:cs="Times New Roman"/>
          <w:color w:val="000000"/>
          <w:sz w:val="24"/>
          <w:szCs w:val="24"/>
          <w:lang w:val="es-ES_tradnl" w:eastAsia="es-ES"/>
        </w:rPr>
        <w:lastRenderedPageBreak/>
        <w:t>legítima y estrictamente necesaria en una sociedad democrática, por lo que atenderá las necesidades del derecho de acceso a la información de toda persona</w:t>
      </w:r>
      <w:r w:rsidRPr="00221BE4">
        <w:rPr>
          <w:rFonts w:ascii="Palatino Linotype" w:eastAsia="MS Mincho" w:hAnsi="Palatino Linotype" w:cs="Times New Roman"/>
          <w:color w:val="000000"/>
          <w:sz w:val="24"/>
          <w:szCs w:val="24"/>
          <w:vertAlign w:val="superscript"/>
          <w:lang w:val="es-ES_tradnl" w:eastAsia="es-ES"/>
        </w:rPr>
        <w:footnoteReference w:id="7"/>
      </w:r>
      <w:r w:rsidRPr="00221BE4">
        <w:rPr>
          <w:rFonts w:ascii="Palatino Linotype" w:eastAsia="MS Mincho" w:hAnsi="Palatino Linotype" w:cs="Times New Roman"/>
          <w:color w:val="000000"/>
          <w:sz w:val="24"/>
          <w:szCs w:val="24"/>
          <w:lang w:val="es-ES_tradnl" w:eastAsia="es-ES"/>
        </w:rPr>
        <w:t>.</w:t>
      </w:r>
    </w:p>
    <w:p w14:paraId="6360CCE9"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39115FD" w14:textId="01FEF6F7"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En </w:t>
      </w:r>
      <w:r w:rsidRPr="00221BE4">
        <w:rPr>
          <w:rFonts w:ascii="Palatino Linotype" w:eastAsia="MS Mincho" w:hAnsi="Palatino Linotype" w:cs="Times New Roman"/>
          <w:color w:val="000000"/>
          <w:sz w:val="24"/>
          <w:szCs w:val="24"/>
          <w:lang w:val="es-ES_tradnl" w:eastAsia="es-ES"/>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21BE4">
        <w:rPr>
          <w:rFonts w:ascii="Palatino Linotype" w:eastAsia="MS Mincho" w:hAnsi="Palatino Linotype" w:cs="Times New Roman"/>
          <w:color w:val="000000"/>
          <w:sz w:val="24"/>
          <w:szCs w:val="24"/>
          <w:vertAlign w:val="superscript"/>
          <w:lang w:val="es-ES_tradnl" w:eastAsia="es-ES"/>
        </w:rPr>
        <w:footnoteReference w:id="8"/>
      </w:r>
      <w:r w:rsidRPr="00221BE4">
        <w:rPr>
          <w:rFonts w:ascii="Palatino Linotype" w:eastAsia="MS Mincho" w:hAnsi="Palatino Linotype" w:cs="Times New Roman"/>
          <w:color w:val="000000"/>
          <w:sz w:val="24"/>
          <w:szCs w:val="24"/>
          <w:lang w:val="es-ES_tradnl" w:eastAsia="es-ES"/>
        </w:rPr>
        <w:t xml:space="preserve"> y máxima publicidad; sobre éste último se debe poner mayor énfasis, puesto que establece que </w:t>
      </w:r>
      <w:r w:rsidRPr="00221BE4">
        <w:rPr>
          <w:rFonts w:ascii="Palatino Linotype" w:eastAsia="MS Mincho" w:hAnsi="Palatino Linotype" w:cs="Times New Roman"/>
          <w:b/>
          <w:color w:val="000000"/>
          <w:sz w:val="24"/>
          <w:szCs w:val="24"/>
          <w:u w:val="single"/>
          <w:lang w:val="es-ES_tradnl" w:eastAsia="es-ES"/>
        </w:rPr>
        <w:t>toda la información en posesión de los Sujetos Obligados será</w:t>
      </w:r>
      <w:r w:rsidRPr="00221BE4">
        <w:rPr>
          <w:rFonts w:ascii="Palatino Linotype" w:eastAsia="MS Mincho" w:hAnsi="Palatino Linotype" w:cs="Times New Roman"/>
          <w:color w:val="000000"/>
          <w:sz w:val="24"/>
          <w:szCs w:val="24"/>
          <w:lang w:val="es-ES_tradnl" w:eastAsia="es-ES"/>
        </w:rPr>
        <w:t xml:space="preserve"> pública, completa, </w:t>
      </w:r>
      <w:r w:rsidRPr="00221BE4">
        <w:rPr>
          <w:rFonts w:ascii="Palatino Linotype" w:eastAsia="MS Mincho" w:hAnsi="Palatino Linotype" w:cs="Times New Roman"/>
          <w:b/>
          <w:color w:val="000000"/>
          <w:sz w:val="24"/>
          <w:szCs w:val="24"/>
          <w:u w:val="single"/>
          <w:lang w:val="es-ES_tradnl" w:eastAsia="es-ES"/>
        </w:rPr>
        <w:t>oportuna</w:t>
      </w:r>
      <w:r w:rsidRPr="00221BE4">
        <w:rPr>
          <w:rFonts w:ascii="Palatino Linotype" w:eastAsia="MS Mincho" w:hAnsi="Palatino Linotype" w:cs="Times New Roman"/>
          <w:color w:val="000000"/>
          <w:sz w:val="24"/>
          <w:szCs w:val="24"/>
          <w:lang w:val="es-ES_tradnl" w:eastAsia="es-ES"/>
        </w:rPr>
        <w:t xml:space="preserve"> y </w:t>
      </w:r>
      <w:r w:rsidRPr="00221BE4">
        <w:rPr>
          <w:rFonts w:ascii="Palatino Linotype" w:eastAsia="MS Mincho" w:hAnsi="Palatino Linotype" w:cs="Times New Roman"/>
          <w:b/>
          <w:color w:val="000000"/>
          <w:sz w:val="24"/>
          <w:szCs w:val="24"/>
          <w:u w:val="single"/>
          <w:lang w:val="es-ES_tradnl" w:eastAsia="es-ES"/>
        </w:rPr>
        <w:t>accesible</w:t>
      </w:r>
      <w:r w:rsidRPr="00221BE4">
        <w:rPr>
          <w:rFonts w:ascii="Palatino Linotype" w:eastAsia="MS Mincho" w:hAnsi="Palatino Linotype" w:cs="Times New Roman"/>
          <w:color w:val="000000"/>
          <w:sz w:val="24"/>
          <w:szCs w:val="24"/>
          <w:lang w:val="es-ES_tradnl" w:eastAsia="es-ES"/>
        </w:rPr>
        <w:t xml:space="preserve">, </w:t>
      </w:r>
      <w:r w:rsidRPr="00221BE4">
        <w:rPr>
          <w:rFonts w:ascii="Palatino Linotype" w:eastAsia="MS Mincho" w:hAnsi="Palatino Linotype" w:cs="Times New Roman"/>
          <w:b/>
          <w:color w:val="000000"/>
          <w:sz w:val="24"/>
          <w:szCs w:val="24"/>
          <w:lang w:val="es-ES_tradnl" w:eastAsia="es-ES"/>
        </w:rPr>
        <w:t>lo que permite que la ciudadanía tenga un amplio acceso sobre lo que es el actuar de las autoridades</w:t>
      </w:r>
      <w:r w:rsidRPr="00221BE4">
        <w:rPr>
          <w:rFonts w:ascii="Palatino Linotype" w:eastAsia="MS Mincho" w:hAnsi="Palatino Linotype" w:cs="Times New Roman"/>
          <w:color w:val="000000"/>
          <w:sz w:val="24"/>
          <w:szCs w:val="24"/>
          <w:lang w:val="es-ES_tradnl" w:eastAsia="es-ES"/>
        </w:rPr>
        <w:t>.</w:t>
      </w:r>
    </w:p>
    <w:p w14:paraId="13A1E7AE"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E5464C6" w14:textId="2B5E5909"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Robustece </w:t>
      </w:r>
      <w:r w:rsidRPr="00221BE4">
        <w:rPr>
          <w:rFonts w:ascii="Palatino Linotype" w:eastAsia="MS Mincho" w:hAnsi="Palatino Linotype" w:cs="Times New Roman"/>
          <w:color w:val="000000"/>
          <w:sz w:val="24"/>
          <w:szCs w:val="24"/>
          <w:lang w:val="es-ES_tradnl" w:eastAsia="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4541BA4E" w14:textId="77777777" w:rsid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9C21EFE" w14:textId="77777777" w:rsidR="00221BE4" w:rsidRDefault="00221BE4" w:rsidP="00221BE4">
      <w:pPr>
        <w:pBdr>
          <w:top w:val="nil"/>
          <w:left w:val="nil"/>
          <w:bottom w:val="nil"/>
          <w:right w:val="nil"/>
          <w:between w:val="nil"/>
        </w:pBdr>
        <w:tabs>
          <w:tab w:val="left" w:pos="142"/>
          <w:tab w:val="left" w:pos="284"/>
          <w:tab w:val="left" w:pos="426"/>
        </w:tabs>
        <w:spacing w:after="0"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ACCESO A LA INFORMACIÓN. IMPLICACIÓN DEL PRINCIPIO DE MÁXIMA PUBLICIDAD EN EL DERECHO FUNDAMENTAL RELATIVO.</w:t>
      </w:r>
      <w:r>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w:t>
      </w:r>
      <w:r>
        <w:rPr>
          <w:rFonts w:ascii="Palatino Linotype" w:eastAsia="Palatino Linotype" w:hAnsi="Palatino Linotype" w:cs="Palatino Linotype"/>
          <w:i/>
          <w:color w:val="000000"/>
        </w:rPr>
        <w:lastRenderedPageBreak/>
        <w:t>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C75FFA8" w14:textId="77777777" w:rsidR="00221BE4" w:rsidRPr="00221BE4" w:rsidRDefault="00221BE4" w:rsidP="00221BE4">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1E66B9F" w14:textId="10EADF81" w:rsidR="00221BE4" w:rsidRPr="00221BE4" w:rsidRDefault="00221BE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Tal </w:t>
      </w:r>
      <w:r w:rsidRPr="00221BE4">
        <w:rPr>
          <w:rFonts w:ascii="Palatino Linotype" w:eastAsia="MS Mincho" w:hAnsi="Palatino Linotype" w:cs="Times New Roman"/>
          <w:color w:val="000000"/>
          <w:sz w:val="24"/>
          <w:szCs w:val="24"/>
          <w:lang w:eastAsia="es-ES"/>
        </w:rPr>
        <w:t xml:space="preserve">y como se ha señalado, </w:t>
      </w:r>
      <w:r w:rsidRPr="00221BE4">
        <w:rPr>
          <w:rFonts w:ascii="Palatino Linotype" w:eastAsia="MS Mincho" w:hAnsi="Palatino Linotype" w:cs="Times New Roman"/>
          <w:b/>
          <w:bCs/>
          <w:color w:val="000000"/>
          <w:sz w:val="24"/>
          <w:szCs w:val="24"/>
          <w:lang w:eastAsia="es-ES"/>
        </w:rPr>
        <w:t>el derecho de acceso a la información se basa en permitir que la ciudadanía conozca de primera mano toda aquella información que se encuentra en posesión de los Sujetos Obligados</w:t>
      </w:r>
      <w:r w:rsidRPr="00221BE4">
        <w:rPr>
          <w:rFonts w:ascii="Palatino Linotype" w:eastAsia="MS Mincho" w:hAnsi="Palatino Linotype" w:cs="Times New Roman"/>
          <w:color w:val="000000"/>
          <w:sz w:val="24"/>
          <w:szCs w:val="24"/>
          <w:lang w:eastAsia="es-ES"/>
        </w:rPr>
        <w:t xml:space="preserve">, ya sea porque la genera, posee o administra; </w:t>
      </w:r>
      <w:r w:rsidRPr="00221BE4">
        <w:rPr>
          <w:rFonts w:ascii="Palatino Linotype" w:eastAsia="MS Mincho" w:hAnsi="Palatino Linotype" w:cs="Times New Roman"/>
          <w:b/>
          <w:bCs/>
          <w:color w:val="000000"/>
          <w:sz w:val="24"/>
          <w:szCs w:val="24"/>
          <w:lang w:eastAsia="es-ES"/>
        </w:rPr>
        <w:t>toda vez que</w:t>
      </w:r>
      <w:r w:rsidRPr="00221BE4">
        <w:rPr>
          <w:rFonts w:ascii="Palatino Linotype" w:eastAsia="MS Mincho" w:hAnsi="Palatino Linotype" w:cs="Times New Roman"/>
          <w:color w:val="000000"/>
          <w:sz w:val="24"/>
          <w:szCs w:val="24"/>
          <w:lang w:eastAsia="es-ES"/>
        </w:rPr>
        <w:t xml:space="preserve">, a través de dicha acción, </w:t>
      </w:r>
      <w:r w:rsidRPr="00221BE4">
        <w:rPr>
          <w:rFonts w:ascii="Palatino Linotype" w:eastAsia="MS Mincho" w:hAnsi="Palatino Linotype" w:cs="Times New Roman"/>
          <w:b/>
          <w:color w:val="000000"/>
          <w:sz w:val="24"/>
          <w:szCs w:val="24"/>
          <w:lang w:eastAsia="es-ES"/>
        </w:rPr>
        <w:t>permite que las personas ejerzan un medio de control sobre las acciones que se están ejerciendo y evaluar su desempeño</w:t>
      </w:r>
      <w:r w:rsidRPr="00221BE4">
        <w:rPr>
          <w:rFonts w:ascii="Palatino Linotype" w:eastAsia="MS Mincho" w:hAnsi="Palatino Linotype" w:cs="Times New Roman"/>
          <w:color w:val="000000"/>
          <w:sz w:val="24"/>
          <w:szCs w:val="24"/>
          <w:lang w:eastAsia="es-ES"/>
        </w:rPr>
        <w:t>.</w:t>
      </w:r>
    </w:p>
    <w:p w14:paraId="50E852F5" w14:textId="5DEAA1E7" w:rsidR="002B6F8E"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D5204CC" w14:textId="1737E186" w:rsidR="00E40F40" w:rsidRPr="00E40F40" w:rsidRDefault="00221BE4" w:rsidP="00E40F40">
      <w:pPr>
        <w:pStyle w:val="Ttulo3"/>
        <w:spacing w:line="360" w:lineRule="auto"/>
        <w:rPr>
          <w:rFonts w:ascii="Palatino Linotype" w:eastAsia="Times New Roman" w:hAnsi="Palatino Linotype" w:cs="Times New Roman"/>
          <w:b/>
          <w:color w:val="auto"/>
          <w:lang w:eastAsia="es-MX"/>
        </w:rPr>
      </w:pPr>
      <w:r>
        <w:rPr>
          <w:rFonts w:ascii="Palatino Linotype" w:eastAsia="Times New Roman" w:hAnsi="Palatino Linotype" w:cs="Times New Roman"/>
          <w:b/>
          <w:color w:val="auto"/>
          <w:lang w:eastAsia="es-MX"/>
        </w:rPr>
        <w:t>IV</w:t>
      </w:r>
      <w:r w:rsidR="00E40F40" w:rsidRPr="00E40F40">
        <w:rPr>
          <w:rFonts w:ascii="Palatino Linotype" w:eastAsia="Times New Roman" w:hAnsi="Palatino Linotype" w:cs="Times New Roman"/>
          <w:b/>
          <w:color w:val="auto"/>
          <w:lang w:eastAsia="es-MX"/>
        </w:rPr>
        <w:t xml:space="preserve">. Del </w:t>
      </w:r>
      <w:r w:rsidR="00D5336A">
        <w:rPr>
          <w:rFonts w:ascii="Palatino Linotype" w:eastAsia="Times New Roman" w:hAnsi="Palatino Linotype" w:cs="Times New Roman"/>
          <w:b/>
          <w:color w:val="auto"/>
          <w:lang w:eastAsia="es-MX"/>
        </w:rPr>
        <w:t>‘Primer Foro Internacional 2022 para la Igualdad de Género’</w:t>
      </w:r>
      <w:r w:rsidR="00E40F40" w:rsidRPr="00E40F40">
        <w:rPr>
          <w:rFonts w:ascii="Palatino Linotype" w:eastAsia="Times New Roman" w:hAnsi="Palatino Linotype" w:cs="Times New Roman"/>
          <w:b/>
          <w:color w:val="auto"/>
          <w:lang w:eastAsia="es-MX"/>
        </w:rPr>
        <w:t>.</w:t>
      </w:r>
    </w:p>
    <w:p w14:paraId="627B77CB" w14:textId="77777777" w:rsidR="00E40F40" w:rsidRPr="002B6F8E" w:rsidRDefault="00E40F40"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515EE8" w14:textId="58866CE9" w:rsidR="00EB7277" w:rsidRPr="00D5336A" w:rsidRDefault="00903D99" w:rsidP="00D5336A">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 xml:space="preserve">El </w:t>
      </w:r>
      <w:r w:rsidR="004D476B">
        <w:rPr>
          <w:rFonts w:ascii="Palatino Linotype" w:eastAsia="MS Mincho" w:hAnsi="Palatino Linotype" w:cs="Times New Roman"/>
          <w:color w:val="000000"/>
          <w:sz w:val="24"/>
          <w:szCs w:val="24"/>
          <w:lang w:eastAsia="es-ES"/>
        </w:rPr>
        <w:t>treinta y uno (31) de enero de dos mil veintidós, en el Museo del Barro ubicado en Metepec, Estado de México, se llevó a cabo el ‘Primer Foro Internacional 2022 “Para la Igualdad de Género en Metepec”’, el cual contó con la participación de ponentes provenientes de Italia, Colombia, Argentina y, por supuesto, nuestro país, como puede advertirse de la siguiente imagen oficial:</w:t>
      </w:r>
    </w:p>
    <w:p w14:paraId="64E131D7" w14:textId="22A469B5" w:rsidR="004D476B" w:rsidRDefault="004D476B" w:rsidP="004D476B">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rPr>
          <w:noProof/>
          <w:lang w:eastAsia="es-MX"/>
        </w:rPr>
        <w:drawing>
          <wp:inline distT="0" distB="0" distL="0" distR="0" wp14:anchorId="37444014" wp14:editId="40C14A8C">
            <wp:extent cx="3694315" cy="5230368"/>
            <wp:effectExtent l="57150" t="57150" r="116205" b="123190"/>
            <wp:docPr id="1" name="Imagen 1" descr="https://pbs.twimg.com/media/FKi1pPMWUAEjG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FKi1pPMWUAEjGg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527" cy="52674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41E7A3" w14:textId="77777777" w:rsidR="004D476B" w:rsidRPr="00D5336A" w:rsidRDefault="004D476B"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2C711BE" w14:textId="36E6812B" w:rsidR="00D5336A" w:rsidRPr="004D476B" w:rsidRDefault="002C6E18" w:rsidP="00D5336A">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Por su parte, el Gobierno del Estado de México publicó, en su micrositio denominado ‘Servicios a Medios’</w:t>
      </w:r>
      <w:r>
        <w:rPr>
          <w:rStyle w:val="Refdenotaalpie"/>
          <w:rFonts w:ascii="Palatino Linotype" w:eastAsia="MS Mincho" w:hAnsi="Palatino Linotype" w:cs="Times New Roman"/>
          <w:color w:val="000000"/>
          <w:sz w:val="24"/>
          <w:szCs w:val="24"/>
          <w:lang w:eastAsia="es-ES"/>
        </w:rPr>
        <w:footnoteReference w:id="9"/>
      </w:r>
      <w:r>
        <w:rPr>
          <w:rFonts w:ascii="Palatino Linotype" w:eastAsia="MS Mincho" w:hAnsi="Palatino Linotype" w:cs="Times New Roman"/>
          <w:color w:val="000000"/>
          <w:sz w:val="24"/>
          <w:szCs w:val="24"/>
          <w:lang w:eastAsia="es-ES"/>
        </w:rPr>
        <w:t>, el reportaje identificado con el folio número 26056, cuyo título y contenido se transcriben a continuación:</w:t>
      </w:r>
    </w:p>
    <w:p w14:paraId="6153D27A" w14:textId="77777777" w:rsidR="00D5336A" w:rsidRDefault="00D5336A"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DBAC7FA"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w:t>
      </w:r>
      <w:r w:rsidRPr="008D3F60">
        <w:rPr>
          <w:rFonts w:ascii="Palatino Linotype" w:eastAsia="Times New Roman" w:hAnsi="Palatino Linotype" w:cs="Times New Roman"/>
          <w:b/>
          <w:i/>
          <w:lang w:eastAsia="es-MX"/>
        </w:rPr>
        <w:t>PARTICIPA GEM EN PRIMER FORO INTERNACIONAL 2022 PARA LA IGUALDAD DE GÉNERO</w:t>
      </w:r>
    </w:p>
    <w:p w14:paraId="21967F7D" w14:textId="77777777" w:rsidR="002C6E18"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31/01/2022, Metepec</w:t>
      </w:r>
    </w:p>
    <w:p w14:paraId="1AC596DC" w14:textId="77777777" w:rsidR="008D3F60" w:rsidRPr="008D3F60" w:rsidRDefault="008D3F60"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165451AD"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 Subrayan que la coordinación con los gobiernos municipales abonará en la construcción de una sociedad más igualitaria para todas y todos.</w:t>
      </w:r>
    </w:p>
    <w:p w14:paraId="6D6B9D98"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 Afirman que las mujeres y niñas no renunciarán a sus anhelos y sueños por falta de acceso a oportunidades, justicia o derechos”.</w:t>
      </w:r>
    </w:p>
    <w:p w14:paraId="50CA95B9"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06DEB998"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b/>
          <w:i/>
          <w:lang w:eastAsia="es-MX"/>
        </w:rPr>
        <w:t>Metepec, Estado de México, 31 de enero de 2022</w:t>
      </w:r>
      <w:r w:rsidRPr="008D3F60">
        <w:rPr>
          <w:rFonts w:ascii="Palatino Linotype" w:eastAsia="Times New Roman" w:hAnsi="Palatino Linotype" w:cs="Times New Roman"/>
          <w:i/>
          <w:lang w:eastAsia="es-MX"/>
        </w:rPr>
        <w:t>. Con el objetivo de contribuir en la prevención, atención y erradicación de la violencia, así como de la transversalización de la perspectiva de género y la igualdad sustantiva, la titular de la Secretaría de la Mujer, María Isabel Sánchez Holguín, participó en el Primer Foro Internacional 2022 para la igualdad de género en el municipio de Metepec, donde se generó un espacio de expresión y reflexión en torno a las desigualdades que actualmente viven las mexiquenses.</w:t>
      </w:r>
    </w:p>
    <w:p w14:paraId="2982B876"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689461CC"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Durante el evento, Sánchez Holguín recordó que es necesario construir estrategias contundentes de atención que permitan prevenir, atender, sancionar y erradicar la violencia y al mismo tiempo garantizar a las mujeres oportunidades igualitarias en todos los ámbitos.</w:t>
      </w:r>
    </w:p>
    <w:p w14:paraId="1F78CB31"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3F0A8D29"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Lo anterior en el afán de homologar sus preocupaciones con organismos internacionales, pero también municipales, quienes son la primera línea de atención y también responder a las necesidades de los contextos que viven.</w:t>
      </w:r>
    </w:p>
    <w:p w14:paraId="12D63976"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1BB666F0"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lastRenderedPageBreak/>
        <w:t>“La pandemia por COVID-19 ha tenido como resultado la presencia profunda de estas desigualdades, somos violentadas en todos los espacios en los que nos desarrollamos, es una dinámica que se vuelve sistemática, y esto se convierte en uno de los mayores obstáculos que enfrentamos para poder desarrollarnos de manera integral”, dijo.</w:t>
      </w:r>
    </w:p>
    <w:p w14:paraId="3F97CCBF"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3C6A9D43" w14:textId="10F47AF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 xml:space="preserve"> En este sentido, comentó que la Organización de las Naciones Unidas (ONU) afirma que las mujeres desempeñan un papel desproporcionado, las desventajas de esta crisis sanitaria y de otras, siempre recaen en las niñas y mujeres, agravando sus tareas en el hogar por el cuidado de infancias, adultos mayores, y orillándolas a abandonar las instituciones educativas.</w:t>
      </w:r>
    </w:p>
    <w:p w14:paraId="611FEE60"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06C7D0BF" w14:textId="33A70D28"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 xml:space="preserve"> Por lo que resulta indispensable crear estos espacios de reflexión sobre los temas que nos atañen a todas y todos, porque la violencia impacta de manera negativa a toda la sociedad, dijo.</w:t>
      </w:r>
    </w:p>
    <w:p w14:paraId="3A9FE928"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51BAA2F3" w14:textId="5158AB9B"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 xml:space="preserve"> Por su parte, Esmeralda Isabel de Luna Sánchez, Directora de Igualdad de Género de Metepec, en representación del Presidente municipal, Fernando Gustavo Flores Fernández, mencionó que por primera vez en el municipio se abrió un foro en torno a la igualdad de género, con el que se rompen paradigmas pasados y dan paso a un reto en el que se debe luchar con los estereotipos que se han impuesto a lo largo de muchos años.</w:t>
      </w:r>
    </w:p>
    <w:p w14:paraId="000A1B20"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74B4C7B6"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“Sabemos que con el equipo que hoy somos en el Estado de México, podemos transmitir un mensaje en común, y es que no estamos en contra de los hombres, al contrario, buscamos que todas y todos caminemos a la par, por ello es importante que los hombres estén involucrados para que repliquen con otros varones este mensaje”, expresó.</w:t>
      </w:r>
    </w:p>
    <w:p w14:paraId="565E78E4"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413C69FE"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En su intervención, Paola Jiménez Hernández, Diputada local y Presidenta de la Comisión para la Igualdad de Género de la LXI Legislatura, refirió que la igualdad es un tema que le compete a todas y todos.</w:t>
      </w:r>
    </w:p>
    <w:p w14:paraId="45BB0A0E"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51C7D489"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t>Asimismo, comentó que la violencia se ha arraigado como un tema que también se ha legitimado dentro de los hogares.</w:t>
      </w:r>
    </w:p>
    <w:p w14:paraId="7A315F03"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3DE4458C"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r w:rsidRPr="008D3F60">
        <w:rPr>
          <w:rFonts w:ascii="Palatino Linotype" w:eastAsia="Times New Roman" w:hAnsi="Palatino Linotype" w:cs="Times New Roman"/>
          <w:i/>
          <w:lang w:eastAsia="es-MX"/>
        </w:rPr>
        <w:lastRenderedPageBreak/>
        <w:t>También señaló que la diferencia entre el patriarcado y el feminismo es una y es sustantiva: el patriarcado lucha porque sus privilegios se sigan manteniendo en unos cuantos, el feminismo, porque los derechos no sean un privilegio; en este país las mujeres ganan 30 por ciento menos que los hombres en la misma condición de desempeño.</w:t>
      </w:r>
    </w:p>
    <w:p w14:paraId="794CD25D" w14:textId="77777777"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i/>
          <w:lang w:eastAsia="es-MX"/>
        </w:rPr>
      </w:pPr>
    </w:p>
    <w:p w14:paraId="5BE4D6FA" w14:textId="2328A6AD" w:rsidR="002C6E18" w:rsidRPr="008D3F60" w:rsidRDefault="002C6E18" w:rsidP="008D3F60">
      <w:pPr>
        <w:tabs>
          <w:tab w:val="left" w:pos="426"/>
        </w:tabs>
        <w:spacing w:after="0" w:line="276" w:lineRule="auto"/>
        <w:ind w:left="567" w:right="567"/>
        <w:contextualSpacing/>
        <w:jc w:val="both"/>
        <w:rPr>
          <w:rFonts w:ascii="Palatino Linotype" w:eastAsia="Times New Roman" w:hAnsi="Palatino Linotype" w:cs="Times New Roman"/>
          <w:lang w:eastAsia="es-MX"/>
        </w:rPr>
      </w:pPr>
      <w:r w:rsidRPr="008D3F60">
        <w:rPr>
          <w:rFonts w:ascii="Palatino Linotype" w:eastAsia="Times New Roman" w:hAnsi="Palatino Linotype" w:cs="Times New Roman"/>
          <w:i/>
          <w:lang w:eastAsia="es-MX"/>
        </w:rPr>
        <w:t>“Hoy las mujeres no vamos a ceder ni vamos a ir para atrás, nunca más vamos a permitir que las condiciones y la capacidad sean cuestionadas, nunca más vamos a dejar que haya mujeres sin acceso a oportunidades, sin derecho a estudiar y, sobre todo, no vamos a permitir que sus anhelos y sus sueños vuelvan a ser maltratados o sobajados por el hecho de ser mujer, hoy las mujeres estamos juntas y seguiremos construyendo la sociedad que nos merecemos”, afirmó Jiménez Hernández.</w:t>
      </w:r>
      <w:r w:rsidR="008D3F60" w:rsidRPr="008D3F60">
        <w:rPr>
          <w:rFonts w:ascii="Palatino Linotype" w:eastAsia="Times New Roman" w:hAnsi="Palatino Linotype" w:cs="Times New Roman"/>
          <w:i/>
          <w:lang w:eastAsia="es-MX"/>
        </w:rPr>
        <w:t>”</w:t>
      </w:r>
      <w:r w:rsidR="008D3F60">
        <w:rPr>
          <w:rFonts w:ascii="Palatino Linotype" w:eastAsia="Times New Roman" w:hAnsi="Palatino Linotype" w:cs="Times New Roman"/>
          <w:lang w:eastAsia="es-MX"/>
        </w:rPr>
        <w:t xml:space="preserve"> (Sic)</w:t>
      </w:r>
    </w:p>
    <w:p w14:paraId="75181673" w14:textId="77777777" w:rsidR="002C6E18" w:rsidRPr="00D5336A" w:rsidRDefault="002C6E18"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A006F28" w14:textId="4D850C02" w:rsidR="00D5336A" w:rsidRPr="00D5336A" w:rsidRDefault="008D3F60" w:rsidP="00D5336A">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De lo anterior se coligue que el Foro Internacional 2022 ‘Para la Igualdad de Género en Metepec’ tuvo como fin el abordar temas de preponderancia social</w:t>
      </w:r>
      <w:r w:rsidR="00637E53">
        <w:rPr>
          <w:rFonts w:ascii="Palatino Linotype" w:eastAsia="MS Mincho" w:hAnsi="Palatino Linotype" w:cs="Times New Roman"/>
          <w:color w:val="000000"/>
          <w:sz w:val="24"/>
          <w:szCs w:val="24"/>
          <w:lang w:eastAsia="es-ES"/>
        </w:rPr>
        <w:t>, como el acceso a la justicia para las mujeres, así como el fortalecer las acciones que incentiven la erradicación de la violencia y alerta de género.</w:t>
      </w:r>
    </w:p>
    <w:p w14:paraId="67BE89D4" w14:textId="77777777" w:rsidR="00D5336A" w:rsidRPr="00D5336A" w:rsidRDefault="00D5336A"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A3301D6" w14:textId="78418E27" w:rsidR="00D5336A" w:rsidRPr="00637E53" w:rsidRDefault="00637E53" w:rsidP="00D5336A">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Por su parte, de acuerdo con lo que se refleja en las imágenes publicitarias del evento, se aprecia que en su organización participaron tres dependencias y una persona jurídico colectiva; respecto a las primeras, se advierte el Ayuntamiento de Metepec, la Dirección de Igualdad de Género del Ayuntamiento de Metepec y, el </w:t>
      </w:r>
      <w:r>
        <w:rPr>
          <w:rFonts w:ascii="Palatino Linotype" w:eastAsia="Times New Roman" w:hAnsi="Palatino Linotype" w:cs="Times New Roman"/>
          <w:b/>
          <w:sz w:val="24"/>
          <w:szCs w:val="24"/>
          <w:lang w:eastAsia="es-MX"/>
        </w:rPr>
        <w:t>Sistema Municipal para el Desarrollo Integral de la Familia de Metepec</w:t>
      </w:r>
      <w:r>
        <w:rPr>
          <w:rFonts w:ascii="Palatino Linotype" w:eastAsia="Times New Roman" w:hAnsi="Palatino Linotype" w:cs="Times New Roman"/>
          <w:sz w:val="24"/>
          <w:szCs w:val="24"/>
          <w:lang w:eastAsia="es-MX"/>
        </w:rPr>
        <w:t>. Se comparte a continuación la imagen publicitaria del evento como mera referencia:</w:t>
      </w:r>
    </w:p>
    <w:p w14:paraId="13BA7F5B" w14:textId="77777777" w:rsidR="00D5336A" w:rsidRDefault="00D5336A"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5F756FF" w14:textId="394BD07D" w:rsidR="00637E53" w:rsidRDefault="00637E53" w:rsidP="00637E53">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rPr>
          <w:noProof/>
          <w:lang w:eastAsia="es-MX"/>
        </w:rPr>
        <w:lastRenderedPageBreak/>
        <mc:AlternateContent>
          <mc:Choice Requires="wps">
            <w:drawing>
              <wp:anchor distT="0" distB="0" distL="114300" distR="114300" simplePos="0" relativeHeight="251659264" behindDoc="0" locked="0" layoutInCell="1" allowOverlap="1" wp14:anchorId="2C8A0BF6" wp14:editId="4F3187EC">
                <wp:simplePos x="0" y="0"/>
                <wp:positionH relativeFrom="column">
                  <wp:posOffset>2204390</wp:posOffset>
                </wp:positionH>
                <wp:positionV relativeFrom="paragraph">
                  <wp:posOffset>3868115</wp:posOffset>
                </wp:positionV>
                <wp:extent cx="555955" cy="826618"/>
                <wp:effectExtent l="19050" t="19050" r="15875" b="12065"/>
                <wp:wrapNone/>
                <wp:docPr id="4" name="Rectángulo 4"/>
                <wp:cNvGraphicFramePr/>
                <a:graphic xmlns:a="http://schemas.openxmlformats.org/drawingml/2006/main">
                  <a:graphicData uri="http://schemas.microsoft.com/office/word/2010/wordprocessingShape">
                    <wps:wsp>
                      <wps:cNvSpPr/>
                      <wps:spPr>
                        <a:xfrm>
                          <a:off x="0" y="0"/>
                          <a:ext cx="555955" cy="8266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000CC" id="Rectángulo 4" o:spid="_x0000_s1026" style="position:absolute;margin-left:173.55pt;margin-top:304.6pt;width:43.8pt;height:6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" filled="f" strokecolor="red" strokeweight="2.25pt"/>
            </w:pict>
          </mc:Fallback>
        </mc:AlternateContent>
      </w:r>
      <w:r>
        <w:rPr>
          <w:noProof/>
          <w:lang w:eastAsia="es-MX"/>
        </w:rPr>
        <w:drawing>
          <wp:inline distT="0" distB="0" distL="0" distR="0" wp14:anchorId="50D815BF" wp14:editId="26076120">
            <wp:extent cx="3708654" cy="5063901"/>
            <wp:effectExtent l="57150" t="57150" r="120650" b="118110"/>
            <wp:docPr id="3" name="Imagen 3" descr="https://img3.schoolandcollegelistings.com/782/344/205669540782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3.schoolandcollegelistings.com/782/344/20566954078234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3116" cy="50836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D12C9B" w14:textId="77777777" w:rsidR="00637E53" w:rsidRPr="00D5336A" w:rsidRDefault="00637E53" w:rsidP="00D5336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2267993" w14:textId="578CD5AD" w:rsidR="00D5336A" w:rsidRPr="00637E53" w:rsidRDefault="00637E53" w:rsidP="00D5336A">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Razón de lo anterior, este Organismo Garante advierte que, contrario a lo manifestado por el Titular de la Unidad de Transparencia del </w:t>
      </w:r>
      <w:r>
        <w:rPr>
          <w:rFonts w:ascii="Palatino Linotype" w:eastAsia="MS Mincho" w:hAnsi="Palatino Linotype" w:cs="Times New Roman"/>
          <w:b/>
          <w:color w:val="000000"/>
          <w:sz w:val="24"/>
          <w:szCs w:val="24"/>
          <w:lang w:eastAsia="es-ES"/>
        </w:rPr>
        <w:t>SUJETO OBLIGADO</w:t>
      </w:r>
      <w:r>
        <w:rPr>
          <w:rFonts w:ascii="Palatino Linotype" w:eastAsia="MS Mincho" w:hAnsi="Palatino Linotype" w:cs="Times New Roman"/>
          <w:color w:val="000000"/>
          <w:sz w:val="24"/>
          <w:szCs w:val="24"/>
          <w:lang w:eastAsia="es-ES"/>
        </w:rPr>
        <w:t xml:space="preserve">, en respuesta a la solicitud de información </w:t>
      </w:r>
      <w:r>
        <w:rPr>
          <w:rFonts w:ascii="Palatino Linotype" w:eastAsia="MS Mincho" w:hAnsi="Palatino Linotype" w:cs="Times New Roman"/>
          <w:b/>
          <w:color w:val="000000"/>
          <w:sz w:val="24"/>
          <w:szCs w:val="24"/>
          <w:lang w:eastAsia="es-ES"/>
        </w:rPr>
        <w:t>01608/DIFMETEPEC/IP/RR/2022</w:t>
      </w:r>
      <w:r>
        <w:rPr>
          <w:rFonts w:ascii="Palatino Linotype" w:eastAsia="MS Mincho" w:hAnsi="Palatino Linotype" w:cs="Times New Roman"/>
          <w:color w:val="000000"/>
          <w:sz w:val="24"/>
          <w:szCs w:val="24"/>
          <w:lang w:eastAsia="es-ES"/>
        </w:rPr>
        <w:t xml:space="preserve">, el Sistema Municipal para el Desarrollo Integral </w:t>
      </w:r>
      <w:r>
        <w:rPr>
          <w:rFonts w:ascii="Palatino Linotype" w:eastAsia="MS Mincho" w:hAnsi="Palatino Linotype" w:cs="Times New Roman"/>
          <w:color w:val="000000"/>
          <w:sz w:val="24"/>
          <w:szCs w:val="24"/>
          <w:lang w:eastAsia="es-ES"/>
        </w:rPr>
        <w:lastRenderedPageBreak/>
        <w:t>de la Familia de Metepec sí tuvo participación en la organización del Foro Internacional 2022 “Para la Igualdad de Género en Metepec”.</w:t>
      </w:r>
    </w:p>
    <w:p w14:paraId="50EE2031" w14:textId="77777777" w:rsidR="00637E53" w:rsidRPr="00D5336A" w:rsidRDefault="00637E53" w:rsidP="00637E5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E20625" w14:textId="755611E3" w:rsidR="00BB601E" w:rsidRPr="00BB601E" w:rsidRDefault="00BB601E" w:rsidP="00BB601E">
      <w:pPr>
        <w:pStyle w:val="Ttulo3"/>
        <w:spacing w:line="360" w:lineRule="auto"/>
        <w:jc w:val="both"/>
        <w:rPr>
          <w:rFonts w:ascii="Palatino Linotype" w:eastAsia="Times New Roman" w:hAnsi="Palatino Linotype" w:cs="Times New Roman"/>
          <w:b/>
          <w:color w:val="auto"/>
          <w:lang w:eastAsia="es-MX"/>
        </w:rPr>
      </w:pPr>
      <w:r w:rsidRPr="00BB601E">
        <w:rPr>
          <w:rFonts w:ascii="Palatino Linotype" w:eastAsia="Times New Roman" w:hAnsi="Palatino Linotype" w:cs="Times New Roman"/>
          <w:b/>
          <w:color w:val="auto"/>
          <w:lang w:eastAsia="es-MX"/>
        </w:rPr>
        <w:t>V. De la competencia del SUJETO OBLIGADO para poseer, generar o administrar la información</w:t>
      </w:r>
      <w:r>
        <w:rPr>
          <w:rFonts w:ascii="Palatino Linotype" w:eastAsia="Times New Roman" w:hAnsi="Palatino Linotype" w:cs="Times New Roman"/>
          <w:b/>
          <w:color w:val="auto"/>
          <w:lang w:eastAsia="es-MX"/>
        </w:rPr>
        <w:t xml:space="preserve"> solicitada.</w:t>
      </w:r>
    </w:p>
    <w:p w14:paraId="5EFCBCD6" w14:textId="77777777" w:rsidR="00BB601E" w:rsidRPr="00EB7277" w:rsidRDefault="00BB601E"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084425" w14:textId="10A9D04D" w:rsidR="00274AE3" w:rsidRPr="00EA49FC" w:rsidRDefault="00637E5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Pr>
          <w:rFonts w:ascii="Palatino Linotype" w:eastAsia="MS Mincho" w:hAnsi="Palatino Linotype" w:cs="Times New Roman"/>
          <w:color w:val="000000"/>
          <w:sz w:val="24"/>
          <w:szCs w:val="24"/>
          <w:lang w:eastAsia="es-ES"/>
        </w:rPr>
        <w:t>Establecido</w:t>
      </w:r>
      <w:r w:rsidR="00274AE3">
        <w:rPr>
          <w:rFonts w:ascii="Palatino Linotype" w:eastAsia="MS Mincho" w:hAnsi="Palatino Linotype" w:cs="Times New Roman"/>
          <w:color w:val="000000"/>
          <w:sz w:val="24"/>
          <w:szCs w:val="24"/>
          <w:lang w:eastAsia="es-ES"/>
        </w:rPr>
        <w:t xml:space="preserve"> lo anterior, debemos referir que la</w:t>
      </w:r>
      <w:r w:rsidR="00274AE3" w:rsidRPr="00EA49FC">
        <w:rPr>
          <w:rFonts w:ascii="Palatino Linotype" w:eastAsia="MS Mincho" w:hAnsi="Palatino Linotype" w:cs="Times New Roman"/>
          <w:color w:val="000000"/>
          <w:sz w:val="24"/>
          <w:szCs w:val="24"/>
          <w:lang w:eastAsia="es-ES"/>
        </w:rPr>
        <w:t xml:space="preserve">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A2B0559" w14:textId="77777777" w:rsidR="00274AE3" w:rsidRPr="00EA49FC" w:rsidRDefault="00274AE3" w:rsidP="00274A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5F79133A" w14:textId="2A6494D9" w:rsidR="00274AE3" w:rsidRPr="00EA49FC" w:rsidRDefault="00274AE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A49FC">
        <w:rPr>
          <w:rFonts w:ascii="Palatino Linotype" w:eastAsia="MS Mincho" w:hAnsi="Palatino Linotype" w:cs="Times New Roman"/>
          <w:color w:val="000000"/>
          <w:sz w:val="24"/>
          <w:szCs w:val="24"/>
          <w:lang w:eastAsia="es-ES"/>
        </w:rPr>
        <w:t xml:space="preserve">Para atender las solicitudes de información, los Sujetos Obligados contarán con un área denominada </w:t>
      </w:r>
      <w:r w:rsidRPr="00EA49FC">
        <w:rPr>
          <w:rFonts w:ascii="Palatino Linotype" w:eastAsia="MS Mincho" w:hAnsi="Palatino Linotype" w:cs="Times New Roman"/>
          <w:b/>
          <w:bCs/>
          <w:color w:val="000000"/>
          <w:sz w:val="24"/>
          <w:szCs w:val="24"/>
          <w:lang w:eastAsia="es-ES"/>
        </w:rPr>
        <w:t>Unidad de Transparencia</w:t>
      </w:r>
      <w:r w:rsidRPr="00EA49FC">
        <w:rPr>
          <w:rFonts w:ascii="Palatino Linotype" w:eastAsia="MS Mincho" w:hAnsi="Palatino Linotype" w:cs="Times New Roman"/>
          <w:color w:val="000000"/>
          <w:sz w:val="24"/>
          <w:szCs w:val="24"/>
          <w:vertAlign w:val="superscript"/>
          <w:lang w:eastAsia="es-ES"/>
        </w:rPr>
        <w:footnoteReference w:id="10"/>
      </w:r>
      <w:r w:rsidRPr="00EA49FC">
        <w:rPr>
          <w:rFonts w:ascii="Palatino Linotype" w:eastAsia="MS Mincho" w:hAnsi="Palatino Linotype" w:cs="Times New Roman"/>
          <w:color w:val="000000"/>
          <w:sz w:val="24"/>
          <w:szCs w:val="24"/>
          <w:lang w:eastAsia="es-ES"/>
        </w:rPr>
        <w:t xml:space="preserve">, la cual será presidida por un Titular, quien fungirá como enlace entre éstos y los solicitantes. Dicha Unidad </w:t>
      </w:r>
      <w:r w:rsidRPr="00EA49FC">
        <w:rPr>
          <w:rFonts w:ascii="Palatino Linotype" w:eastAsia="MS Mincho" w:hAnsi="Palatino Linotype" w:cs="Times New Roman"/>
          <w:b/>
          <w:bCs/>
          <w:color w:val="000000"/>
          <w:sz w:val="24"/>
          <w:szCs w:val="24"/>
          <w:lang w:eastAsia="es-ES"/>
        </w:rPr>
        <w:t>será la encargada de tramitar internamente la solicitud de información</w:t>
      </w:r>
      <w:r w:rsidRPr="00EA49FC">
        <w:rPr>
          <w:rFonts w:ascii="Palatino Linotype" w:eastAsia="MS Mincho" w:hAnsi="Palatino Linotype" w:cs="Times New Roman"/>
          <w:color w:val="000000"/>
          <w:sz w:val="24"/>
          <w:szCs w:val="24"/>
          <w:lang w:eastAsia="es-ES"/>
        </w:rPr>
        <w:t xml:space="preserve"> y tendrá la </w:t>
      </w:r>
      <w:r>
        <w:rPr>
          <w:rFonts w:ascii="Palatino Linotype" w:eastAsia="MS Mincho" w:hAnsi="Palatino Linotype" w:cs="Times New Roman"/>
          <w:color w:val="000000"/>
          <w:sz w:val="24"/>
          <w:szCs w:val="24"/>
          <w:lang w:eastAsia="es-ES"/>
        </w:rPr>
        <w:t xml:space="preserve">alta </w:t>
      </w:r>
      <w:r w:rsidRPr="00EA49FC">
        <w:rPr>
          <w:rFonts w:ascii="Palatino Linotype" w:eastAsia="MS Mincho" w:hAnsi="Palatino Linotype" w:cs="Times New Roman"/>
          <w:color w:val="000000"/>
          <w:sz w:val="24"/>
          <w:szCs w:val="24"/>
          <w:lang w:eastAsia="es-ES"/>
        </w:rPr>
        <w:t>responsabilidad de verificar</w:t>
      </w:r>
      <w:r>
        <w:rPr>
          <w:rFonts w:ascii="Palatino Linotype" w:eastAsia="MS Mincho" w:hAnsi="Palatino Linotype" w:cs="Times New Roman"/>
          <w:color w:val="000000"/>
          <w:sz w:val="24"/>
          <w:szCs w:val="24"/>
          <w:lang w:eastAsia="es-ES"/>
        </w:rPr>
        <w:t>,</w:t>
      </w:r>
      <w:r w:rsidRPr="00EA49FC">
        <w:rPr>
          <w:rFonts w:ascii="Palatino Linotype" w:eastAsia="MS Mincho" w:hAnsi="Palatino Linotype" w:cs="Times New Roman"/>
          <w:color w:val="000000"/>
          <w:sz w:val="24"/>
          <w:szCs w:val="24"/>
          <w:lang w:eastAsia="es-ES"/>
        </w:rPr>
        <w:t xml:space="preserve"> en cada caso</w:t>
      </w:r>
      <w:r>
        <w:rPr>
          <w:rFonts w:ascii="Palatino Linotype" w:eastAsia="MS Mincho" w:hAnsi="Palatino Linotype" w:cs="Times New Roman"/>
          <w:color w:val="000000"/>
          <w:sz w:val="24"/>
          <w:szCs w:val="24"/>
          <w:lang w:eastAsia="es-ES"/>
        </w:rPr>
        <w:t>,</w:t>
      </w:r>
      <w:r w:rsidRPr="00EA49FC">
        <w:rPr>
          <w:rFonts w:ascii="Palatino Linotype" w:eastAsia="MS Mincho" w:hAnsi="Palatino Linotype" w:cs="Times New Roman"/>
          <w:color w:val="000000"/>
          <w:sz w:val="24"/>
          <w:szCs w:val="24"/>
          <w:lang w:eastAsia="es-ES"/>
        </w:rPr>
        <w:t xml:space="preserve"> que la misma no sea confidencial o reservada. Asimismo, contará con las facultades internas necesarias para </w:t>
      </w:r>
      <w:r w:rsidRPr="00EA49FC">
        <w:rPr>
          <w:rFonts w:ascii="Palatino Linotype" w:eastAsia="MS Mincho" w:hAnsi="Palatino Linotype" w:cs="Times New Roman"/>
          <w:b/>
          <w:bCs/>
          <w:color w:val="000000"/>
          <w:sz w:val="24"/>
          <w:szCs w:val="24"/>
          <w:lang w:eastAsia="es-ES"/>
        </w:rPr>
        <w:t xml:space="preserve">gestionar la atención a las solicitudes de información </w:t>
      </w:r>
      <w:r w:rsidRPr="00EA49FC">
        <w:rPr>
          <w:rFonts w:ascii="Palatino Linotype" w:eastAsia="MS Mincho" w:hAnsi="Palatino Linotype" w:cs="Times New Roman"/>
          <w:color w:val="000000"/>
          <w:sz w:val="24"/>
          <w:szCs w:val="24"/>
          <w:lang w:eastAsia="es-ES"/>
        </w:rPr>
        <w:t xml:space="preserve">en los términos de la Ley General y la </w:t>
      </w:r>
      <w:r w:rsidRPr="00EA49FC">
        <w:rPr>
          <w:rFonts w:ascii="Palatino Linotype" w:eastAsia="MS Mincho" w:hAnsi="Palatino Linotype" w:cs="Times New Roman"/>
          <w:color w:val="000000"/>
          <w:sz w:val="24"/>
          <w:szCs w:val="24"/>
          <w:lang w:eastAsia="es-ES"/>
        </w:rPr>
        <w:lastRenderedPageBreak/>
        <w:t>Ley de Transparencia y Acceso a la Información Pública del Estado de México y Municipios</w:t>
      </w:r>
      <w:r w:rsidRPr="00EA49FC">
        <w:rPr>
          <w:rFonts w:ascii="Palatino Linotype" w:eastAsia="MS Mincho" w:hAnsi="Palatino Linotype" w:cs="Times New Roman"/>
          <w:color w:val="000000"/>
          <w:sz w:val="24"/>
          <w:szCs w:val="24"/>
          <w:vertAlign w:val="superscript"/>
          <w:lang w:eastAsia="es-ES"/>
        </w:rPr>
        <w:footnoteReference w:id="11"/>
      </w:r>
      <w:r w:rsidRPr="00EA49FC">
        <w:rPr>
          <w:rFonts w:ascii="Palatino Linotype" w:eastAsia="MS Mincho" w:hAnsi="Palatino Linotype" w:cs="Times New Roman"/>
          <w:color w:val="000000"/>
          <w:sz w:val="24"/>
          <w:szCs w:val="24"/>
          <w:lang w:eastAsia="es-ES"/>
        </w:rPr>
        <w:t>.</w:t>
      </w:r>
    </w:p>
    <w:p w14:paraId="42E3877D" w14:textId="77777777" w:rsidR="00274AE3" w:rsidRPr="00EA49FC" w:rsidRDefault="00274AE3" w:rsidP="00274A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2DD1A412" w14:textId="77777777" w:rsidR="00274AE3" w:rsidRPr="00EA49FC" w:rsidRDefault="00274AE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A49FC">
        <w:rPr>
          <w:rFonts w:ascii="Palatino Linotype" w:eastAsia="MS Mincho" w:hAnsi="Palatino Linotype" w:cs="Times New Roman"/>
          <w:color w:val="000000"/>
          <w:sz w:val="24"/>
          <w:szCs w:val="24"/>
          <w:lang w:eastAsia="es-ES"/>
        </w:rPr>
        <w:t>De conformidad con lo dispuesto por el artículo 53 de la Ley de Transparencia y Acceso a la Información Pública del Estado de México y Municipios, las Unidades de Transparencia tendrán, entre sus atribuciones, las siguientes:</w:t>
      </w:r>
    </w:p>
    <w:p w14:paraId="5E902253" w14:textId="77777777" w:rsidR="00274AE3" w:rsidRPr="00EA49FC"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A49FC">
        <w:rPr>
          <w:rFonts w:ascii="Palatino Linotype" w:eastAsia="Times New Roman" w:hAnsi="Palatino Linotype" w:cs="Times New Roman"/>
          <w:szCs w:val="24"/>
          <w:lang w:eastAsia="es-MX"/>
        </w:rPr>
        <w:t xml:space="preserve">Recibir, </w:t>
      </w:r>
      <w:r w:rsidRPr="00274AE3">
        <w:rPr>
          <w:rFonts w:ascii="Palatino Linotype" w:eastAsia="Times New Roman" w:hAnsi="Palatino Linotype" w:cs="Times New Roman"/>
          <w:b/>
          <w:bCs/>
          <w:szCs w:val="24"/>
          <w:lang w:eastAsia="es-MX"/>
        </w:rPr>
        <w:t>tramitar</w:t>
      </w:r>
      <w:r w:rsidRPr="00EA49FC">
        <w:rPr>
          <w:rFonts w:ascii="Palatino Linotype" w:eastAsia="Times New Roman" w:hAnsi="Palatino Linotype" w:cs="Times New Roman"/>
          <w:szCs w:val="24"/>
          <w:lang w:eastAsia="es-MX"/>
        </w:rPr>
        <w:t xml:space="preserve"> y dar respuesta a las solicitudes de acceso a la información;</w:t>
      </w:r>
    </w:p>
    <w:p w14:paraId="5A81B78C" w14:textId="77777777" w:rsidR="00274AE3" w:rsidRPr="00EA49FC"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274AE3">
        <w:rPr>
          <w:rFonts w:ascii="Palatino Linotype" w:eastAsia="Times New Roman" w:hAnsi="Palatino Linotype" w:cs="Times New Roman"/>
          <w:b/>
          <w:bCs/>
          <w:szCs w:val="24"/>
          <w:lang w:eastAsia="es-MX"/>
        </w:rPr>
        <w:t>Realizar, con efectividad, los trámites internos necesarios para la atención de las solicitudes de acceso a la información</w:t>
      </w:r>
      <w:r w:rsidRPr="00EA49FC">
        <w:rPr>
          <w:rFonts w:ascii="Palatino Linotype" w:eastAsia="Times New Roman" w:hAnsi="Palatino Linotype" w:cs="Times New Roman"/>
          <w:szCs w:val="24"/>
          <w:lang w:eastAsia="es-MX"/>
        </w:rPr>
        <w:t xml:space="preserve">; </w:t>
      </w:r>
    </w:p>
    <w:p w14:paraId="3D6B5731" w14:textId="77777777" w:rsidR="00274AE3" w:rsidRPr="00EA49FC"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A49FC">
        <w:rPr>
          <w:rFonts w:ascii="Palatino Linotype" w:eastAsia="Times New Roman" w:hAnsi="Palatino Linotype" w:cs="Times New Roman"/>
          <w:szCs w:val="24"/>
          <w:lang w:eastAsia="es-MX"/>
        </w:rPr>
        <w:t xml:space="preserve">Entregar, en su caso, a los particulares la información solicitada; y </w:t>
      </w:r>
    </w:p>
    <w:p w14:paraId="59FCCAC4" w14:textId="77777777" w:rsidR="00274AE3" w:rsidRPr="00EA49FC"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A49FC">
        <w:rPr>
          <w:rFonts w:ascii="Palatino Linotype" w:eastAsia="Times New Roman" w:hAnsi="Palatino Linotype" w:cs="Times New Roman"/>
          <w:szCs w:val="24"/>
          <w:lang w:eastAsia="es-MX"/>
        </w:rPr>
        <w:t>Efectuar las notificaciones a los solicitantes.</w:t>
      </w:r>
    </w:p>
    <w:p w14:paraId="51FBA47B" w14:textId="77777777" w:rsidR="00274AE3" w:rsidRPr="00EA49FC" w:rsidRDefault="00274AE3" w:rsidP="00274A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DE1F660" w14:textId="77777777" w:rsidR="00274AE3" w:rsidRPr="00EA49FC"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A49FC">
        <w:rPr>
          <w:rFonts w:ascii="Palatino Linotype" w:eastAsia="MS Mincho" w:hAnsi="Palatino Linotype" w:cs="Times New Roman"/>
          <w:color w:val="000000"/>
          <w:sz w:val="24"/>
          <w:szCs w:val="24"/>
          <w:lang w:eastAsia="es-ES"/>
        </w:rPr>
        <w:t>Otros sujetos del proceso de atención a las solicitudes de información son los servidores públicos habilitados, quienes serán designados por el titular del Sujeto Obligado a propuesta del responsable de la Unidad de Transparencia</w:t>
      </w:r>
      <w:r w:rsidRPr="00EA49FC">
        <w:rPr>
          <w:rFonts w:ascii="Palatino Linotype" w:eastAsia="MS Mincho" w:hAnsi="Palatino Linotype" w:cs="Times New Roman"/>
          <w:color w:val="000000"/>
          <w:sz w:val="24"/>
          <w:szCs w:val="24"/>
          <w:vertAlign w:val="superscript"/>
          <w:lang w:eastAsia="es-ES"/>
        </w:rPr>
        <w:footnoteReference w:id="12"/>
      </w:r>
      <w:r w:rsidRPr="00EA49FC">
        <w:rPr>
          <w:rFonts w:ascii="Palatino Linotype" w:eastAsia="MS Mincho" w:hAnsi="Palatino Linotype" w:cs="Times New Roman"/>
          <w:color w:val="000000"/>
          <w:sz w:val="24"/>
          <w:szCs w:val="24"/>
          <w:lang w:eastAsia="es-ES"/>
        </w:rPr>
        <w:t xml:space="preserve"> y tendrán, entre sus atribuciones, las siguientes</w:t>
      </w:r>
      <w:r w:rsidRPr="00EA49FC">
        <w:rPr>
          <w:rFonts w:ascii="Palatino Linotype" w:eastAsia="MS Mincho" w:hAnsi="Palatino Linotype" w:cs="Times New Roman"/>
          <w:color w:val="000000"/>
          <w:sz w:val="24"/>
          <w:szCs w:val="24"/>
          <w:vertAlign w:val="superscript"/>
          <w:lang w:eastAsia="es-ES"/>
        </w:rPr>
        <w:footnoteReference w:id="13"/>
      </w:r>
      <w:r w:rsidRPr="00EA49FC">
        <w:rPr>
          <w:rFonts w:ascii="Palatino Linotype" w:eastAsia="MS Mincho" w:hAnsi="Palatino Linotype" w:cs="Times New Roman"/>
          <w:color w:val="000000"/>
          <w:sz w:val="24"/>
          <w:szCs w:val="24"/>
          <w:lang w:eastAsia="es-ES"/>
        </w:rPr>
        <w:t>:</w:t>
      </w:r>
    </w:p>
    <w:p w14:paraId="20B585BD" w14:textId="77777777" w:rsidR="00274AE3" w:rsidRPr="00EA49FC" w:rsidRDefault="00274AE3" w:rsidP="00A106A2">
      <w:pPr>
        <w:numPr>
          <w:ilvl w:val="1"/>
          <w:numId w:val="6"/>
        </w:numPr>
        <w:tabs>
          <w:tab w:val="left" w:pos="426"/>
        </w:tabs>
        <w:spacing w:after="0" w:line="360" w:lineRule="auto"/>
        <w:ind w:left="1134" w:right="51"/>
        <w:contextualSpacing/>
        <w:jc w:val="both"/>
        <w:rPr>
          <w:rFonts w:ascii="Palatino Linotype" w:eastAsia="MS Mincho" w:hAnsi="Palatino Linotype" w:cs="Times New Roman"/>
          <w:color w:val="000000"/>
          <w:sz w:val="24"/>
          <w:szCs w:val="24"/>
          <w:lang w:eastAsia="es-ES"/>
        </w:rPr>
      </w:pPr>
      <w:r w:rsidRPr="00EA49FC">
        <w:rPr>
          <w:rFonts w:ascii="Palatino Linotype" w:eastAsia="MS Mincho" w:hAnsi="Palatino Linotype" w:cs="Times New Roman"/>
          <w:color w:val="000000"/>
          <w:sz w:val="24"/>
          <w:szCs w:val="24"/>
          <w:lang w:eastAsia="es-ES"/>
        </w:rPr>
        <w:t>Localizar la información que le solicite la Unidad de Transparencia; y</w:t>
      </w:r>
    </w:p>
    <w:p w14:paraId="6ED8545C" w14:textId="77777777" w:rsidR="00274AE3" w:rsidRPr="00EA49FC" w:rsidRDefault="00274AE3" w:rsidP="00A106A2">
      <w:pPr>
        <w:numPr>
          <w:ilvl w:val="1"/>
          <w:numId w:val="6"/>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EA49FC">
        <w:rPr>
          <w:rFonts w:ascii="Palatino Linotype" w:eastAsia="MS Mincho" w:hAnsi="Palatino Linotype" w:cs="Times New Roman"/>
          <w:color w:val="000000"/>
          <w:sz w:val="24"/>
          <w:szCs w:val="24"/>
          <w:lang w:eastAsia="es-ES"/>
        </w:rPr>
        <w:t>Proporcionar la información que obre en los archivos y que le sea solicitada por la Unidad de Transparencia.</w:t>
      </w:r>
    </w:p>
    <w:p w14:paraId="7C29502B" w14:textId="77777777" w:rsidR="00274AE3" w:rsidRPr="00EA49FC" w:rsidRDefault="00274AE3" w:rsidP="00274A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7F58079" w14:textId="77777777" w:rsidR="00274AE3" w:rsidRPr="00EA49FC"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A49FC">
        <w:rPr>
          <w:rFonts w:ascii="Palatino Linotype" w:eastAsia="MS Mincho" w:hAnsi="Palatino Linotype" w:cs="Times New Roman"/>
          <w:color w:val="000000"/>
          <w:sz w:val="24"/>
          <w:szCs w:val="24"/>
          <w:lang w:eastAsia="es-ES"/>
        </w:rPr>
        <w:t xml:space="preserve">De tal manera que cada una de las áreas administrativas del </w:t>
      </w:r>
      <w:r w:rsidRPr="00EA49FC">
        <w:rPr>
          <w:rFonts w:ascii="Palatino Linotype" w:eastAsia="MS Mincho" w:hAnsi="Palatino Linotype" w:cs="Times New Roman"/>
          <w:b/>
          <w:bCs/>
          <w:color w:val="000000"/>
          <w:sz w:val="24"/>
          <w:szCs w:val="24"/>
          <w:lang w:eastAsia="es-ES"/>
        </w:rPr>
        <w:t>SUJETO OBLIGADO</w:t>
      </w:r>
      <w:r w:rsidRPr="00EA49FC">
        <w:rPr>
          <w:rFonts w:ascii="Palatino Linotype" w:eastAsia="MS Mincho" w:hAnsi="Palatino Linotype" w:cs="Times New Roman"/>
          <w:color w:val="000000"/>
          <w:sz w:val="24"/>
          <w:szCs w:val="24"/>
          <w:lang w:eastAsia="es-ES"/>
        </w:rPr>
        <w:t xml:space="preserve"> deberá contar con un servidor público habilitado, quien será, a su vez, </w:t>
      </w:r>
      <w:r w:rsidRPr="00EA49FC">
        <w:rPr>
          <w:rFonts w:ascii="Palatino Linotype" w:eastAsia="MS Mincho" w:hAnsi="Palatino Linotype" w:cs="Times New Roman"/>
          <w:color w:val="000000"/>
          <w:sz w:val="24"/>
          <w:szCs w:val="24"/>
          <w:lang w:eastAsia="es-ES"/>
        </w:rPr>
        <w:lastRenderedPageBreak/>
        <w:t>el enlace entre la Unidad de Transparencia y el área administrativa, y se encargará de buscar, localizar y proporcionar la información que se requiera a través de las solicitudes de acceso a la información.</w:t>
      </w:r>
    </w:p>
    <w:p w14:paraId="23111CD8" w14:textId="77777777" w:rsidR="00EB7277" w:rsidRPr="00EB7277"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02226E0" w14:textId="40850C50" w:rsidR="00EB7277" w:rsidRPr="00EB7277"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En el presente asunto, </w:t>
      </w:r>
      <w:r w:rsidRPr="00637E53">
        <w:rPr>
          <w:rFonts w:ascii="Palatino Linotype" w:eastAsia="MS Mincho" w:hAnsi="Palatino Linotype" w:cs="Times New Roman"/>
          <w:b/>
          <w:color w:val="000000"/>
          <w:sz w:val="24"/>
          <w:szCs w:val="24"/>
          <w:lang w:eastAsia="es-ES"/>
        </w:rPr>
        <w:t xml:space="preserve">no se advierte ninguno de los turnos realizados por la Unidad de Transparencia, a las áreas administrativas que componen al </w:t>
      </w:r>
      <w:r w:rsidR="004A3550" w:rsidRPr="00637E53">
        <w:rPr>
          <w:rFonts w:ascii="Palatino Linotype" w:eastAsia="MS Mincho" w:hAnsi="Palatino Linotype" w:cs="Times New Roman"/>
          <w:b/>
          <w:color w:val="000000"/>
          <w:sz w:val="24"/>
          <w:szCs w:val="24"/>
          <w:lang w:eastAsia="es-ES"/>
        </w:rPr>
        <w:t>Sistema Municipal para el Desarrollo Integral de la Familia de Metepec</w:t>
      </w:r>
      <w:r>
        <w:rPr>
          <w:rFonts w:ascii="Palatino Linotype" w:eastAsia="MS Mincho" w:hAnsi="Palatino Linotype" w:cs="Times New Roman"/>
          <w:color w:val="000000"/>
          <w:sz w:val="24"/>
          <w:szCs w:val="24"/>
          <w:lang w:eastAsia="es-ES"/>
        </w:rPr>
        <w:t xml:space="preserve"> y que, por la naturaleza de sus funciones, puedan ser competentes para poseer, generar o administrar información relacionada con expedientes de responsabilidad patrimonial; lo anterior es así, ya que </w:t>
      </w:r>
      <w:r w:rsidR="003A468B">
        <w:rPr>
          <w:rFonts w:ascii="Palatino Linotype" w:eastAsia="MS Mincho" w:hAnsi="Palatino Linotype" w:cs="Times New Roman"/>
          <w:color w:val="000000"/>
          <w:sz w:val="24"/>
          <w:szCs w:val="24"/>
          <w:lang w:eastAsia="es-ES"/>
        </w:rPr>
        <w:t>de las constancias que obran en</w:t>
      </w:r>
      <w:r>
        <w:rPr>
          <w:rFonts w:ascii="Palatino Linotype" w:eastAsia="MS Mincho" w:hAnsi="Palatino Linotype" w:cs="Times New Roman"/>
          <w:color w:val="000000"/>
          <w:sz w:val="24"/>
          <w:szCs w:val="24"/>
          <w:lang w:eastAsia="es-ES"/>
        </w:rPr>
        <w:t xml:space="preserve"> el expediente digital formado en el SAIMEX, </w:t>
      </w:r>
      <w:r w:rsidR="003A468B">
        <w:rPr>
          <w:rFonts w:ascii="Palatino Linotype" w:eastAsia="MS Mincho" w:hAnsi="Palatino Linotype" w:cs="Times New Roman"/>
          <w:color w:val="000000"/>
          <w:sz w:val="24"/>
          <w:szCs w:val="24"/>
          <w:lang w:eastAsia="es-ES"/>
        </w:rPr>
        <w:t xml:space="preserve">salta a la vista que el Titular de la Unidad de Transparencia no hizo uso de la función de turnos que ofrece el </w:t>
      </w:r>
      <w:r w:rsidR="00637E53">
        <w:rPr>
          <w:rFonts w:ascii="Palatino Linotype" w:eastAsia="MS Mincho" w:hAnsi="Palatino Linotype" w:cs="Times New Roman"/>
          <w:color w:val="000000"/>
          <w:sz w:val="24"/>
          <w:szCs w:val="24"/>
          <w:lang w:eastAsia="es-ES"/>
        </w:rPr>
        <w:t xml:space="preserve">propio </w:t>
      </w:r>
      <w:r w:rsidR="003A468B">
        <w:rPr>
          <w:rFonts w:ascii="Palatino Linotype" w:eastAsia="MS Mincho" w:hAnsi="Palatino Linotype" w:cs="Times New Roman"/>
          <w:color w:val="000000"/>
          <w:sz w:val="24"/>
          <w:szCs w:val="24"/>
          <w:lang w:eastAsia="es-ES"/>
        </w:rPr>
        <w:t>sistema, pues de haberla utilizado, aparecería un módulo con el título “</w:t>
      </w:r>
      <w:r w:rsidR="003A468B">
        <w:rPr>
          <w:rFonts w:ascii="Palatino Linotype" w:eastAsia="MS Mincho" w:hAnsi="Palatino Linotype" w:cs="Times New Roman"/>
          <w:i/>
          <w:iCs/>
          <w:color w:val="000000"/>
          <w:sz w:val="24"/>
          <w:szCs w:val="24"/>
          <w:lang w:eastAsia="es-ES"/>
        </w:rPr>
        <w:t>Requerimientos”</w:t>
      </w:r>
      <w:r w:rsidR="003A468B">
        <w:rPr>
          <w:rFonts w:ascii="Palatino Linotype" w:eastAsia="MS Mincho" w:hAnsi="Palatino Linotype" w:cs="Times New Roman"/>
          <w:color w:val="000000"/>
          <w:sz w:val="24"/>
          <w:szCs w:val="24"/>
          <w:lang w:eastAsia="es-ES"/>
        </w:rPr>
        <w:t xml:space="preserve"> inmediatamente después de </w:t>
      </w:r>
      <w:r w:rsidR="00637E53">
        <w:rPr>
          <w:rFonts w:ascii="Palatino Linotype" w:eastAsia="MS Mincho" w:hAnsi="Palatino Linotype" w:cs="Times New Roman"/>
          <w:color w:val="000000"/>
          <w:sz w:val="24"/>
          <w:szCs w:val="24"/>
          <w:lang w:eastAsia="es-ES"/>
        </w:rPr>
        <w:t>la presentación de la solicitud</w:t>
      </w:r>
      <w:r w:rsidR="003A468B">
        <w:rPr>
          <w:rFonts w:ascii="Palatino Linotype" w:eastAsia="MS Mincho" w:hAnsi="Palatino Linotype" w:cs="Times New Roman"/>
          <w:color w:val="000000"/>
          <w:sz w:val="24"/>
          <w:szCs w:val="24"/>
          <w:lang w:eastAsia="es-ES"/>
        </w:rPr>
        <w:t xml:space="preserve"> y</w:t>
      </w:r>
      <w:r w:rsidR="00637E53">
        <w:rPr>
          <w:rFonts w:ascii="Palatino Linotype" w:eastAsia="MS Mincho" w:hAnsi="Palatino Linotype" w:cs="Times New Roman"/>
          <w:color w:val="000000"/>
          <w:sz w:val="24"/>
          <w:szCs w:val="24"/>
          <w:lang w:eastAsia="es-ES"/>
        </w:rPr>
        <w:t>,</w:t>
      </w:r>
      <w:r w:rsidR="003A468B">
        <w:rPr>
          <w:rFonts w:ascii="Palatino Linotype" w:eastAsia="MS Mincho" w:hAnsi="Palatino Linotype" w:cs="Times New Roman"/>
          <w:color w:val="000000"/>
          <w:sz w:val="24"/>
          <w:szCs w:val="24"/>
          <w:lang w:eastAsia="es-ES"/>
        </w:rPr>
        <w:t xml:space="preserve"> dentro de éste, </w:t>
      </w:r>
      <w:r w:rsidR="00637E53">
        <w:rPr>
          <w:rFonts w:ascii="Palatino Linotype" w:eastAsia="MS Mincho" w:hAnsi="Palatino Linotype" w:cs="Times New Roman"/>
          <w:color w:val="000000"/>
          <w:sz w:val="24"/>
          <w:szCs w:val="24"/>
          <w:lang w:eastAsia="es-ES"/>
        </w:rPr>
        <w:t>se mostrarían</w:t>
      </w:r>
      <w:r w:rsidR="003A468B">
        <w:rPr>
          <w:rFonts w:ascii="Palatino Linotype" w:eastAsia="MS Mincho" w:hAnsi="Palatino Linotype" w:cs="Times New Roman"/>
          <w:color w:val="000000"/>
          <w:sz w:val="24"/>
          <w:szCs w:val="24"/>
          <w:lang w:eastAsia="es-ES"/>
        </w:rPr>
        <w:t xml:space="preserve"> todos y cada uno de los turnos enviados a los diversos servidores públicos habilitados del </w:t>
      </w:r>
      <w:r w:rsidR="003A468B">
        <w:rPr>
          <w:rFonts w:ascii="Palatino Linotype" w:eastAsia="MS Mincho" w:hAnsi="Palatino Linotype" w:cs="Times New Roman"/>
          <w:b/>
          <w:bCs/>
          <w:color w:val="000000"/>
          <w:sz w:val="24"/>
          <w:szCs w:val="24"/>
          <w:lang w:eastAsia="es-ES"/>
        </w:rPr>
        <w:t>SUJETO OBLIGADO</w:t>
      </w:r>
      <w:r w:rsidR="00173C9C">
        <w:rPr>
          <w:rFonts w:ascii="Palatino Linotype" w:eastAsia="MS Mincho" w:hAnsi="Palatino Linotype" w:cs="Times New Roman"/>
          <w:color w:val="000000"/>
          <w:sz w:val="24"/>
          <w:szCs w:val="24"/>
          <w:lang w:eastAsia="es-ES"/>
        </w:rPr>
        <w:t xml:space="preserve"> para atender la solicitud;</w:t>
      </w:r>
      <w:r w:rsidR="003A468B">
        <w:rPr>
          <w:rFonts w:ascii="Palatino Linotype" w:eastAsia="MS Mincho" w:hAnsi="Palatino Linotype" w:cs="Times New Roman"/>
          <w:color w:val="000000"/>
          <w:sz w:val="24"/>
          <w:szCs w:val="24"/>
          <w:lang w:eastAsia="es-ES"/>
        </w:rPr>
        <w:t xml:space="preserve"> empero, éste no aparece. Se adjunta captura de imagen del expediente como mera referencia:</w:t>
      </w:r>
    </w:p>
    <w:p w14:paraId="3BD0A053" w14:textId="4D646EC5" w:rsidR="003A468B" w:rsidRPr="00EB7277" w:rsidRDefault="00173C9C" w:rsidP="00173C9C">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object w:dxaOrig="14625" w:dyaOrig="5670" w14:anchorId="42501192">
          <v:shape id="_x0000_i1026" type="#_x0000_t75" style="width:334.75pt;height:130.0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6" DrawAspect="Content" ObjectID="_1714922113" r:id="rId13"/>
        </w:object>
      </w:r>
    </w:p>
    <w:p w14:paraId="33253C6F" w14:textId="34110966" w:rsidR="00173C9C" w:rsidRPr="00173C9C" w:rsidRDefault="00173C9C" w:rsidP="00173C9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798A659" w14:textId="3A283E64" w:rsidR="00E029E0" w:rsidRPr="00E029E0" w:rsidRDefault="00173C9C" w:rsidP="00E029E0">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Así las cosas</w:t>
      </w:r>
      <w:r w:rsidR="000D1522">
        <w:rPr>
          <w:rFonts w:ascii="Palatino Linotype" w:eastAsia="MS Mincho" w:hAnsi="Palatino Linotype" w:cs="Times New Roman"/>
          <w:color w:val="000000"/>
          <w:sz w:val="24"/>
          <w:szCs w:val="24"/>
          <w:lang w:eastAsia="es-ES"/>
        </w:rPr>
        <w:t xml:space="preserve">, </w:t>
      </w:r>
      <w:r w:rsidR="00B4516E">
        <w:rPr>
          <w:rFonts w:ascii="Palatino Linotype" w:eastAsia="MS Mincho" w:hAnsi="Palatino Linotype" w:cs="Times New Roman"/>
          <w:color w:val="000000"/>
          <w:sz w:val="24"/>
          <w:szCs w:val="24"/>
          <w:lang w:eastAsia="es-ES"/>
        </w:rPr>
        <w:t xml:space="preserve">conviene señalar que la Ley de </w:t>
      </w:r>
      <w:r w:rsidR="00E029E0">
        <w:rPr>
          <w:rFonts w:ascii="Palatino Linotype" w:eastAsia="MS Mincho" w:hAnsi="Palatino Linotype" w:cs="Times New Roman"/>
          <w:color w:val="000000"/>
          <w:sz w:val="24"/>
          <w:szCs w:val="24"/>
          <w:lang w:eastAsia="es-ES"/>
        </w:rPr>
        <w:t xml:space="preserve">Transparencia y Acceso a la Información Pública del Estado de México y Municipios, en su artículo 92, enlista a los temas, documentos y políticas que son reconocidas como ‘obligaciones de transparencia común’ y, las cuales, los Sujetos Obligados están constreñidos a publicar y difundir, de manera permanente, a la ciudadanía en los respectivos medios electrónicos; dentro de los que destaca lo dispuesto por la fracción II, consistente en la </w:t>
      </w:r>
      <w:r w:rsidR="00E029E0">
        <w:rPr>
          <w:rFonts w:ascii="Palatino Linotype" w:eastAsia="MS Mincho" w:hAnsi="Palatino Linotype" w:cs="Times New Roman"/>
          <w:b/>
          <w:color w:val="000000"/>
          <w:sz w:val="24"/>
          <w:szCs w:val="24"/>
          <w:lang w:eastAsia="es-ES"/>
        </w:rPr>
        <w:t>estructura orgánica completa</w:t>
      </w:r>
      <w:r w:rsidR="00E029E0">
        <w:rPr>
          <w:rFonts w:ascii="Palatino Linotype" w:eastAsia="MS Mincho" w:hAnsi="Palatino Linotype" w:cs="Times New Roman"/>
          <w:color w:val="000000"/>
          <w:sz w:val="24"/>
          <w:szCs w:val="24"/>
          <w:lang w:eastAsia="es-ES"/>
        </w:rPr>
        <w:t>.</w:t>
      </w:r>
    </w:p>
    <w:p w14:paraId="390D5B61" w14:textId="77777777" w:rsidR="00E029E0" w:rsidRPr="00E029E0" w:rsidRDefault="00E029E0" w:rsidP="00E029E0">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4EE67B5" w14:textId="5C79799B" w:rsidR="00E029E0" w:rsidRPr="00E029E0" w:rsidRDefault="00E029E0" w:rsidP="00E029E0">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Times New Roman" w:hAnsi="Palatino Linotype" w:cs="Times New Roman"/>
          <w:sz w:val="24"/>
          <w:szCs w:val="24"/>
          <w:lang w:eastAsia="es-MX"/>
        </w:rPr>
        <w:t>Al respecto, el portal de Información Pública de Oficio Mexiquense (IPOMEX) del Ayuntamiento de Metepec</w:t>
      </w:r>
      <w:r>
        <w:rPr>
          <w:rStyle w:val="Refdenotaalpie"/>
          <w:rFonts w:ascii="Palatino Linotype" w:eastAsia="Times New Roman" w:hAnsi="Palatino Linotype" w:cs="Times New Roman"/>
          <w:sz w:val="24"/>
          <w:szCs w:val="24"/>
          <w:lang w:eastAsia="es-MX"/>
        </w:rPr>
        <w:footnoteReference w:id="14"/>
      </w:r>
      <w:r>
        <w:rPr>
          <w:rFonts w:ascii="Palatino Linotype" w:eastAsia="Times New Roman" w:hAnsi="Palatino Linotype" w:cs="Times New Roman"/>
          <w:sz w:val="24"/>
          <w:szCs w:val="24"/>
          <w:lang w:eastAsia="es-MX"/>
        </w:rPr>
        <w:t>, dentro del módulo dedicado a la cumplimentación de la fracción II del reiterado artículo 92 de la Ley de la materia, exhibe lo siguiente</w:t>
      </w:r>
      <w:r>
        <w:rPr>
          <w:rStyle w:val="Refdenotaalpie"/>
          <w:rFonts w:ascii="Palatino Linotype" w:eastAsia="Times New Roman" w:hAnsi="Palatino Linotype" w:cs="Times New Roman"/>
          <w:sz w:val="24"/>
          <w:szCs w:val="24"/>
          <w:lang w:eastAsia="es-MX"/>
        </w:rPr>
        <w:footnoteReference w:id="15"/>
      </w:r>
      <w:r>
        <w:rPr>
          <w:rFonts w:ascii="Palatino Linotype" w:eastAsia="Times New Roman" w:hAnsi="Palatino Linotype" w:cs="Times New Roman"/>
          <w:sz w:val="24"/>
          <w:szCs w:val="24"/>
          <w:lang w:eastAsia="es-MX"/>
        </w:rPr>
        <w:t>:</w:t>
      </w:r>
    </w:p>
    <w:p w14:paraId="50F7607C" w14:textId="20E4D2B1" w:rsidR="00C036BF" w:rsidRDefault="00E029E0" w:rsidP="00B4516E">
      <w:pPr>
        <w:tabs>
          <w:tab w:val="left" w:pos="426"/>
        </w:tabs>
        <w:spacing w:after="0" w:line="240" w:lineRule="auto"/>
        <w:ind w:right="51"/>
        <w:contextualSpacing/>
        <w:jc w:val="center"/>
      </w:pPr>
      <w:r>
        <w:object w:dxaOrig="9600" w:dyaOrig="6690" w14:anchorId="478F88B6">
          <v:shape id="_x0000_i1027" type="#_x0000_t75" style="width:339.6pt;height:236.4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7" DrawAspect="Content" ObjectID="_1714922114" r:id="rId15"/>
        </w:object>
      </w:r>
    </w:p>
    <w:p w14:paraId="392C2186" w14:textId="128E01E4" w:rsidR="00B4516E" w:rsidRPr="00B4516E" w:rsidRDefault="00B4516E" w:rsidP="00E029E0">
      <w:pPr>
        <w:tabs>
          <w:tab w:val="left" w:pos="851"/>
        </w:tabs>
        <w:spacing w:after="0" w:line="240" w:lineRule="auto"/>
        <w:ind w:left="993" w:right="567"/>
        <w:contextualSpacing/>
        <w:jc w:val="both"/>
        <w:rPr>
          <w:rFonts w:ascii="Palatino Linotype" w:eastAsia="Times New Roman" w:hAnsi="Palatino Linotype" w:cs="Times New Roman"/>
          <w:b/>
          <w:sz w:val="24"/>
          <w:szCs w:val="24"/>
          <w:lang w:eastAsia="es-MX"/>
        </w:rPr>
      </w:pPr>
      <w:r w:rsidRPr="00B4516E">
        <w:rPr>
          <w:rFonts w:ascii="Palatino Linotype" w:hAnsi="Palatino Linotype"/>
        </w:rPr>
        <w:t>(Fragmento)</w:t>
      </w:r>
    </w:p>
    <w:p w14:paraId="72505FEC" w14:textId="77777777" w:rsidR="00C036BF" w:rsidRPr="00EB7277" w:rsidRDefault="00C036BF"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AAD544" w14:textId="57FEEFF0" w:rsidR="002B6F8E" w:rsidRPr="00B4516E" w:rsidRDefault="00E029E0" w:rsidP="00B4516E">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cuanto hace a la Dirección General, ésta tendrá por objetivo el planear, </w:t>
      </w:r>
      <w:r w:rsidRPr="00E029E0">
        <w:rPr>
          <w:rFonts w:ascii="Palatino Linotype" w:eastAsia="MS Mincho" w:hAnsi="Palatino Linotype" w:cs="Times New Roman"/>
          <w:color w:val="000000"/>
          <w:sz w:val="24"/>
          <w:szCs w:val="24"/>
          <w:lang w:eastAsia="es-ES"/>
        </w:rPr>
        <w:t>organizar, dirigir y controlar las acciones de las diferentes unidades administrativas del organismo, para dar cabal cumplimiento al objetivo y los fines institucionales, en materia de asistencia social</w:t>
      </w:r>
      <w:r>
        <w:rPr>
          <w:rStyle w:val="Refdenotaalpie"/>
          <w:rFonts w:ascii="Palatino Linotype" w:eastAsia="MS Mincho" w:hAnsi="Palatino Linotype" w:cs="Times New Roman"/>
          <w:color w:val="000000"/>
          <w:sz w:val="24"/>
          <w:szCs w:val="24"/>
          <w:lang w:eastAsia="es-ES"/>
        </w:rPr>
        <w:footnoteReference w:id="16"/>
      </w:r>
      <w:r w:rsidR="007605F8">
        <w:rPr>
          <w:rFonts w:ascii="Palatino Linotype" w:eastAsia="MS Mincho" w:hAnsi="Palatino Linotype" w:cs="Times New Roman"/>
          <w:color w:val="000000"/>
          <w:sz w:val="24"/>
          <w:szCs w:val="24"/>
          <w:lang w:eastAsia="es-ES"/>
        </w:rPr>
        <w:t>.</w:t>
      </w:r>
    </w:p>
    <w:p w14:paraId="667D3685" w14:textId="77777777" w:rsidR="00B4516E" w:rsidRPr="00B4516E" w:rsidRDefault="00B4516E" w:rsidP="00B4516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90CB4BD" w14:textId="201AFB97" w:rsidR="00B4516E" w:rsidRPr="007605F8" w:rsidRDefault="007605F8" w:rsidP="00B4516E">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De conformidad con lo establecido en el Manual General de Organización del Sistema Municipal para el Desarrollo Integral de la Familia de Metepec, la Dirección General tendrá, entre sus funciones, las siguientes:</w:t>
      </w:r>
    </w:p>
    <w:p w14:paraId="4632825B" w14:textId="57C08D2C" w:rsidR="007605F8" w:rsidRPr="007605F8" w:rsidRDefault="007605F8" w:rsidP="007605F8">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Dirigir </w:t>
      </w:r>
      <w:r w:rsidRPr="007605F8">
        <w:rPr>
          <w:rFonts w:ascii="Palatino Linotype" w:eastAsia="MS Mincho" w:hAnsi="Palatino Linotype" w:cs="Times New Roman"/>
          <w:color w:val="000000"/>
          <w:sz w:val="24"/>
          <w:szCs w:val="24"/>
          <w:lang w:eastAsia="es-ES"/>
        </w:rPr>
        <w:t>y aprobar los programas de trabajo y presupuestos de las unidades administrativas del Sistema Municipal DIF de Metepec;</w:t>
      </w:r>
    </w:p>
    <w:p w14:paraId="16CB60FF" w14:textId="1AF683D3" w:rsidR="007605F8" w:rsidRPr="007605F8" w:rsidRDefault="007605F8" w:rsidP="007605F8">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Celebrar </w:t>
      </w:r>
      <w:r w:rsidRPr="007605F8">
        <w:rPr>
          <w:rFonts w:ascii="Palatino Linotype" w:eastAsia="MS Mincho" w:hAnsi="Palatino Linotype" w:cs="Times New Roman"/>
          <w:color w:val="000000"/>
          <w:sz w:val="24"/>
          <w:szCs w:val="24"/>
          <w:lang w:eastAsia="es-ES"/>
        </w:rPr>
        <w:t>y llevar a cabo la firma de contratos y actos jurídicos que se requieran para el logro de los objetivos del organismo;</w:t>
      </w:r>
    </w:p>
    <w:p w14:paraId="770E37F9" w14:textId="57364C35" w:rsidR="007605F8" w:rsidRPr="007605F8" w:rsidRDefault="007605F8" w:rsidP="007605F8">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Informar </w:t>
      </w:r>
      <w:r w:rsidRPr="007605F8">
        <w:rPr>
          <w:rFonts w:ascii="Palatino Linotype" w:eastAsia="MS Mincho" w:hAnsi="Palatino Linotype" w:cs="Times New Roman"/>
          <w:color w:val="000000"/>
          <w:sz w:val="24"/>
          <w:szCs w:val="24"/>
          <w:lang w:eastAsia="es-ES"/>
        </w:rPr>
        <w:t>periódicamente a la Presidencia del Sistema Municipal DIF de Metepec, sobre las actividades desarrolladas en las unidades administrativas del organismo y tomar acuerdo para la obtención de mejores resultados;</w:t>
      </w:r>
    </w:p>
    <w:p w14:paraId="4AD15D26" w14:textId="2894B762" w:rsidR="007605F8" w:rsidRPr="007605F8" w:rsidRDefault="007605F8" w:rsidP="007605F8">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Cuidar </w:t>
      </w:r>
      <w:r w:rsidRPr="007605F8">
        <w:rPr>
          <w:rFonts w:ascii="Palatino Linotype" w:eastAsia="MS Mincho" w:hAnsi="Palatino Linotype" w:cs="Times New Roman"/>
          <w:color w:val="000000"/>
          <w:sz w:val="24"/>
          <w:szCs w:val="24"/>
          <w:lang w:eastAsia="es-ES"/>
        </w:rPr>
        <w:t>que la aplicación de los gastos se haga llenando los requisitos legales y administrativo, conforme al presupuesto respectivo;</w:t>
      </w:r>
      <w:r>
        <w:rPr>
          <w:rFonts w:ascii="Palatino Linotype" w:eastAsia="MS Mincho" w:hAnsi="Palatino Linotype" w:cs="Times New Roman"/>
          <w:color w:val="000000"/>
          <w:sz w:val="24"/>
          <w:szCs w:val="24"/>
          <w:lang w:eastAsia="es-ES"/>
        </w:rPr>
        <w:t xml:space="preserve"> y</w:t>
      </w:r>
    </w:p>
    <w:p w14:paraId="62606F25" w14:textId="1D5D351A" w:rsidR="007605F8" w:rsidRPr="00B4516E" w:rsidRDefault="007605F8" w:rsidP="007605F8">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Supervisar </w:t>
      </w:r>
      <w:r w:rsidRPr="007605F8">
        <w:rPr>
          <w:rFonts w:ascii="Palatino Linotype" w:eastAsia="MS Mincho" w:hAnsi="Palatino Linotype" w:cs="Times New Roman"/>
          <w:color w:val="000000"/>
          <w:sz w:val="24"/>
          <w:szCs w:val="24"/>
          <w:lang w:eastAsia="es-ES"/>
        </w:rPr>
        <w:t xml:space="preserve">y vigilar que el manejo, administración, registro, control, uso, mantenimiento y conservación de los recursos que conforman el </w:t>
      </w:r>
      <w:r w:rsidRPr="007605F8">
        <w:rPr>
          <w:rFonts w:ascii="Palatino Linotype" w:eastAsia="MS Mincho" w:hAnsi="Palatino Linotype" w:cs="Times New Roman"/>
          <w:color w:val="000000"/>
          <w:sz w:val="24"/>
          <w:szCs w:val="24"/>
          <w:lang w:eastAsia="es-ES"/>
        </w:rPr>
        <w:lastRenderedPageBreak/>
        <w:t>patrimonio del Organismo, se realice conforme a las disposiciones legales aplicables</w:t>
      </w:r>
      <w:r>
        <w:rPr>
          <w:rFonts w:ascii="Palatino Linotype" w:eastAsia="MS Mincho" w:hAnsi="Palatino Linotype" w:cs="Times New Roman"/>
          <w:color w:val="000000"/>
          <w:sz w:val="24"/>
          <w:szCs w:val="24"/>
          <w:lang w:eastAsia="es-ES"/>
        </w:rPr>
        <w:t>.</w:t>
      </w:r>
    </w:p>
    <w:p w14:paraId="6CA18446" w14:textId="77777777" w:rsidR="00B4516E" w:rsidRPr="00B4516E" w:rsidRDefault="00B4516E" w:rsidP="00B4516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77E95E6" w14:textId="46983623" w:rsidR="00B4516E" w:rsidRPr="00B4516E" w:rsidRDefault="007605F8" w:rsidP="00B4516E">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otro lado, la Dirección de Administración y Finanzas se encargará de planear, </w:t>
      </w:r>
      <w:r w:rsidRPr="007605F8">
        <w:rPr>
          <w:rFonts w:ascii="Palatino Linotype" w:eastAsia="MS Mincho" w:hAnsi="Palatino Linotype" w:cs="Times New Roman"/>
          <w:color w:val="000000"/>
          <w:sz w:val="24"/>
          <w:szCs w:val="24"/>
          <w:lang w:eastAsia="es-ES"/>
        </w:rPr>
        <w:t>organizar, dirigir, controlar y evaluar el desempeño de las actividades relacionadas con el manejo de los recursos humanos, materiales y financieros del Sistema Municipal DIF de Metepec, procurando el óptimo aprovechamiento de los recursos asignados, conforme a los lineamientos, normas y disposiciones legales aplicables vigentes.</w:t>
      </w:r>
    </w:p>
    <w:p w14:paraId="0B5C6A38" w14:textId="77777777" w:rsidR="00B4516E" w:rsidRPr="00B4516E" w:rsidRDefault="00B4516E" w:rsidP="00B4516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80859C4" w14:textId="5D0F2EC0" w:rsidR="00B4516E" w:rsidRPr="007605F8" w:rsidRDefault="007605F8" w:rsidP="00B4516E">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De acuerdo con lo establecido por el Manual General de Organización del </w:t>
      </w:r>
      <w:r>
        <w:rPr>
          <w:rFonts w:ascii="Palatino Linotype" w:eastAsia="MS Mincho" w:hAnsi="Palatino Linotype" w:cs="Times New Roman"/>
          <w:b/>
          <w:color w:val="000000"/>
          <w:sz w:val="24"/>
          <w:szCs w:val="24"/>
          <w:lang w:eastAsia="es-ES"/>
        </w:rPr>
        <w:t>SUJETO OBLIGADO</w:t>
      </w:r>
      <w:r>
        <w:rPr>
          <w:rFonts w:ascii="Palatino Linotype" w:eastAsia="MS Mincho" w:hAnsi="Palatino Linotype" w:cs="Times New Roman"/>
          <w:color w:val="000000"/>
          <w:sz w:val="24"/>
          <w:szCs w:val="24"/>
          <w:lang w:eastAsia="es-ES"/>
        </w:rPr>
        <w:t>, la Dirección de Administración y Finanzas tendrá, entre otras, las siguientes funciones:</w:t>
      </w:r>
    </w:p>
    <w:p w14:paraId="405F2757"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Proveer, en términos de la normatividad aplicable, los bienes y servicios para el desarrollo de las actividades del Organismo; </w:t>
      </w:r>
    </w:p>
    <w:p w14:paraId="2C109E38"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Gestionar ante las dependencias correspondientes los recursos financieros del Organismo, de acuerdo con los lineamientos establecidos y previa autorización del Director General; </w:t>
      </w:r>
    </w:p>
    <w:p w14:paraId="2A8158BD" w14:textId="58DCB3E3"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Elaborar y proponer al Director General estrategias financieras para cumplir con las metas institucionales, incluyendo acciones que le permitan allegarse de recursos provenientes de financiamiento;</w:t>
      </w:r>
    </w:p>
    <w:p w14:paraId="25EDDFD6" w14:textId="611B59FF"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Administrar </w:t>
      </w:r>
      <w:r w:rsidRPr="007605F8">
        <w:rPr>
          <w:rFonts w:ascii="Palatino Linotype" w:eastAsia="Times New Roman" w:hAnsi="Palatino Linotype" w:cs="Times New Roman"/>
          <w:sz w:val="24"/>
          <w:szCs w:val="24"/>
          <w:lang w:eastAsia="es-MX"/>
        </w:rPr>
        <w:t xml:space="preserve">los recursos financieros del Organismo, estableciendo mecanismos para la captación y control de los ingresos destinados al </w:t>
      </w:r>
      <w:r w:rsidRPr="007605F8">
        <w:rPr>
          <w:rFonts w:ascii="Palatino Linotype" w:eastAsia="Times New Roman" w:hAnsi="Palatino Linotype" w:cs="Times New Roman"/>
          <w:sz w:val="24"/>
          <w:szCs w:val="24"/>
          <w:lang w:eastAsia="es-MX"/>
        </w:rPr>
        <w:lastRenderedPageBreak/>
        <w:t>cumplimiento de las obligaciones de car</w:t>
      </w:r>
      <w:r>
        <w:rPr>
          <w:rFonts w:ascii="Palatino Linotype" w:eastAsia="Times New Roman" w:hAnsi="Palatino Linotype" w:cs="Times New Roman"/>
          <w:sz w:val="24"/>
          <w:szCs w:val="24"/>
          <w:lang w:eastAsia="es-MX"/>
        </w:rPr>
        <w:t>ácter económico del DIF Metepec.</w:t>
      </w:r>
    </w:p>
    <w:p w14:paraId="3E7F4287"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Programar y autorizar las erogaciones o pagos con cargo al presupuesto de egresos del Organismo; </w:t>
      </w:r>
    </w:p>
    <w:p w14:paraId="149E3017"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Aplicar y controlar las asignaciones financieras generadas con motivo del desarrollo de las funciones del Organismo; </w:t>
      </w:r>
    </w:p>
    <w:p w14:paraId="6F3603B2"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Elaborar el proyecto del presupuesto de ingresos y egresos del Organismo, tomando en cuenta los objetivos y requerimientos programáticos de sus unidades administrativas; </w:t>
      </w:r>
    </w:p>
    <w:p w14:paraId="0558500C" w14:textId="77777777"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Establecer y desarrollar sistemas integrales de planeación para la programación y presupuestación del Organismo, con el fin de optimizar el destino de los recursos;</w:t>
      </w:r>
    </w:p>
    <w:p w14:paraId="18C82533" w14:textId="36818C5E" w:rsid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Programar y coordinar el manejo de los recursos financieros, así como la integración de los presupuestos con orientación programática de las unidades administrativas del Organismo; </w:t>
      </w:r>
      <w:r>
        <w:rPr>
          <w:rFonts w:ascii="Palatino Linotype" w:eastAsia="Times New Roman" w:hAnsi="Palatino Linotype" w:cs="Times New Roman"/>
          <w:sz w:val="24"/>
          <w:szCs w:val="24"/>
          <w:lang w:eastAsia="es-MX"/>
        </w:rPr>
        <w:t>y</w:t>
      </w:r>
    </w:p>
    <w:p w14:paraId="7158847F" w14:textId="58C4AC5B" w:rsidR="007605F8" w:rsidRPr="007605F8" w:rsidRDefault="007605F8" w:rsidP="007605F8">
      <w:pPr>
        <w:numPr>
          <w:ilvl w:val="1"/>
          <w:numId w:val="19"/>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7605F8">
        <w:rPr>
          <w:rFonts w:ascii="Palatino Linotype" w:eastAsia="Times New Roman" w:hAnsi="Palatino Linotype" w:cs="Times New Roman"/>
          <w:sz w:val="24"/>
          <w:szCs w:val="24"/>
          <w:lang w:eastAsia="es-MX"/>
        </w:rPr>
        <w:t xml:space="preserve">Formular los estados financieros del Organismo, así como los registros e informes contables y presupuestales y su presentación en tiempo y forma a </w:t>
      </w:r>
      <w:r>
        <w:rPr>
          <w:rFonts w:ascii="Palatino Linotype" w:eastAsia="Times New Roman" w:hAnsi="Palatino Linotype" w:cs="Times New Roman"/>
          <w:sz w:val="24"/>
          <w:szCs w:val="24"/>
          <w:lang w:eastAsia="es-MX"/>
        </w:rPr>
        <w:t>las instancias correspondientes.</w:t>
      </w:r>
    </w:p>
    <w:p w14:paraId="73639253" w14:textId="77777777" w:rsidR="00B4516E" w:rsidRPr="00B4516E" w:rsidRDefault="00B4516E" w:rsidP="00B4516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EDFE4FA" w14:textId="6973607C" w:rsidR="002B6F8E" w:rsidRPr="0051780D" w:rsidRDefault="002D58B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Así las cosas, queda de manifiesto que la Unidad de Transparencia no atendió adecuadamente el derecho de acceso a la información ejercido por el particular a través de la solicitud de información </w:t>
      </w:r>
      <w:r w:rsidR="004A3550">
        <w:rPr>
          <w:rFonts w:ascii="Palatino Linotype" w:eastAsia="MS Mincho" w:hAnsi="Palatino Linotype" w:cs="Times New Roman"/>
          <w:b/>
          <w:bCs/>
          <w:color w:val="000000"/>
          <w:sz w:val="24"/>
          <w:szCs w:val="24"/>
          <w:lang w:eastAsia="es-ES"/>
        </w:rPr>
        <w:t>00327/METEPEC/IP/2022</w:t>
      </w:r>
      <w:r>
        <w:rPr>
          <w:rFonts w:ascii="Palatino Linotype" w:eastAsia="MS Mincho" w:hAnsi="Palatino Linotype" w:cs="Times New Roman"/>
          <w:color w:val="000000"/>
          <w:sz w:val="24"/>
          <w:szCs w:val="24"/>
          <w:lang w:eastAsia="es-ES"/>
        </w:rPr>
        <w:t xml:space="preserve">, toda vez que aquél no turnó eficazmente la solicitud a las áreas administrativas del </w:t>
      </w:r>
      <w:r>
        <w:rPr>
          <w:rFonts w:ascii="Palatino Linotype" w:eastAsia="MS Mincho" w:hAnsi="Palatino Linotype" w:cs="Times New Roman"/>
          <w:b/>
          <w:bCs/>
          <w:color w:val="000000"/>
          <w:sz w:val="24"/>
          <w:szCs w:val="24"/>
          <w:lang w:eastAsia="es-ES"/>
        </w:rPr>
        <w:t xml:space="preserve">SUJETO </w:t>
      </w:r>
      <w:r>
        <w:rPr>
          <w:rFonts w:ascii="Palatino Linotype" w:eastAsia="MS Mincho" w:hAnsi="Palatino Linotype" w:cs="Times New Roman"/>
          <w:b/>
          <w:bCs/>
          <w:color w:val="000000"/>
          <w:sz w:val="24"/>
          <w:szCs w:val="24"/>
          <w:lang w:eastAsia="es-ES"/>
        </w:rPr>
        <w:lastRenderedPageBreak/>
        <w:t>OBLIGADO</w:t>
      </w:r>
      <w:r>
        <w:rPr>
          <w:rFonts w:ascii="Palatino Linotype" w:eastAsia="MS Mincho" w:hAnsi="Palatino Linotype" w:cs="Times New Roman"/>
          <w:color w:val="000000"/>
          <w:sz w:val="24"/>
          <w:szCs w:val="24"/>
          <w:lang w:eastAsia="es-ES"/>
        </w:rPr>
        <w:t xml:space="preserve"> que, por la naturaleza de sus funciones, puedan ser competentes para poseer, generar o administrar la información solicitada.</w:t>
      </w:r>
    </w:p>
    <w:p w14:paraId="625ED3A2" w14:textId="77777777" w:rsidR="0051780D" w:rsidRPr="0051780D" w:rsidRDefault="0051780D" w:rsidP="0051780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61EEF62" w14:textId="41582B70" w:rsidR="0051780D" w:rsidRPr="002B6F8E" w:rsidRDefault="0051780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Dicho lo anterior, no es ocioso mencionar que la información solicitada se relaciona directamente con parte de las obligaciones de transparencia común que el </w:t>
      </w:r>
      <w:r>
        <w:rPr>
          <w:rFonts w:ascii="Palatino Linotype" w:eastAsia="MS Mincho" w:hAnsi="Palatino Linotype" w:cs="Times New Roman"/>
          <w:b/>
          <w:color w:val="000000"/>
          <w:sz w:val="24"/>
          <w:szCs w:val="24"/>
          <w:lang w:eastAsia="es-ES"/>
        </w:rPr>
        <w:t>SUJETO OBLIGADO</w:t>
      </w:r>
      <w:r>
        <w:rPr>
          <w:rFonts w:ascii="Palatino Linotype" w:eastAsia="MS Mincho" w:hAnsi="Palatino Linotype" w:cs="Times New Roman"/>
          <w:color w:val="000000"/>
          <w:sz w:val="24"/>
          <w:szCs w:val="24"/>
          <w:lang w:eastAsia="es-ES"/>
        </w:rPr>
        <w:t xml:space="preserve"> está impuesto a publicar y difundir de manera permanente, de conformidad con lo dispuesto por la fracción </w:t>
      </w:r>
    </w:p>
    <w:p w14:paraId="081C53A4" w14:textId="77777777" w:rsidR="002B6F8E"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E873443" w14:textId="47763229" w:rsidR="0051780D" w:rsidRP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i/>
          <w:szCs w:val="24"/>
          <w:lang w:eastAsia="es-MX"/>
        </w:rPr>
        <w:t>“</w:t>
      </w:r>
      <w:r w:rsidRPr="0051780D">
        <w:rPr>
          <w:rFonts w:ascii="Palatino Linotype" w:eastAsia="Times New Roman" w:hAnsi="Palatino Linotype" w:cs="Times New Roman"/>
          <w:b/>
          <w:i/>
          <w:szCs w:val="24"/>
          <w:lang w:eastAsia="es-MX"/>
        </w:rPr>
        <w:t>Artículo 92.</w:t>
      </w:r>
      <w:r w:rsidRPr="0051780D">
        <w:rPr>
          <w:rFonts w:ascii="Palatino Linotype" w:eastAsia="Times New Roman" w:hAnsi="Palatino Linotype" w:cs="Times New Roman"/>
          <w:i/>
          <w:szCs w:val="24"/>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443F72" w14:textId="614C7BB9" w:rsid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i/>
          <w:szCs w:val="24"/>
          <w:lang w:eastAsia="es-MX"/>
        </w:rPr>
        <w:t>(</w:t>
      </w:r>
      <w:r>
        <w:rPr>
          <w:rFonts w:ascii="Palatino Linotype" w:eastAsia="Times New Roman" w:hAnsi="Palatino Linotype" w:cs="Times New Roman"/>
          <w:i/>
          <w:szCs w:val="24"/>
          <w:lang w:eastAsia="es-MX"/>
        </w:rPr>
        <w:t>…)</w:t>
      </w:r>
    </w:p>
    <w:p w14:paraId="4E335B26" w14:textId="62C60AA6" w:rsid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b/>
          <w:i/>
          <w:szCs w:val="24"/>
          <w:lang w:eastAsia="es-MX"/>
        </w:rPr>
        <w:t>IX. Los gastos de representación y viáticos</w:t>
      </w:r>
      <w:r w:rsidRPr="0051780D">
        <w:rPr>
          <w:rFonts w:ascii="Palatino Linotype" w:eastAsia="Times New Roman" w:hAnsi="Palatino Linotype" w:cs="Times New Roman"/>
          <w:i/>
          <w:szCs w:val="24"/>
          <w:lang w:eastAsia="es-MX"/>
        </w:rPr>
        <w:t>, así como el objeto e informe de comisión correspondiente;</w:t>
      </w:r>
    </w:p>
    <w:p w14:paraId="4DD37017" w14:textId="2CBD8A81" w:rsid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Pr>
          <w:rFonts w:ascii="Palatino Linotype" w:eastAsia="Times New Roman" w:hAnsi="Palatino Linotype" w:cs="Times New Roman"/>
          <w:i/>
          <w:szCs w:val="24"/>
          <w:lang w:eastAsia="es-MX"/>
        </w:rPr>
        <w:t>(…)</w:t>
      </w:r>
    </w:p>
    <w:p w14:paraId="7E773E57" w14:textId="38502807" w:rsid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b/>
          <w:i/>
          <w:szCs w:val="24"/>
          <w:lang w:eastAsia="es-MX"/>
        </w:rPr>
        <w:t>XXV.</w:t>
      </w:r>
      <w:r w:rsidRPr="0051780D">
        <w:rPr>
          <w:rFonts w:ascii="Palatino Linotype" w:eastAsia="Times New Roman" w:hAnsi="Palatino Linotype" w:cs="Times New Roman"/>
          <w:i/>
          <w:szCs w:val="24"/>
          <w:lang w:eastAsia="es-MX"/>
        </w:rPr>
        <w:t xml:space="preserve"> La información financiera sobre el presupuesto asignado, así como los </w:t>
      </w:r>
      <w:r w:rsidRPr="0051780D">
        <w:rPr>
          <w:rFonts w:ascii="Palatino Linotype" w:eastAsia="Times New Roman" w:hAnsi="Palatino Linotype" w:cs="Times New Roman"/>
          <w:b/>
          <w:i/>
          <w:szCs w:val="24"/>
          <w:lang w:eastAsia="es-MX"/>
        </w:rPr>
        <w:t>informes del ejercicio trimestral del gasto</w:t>
      </w:r>
      <w:r w:rsidRPr="0051780D">
        <w:rPr>
          <w:rFonts w:ascii="Palatino Linotype" w:eastAsia="Times New Roman" w:hAnsi="Palatino Linotype" w:cs="Times New Roman"/>
          <w:i/>
          <w:szCs w:val="24"/>
          <w:lang w:eastAsia="es-MX"/>
        </w:rPr>
        <w:t>, en términos de la Ley General de Contabilidad Gubernamental y demás disposiciones jurídicas aplicables;</w:t>
      </w:r>
    </w:p>
    <w:p w14:paraId="39D50D85" w14:textId="5599D07C" w:rsidR="0051780D" w:rsidRP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i/>
          <w:szCs w:val="24"/>
          <w:lang w:eastAsia="es-MX"/>
        </w:rPr>
        <w:t>(…)</w:t>
      </w:r>
    </w:p>
    <w:p w14:paraId="08DFFB25" w14:textId="5EF034CA" w:rsid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b/>
          <w:i/>
          <w:szCs w:val="24"/>
          <w:lang w:eastAsia="es-MX"/>
        </w:rPr>
        <w:t>XXVII. Los montos destinados a gastos relativos a todos los programas y campañas de comunicación social y publicidad oficial</w:t>
      </w:r>
      <w:r w:rsidRPr="0051780D">
        <w:rPr>
          <w:rFonts w:ascii="Palatino Linotype" w:eastAsia="Times New Roman" w:hAnsi="Palatino Linotype" w:cs="Times New Roman"/>
          <w:i/>
          <w:szCs w:val="24"/>
          <w:lang w:eastAsia="es-MX"/>
        </w:rPr>
        <w:t xml:space="preserve"> desglosada por tipo de medio, proveedores, número de contrato y concepto;</w:t>
      </w:r>
    </w:p>
    <w:p w14:paraId="112207AB" w14:textId="30A26F70" w:rsidR="0051780D" w:rsidRPr="0051780D" w:rsidRDefault="0051780D" w:rsidP="0051780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51780D">
        <w:rPr>
          <w:rFonts w:ascii="Palatino Linotype" w:eastAsia="Times New Roman" w:hAnsi="Palatino Linotype" w:cs="Times New Roman"/>
          <w:i/>
          <w:szCs w:val="24"/>
          <w:lang w:eastAsia="es-MX"/>
        </w:rPr>
        <w:t>(…)”</w:t>
      </w:r>
    </w:p>
    <w:p w14:paraId="53ECE09B" w14:textId="77777777" w:rsidR="0051780D" w:rsidRPr="002B6F8E" w:rsidRDefault="0051780D"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6F2AB5E" w14:textId="14E441A3" w:rsidR="002B6F8E" w:rsidRPr="002F45E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En consecuencia de lo anterior, </w:t>
      </w:r>
      <w:r w:rsidR="0051780D">
        <w:rPr>
          <w:rFonts w:ascii="Palatino Linotype" w:eastAsia="MS Mincho" w:hAnsi="Palatino Linotype" w:cs="Times New Roman"/>
          <w:color w:val="000000"/>
          <w:sz w:val="24"/>
          <w:szCs w:val="24"/>
          <w:lang w:eastAsia="es-ES"/>
        </w:rPr>
        <w:t xml:space="preserve">y </w:t>
      </w:r>
      <w:r w:rsidR="0051780D" w:rsidRPr="0051780D">
        <w:rPr>
          <w:rFonts w:ascii="Palatino Linotype" w:eastAsia="MS Mincho" w:hAnsi="Palatino Linotype" w:cs="Times New Roman"/>
          <w:b/>
          <w:color w:val="000000"/>
          <w:sz w:val="24"/>
          <w:szCs w:val="24"/>
          <w:lang w:eastAsia="es-ES"/>
        </w:rPr>
        <w:t xml:space="preserve">tomando en consideración que, al menos en los medios publicitarios oficiales del evento se advierte la participación del </w:t>
      </w:r>
      <w:r w:rsidR="0051780D" w:rsidRPr="0051780D">
        <w:rPr>
          <w:rFonts w:ascii="Palatino Linotype" w:eastAsia="MS Mincho" w:hAnsi="Palatino Linotype" w:cs="Times New Roman"/>
          <w:b/>
          <w:color w:val="000000"/>
          <w:sz w:val="24"/>
          <w:szCs w:val="24"/>
          <w:lang w:eastAsia="es-ES"/>
        </w:rPr>
        <w:lastRenderedPageBreak/>
        <w:t>Sistema Municipal para el Desarrollo Integral de la Familia de Metepec</w:t>
      </w:r>
      <w:r w:rsidR="0051780D">
        <w:rPr>
          <w:rFonts w:ascii="Palatino Linotype" w:eastAsia="MS Mincho" w:hAnsi="Palatino Linotype" w:cs="Times New Roman"/>
          <w:color w:val="000000"/>
          <w:sz w:val="24"/>
          <w:szCs w:val="24"/>
          <w:lang w:eastAsia="es-ES"/>
        </w:rPr>
        <w:t xml:space="preserve">, </w:t>
      </w:r>
      <w:r>
        <w:rPr>
          <w:rFonts w:ascii="Palatino Linotype" w:eastAsia="MS Mincho" w:hAnsi="Palatino Linotype" w:cs="Times New Roman"/>
          <w:color w:val="000000"/>
          <w:sz w:val="24"/>
          <w:szCs w:val="24"/>
          <w:lang w:eastAsia="es-ES"/>
        </w:rPr>
        <w:t xml:space="preserve">este Organismo Garante encuentra conforme a derecho </w:t>
      </w:r>
      <w:r w:rsidR="0051780D">
        <w:rPr>
          <w:rFonts w:ascii="Palatino Linotype" w:eastAsia="MS Mincho" w:hAnsi="Palatino Linotype" w:cs="Times New Roman"/>
          <w:b/>
          <w:bCs/>
          <w:color w:val="000000"/>
          <w:sz w:val="24"/>
          <w:szCs w:val="24"/>
          <w:lang w:eastAsia="es-ES"/>
        </w:rPr>
        <w:t>revocar</w:t>
      </w:r>
      <w:r>
        <w:rPr>
          <w:rFonts w:ascii="Palatino Linotype" w:eastAsia="MS Mincho" w:hAnsi="Palatino Linotype" w:cs="Times New Roman"/>
          <w:color w:val="000000"/>
          <w:sz w:val="24"/>
          <w:szCs w:val="24"/>
          <w:lang w:eastAsia="es-ES"/>
        </w:rPr>
        <w:t xml:space="preserve"> la respuesta del </w:t>
      </w:r>
      <w:r>
        <w:rPr>
          <w:rFonts w:ascii="Palatino Linotype" w:eastAsia="MS Mincho" w:hAnsi="Palatino Linotype" w:cs="Times New Roman"/>
          <w:b/>
          <w:bCs/>
          <w:color w:val="000000"/>
          <w:sz w:val="24"/>
          <w:szCs w:val="24"/>
          <w:lang w:eastAsia="es-ES"/>
        </w:rPr>
        <w:t>SUJETO OBLIGADO</w:t>
      </w:r>
      <w:r>
        <w:rPr>
          <w:rFonts w:ascii="Palatino Linotype" w:eastAsia="MS Mincho" w:hAnsi="Palatino Linotype" w:cs="Times New Roman"/>
          <w:color w:val="000000"/>
          <w:sz w:val="24"/>
          <w:szCs w:val="24"/>
          <w:lang w:eastAsia="es-ES"/>
        </w:rPr>
        <w:t xml:space="preserve"> y se </w:t>
      </w:r>
      <w:r>
        <w:rPr>
          <w:rFonts w:ascii="Palatino Linotype" w:eastAsia="MS Mincho" w:hAnsi="Palatino Linotype" w:cs="Times New Roman"/>
          <w:b/>
          <w:bCs/>
          <w:color w:val="000000"/>
          <w:sz w:val="24"/>
          <w:szCs w:val="24"/>
          <w:lang w:eastAsia="es-ES"/>
        </w:rPr>
        <w:t>ordena</w:t>
      </w:r>
      <w:r>
        <w:rPr>
          <w:rFonts w:ascii="Palatino Linotype" w:eastAsia="MS Mincho" w:hAnsi="Palatino Linotype" w:cs="Times New Roman"/>
          <w:color w:val="000000"/>
          <w:sz w:val="24"/>
          <w:szCs w:val="24"/>
          <w:lang w:eastAsia="es-ES"/>
        </w:rPr>
        <w:t xml:space="preserve"> entregar, previa búsqueda exhaustiva </w:t>
      </w:r>
      <w:r w:rsidR="0051780D">
        <w:rPr>
          <w:rFonts w:ascii="Palatino Linotype" w:eastAsia="MS Mincho" w:hAnsi="Palatino Linotype" w:cs="Times New Roman"/>
          <w:color w:val="000000"/>
          <w:sz w:val="24"/>
          <w:szCs w:val="24"/>
          <w:lang w:eastAsia="es-ES"/>
        </w:rPr>
        <w:t>y razonable, de ser procedente en versión pública, los documentos donde consten los gastos erogados en la realización del Primer Foro Internacional 2022 “Para la Igualdad de Género en Metepec”</w:t>
      </w:r>
      <w:r>
        <w:rPr>
          <w:rFonts w:ascii="Palatino Linotype" w:eastAsia="MS Mincho" w:hAnsi="Palatino Linotype" w:cs="Times New Roman"/>
          <w:color w:val="000000"/>
          <w:sz w:val="24"/>
          <w:szCs w:val="24"/>
          <w:lang w:eastAsia="es-ES"/>
        </w:rPr>
        <w:t>.</w:t>
      </w:r>
    </w:p>
    <w:p w14:paraId="02103500" w14:textId="77777777" w:rsidR="002F45E3" w:rsidRPr="002F45E3" w:rsidRDefault="002F45E3" w:rsidP="002F45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F80AEEB" w14:textId="13B6C7E2" w:rsidR="002F45E3" w:rsidRPr="002B6F8E"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cuanto hace a las versiones públicas que se formulen, el </w:t>
      </w:r>
      <w:r>
        <w:rPr>
          <w:rFonts w:ascii="Palatino Linotype" w:eastAsia="MS Mincho" w:hAnsi="Palatino Linotype" w:cs="Times New Roman"/>
          <w:b/>
          <w:color w:val="000000"/>
          <w:sz w:val="24"/>
          <w:szCs w:val="24"/>
          <w:lang w:eastAsia="es-ES"/>
        </w:rPr>
        <w:t>SUJETO OBLIGADO</w:t>
      </w:r>
      <w:r>
        <w:rPr>
          <w:rFonts w:ascii="Palatino Linotype" w:eastAsia="MS Mincho" w:hAnsi="Palatino Linotype" w:cs="Times New Roman"/>
          <w:color w:val="000000"/>
          <w:sz w:val="24"/>
          <w:szCs w:val="24"/>
          <w:lang w:eastAsia="es-ES"/>
        </w:rPr>
        <w:t xml:space="preserve"> </w:t>
      </w:r>
      <w:r w:rsidR="00FB4DFE">
        <w:rPr>
          <w:rFonts w:ascii="Palatino Linotype" w:eastAsia="MS Mincho" w:hAnsi="Palatino Linotype" w:cs="Times New Roman"/>
          <w:color w:val="000000"/>
          <w:sz w:val="24"/>
          <w:szCs w:val="24"/>
          <w:lang w:eastAsia="es-ES"/>
        </w:rPr>
        <w:t>deberá tomar en estricta consideración los argumentos vertidos en el Considerando QUINTO de la presente resolución.</w:t>
      </w:r>
    </w:p>
    <w:p w14:paraId="32B69722" w14:textId="77777777" w:rsidR="002B6F8E" w:rsidRPr="002B6F8E"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12A646" w14:textId="22001407" w:rsidR="002B6F8E" w:rsidRPr="002B6F8E" w:rsidRDefault="00EC6BB8"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w:t>
      </w:r>
      <w:r w:rsidRPr="00EC6BB8">
        <w:rPr>
          <w:rFonts w:ascii="Palatino Linotype" w:eastAsia="MS Mincho" w:hAnsi="Palatino Linotype" w:cs="Times New Roman"/>
          <w:color w:val="000000"/>
          <w:sz w:val="24"/>
          <w:szCs w:val="24"/>
          <w:lang w:val="es-ES" w:eastAsia="es-ES"/>
        </w:rPr>
        <w:t xml:space="preserve">otro lado, si derivado de la búsqueda de la información, </w:t>
      </w:r>
      <w:r>
        <w:rPr>
          <w:rFonts w:ascii="Palatino Linotype" w:eastAsia="MS Mincho" w:hAnsi="Palatino Linotype" w:cs="Times New Roman"/>
          <w:color w:val="000000"/>
          <w:sz w:val="24"/>
          <w:szCs w:val="24"/>
          <w:lang w:val="es-ES" w:eastAsia="es-ES"/>
        </w:rPr>
        <w:t xml:space="preserve">ésta </w:t>
      </w:r>
      <w:r w:rsidRPr="00EC6BB8">
        <w:rPr>
          <w:rFonts w:ascii="Palatino Linotype" w:eastAsia="MS Mincho" w:hAnsi="Palatino Linotype" w:cs="Times New Roman"/>
          <w:color w:val="000000"/>
          <w:sz w:val="24"/>
          <w:szCs w:val="24"/>
          <w:lang w:val="es-ES" w:eastAsia="es-ES"/>
        </w:rPr>
        <w:t xml:space="preserve">no se localizara en los archivos del </w:t>
      </w:r>
      <w:r w:rsidRPr="00EC6BB8">
        <w:rPr>
          <w:rFonts w:ascii="Palatino Linotype" w:eastAsia="MS Mincho" w:hAnsi="Palatino Linotype" w:cs="Times New Roman"/>
          <w:b/>
          <w:color w:val="000000"/>
          <w:sz w:val="24"/>
          <w:szCs w:val="24"/>
          <w:lang w:val="es-ES" w:eastAsia="es-ES"/>
        </w:rPr>
        <w:t>SUJETO OBLIGADO</w:t>
      </w:r>
      <w:r w:rsidRPr="00EC6BB8">
        <w:rPr>
          <w:rFonts w:ascii="Palatino Linotype" w:eastAsia="MS Mincho" w:hAnsi="Palatino Linotype" w:cs="Times New Roman"/>
          <w:color w:val="000000"/>
          <w:sz w:val="24"/>
          <w:szCs w:val="24"/>
          <w:lang w:val="es-ES" w:eastAsia="es-ES"/>
        </w:rPr>
        <w:t xml:space="preserve">, deberá atender las formalidades que establece el fundamento jurídico plasmado en </w:t>
      </w:r>
      <w:r>
        <w:rPr>
          <w:rFonts w:ascii="Palatino Linotype" w:eastAsia="MS Mincho" w:hAnsi="Palatino Linotype" w:cs="Times New Roman"/>
          <w:color w:val="000000"/>
          <w:sz w:val="24"/>
          <w:szCs w:val="24"/>
          <w:lang w:val="es-ES" w:eastAsia="es-ES"/>
        </w:rPr>
        <w:t>el segundo párrafo del artículo 19 de la Ley de Transparencia y Acceso a la Información Pública del Estado de México y Municipios,</w:t>
      </w:r>
      <w:r w:rsidRPr="00EC6BB8">
        <w:rPr>
          <w:rFonts w:ascii="Palatino Linotype" w:eastAsia="MS Mincho" w:hAnsi="Palatino Linotype" w:cs="Times New Roman"/>
          <w:color w:val="000000"/>
          <w:sz w:val="24"/>
          <w:szCs w:val="24"/>
          <w:lang w:val="es-ES" w:eastAsia="es-ES"/>
        </w:rPr>
        <w:t xml:space="preserve"> y que es del tenor literal siguiente:</w:t>
      </w:r>
    </w:p>
    <w:p w14:paraId="5FE71ECB" w14:textId="4FC0AAE1" w:rsidR="002B6F8E"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00C2DCB" w14:textId="77777777" w:rsidR="00EC6BB8" w:rsidRPr="008D209E"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Pr>
          <w:rFonts w:ascii="Palatino Linotype" w:eastAsia="Times New Roman" w:hAnsi="Palatino Linotype" w:cs="Times New Roman"/>
          <w:b/>
          <w:i/>
          <w:iCs/>
          <w:lang w:eastAsia="es-MX"/>
        </w:rPr>
        <w:t>“</w:t>
      </w:r>
      <w:r w:rsidRPr="00EC6BB8">
        <w:rPr>
          <w:rFonts w:ascii="Palatino Linotype" w:eastAsia="Times New Roman" w:hAnsi="Palatino Linotype" w:cs="Times New Roman"/>
          <w:b/>
          <w:i/>
          <w:iCs/>
          <w:lang w:eastAsia="es-MX"/>
        </w:rPr>
        <w:t xml:space="preserve">Artículo 19. </w:t>
      </w:r>
      <w:r w:rsidRPr="008D209E">
        <w:rPr>
          <w:rFonts w:ascii="Palatino Linotype" w:eastAsia="Times New Roman" w:hAnsi="Palatino Linotype" w:cs="Times New Roman"/>
          <w:bCs/>
          <w:i/>
          <w:iCs/>
          <w:lang w:eastAsia="es-MX"/>
        </w:rPr>
        <w:t>Se presume que la información debe existir si se refiere a las facultades, competencias y funciones que los ordenamientos jurídicos aplicables otorgan a los sujetos obligados.</w:t>
      </w:r>
    </w:p>
    <w:p w14:paraId="0E458770" w14:textId="77777777" w:rsidR="00EC6BB8" w:rsidRPr="00EC6BB8"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
          <w:i/>
          <w:iCs/>
          <w:lang w:eastAsia="es-MX"/>
        </w:rPr>
      </w:pPr>
      <w:r w:rsidRPr="00EC6BB8">
        <w:rPr>
          <w:rFonts w:ascii="Palatino Linotype" w:eastAsia="Times New Roman" w:hAnsi="Palatino Linotype" w:cs="Times New Roman"/>
          <w:b/>
          <w:i/>
          <w:iCs/>
          <w:lang w:eastAsia="es-MX"/>
        </w:rPr>
        <w:t>En los casos en que ciertas facultades, competencias o funciones no se hayan ejercido, se debe motivar la respuesta en función de las causas que motiven tal circunstancia.</w:t>
      </w:r>
    </w:p>
    <w:p w14:paraId="38ADA058" w14:textId="77777777" w:rsidR="00EC6BB8" w:rsidRPr="008D209E"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8D209E">
        <w:rPr>
          <w:rFonts w:ascii="Palatino Linotype" w:eastAsia="Times New Roman" w:hAnsi="Palatino Linotype" w:cs="Times New Roman"/>
          <w:bCs/>
          <w:i/>
          <w:iCs/>
          <w:lang w:eastAsia="es-MX"/>
        </w:rPr>
        <w:t xml:space="preserve">Si el sujeto obligado, en el ejercicio de sus atribuciones, debía generar, poseer o administrar la información, pero ésta no se encuentra, el Comité de transparencia deberá </w:t>
      </w:r>
      <w:r w:rsidRPr="008D209E">
        <w:rPr>
          <w:rFonts w:ascii="Palatino Linotype" w:eastAsia="Times New Roman" w:hAnsi="Palatino Linotype" w:cs="Times New Roman"/>
          <w:bCs/>
          <w:i/>
          <w:iCs/>
          <w:lang w:eastAsia="es-MX"/>
        </w:rPr>
        <w:lastRenderedPageBreak/>
        <w:t>emitir un acuerdo de inexistencia, debidamente fundado y motivado, en el que detalle las razones del por qué no obra en sus archivos.”</w:t>
      </w:r>
    </w:p>
    <w:p w14:paraId="2D68596C" w14:textId="7D5B753D" w:rsidR="00EC6BB8" w:rsidRPr="008D209E"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8D209E">
        <w:rPr>
          <w:rFonts w:ascii="Palatino Linotype" w:eastAsia="Times New Roman" w:hAnsi="Palatino Linotype" w:cs="Times New Roman"/>
          <w:bCs/>
          <w:lang w:eastAsia="es-MX"/>
        </w:rPr>
        <w:t>(Énfasis añadido)</w:t>
      </w:r>
    </w:p>
    <w:p w14:paraId="5B52B38C" w14:textId="77777777" w:rsidR="00EC6BB8" w:rsidRPr="002B6F8E" w:rsidRDefault="00EC6BB8"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15BFBB5" w14:textId="3BCB8EEA" w:rsidR="002B6F8E" w:rsidRPr="00742EC6" w:rsidRDefault="008D209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lo que </w:t>
      </w:r>
      <w:r w:rsidRPr="008D209E">
        <w:rPr>
          <w:rFonts w:ascii="Palatino Linotype" w:eastAsia="MS Mincho" w:hAnsi="Palatino Linotype" w:cs="Times New Roman"/>
          <w:color w:val="000000"/>
          <w:sz w:val="24"/>
          <w:szCs w:val="24"/>
          <w:lang w:val="es-ES_tradnl" w:eastAsia="es-ES"/>
        </w:rPr>
        <w:t>de ser el caso que dicha información no haya sido generada</w:t>
      </w:r>
      <w:r>
        <w:rPr>
          <w:rFonts w:ascii="Palatino Linotype" w:eastAsia="MS Mincho" w:hAnsi="Palatino Linotype" w:cs="Times New Roman"/>
          <w:color w:val="000000"/>
          <w:sz w:val="24"/>
          <w:szCs w:val="24"/>
          <w:lang w:val="es-ES_tradnl" w:eastAsia="es-ES"/>
        </w:rPr>
        <w:t>,</w:t>
      </w:r>
      <w:r w:rsidRPr="008D209E">
        <w:rPr>
          <w:rFonts w:ascii="Palatino Linotype" w:eastAsia="MS Mincho" w:hAnsi="Palatino Linotype" w:cs="Times New Roman"/>
          <w:color w:val="000000"/>
          <w:sz w:val="24"/>
          <w:szCs w:val="24"/>
          <w:lang w:val="es-ES_tradnl" w:eastAsia="es-ES"/>
        </w:rPr>
        <w:t xml:space="preserve"> el </w:t>
      </w:r>
      <w:r w:rsidRPr="008D209E">
        <w:rPr>
          <w:rFonts w:ascii="Palatino Linotype" w:eastAsia="MS Mincho" w:hAnsi="Palatino Linotype" w:cs="Times New Roman"/>
          <w:b/>
          <w:color w:val="000000"/>
          <w:sz w:val="24"/>
          <w:szCs w:val="24"/>
          <w:lang w:val="es-ES_tradnl" w:eastAsia="es-ES"/>
        </w:rPr>
        <w:t xml:space="preserve">SUJETO OBLIGADO </w:t>
      </w:r>
      <w:r w:rsidRPr="008D209E">
        <w:rPr>
          <w:rFonts w:ascii="Palatino Linotype" w:eastAsia="MS Mincho" w:hAnsi="Palatino Linotype" w:cs="Times New Roman"/>
          <w:color w:val="000000"/>
          <w:sz w:val="24"/>
          <w:szCs w:val="24"/>
          <w:lang w:val="es-ES_tradnl" w:eastAsia="es-ES"/>
        </w:rPr>
        <w:t>deberá de manifestar, de manera precisa y clara</w:t>
      </w:r>
      <w:r w:rsidRPr="008D209E">
        <w:rPr>
          <w:rFonts w:ascii="Palatino Linotype" w:eastAsia="MS Mincho" w:hAnsi="Palatino Linotype" w:cs="Times New Roman"/>
          <w:b/>
          <w:color w:val="000000"/>
          <w:sz w:val="24"/>
          <w:szCs w:val="24"/>
          <w:lang w:val="es-ES_tradnl" w:eastAsia="es-ES"/>
        </w:rPr>
        <w:t>, las razones que expliquen las causas por las que no se haya generado</w:t>
      </w:r>
      <w:r w:rsidRPr="008D209E">
        <w:rPr>
          <w:rFonts w:ascii="Palatino Linotype" w:eastAsia="MS Mincho" w:hAnsi="Palatino Linotype" w:cs="Times New Roman"/>
          <w:color w:val="000000"/>
          <w:sz w:val="24"/>
          <w:szCs w:val="24"/>
          <w:lang w:val="es-ES_tradnl" w:eastAsia="es-ES"/>
        </w:rPr>
        <w:t xml:space="preserve"> la información requerida en el presente asunto.</w:t>
      </w:r>
    </w:p>
    <w:p w14:paraId="673B1E3E" w14:textId="77777777" w:rsidR="00742EC6" w:rsidRPr="00742EC6" w:rsidRDefault="00742EC6" w:rsidP="00742EC6">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B7B5132" w14:textId="6A1023EE" w:rsidR="00742EC6" w:rsidRPr="00742EC6" w:rsidRDefault="00742EC6" w:rsidP="00742EC6">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val="es-ES_tradnl" w:eastAsia="es-ES"/>
        </w:rPr>
        <w:t xml:space="preserve">Finalmente, no pasa desapercibido que el </w:t>
      </w:r>
      <w:r>
        <w:rPr>
          <w:rFonts w:ascii="Palatino Linotype" w:eastAsia="MS Mincho" w:hAnsi="Palatino Linotype" w:cs="Times New Roman"/>
          <w:b/>
          <w:color w:val="000000"/>
          <w:sz w:val="24"/>
          <w:szCs w:val="24"/>
          <w:lang w:val="es-ES_tradnl" w:eastAsia="es-ES"/>
        </w:rPr>
        <w:t>RECURRENTE</w:t>
      </w:r>
      <w:r>
        <w:rPr>
          <w:rFonts w:ascii="Palatino Linotype" w:eastAsia="MS Mincho" w:hAnsi="Palatino Linotype" w:cs="Times New Roman"/>
          <w:color w:val="000000"/>
          <w:sz w:val="24"/>
          <w:szCs w:val="24"/>
          <w:lang w:val="es-ES_tradnl" w:eastAsia="es-ES"/>
        </w:rPr>
        <w:t xml:space="preserve">, a través de la interposición del recurso de revisión </w:t>
      </w:r>
      <w:r>
        <w:rPr>
          <w:rFonts w:ascii="Palatino Linotype" w:eastAsia="MS Mincho" w:hAnsi="Palatino Linotype" w:cs="Times New Roman"/>
          <w:b/>
          <w:color w:val="000000"/>
          <w:sz w:val="24"/>
          <w:szCs w:val="24"/>
          <w:lang w:val="es-ES_tradnl" w:eastAsia="es-ES"/>
        </w:rPr>
        <w:t>01608/INFOEM/IP/RR/2022</w:t>
      </w:r>
      <w:r>
        <w:rPr>
          <w:rFonts w:ascii="Palatino Linotype" w:eastAsia="MS Mincho" w:hAnsi="Palatino Linotype" w:cs="Times New Roman"/>
          <w:color w:val="000000"/>
          <w:sz w:val="24"/>
          <w:szCs w:val="24"/>
          <w:lang w:val="es-ES_tradnl" w:eastAsia="es-ES"/>
        </w:rPr>
        <w:t>, solicitó a este Organismo Garante dar vista a la Contraloría Interna y Órgano de control y Vigilancia para que, en términos de la Ley de Responsabilidades de los Servidores Públicos del Estado de México y Municipios, determine el grado de responsabilidad por la respuesta deficiente. Sin embargo, se hace del conocimiento del particular que el recurso de revisión no es el medio idóneo para interponer quejas o denuncias por responsabilidad a los servidores públicos que participan en el proceso de atención a las solicitudes de información.</w:t>
      </w:r>
    </w:p>
    <w:p w14:paraId="03A264EB" w14:textId="77777777" w:rsidR="00742EC6" w:rsidRDefault="00742EC6" w:rsidP="00742EC6">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83F61F7" w14:textId="5AF14895" w:rsidR="00742EC6" w:rsidRPr="00742EC6" w:rsidRDefault="00742EC6" w:rsidP="00742EC6">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No obstante lo anterior, se dejan a salvo los derechos del particular para que, de considerarlo conveniente a sus intereses, presente una queja o denuncia ante el Órgano de Control Interno del Sistema Municipal para el Desarrollo Integral de la Familia de Metepec.</w:t>
      </w:r>
    </w:p>
    <w:p w14:paraId="44A6892A" w14:textId="43E8DB09" w:rsidR="00B027EC" w:rsidRDefault="00B027EC" w:rsidP="00B027EC">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727CCBF" w14:textId="191B905D" w:rsidR="00B027EC" w:rsidRPr="00B027EC" w:rsidRDefault="00B027EC" w:rsidP="00B027EC">
      <w:pPr>
        <w:pStyle w:val="Ttulo2"/>
        <w:spacing w:line="360" w:lineRule="auto"/>
        <w:rPr>
          <w:rFonts w:ascii="Palatino Linotype" w:eastAsia="MS Mincho" w:hAnsi="Palatino Linotype"/>
          <w:b/>
          <w:bCs/>
          <w:color w:val="000000"/>
          <w:sz w:val="24"/>
          <w:szCs w:val="24"/>
          <w:lang w:eastAsia="es-ES"/>
        </w:rPr>
      </w:pPr>
      <w:r>
        <w:rPr>
          <w:rFonts w:ascii="Palatino Linotype" w:eastAsia="MS Mincho" w:hAnsi="Palatino Linotype"/>
          <w:b/>
          <w:bCs/>
          <w:color w:val="000000"/>
          <w:sz w:val="24"/>
          <w:szCs w:val="24"/>
          <w:lang w:eastAsia="es-ES"/>
        </w:rPr>
        <w:lastRenderedPageBreak/>
        <w:t>QUINTO. De la versión pública.</w:t>
      </w:r>
    </w:p>
    <w:p w14:paraId="284D5D56" w14:textId="77777777" w:rsidR="00B027EC" w:rsidRP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39B2204" w14:textId="2D5EFA1F" w:rsidR="00B027EC" w:rsidRPr="00B027EC"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Debe </w:t>
      </w:r>
      <w:r w:rsidRPr="002F45E3">
        <w:rPr>
          <w:rFonts w:ascii="Palatino Linotype" w:eastAsia="MS Mincho" w:hAnsi="Palatino Linotype" w:cs="Times New Roman"/>
          <w:color w:val="000000"/>
          <w:sz w:val="24"/>
          <w:szCs w:val="24"/>
          <w:lang w:eastAsia="es-ES"/>
        </w:rPr>
        <w:t>destacarse que, debido a la naturaleza de la información solicitada</w:t>
      </w:r>
      <w:r w:rsidRPr="002F45E3">
        <w:rPr>
          <w:rFonts w:ascii="Palatino Linotype" w:eastAsia="MS Mincho" w:hAnsi="Palatino Linotype" w:cs="Times New Roman"/>
          <w:b/>
          <w:color w:val="000000"/>
          <w:sz w:val="24"/>
          <w:szCs w:val="24"/>
          <w:lang w:eastAsia="es-ES"/>
        </w:rPr>
        <w:t xml:space="preserve">, </w:t>
      </w:r>
      <w:r w:rsidRPr="002F45E3">
        <w:rPr>
          <w:rFonts w:ascii="Palatino Linotype" w:eastAsia="MS Mincho" w:hAnsi="Palatino Linotype" w:cs="Times New Roman"/>
          <w:color w:val="000000"/>
          <w:sz w:val="24"/>
          <w:szCs w:val="24"/>
          <w:lang w:eastAsia="es-ES"/>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F45E3">
        <w:rPr>
          <w:rFonts w:ascii="Palatino Linotype" w:eastAsia="MS Mincho" w:hAnsi="Palatino Linotype" w:cs="Times New Roman"/>
          <w:b/>
          <w:color w:val="000000"/>
          <w:sz w:val="24"/>
          <w:szCs w:val="24"/>
          <w:u w:val="single"/>
          <w:lang w:eastAsia="es-ES"/>
        </w:rPr>
        <w:t>versión pública</w:t>
      </w:r>
      <w:r w:rsidRPr="002F45E3">
        <w:rPr>
          <w:rFonts w:ascii="Palatino Linotype" w:eastAsia="MS Mincho" w:hAnsi="Palatino Linotype" w:cs="Times New Roman"/>
          <w:color w:val="000000"/>
          <w:sz w:val="24"/>
          <w:szCs w:val="24"/>
          <w:lang w:eastAsia="es-ES"/>
        </w:rPr>
        <w:t xml:space="preserve"> de los documentos por las consideraciones que se estimen pertinentes.</w:t>
      </w:r>
    </w:p>
    <w:p w14:paraId="378A12CC" w14:textId="77777777" w:rsidR="00B027EC" w:rsidRP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CE3FD98" w14:textId="648DACA9" w:rsidR="00B027EC" w:rsidRPr="00B027EC"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La </w:t>
      </w:r>
      <w:r w:rsidRPr="002F45E3">
        <w:rPr>
          <w:rFonts w:ascii="Palatino Linotype" w:eastAsia="MS Mincho" w:hAnsi="Palatino Linotype" w:cs="Times New Roman"/>
          <w:color w:val="000000"/>
          <w:sz w:val="24"/>
          <w:szCs w:val="24"/>
          <w:lang w:eastAsia="es-ES"/>
        </w:rPr>
        <w:t>clasificación de la información,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22CB83C" w14:textId="77777777" w:rsidR="00B027EC" w:rsidRP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92F722B" w14:textId="3E4D80F0" w:rsidR="00B027EC" w:rsidRPr="00B027EC"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El </w:t>
      </w:r>
      <w:r w:rsidRPr="002F45E3">
        <w:rPr>
          <w:rFonts w:ascii="Palatino Linotype" w:eastAsia="MS Mincho" w:hAnsi="Palatino Linotype" w:cs="Times New Roman"/>
          <w:color w:val="000000"/>
          <w:sz w:val="24"/>
          <w:szCs w:val="24"/>
          <w:lang w:eastAsia="es-ES"/>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4B5C691" w14:textId="77777777" w:rsid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C37D614" w14:textId="4E1C94F4" w:rsidR="002F45E3" w:rsidRPr="00BE3A72" w:rsidRDefault="002F45E3" w:rsidP="00BE3A72">
      <w:pPr>
        <w:pStyle w:val="Ttulo3"/>
        <w:rPr>
          <w:rFonts w:ascii="Palatino Linotype" w:eastAsia="Times New Roman" w:hAnsi="Palatino Linotype" w:cs="Times New Roman"/>
          <w:b/>
          <w:color w:val="auto"/>
          <w:lang w:eastAsia="es-MX"/>
        </w:rPr>
      </w:pPr>
      <w:r w:rsidRPr="00BE3A72">
        <w:rPr>
          <w:rFonts w:ascii="Palatino Linotype" w:eastAsia="Times New Roman" w:hAnsi="Palatino Linotype" w:cs="Times New Roman"/>
          <w:b/>
          <w:color w:val="auto"/>
          <w:lang w:eastAsia="es-MX"/>
        </w:rPr>
        <w:t>I. Requisitos previos.</w:t>
      </w:r>
    </w:p>
    <w:p w14:paraId="651C978D" w14:textId="77777777" w:rsidR="002F45E3" w:rsidRPr="00B027EC" w:rsidRDefault="002F45E3"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C0DE415" w14:textId="150ACEA6" w:rsidR="00B027EC" w:rsidRPr="00B027EC"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Los </w:t>
      </w:r>
      <w:r w:rsidRPr="00BE3A72">
        <w:rPr>
          <w:rFonts w:ascii="Palatino Linotype" w:eastAsia="MS Mincho" w:hAnsi="Palatino Linotype" w:cs="Times New Roman"/>
          <w:color w:val="000000"/>
          <w:sz w:val="24"/>
          <w:szCs w:val="24"/>
          <w:lang w:eastAsia="es-ES"/>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D1F5B6" w14:textId="77777777" w:rsidR="00B027EC" w:rsidRP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96E25DF" w14:textId="77777777" w:rsidR="00BE3A72" w:rsidRPr="00BE3A72" w:rsidRDefault="00BE3A72" w:rsidP="00BE3A72">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Pr>
          <w:rFonts w:ascii="Palatino Linotype" w:eastAsia="MS Mincho" w:hAnsi="Palatino Linotype" w:cs="Times New Roman"/>
          <w:color w:val="000000"/>
          <w:sz w:val="24"/>
          <w:szCs w:val="24"/>
          <w:lang w:eastAsia="es-ES"/>
        </w:rPr>
        <w:t xml:space="preserve">Además, </w:t>
      </w:r>
      <w:r w:rsidRPr="00BE3A72">
        <w:rPr>
          <w:rFonts w:ascii="Palatino Linotype" w:eastAsia="MS Mincho" w:hAnsi="Palatino Linotype" w:cs="Times New Roman"/>
          <w:color w:val="000000"/>
          <w:sz w:val="24"/>
          <w:szCs w:val="24"/>
          <w:lang w:eastAsia="es-ES"/>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1AF9A6E" w14:textId="77777777" w:rsidR="00BE3A72" w:rsidRPr="00BE3A72" w:rsidRDefault="00BE3A72" w:rsidP="00BE3A72">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3F7BC9C1" w14:textId="48C42D33" w:rsidR="00B027EC" w:rsidRPr="00B027EC" w:rsidRDefault="00BE3A72" w:rsidP="00BE3A7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BE3A72">
        <w:rPr>
          <w:rFonts w:ascii="Palatino Linotype" w:eastAsia="MS Mincho" w:hAnsi="Palatino Linotype" w:cs="Times New Roman"/>
          <w:color w:val="000000"/>
          <w:sz w:val="24"/>
          <w:szCs w:val="24"/>
          <w:lang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069D091" w14:textId="77777777" w:rsid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55F9B77" w14:textId="7CC9A33F" w:rsidR="00BE3A72" w:rsidRPr="00BE3A72" w:rsidRDefault="00BE3A72" w:rsidP="00BE3A72">
      <w:pPr>
        <w:pStyle w:val="Ttulo3"/>
        <w:rPr>
          <w:rFonts w:ascii="Palatino Linotype" w:eastAsia="Times New Roman" w:hAnsi="Palatino Linotype" w:cs="Times New Roman"/>
          <w:b/>
          <w:color w:val="auto"/>
          <w:lang w:eastAsia="es-MX"/>
        </w:rPr>
      </w:pPr>
      <w:r w:rsidRPr="00BE3A72">
        <w:rPr>
          <w:rFonts w:ascii="Palatino Linotype" w:eastAsia="Times New Roman" w:hAnsi="Palatino Linotype" w:cs="Times New Roman"/>
          <w:b/>
          <w:color w:val="auto"/>
          <w:lang w:eastAsia="es-MX"/>
        </w:rPr>
        <w:t>II. Supuestos de clasificación.</w:t>
      </w:r>
    </w:p>
    <w:p w14:paraId="1FDC130D" w14:textId="77777777" w:rsidR="00BE3A72" w:rsidRPr="00B027EC" w:rsidRDefault="00BE3A72"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D6E1A2" w14:textId="25BEAB00" w:rsidR="00B027EC" w:rsidRPr="00B027EC"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Las </w:t>
      </w:r>
      <w:r w:rsidRPr="00BE3A72">
        <w:rPr>
          <w:rFonts w:ascii="Palatino Linotype" w:eastAsia="MS Mincho" w:hAnsi="Palatino Linotype" w:cs="Times New Roman"/>
          <w:color w:val="000000"/>
          <w:sz w:val="24"/>
          <w:szCs w:val="24"/>
          <w:lang w:eastAsia="es-ES"/>
        </w:rPr>
        <w:t>disposiciones constitucionales y legales en la materia establecen los dos supuestos generales para clasificar la información: por reserva y por confidencialidad.</w:t>
      </w:r>
    </w:p>
    <w:p w14:paraId="67A92C04" w14:textId="77777777" w:rsidR="00B027EC" w:rsidRPr="00B027EC"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41C8EAA" w14:textId="6B38B9B6" w:rsidR="00B027EC"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Los </w:t>
      </w:r>
      <w:r w:rsidRPr="00BE3A72">
        <w:rPr>
          <w:rFonts w:ascii="Palatino Linotype" w:eastAsia="MS Mincho" w:hAnsi="Palatino Linotype" w:cs="Times New Roman"/>
          <w:color w:val="000000"/>
          <w:sz w:val="24"/>
          <w:szCs w:val="24"/>
          <w:lang w:eastAsia="es-ES"/>
        </w:rPr>
        <w:t>artículos 143 y 116 de la Ley Estatal y de la Ley General, respectivamente, señalan los supuestos para que la información pueda ser clasificada como confidencial:</w:t>
      </w:r>
    </w:p>
    <w:p w14:paraId="55EC540F"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8CE7FE3" w14:textId="77777777" w:rsidR="00BE3A72" w:rsidRPr="00553FE2"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53FE2">
        <w:rPr>
          <w:rFonts w:ascii="Palatino Linotype" w:hAnsi="Palatino Linotype" w:cs="Bookman Old Style"/>
          <w:bCs/>
          <w:i/>
          <w:color w:val="000000"/>
        </w:rPr>
        <w:t>“</w:t>
      </w:r>
      <w:r w:rsidRPr="00553FE2">
        <w:rPr>
          <w:rFonts w:ascii="Palatino Linotype" w:hAnsi="Palatino Linotype" w:cs="Bookman Old Style"/>
          <w:b/>
          <w:i/>
          <w:color w:val="000000"/>
        </w:rPr>
        <w:t>I.</w:t>
      </w:r>
      <w:r w:rsidRPr="00553FE2">
        <w:rPr>
          <w:rFonts w:ascii="Palatino Linotype" w:hAnsi="Palatino Linotype" w:cs="Bookman Old Style"/>
          <w:bCs/>
          <w:i/>
          <w:color w:val="000000"/>
        </w:rPr>
        <w:t xml:space="preserve"> </w:t>
      </w:r>
      <w:r w:rsidRPr="00553FE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50D244B" w14:textId="77777777" w:rsidR="00BE3A72" w:rsidRPr="00553FE2"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53FE2">
        <w:rPr>
          <w:rFonts w:ascii="Palatino Linotype" w:hAnsi="Palatino Linotype" w:cs="Bookman Old Style"/>
          <w:b/>
          <w:i/>
          <w:color w:val="000000"/>
        </w:rPr>
        <w:t>II.</w:t>
      </w:r>
      <w:r w:rsidRPr="00553FE2">
        <w:rPr>
          <w:rFonts w:ascii="Palatino Linotype" w:hAnsi="Palatino Linotype" w:cs="Bookman Old Style"/>
          <w:bCs/>
          <w:i/>
          <w:color w:val="000000"/>
        </w:rPr>
        <w:t xml:space="preserve"> </w:t>
      </w:r>
      <w:r w:rsidRPr="00553FE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36429C" w14:textId="77777777" w:rsidR="00BE3A72" w:rsidRPr="00553FE2"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53FE2">
        <w:rPr>
          <w:rFonts w:ascii="Palatino Linotype" w:hAnsi="Palatino Linotype" w:cs="Bookman Old Style"/>
          <w:b/>
          <w:i/>
          <w:color w:val="000000"/>
        </w:rPr>
        <w:t>III.</w:t>
      </w:r>
      <w:r w:rsidRPr="00553FE2">
        <w:rPr>
          <w:rFonts w:ascii="Palatino Linotype" w:hAnsi="Palatino Linotype" w:cs="Bookman Old Style"/>
          <w:bCs/>
          <w:i/>
          <w:color w:val="000000"/>
        </w:rPr>
        <w:t xml:space="preserve"> </w:t>
      </w:r>
      <w:r w:rsidRPr="00553FE2">
        <w:rPr>
          <w:rFonts w:ascii="Palatino Linotype" w:hAnsi="Palatino Linotype" w:cs="Bookman Old Style"/>
          <w:i/>
          <w:color w:val="000000"/>
        </w:rPr>
        <w:t xml:space="preserve">La que presenten los particulares a los sujetos obligados, de conformidad con lo </w:t>
      </w:r>
      <w:r w:rsidRPr="00553FE2">
        <w:rPr>
          <w:rFonts w:ascii="Palatino Linotype" w:hAnsi="Palatino Linotype" w:cs="Bookman Old Style"/>
          <w:i/>
          <w:color w:val="000000"/>
        </w:rPr>
        <w:lastRenderedPageBreak/>
        <w:t xml:space="preserve">dispuesto por las leyes o los tratados internacionales. </w:t>
      </w:r>
    </w:p>
    <w:p w14:paraId="60A6540E" w14:textId="77777777" w:rsidR="00BE3A72" w:rsidRPr="00553FE2"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53FE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7F380D0" w14:textId="77777777" w:rsidR="00BE3A72" w:rsidRPr="00553FE2"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553FE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034AD0B0"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8935DAE" w14:textId="5FE462B2"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w:t>
      </w:r>
      <w:r w:rsidRPr="00BE3A72">
        <w:rPr>
          <w:rFonts w:ascii="Palatino Linotype" w:eastAsia="MS Mincho" w:hAnsi="Palatino Linotype" w:cs="Times New Roman"/>
          <w:color w:val="000000"/>
          <w:sz w:val="24"/>
          <w:szCs w:val="24"/>
          <w:lang w:eastAsia="es-ES"/>
        </w:rPr>
        <w:t>su parte, los artículos 140 y 113 de la Ley Estatal y de la Ley General, respectivamente, enlistan los supuestos para que la información pueda ser clasificada como reservada, a saber:</w:t>
      </w:r>
    </w:p>
    <w:p w14:paraId="6661B0C4"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60662B1"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i/>
          <w:iCs/>
        </w:rPr>
        <w:t>“</w:t>
      </w:r>
      <w:r w:rsidRPr="00553FE2">
        <w:rPr>
          <w:rFonts w:ascii="Palatino Linotype" w:hAnsi="Palatino Linotype"/>
          <w:b/>
          <w:bCs/>
          <w:i/>
          <w:iCs/>
        </w:rPr>
        <w:t>I.</w:t>
      </w:r>
      <w:r w:rsidRPr="00553FE2">
        <w:rPr>
          <w:rFonts w:ascii="Palatino Linotype" w:hAnsi="Palatino Linotype"/>
          <w:i/>
          <w:iCs/>
        </w:rPr>
        <w:t xml:space="preserve"> Comprometa la seguridad pública y cuente con un propósito genuino y un efecto demostrable; </w:t>
      </w:r>
    </w:p>
    <w:p w14:paraId="7E0506E0"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II.</w:t>
      </w:r>
      <w:r w:rsidRPr="00553FE2">
        <w:rPr>
          <w:rFonts w:ascii="Palatino Linotype" w:hAnsi="Palatino Linotype"/>
          <w:i/>
          <w:iCs/>
        </w:rPr>
        <w:t xml:space="preserve"> Pueda menoscabar la conducción de las negociaciones y relaciones internacionales; </w:t>
      </w:r>
    </w:p>
    <w:p w14:paraId="21E5B2C4"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III.</w:t>
      </w:r>
      <w:r w:rsidRPr="00553FE2">
        <w:rPr>
          <w:rFonts w:ascii="Palatino Linotype" w:hAnsi="Palatino Linotype"/>
          <w:i/>
          <w:iC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07D88E"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IV.</w:t>
      </w:r>
      <w:r w:rsidRPr="00553FE2">
        <w:rPr>
          <w:rFonts w:ascii="Palatino Linotype" w:hAnsi="Palatino Linotype"/>
          <w:i/>
          <w:iCs/>
        </w:rPr>
        <w:t xml:space="preserve"> Ponga en riesgo la vida, la seguridad o la salud de una persona física; </w:t>
      </w:r>
    </w:p>
    <w:p w14:paraId="3C0B80C6"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V.</w:t>
      </w:r>
      <w:r w:rsidRPr="00553FE2">
        <w:rPr>
          <w:rFonts w:ascii="Palatino Linotype" w:hAnsi="Palatino Linotype"/>
          <w:i/>
          <w:iCs/>
        </w:rPr>
        <w:t xml:space="preserve"> Aquella cuya divulgación obstruya o pueda causar un serio perjuicio a: </w:t>
      </w:r>
    </w:p>
    <w:p w14:paraId="205806D2" w14:textId="77777777" w:rsidR="00BE3A72" w:rsidRPr="00553FE2" w:rsidRDefault="00BE3A72" w:rsidP="00BE3A72">
      <w:pPr>
        <w:pStyle w:val="Prrafodelista"/>
        <w:tabs>
          <w:tab w:val="left" w:pos="426"/>
        </w:tabs>
        <w:spacing w:line="276" w:lineRule="auto"/>
        <w:ind w:left="851" w:right="567"/>
        <w:jc w:val="both"/>
        <w:rPr>
          <w:rFonts w:ascii="Palatino Linotype" w:hAnsi="Palatino Linotype"/>
          <w:i/>
          <w:iCs/>
        </w:rPr>
      </w:pPr>
      <w:r w:rsidRPr="00553FE2">
        <w:rPr>
          <w:rFonts w:ascii="Palatino Linotype" w:hAnsi="Palatino Linotype"/>
          <w:b/>
          <w:bCs/>
          <w:i/>
          <w:iCs/>
        </w:rPr>
        <w:t>1.</w:t>
      </w:r>
      <w:r w:rsidRPr="00553FE2">
        <w:rPr>
          <w:rFonts w:ascii="Palatino Linotype" w:hAnsi="Palatino Linotype"/>
          <w:i/>
          <w:iCs/>
        </w:rPr>
        <w:t xml:space="preserve"> Las actividades de fiscalización, verificación, inspección, comprobación y auditoría sobre el cumplimiento de las Leyes; o </w:t>
      </w:r>
    </w:p>
    <w:p w14:paraId="6C0A666D" w14:textId="77777777" w:rsidR="00BE3A72" w:rsidRPr="00553FE2" w:rsidRDefault="00BE3A72" w:rsidP="00BE3A72">
      <w:pPr>
        <w:pStyle w:val="Prrafodelista"/>
        <w:tabs>
          <w:tab w:val="left" w:pos="426"/>
        </w:tabs>
        <w:spacing w:line="276" w:lineRule="auto"/>
        <w:ind w:left="851" w:right="567"/>
        <w:jc w:val="both"/>
        <w:rPr>
          <w:rFonts w:ascii="Palatino Linotype" w:hAnsi="Palatino Linotype"/>
          <w:i/>
          <w:iCs/>
        </w:rPr>
      </w:pPr>
      <w:r w:rsidRPr="00553FE2">
        <w:rPr>
          <w:rFonts w:ascii="Palatino Linotype" w:hAnsi="Palatino Linotype"/>
          <w:b/>
          <w:bCs/>
          <w:i/>
          <w:iCs/>
        </w:rPr>
        <w:t>2.</w:t>
      </w:r>
      <w:r w:rsidRPr="00553FE2">
        <w:rPr>
          <w:rFonts w:ascii="Palatino Linotype" w:hAnsi="Palatino Linotype"/>
          <w:i/>
          <w:iCs/>
        </w:rPr>
        <w:t xml:space="preserve"> La recaudación de las contribuciones. </w:t>
      </w:r>
    </w:p>
    <w:p w14:paraId="66085004"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VI.</w:t>
      </w:r>
      <w:r w:rsidRPr="00553FE2">
        <w:rPr>
          <w:rFonts w:ascii="Palatino Linotype" w:hAnsi="Palatino Linotype"/>
          <w:i/>
          <w:iC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7F2A35C"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lastRenderedPageBreak/>
        <w:t>VII.</w:t>
      </w:r>
      <w:r w:rsidRPr="00553FE2">
        <w:rPr>
          <w:rFonts w:ascii="Palatino Linotype" w:hAnsi="Palatino Linotype"/>
          <w:i/>
          <w:iCs/>
        </w:rPr>
        <w:t xml:space="preserve"> La que contengan las opiniones, recomendaciones o puntos de vista que formen parte del proceso deliberativo de los servidores públicos, hasta en tanto sea adoptada la decisión definitiva, la cual deberá estar documentada; </w:t>
      </w:r>
    </w:p>
    <w:p w14:paraId="6271EE91"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VIII.</w:t>
      </w:r>
      <w:r w:rsidRPr="00553FE2">
        <w:rPr>
          <w:rFonts w:ascii="Palatino Linotype" w:hAnsi="Palatino Linotype"/>
          <w:i/>
          <w:iCs/>
        </w:rPr>
        <w:t xml:space="preserve"> Vulnere la conducción de los expedientes judiciales o de los procedimientos administrativos seguidos en forma de juicio, en tanto no hayan quedado firmes; </w:t>
      </w:r>
    </w:p>
    <w:p w14:paraId="47DA0AF7"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IX.</w:t>
      </w:r>
      <w:r w:rsidRPr="00553FE2">
        <w:rPr>
          <w:rFonts w:ascii="Palatino Linotype" w:hAnsi="Palatino Linotype"/>
          <w:i/>
          <w:iCs/>
        </w:rPr>
        <w:t xml:space="preserve"> Se encuentre contenida dentro de las investigaciones de hechos que la Ley señale como delitos y se tramiten ante el Ministerio Público; </w:t>
      </w:r>
    </w:p>
    <w:p w14:paraId="12E37ADA"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b/>
          <w:bCs/>
          <w:i/>
          <w:iCs/>
        </w:rPr>
        <w:t>X.</w:t>
      </w:r>
      <w:r w:rsidRPr="00553FE2">
        <w:rPr>
          <w:rFonts w:ascii="Palatino Linotype" w:hAnsi="Palatino Linotype"/>
          <w:i/>
          <w:iC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BECBDDC"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rPr>
      </w:pPr>
      <w:r w:rsidRPr="00553FE2">
        <w:rPr>
          <w:rFonts w:ascii="Palatino Linotype" w:hAnsi="Palatino Linotype"/>
          <w:i/>
          <w:iC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3C7166" w14:textId="77777777" w:rsidR="00BE3A72" w:rsidRPr="00553FE2" w:rsidRDefault="00BE3A72" w:rsidP="00BE3A72">
      <w:pPr>
        <w:pStyle w:val="Prrafodelista"/>
        <w:tabs>
          <w:tab w:val="left" w:pos="426"/>
        </w:tabs>
        <w:spacing w:line="276" w:lineRule="auto"/>
        <w:ind w:left="567" w:right="567"/>
        <w:jc w:val="both"/>
        <w:rPr>
          <w:rFonts w:ascii="Palatino Linotype" w:hAnsi="Palatino Linotype"/>
          <w:i/>
          <w:iCs/>
          <w:color w:val="000000" w:themeColor="text1"/>
        </w:rPr>
      </w:pPr>
      <w:r w:rsidRPr="00553FE2">
        <w:rPr>
          <w:rFonts w:ascii="Palatino Linotype" w:hAnsi="Palatino Linotype"/>
          <w:b/>
          <w:bCs/>
          <w:i/>
          <w:iCs/>
        </w:rPr>
        <w:t>XI.</w:t>
      </w:r>
      <w:r w:rsidRPr="00553FE2">
        <w:rPr>
          <w:rFonts w:ascii="Palatino Linotype" w:hAnsi="Palatino Linotype"/>
          <w:i/>
          <w:iCs/>
        </w:rPr>
        <w:t xml:space="preserve"> Las que por disposición expresa de una ley tengan tal carácter, siempre que sean acordes con las bases, principios y disposiciones establecidos en esta Ley y no la contravengan; así como las previstas en tratados internacionales.”</w:t>
      </w:r>
    </w:p>
    <w:p w14:paraId="768A0DF9"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7D9263" w14:textId="4F0872D1"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Mientras </w:t>
      </w:r>
      <w:r w:rsidRPr="00BE3A72">
        <w:rPr>
          <w:rFonts w:ascii="Palatino Linotype" w:eastAsia="MS Mincho" w:hAnsi="Palatino Linotype" w:cs="Times New Roman"/>
          <w:color w:val="000000"/>
          <w:sz w:val="24"/>
          <w:szCs w:val="24"/>
          <w:lang w:eastAsia="es-ES"/>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C74FEE"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044B6AB" w14:textId="4325E08B"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Como </w:t>
      </w:r>
      <w:r w:rsidRPr="00BE3A72">
        <w:rPr>
          <w:rFonts w:ascii="Palatino Linotype" w:eastAsia="MS Mincho" w:hAnsi="Palatino Linotype" w:cs="Times New Roman"/>
          <w:color w:val="000000"/>
          <w:sz w:val="24"/>
          <w:szCs w:val="24"/>
          <w:lang w:eastAsia="es-ES"/>
        </w:rPr>
        <w:t xml:space="preserve">consecuencia de lo anterior, el </w:t>
      </w:r>
      <w:r w:rsidRPr="00BE3A72">
        <w:rPr>
          <w:rFonts w:ascii="Palatino Linotype" w:eastAsia="MS Mincho" w:hAnsi="Palatino Linotype" w:cs="Times New Roman"/>
          <w:b/>
          <w:bCs/>
          <w:color w:val="000000"/>
          <w:sz w:val="24"/>
          <w:szCs w:val="24"/>
          <w:lang w:eastAsia="es-ES"/>
        </w:rPr>
        <w:t>SUJETO OBLIGADO</w:t>
      </w:r>
      <w:r w:rsidRPr="00BE3A72">
        <w:rPr>
          <w:rFonts w:ascii="Palatino Linotype" w:eastAsia="MS Mincho" w:hAnsi="Palatino Linotype" w:cs="Times New Roman"/>
          <w:color w:val="000000"/>
          <w:sz w:val="24"/>
          <w:szCs w:val="24"/>
          <w:lang w:eastAsia="es-ES"/>
        </w:rPr>
        <w:t xml:space="preserve"> debe identificar claramente el tipo de información y hacer un juicio de subsunción o encaje para acreditar que el supuesto de hecho corresponde estrictamente con la hipótesis </w:t>
      </w:r>
      <w:r w:rsidRPr="00BE3A72">
        <w:rPr>
          <w:rFonts w:ascii="Palatino Linotype" w:eastAsia="MS Mincho" w:hAnsi="Palatino Linotype" w:cs="Times New Roman"/>
          <w:color w:val="000000"/>
          <w:sz w:val="24"/>
          <w:szCs w:val="24"/>
          <w:lang w:eastAsia="es-ES"/>
        </w:rPr>
        <w:lastRenderedPageBreak/>
        <w:t>jurídica. Esto también lo debe de realizar el servidor público habilitado y el titular del área que administra la información.</w:t>
      </w:r>
    </w:p>
    <w:p w14:paraId="1552398D"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7EF2D5" w14:textId="2C10FDFB"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Al </w:t>
      </w:r>
      <w:r w:rsidRPr="00BE3A72">
        <w:rPr>
          <w:rFonts w:ascii="Palatino Linotype" w:eastAsia="MS Mincho" w:hAnsi="Palatino Linotype" w:cs="Times New Roman"/>
          <w:color w:val="000000"/>
          <w:sz w:val="24"/>
          <w:szCs w:val="24"/>
          <w:lang w:eastAsia="es-ES"/>
        </w:rPr>
        <w:t>respecto, los Lineamientos Generales en Materia de Clasificación y Desclasificación de la Información, así Como para la Elaboración de Versiones Públicas, por cuanto hace a la clasificación de la información, señalan lo siguiente:</w:t>
      </w:r>
    </w:p>
    <w:p w14:paraId="0E7692C5"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0FD25F"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w:t>
      </w:r>
      <w:r w:rsidRPr="00553FE2">
        <w:rPr>
          <w:rFonts w:ascii="Palatino Linotype" w:hAnsi="Palatino Linotype" w:cs="Arial"/>
          <w:b/>
          <w:i/>
        </w:rPr>
        <w:t>Quincuagésimo.</w:t>
      </w:r>
      <w:r w:rsidRPr="00553FE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5067A94"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5499412D"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b/>
          <w:i/>
        </w:rPr>
        <w:t>Quincuagésimo primero.</w:t>
      </w:r>
      <w:r w:rsidRPr="00553FE2">
        <w:rPr>
          <w:rFonts w:ascii="Palatino Linotype" w:hAnsi="Palatino Linotype" w:cs="Arial"/>
          <w:i/>
        </w:rPr>
        <w:t xml:space="preserve"> La leyenda en los documentos clasificados indicará:</w:t>
      </w:r>
    </w:p>
    <w:p w14:paraId="16664B25"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I. La fecha de sesión del Comité de Transparencia en donde se confirmó la clasificación, en su caso;</w:t>
      </w:r>
    </w:p>
    <w:p w14:paraId="6D5D7E37"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II. El nombre del área;</w:t>
      </w:r>
    </w:p>
    <w:p w14:paraId="36BFF187"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III. La palabra reservado o confidencial;</w:t>
      </w:r>
    </w:p>
    <w:p w14:paraId="7CA19118"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IV. Las partes o secciones reservadas o confidenciales, en su caso;</w:t>
      </w:r>
    </w:p>
    <w:p w14:paraId="5D4849BE"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V. El fundamento legal;</w:t>
      </w:r>
    </w:p>
    <w:p w14:paraId="3941D9F6"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VI. El periodo de reserva, y</w:t>
      </w:r>
    </w:p>
    <w:p w14:paraId="2E538756"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VII. La rúbrica del titular del área.</w:t>
      </w:r>
    </w:p>
    <w:p w14:paraId="557BC755"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089AE099"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b/>
          <w:i/>
        </w:rPr>
        <w:t>Quincuagésimo segundo.</w:t>
      </w:r>
      <w:r w:rsidRPr="00553FE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8A70375"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A3C69FB" w14:textId="77777777" w:rsidR="00BE3A72" w:rsidRPr="00553FE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7ABAB126" w14:textId="77029AA8" w:rsidR="00BE3A72"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553FE2">
        <w:rPr>
          <w:rFonts w:ascii="Palatino Linotype" w:hAnsi="Palatino Linotype" w:cs="Arial"/>
          <w:b/>
          <w:i/>
        </w:rPr>
        <w:lastRenderedPageBreak/>
        <w:t>Quincuagésimo tercero.</w:t>
      </w:r>
      <w:r w:rsidRPr="00553FE2">
        <w:rPr>
          <w:rFonts w:ascii="Palatino Linotype" w:hAnsi="Palatino Linotype" w:cs="Arial"/>
          <w:i/>
        </w:rPr>
        <w:t xml:space="preserve"> El formato para señalar la clasificación parcial de un documento, es el siguiente:</w:t>
      </w:r>
    </w:p>
    <w:p w14:paraId="39F411BF" w14:textId="190B50B9" w:rsidR="00BE3A72" w:rsidRPr="00553FE2" w:rsidRDefault="00BE3A72" w:rsidP="00BE3A72">
      <w:pPr>
        <w:pStyle w:val="Prrafodelista"/>
        <w:tabs>
          <w:tab w:val="left" w:pos="142"/>
          <w:tab w:val="left" w:pos="284"/>
          <w:tab w:val="left" w:pos="426"/>
        </w:tabs>
        <w:spacing w:line="276" w:lineRule="auto"/>
        <w:ind w:left="567" w:right="567"/>
        <w:jc w:val="center"/>
        <w:rPr>
          <w:rFonts w:ascii="Palatino Linotype" w:hAnsi="Palatino Linotype" w:cs="Arial"/>
          <w:i/>
        </w:rPr>
      </w:pPr>
      <w:r w:rsidRPr="00553FE2">
        <w:rPr>
          <w:rFonts w:ascii="Palatino Linotype" w:hAnsi="Palatino Linotype" w:cs="Arial"/>
          <w:i/>
          <w:noProof/>
          <w:lang w:val="es-MX" w:eastAsia="es-MX"/>
        </w:rPr>
        <w:drawing>
          <wp:inline distT="0" distB="0" distL="0" distR="0" wp14:anchorId="62249B7A" wp14:editId="316D8218">
            <wp:extent cx="4784089" cy="3926871"/>
            <wp:effectExtent l="57150" t="57150" r="112395" b="11176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C8BCB4"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E8C1572" w14:textId="1B9667EC"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Una </w:t>
      </w:r>
      <w:r w:rsidRPr="00BE3A72">
        <w:rPr>
          <w:rFonts w:ascii="Palatino Linotype" w:eastAsia="MS Mincho" w:hAnsi="Palatino Linotype" w:cs="Times New Roman"/>
          <w:color w:val="000000"/>
          <w:sz w:val="24"/>
          <w:szCs w:val="24"/>
          <w:lang w:eastAsia="es-ES"/>
        </w:rPr>
        <w:t>vez hecho lo anterior, se remite la información al Titular de la Unidad de Transparencia, con el acuerdo de clasificación correspondiente, para que sea sometido al conocimiento del Comité de Transparencia.</w:t>
      </w:r>
    </w:p>
    <w:p w14:paraId="75E93A0C"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11BB45" w14:textId="6F723417" w:rsidR="00BE3A72" w:rsidRPr="00BE3A72" w:rsidRDefault="00BE3A72" w:rsidP="00BE3A72">
      <w:pPr>
        <w:pStyle w:val="Ttulo3"/>
        <w:spacing w:line="360" w:lineRule="auto"/>
        <w:rPr>
          <w:rFonts w:ascii="Palatino Linotype" w:eastAsia="Times New Roman" w:hAnsi="Palatino Linotype" w:cs="Times New Roman"/>
          <w:b/>
          <w:color w:val="auto"/>
          <w:lang w:eastAsia="es-MX"/>
        </w:rPr>
      </w:pPr>
      <w:r w:rsidRPr="00BE3A72">
        <w:rPr>
          <w:rFonts w:ascii="Palatino Linotype" w:eastAsia="Times New Roman" w:hAnsi="Palatino Linotype" w:cs="Times New Roman"/>
          <w:b/>
          <w:color w:val="auto"/>
          <w:lang w:eastAsia="es-MX"/>
        </w:rPr>
        <w:t>III. La intervención del Comité de Transparencia.</w:t>
      </w:r>
    </w:p>
    <w:p w14:paraId="493ACA5D" w14:textId="03359803"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BE3A72">
        <w:rPr>
          <w:rFonts w:ascii="Palatino Linotype" w:eastAsia="Times New Roman" w:hAnsi="Palatino Linotype" w:cs="Times New Roman"/>
          <w:b/>
          <w:sz w:val="24"/>
          <w:szCs w:val="24"/>
          <w:lang w:eastAsia="es-MX"/>
        </w:rPr>
        <w:t>a) Formalidades para emitir el Acuerdo de Clasificación.</w:t>
      </w:r>
    </w:p>
    <w:p w14:paraId="6249FFD6"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6552865" w14:textId="6BBC3611"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 xml:space="preserve">El </w:t>
      </w:r>
      <w:r w:rsidRPr="00BE3A72">
        <w:rPr>
          <w:rFonts w:ascii="Palatino Linotype" w:eastAsia="MS Mincho" w:hAnsi="Palatino Linotype" w:cs="Times New Roman"/>
          <w:color w:val="000000"/>
          <w:sz w:val="24"/>
          <w:szCs w:val="24"/>
          <w:lang w:eastAsia="es-ES"/>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64DE31"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1EF0123" w14:textId="7ED14D9E"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Evidentemente, </w:t>
      </w:r>
      <w:r w:rsidRPr="00BE3A72">
        <w:rPr>
          <w:rFonts w:ascii="Palatino Linotype" w:eastAsia="MS Mincho" w:hAnsi="Palatino Linotype" w:cs="Times New Roman"/>
          <w:color w:val="000000"/>
          <w:sz w:val="24"/>
          <w:szCs w:val="24"/>
          <w:lang w:eastAsia="es-ES"/>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BACACC8"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095EEB2" w14:textId="3CBFB00D"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lastRenderedPageBreak/>
        <w:t xml:space="preserve">La </w:t>
      </w:r>
      <w:r w:rsidRPr="00BE3A72">
        <w:rPr>
          <w:rFonts w:ascii="Palatino Linotype" w:eastAsia="MS Mincho" w:hAnsi="Palatino Linotype" w:cs="Times New Roman"/>
          <w:color w:val="000000"/>
          <w:sz w:val="24"/>
          <w:szCs w:val="24"/>
          <w:lang w:eastAsia="es-ES"/>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A6D4A3A"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7B7A372" w14:textId="0F303CF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BE3A72">
        <w:rPr>
          <w:rFonts w:ascii="Palatino Linotype" w:eastAsia="Times New Roman" w:hAnsi="Palatino Linotype" w:cs="Times New Roman"/>
          <w:b/>
          <w:sz w:val="24"/>
          <w:szCs w:val="24"/>
          <w:lang w:eastAsia="es-MX"/>
        </w:rPr>
        <w:t>b) Requisitos de fondo del Acuerdo de Clasificación.</w:t>
      </w:r>
    </w:p>
    <w:p w14:paraId="4B0612B2"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401E851" w14:textId="4CE90508"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Como </w:t>
      </w:r>
      <w:r w:rsidRPr="00BE3A72">
        <w:rPr>
          <w:rFonts w:ascii="Palatino Linotype" w:eastAsia="MS Mincho" w:hAnsi="Palatino Linotype" w:cs="Times New Roman"/>
          <w:color w:val="000000"/>
          <w:sz w:val="24"/>
          <w:szCs w:val="24"/>
          <w:lang w:eastAsia="es-ES"/>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DC5572D"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300D2FB" w14:textId="3028B25D"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De </w:t>
      </w:r>
      <w:r w:rsidRPr="00BE3A72">
        <w:rPr>
          <w:rFonts w:ascii="Palatino Linotype" w:eastAsia="MS Mincho" w:hAnsi="Palatino Linotype" w:cs="Times New Roman"/>
          <w:color w:val="000000"/>
          <w:sz w:val="24"/>
          <w:szCs w:val="24"/>
          <w:lang w:eastAsia="es-ES"/>
        </w:rPr>
        <w:t xml:space="preserve">lo anterior se desprende que, para una correcta clasificación total o parcial, esto es determinar los datos que se suprimen en las versiones públicas, es necesario fundar y motivar, de manera correcta, la clasificación; considerando que todo acto </w:t>
      </w:r>
      <w:r w:rsidRPr="00BE3A72">
        <w:rPr>
          <w:rFonts w:ascii="Palatino Linotype" w:eastAsia="MS Mincho" w:hAnsi="Palatino Linotype" w:cs="Times New Roman"/>
          <w:color w:val="000000"/>
          <w:sz w:val="24"/>
          <w:szCs w:val="24"/>
          <w:lang w:eastAsia="es-ES"/>
        </w:rPr>
        <w:lastRenderedPageBreak/>
        <w:t>que la autoridad pronuncie en el ejercicio de sus atribuciones, debe expresar los fundamentos legales que le dieron origen y las razones por las que se deben aplicar al caso concreto.</w:t>
      </w:r>
    </w:p>
    <w:p w14:paraId="46AE5DD2"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23BF541" w14:textId="5BDA7C87"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Han </w:t>
      </w:r>
      <w:r w:rsidRPr="00BE3A72">
        <w:rPr>
          <w:rFonts w:ascii="Palatino Linotype" w:eastAsia="MS Mincho" w:hAnsi="Palatino Linotype" w:cs="Times New Roman"/>
          <w:color w:val="000000"/>
          <w:sz w:val="24"/>
          <w:szCs w:val="24"/>
          <w:lang w:eastAsia="es-ES"/>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BE3A72">
        <w:rPr>
          <w:rFonts w:ascii="Palatino Linotype" w:eastAsia="MS Mincho" w:hAnsi="Palatino Linotype" w:cs="Times New Roman"/>
          <w:i/>
          <w:iCs/>
          <w:color w:val="000000"/>
          <w:sz w:val="24"/>
          <w:szCs w:val="24"/>
          <w:lang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BE3A72">
        <w:rPr>
          <w:rFonts w:ascii="Palatino Linotype" w:eastAsia="MS Mincho" w:hAnsi="Palatino Linotype" w:cs="Times New Roman"/>
          <w:color w:val="000000"/>
          <w:sz w:val="24"/>
          <w:szCs w:val="24"/>
          <w:lang w:eastAsia="es-ES"/>
        </w:rPr>
        <w:t>.</w:t>
      </w:r>
    </w:p>
    <w:p w14:paraId="2A522086"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06C592" w14:textId="3954853F"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Por </w:t>
      </w:r>
      <w:r w:rsidRPr="00BE3A72">
        <w:rPr>
          <w:rFonts w:ascii="Palatino Linotype" w:eastAsia="MS Mincho" w:hAnsi="Palatino Linotype" w:cs="Times New Roman"/>
          <w:color w:val="000000"/>
          <w:sz w:val="24"/>
          <w:szCs w:val="24"/>
          <w:lang w:eastAsia="es-ES"/>
        </w:rPr>
        <w:t>su parte, el intérprete judicial del país ha establecido una jurisprudencia</w:t>
      </w:r>
      <w:r w:rsidRPr="00BE3A72">
        <w:rPr>
          <w:rFonts w:ascii="Palatino Linotype" w:eastAsia="MS Mincho" w:hAnsi="Palatino Linotype" w:cs="Times New Roman"/>
          <w:color w:val="000000"/>
          <w:sz w:val="24"/>
          <w:szCs w:val="24"/>
          <w:vertAlign w:val="superscript"/>
          <w:lang w:eastAsia="es-ES"/>
        </w:rPr>
        <w:footnoteReference w:id="17"/>
      </w:r>
      <w:r w:rsidRPr="00BE3A72">
        <w:rPr>
          <w:rFonts w:ascii="Palatino Linotype" w:eastAsia="MS Mincho" w:hAnsi="Palatino Linotype" w:cs="Times New Roman"/>
          <w:color w:val="000000"/>
          <w:sz w:val="24"/>
          <w:szCs w:val="24"/>
          <w:lang w:eastAsia="es-ES"/>
        </w:rPr>
        <w:t xml:space="preserve"> respecto a qué debe entenderse por fundamentación y motivación, en los siguientes términos:</w:t>
      </w:r>
    </w:p>
    <w:p w14:paraId="2BB6895A" w14:textId="77777777" w:rsid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B478C9E" w14:textId="77777777" w:rsidR="00BE3A72" w:rsidRPr="00553FE2" w:rsidRDefault="00BE3A72" w:rsidP="00BE3A72">
      <w:pPr>
        <w:spacing w:after="0" w:line="276" w:lineRule="auto"/>
        <w:ind w:left="567" w:right="567"/>
        <w:contextualSpacing/>
        <w:jc w:val="both"/>
        <w:rPr>
          <w:rFonts w:ascii="Palatino Linotype" w:hAnsi="Palatino Linotype" w:cs="Arial"/>
          <w:i/>
          <w:color w:val="000000"/>
        </w:rPr>
      </w:pPr>
      <w:r w:rsidRPr="00553FE2">
        <w:rPr>
          <w:rFonts w:ascii="Palatino Linotype" w:hAnsi="Palatino Linotype" w:cs="Arial"/>
          <w:b/>
          <w:i/>
          <w:color w:val="000000"/>
        </w:rPr>
        <w:t>FUNDAMENTACIÓN Y MOTIVACIÓN.</w:t>
      </w:r>
      <w:r w:rsidRPr="00553FE2">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w:t>
      </w:r>
      <w:r w:rsidRPr="00553FE2">
        <w:rPr>
          <w:rFonts w:ascii="Palatino Linotype" w:hAnsi="Palatino Linotype" w:cs="Arial"/>
          <w:i/>
          <w:color w:val="000000"/>
        </w:rPr>
        <w:lastRenderedPageBreak/>
        <w:t>a concluir que el caso particular encuadra en el supuesto previsto por la norma legal invocada como fundamento.”</w:t>
      </w:r>
    </w:p>
    <w:p w14:paraId="0A70A02E"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8B4FD5F" w14:textId="335002E5"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Así, </w:t>
      </w:r>
      <w:r w:rsidRPr="00BE3A72">
        <w:rPr>
          <w:rFonts w:ascii="Palatino Linotype" w:eastAsia="MS Mincho" w:hAnsi="Palatino Linotype" w:cs="Times New Roman"/>
          <w:color w:val="000000"/>
          <w:sz w:val="24"/>
          <w:szCs w:val="24"/>
          <w:lang w:eastAsia="es-ES"/>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BFFEEA"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337D85F" w14:textId="4384BACF"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En </w:t>
      </w:r>
      <w:r w:rsidRPr="00BE3A72">
        <w:rPr>
          <w:rFonts w:ascii="Palatino Linotype" w:eastAsia="MS Mincho" w:hAnsi="Palatino Linotype" w:cs="Times New Roman"/>
          <w:color w:val="000000"/>
          <w:sz w:val="24"/>
          <w:szCs w:val="24"/>
          <w:lang w:eastAsia="es-ES"/>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4A319D9"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641BC9" w14:textId="3946C442"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En </w:t>
      </w:r>
      <w:r w:rsidRPr="00BE3A72">
        <w:rPr>
          <w:rFonts w:ascii="Palatino Linotype" w:eastAsia="MS Mincho" w:hAnsi="Palatino Linotype" w:cs="Times New Roman"/>
          <w:color w:val="000000"/>
          <w:sz w:val="24"/>
          <w:szCs w:val="24"/>
          <w:lang w:eastAsia="es-ES"/>
        </w:rPr>
        <w:t>ese mismo sentido, el numeral trigésimo tercero fracción V de los Lineamientos Generales, precisa que para motivar la clasificación se deben acreditar las circunstancias de tiempo, modo y lugar.</w:t>
      </w:r>
    </w:p>
    <w:p w14:paraId="20234E36" w14:textId="77777777" w:rsidR="00BE3A72" w:rsidRPr="00BE3A72"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CBD608" w14:textId="2F9A641E" w:rsidR="00BE3A72" w:rsidRPr="00BE3A72"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Pr>
          <w:rFonts w:ascii="Palatino Linotype" w:eastAsia="MS Mincho" w:hAnsi="Palatino Linotype" w:cs="Times New Roman"/>
          <w:color w:val="000000"/>
          <w:sz w:val="24"/>
          <w:szCs w:val="24"/>
          <w:lang w:eastAsia="es-ES"/>
        </w:rPr>
        <w:t xml:space="preserve">Otro </w:t>
      </w:r>
      <w:r w:rsidRPr="00BE3A72">
        <w:rPr>
          <w:rFonts w:ascii="Palatino Linotype" w:eastAsia="MS Mincho" w:hAnsi="Palatino Linotype" w:cs="Times New Roman"/>
          <w:color w:val="000000"/>
          <w:sz w:val="24"/>
          <w:szCs w:val="24"/>
          <w:lang w:eastAsia="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4816203" w14:textId="77777777" w:rsidR="001867A5" w:rsidRPr="00EA49FC"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AF99B0D" w14:textId="48432B4E" w:rsidR="00DE395A" w:rsidRPr="00EA49FC" w:rsidRDefault="00B027EC"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45" w:name="_Toc67588008"/>
      <w:bookmarkStart w:id="46" w:name="_Toc68804770"/>
      <w:bookmarkStart w:id="47" w:name="_Toc96617345"/>
      <w:r>
        <w:rPr>
          <w:rFonts w:ascii="Palatino Linotype" w:eastAsia="MS Mincho" w:hAnsi="Palatino Linotype" w:cs="Times New Roman"/>
          <w:b/>
          <w:color w:val="000000"/>
          <w:sz w:val="24"/>
          <w:szCs w:val="24"/>
          <w:lang w:val="es-ES_tradnl" w:eastAsia="es-ES"/>
        </w:rPr>
        <w:lastRenderedPageBreak/>
        <w:t>SEXTO</w:t>
      </w:r>
      <w:r w:rsidR="00DE395A" w:rsidRPr="00EA49FC">
        <w:rPr>
          <w:rFonts w:ascii="Palatino Linotype" w:eastAsia="MS Mincho" w:hAnsi="Palatino Linotype" w:cs="Times New Roman"/>
          <w:b/>
          <w:color w:val="000000"/>
          <w:sz w:val="24"/>
          <w:szCs w:val="24"/>
          <w:lang w:val="es-ES_tradnl" w:eastAsia="es-ES"/>
        </w:rPr>
        <w:t>. De la decisión.</w:t>
      </w:r>
      <w:bookmarkEnd w:id="45"/>
      <w:bookmarkEnd w:id="46"/>
      <w:bookmarkEnd w:id="47"/>
      <w:r w:rsidR="00DE395A" w:rsidRPr="00EA49FC">
        <w:rPr>
          <w:rFonts w:ascii="Palatino Linotype" w:eastAsia="MS Mincho" w:hAnsi="Palatino Linotype" w:cs="Times New Roman"/>
          <w:b/>
          <w:color w:val="000000"/>
          <w:sz w:val="24"/>
          <w:szCs w:val="24"/>
          <w:lang w:val="es-ES_tradnl" w:eastAsia="es-ES"/>
        </w:rPr>
        <w:t xml:space="preserve"> </w:t>
      </w:r>
    </w:p>
    <w:p w14:paraId="08EAF94D" w14:textId="755280D1" w:rsidR="00A82BE7" w:rsidRPr="00EA49FC"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EA49FC">
        <w:rPr>
          <w:rFonts w:ascii="Palatino Linotype" w:hAnsi="Palatino Linotype" w:cs="Tahoma"/>
          <w:sz w:val="24"/>
          <w:szCs w:val="24"/>
          <w:lang w:val="es-MX" w:eastAsia="es-ES"/>
        </w:rPr>
        <w:t xml:space="preserve">Luego </w:t>
      </w:r>
      <w:r w:rsidR="00BE3A72">
        <w:rPr>
          <w:rFonts w:ascii="Palatino Linotype" w:hAnsi="Palatino Linotype" w:cs="Tahoma"/>
          <w:sz w:val="24"/>
          <w:szCs w:val="24"/>
          <w:lang w:val="es-MX" w:eastAsia="es-ES"/>
        </w:rPr>
        <w:t xml:space="preserve">de analizar el marco legal de </w:t>
      </w:r>
      <w:r w:rsidR="002F59F4">
        <w:rPr>
          <w:rFonts w:ascii="Palatino Linotype" w:hAnsi="Palatino Linotype" w:cs="Tahoma"/>
          <w:sz w:val="24"/>
          <w:szCs w:val="24"/>
          <w:lang w:val="es-MX" w:eastAsia="es-ES"/>
        </w:rPr>
        <w:t>lo solicitado</w:t>
      </w:r>
      <w:r w:rsidR="00BE3A72">
        <w:rPr>
          <w:rFonts w:ascii="Palatino Linotype" w:hAnsi="Palatino Linotype" w:cs="Tahoma"/>
          <w:sz w:val="24"/>
          <w:szCs w:val="24"/>
          <w:lang w:val="es-MX" w:eastAsia="es-ES"/>
        </w:rPr>
        <w:t xml:space="preserve">, se estableció que el </w:t>
      </w:r>
      <w:r w:rsidR="004A3550">
        <w:rPr>
          <w:rFonts w:ascii="Palatino Linotype" w:hAnsi="Palatino Linotype" w:cs="Tahoma"/>
          <w:sz w:val="24"/>
          <w:szCs w:val="24"/>
          <w:lang w:val="es-MX" w:eastAsia="es-ES"/>
        </w:rPr>
        <w:t>Sistema Municipal para el Desarrollo Integral de la Familia de Metepec</w:t>
      </w:r>
      <w:r w:rsidR="00BE3A72">
        <w:rPr>
          <w:rFonts w:ascii="Palatino Linotype" w:hAnsi="Palatino Linotype" w:cs="Tahoma"/>
          <w:sz w:val="24"/>
          <w:szCs w:val="24"/>
          <w:lang w:val="es-MX" w:eastAsia="es-ES"/>
        </w:rPr>
        <w:t xml:space="preserve"> </w:t>
      </w:r>
      <w:r w:rsidR="0051780D">
        <w:rPr>
          <w:rFonts w:ascii="Palatino Linotype" w:hAnsi="Palatino Linotype" w:cs="Tahoma"/>
          <w:sz w:val="24"/>
          <w:szCs w:val="24"/>
          <w:lang w:val="es-MX" w:eastAsia="es-ES"/>
        </w:rPr>
        <w:t>sí tuvo una participación en la organización del Primer Foro Internacional 2022 “</w:t>
      </w:r>
      <w:r w:rsidR="00742EC6">
        <w:rPr>
          <w:rFonts w:ascii="Palatino Linotype" w:hAnsi="Palatino Linotype" w:cs="Tahoma"/>
          <w:sz w:val="24"/>
          <w:szCs w:val="24"/>
          <w:lang w:val="es-MX" w:eastAsia="es-ES"/>
        </w:rPr>
        <w:t>Para la Igualdad de Género en Metepec”</w:t>
      </w:r>
      <w:r w:rsidR="002F59F4">
        <w:rPr>
          <w:rFonts w:ascii="Palatino Linotype" w:hAnsi="Palatino Linotype" w:cs="Tahoma"/>
          <w:sz w:val="24"/>
          <w:szCs w:val="24"/>
          <w:lang w:val="es-MX" w:eastAsia="es-ES"/>
        </w:rPr>
        <w:t xml:space="preserve">; por lo tanto, toda vez que de las constancias que obran en el expediente del SAIMEX no se logró identificar un turno adecuado de la solicitud a todas las áreas competentes para conocer </w:t>
      </w:r>
      <w:r w:rsidR="00742EC6">
        <w:rPr>
          <w:rFonts w:ascii="Palatino Linotype" w:hAnsi="Palatino Linotype" w:cs="Tahoma"/>
          <w:sz w:val="24"/>
          <w:szCs w:val="24"/>
          <w:lang w:val="es-MX" w:eastAsia="es-ES"/>
        </w:rPr>
        <w:t>sobre los gastos relacionados con el evento en cuestión</w:t>
      </w:r>
      <w:r w:rsidR="002F59F4">
        <w:rPr>
          <w:rFonts w:ascii="Palatino Linotype" w:hAnsi="Palatino Linotype" w:cs="Tahoma"/>
          <w:sz w:val="24"/>
          <w:szCs w:val="24"/>
          <w:lang w:val="es-MX" w:eastAsia="es-ES"/>
        </w:rPr>
        <w:t xml:space="preserve">, se determinó ordenar una nueva búsqueda de la información, a efecto de entregar, en versión pública, </w:t>
      </w:r>
      <w:r w:rsidR="00742EC6">
        <w:rPr>
          <w:rFonts w:ascii="Palatino Linotype" w:hAnsi="Palatino Linotype" w:cs="Tahoma"/>
          <w:sz w:val="24"/>
          <w:szCs w:val="24"/>
          <w:lang w:val="es-MX" w:eastAsia="es-ES"/>
        </w:rPr>
        <w:t>los documentos donde consten las erogaciones, de ser procedente en versión pública</w:t>
      </w:r>
      <w:r w:rsidR="002F59F4">
        <w:rPr>
          <w:rFonts w:ascii="Palatino Linotype" w:hAnsi="Palatino Linotype" w:cs="Tahoma"/>
          <w:sz w:val="24"/>
          <w:szCs w:val="24"/>
          <w:lang w:val="es-MX" w:eastAsia="es-ES"/>
        </w:rPr>
        <w:t>.</w:t>
      </w:r>
    </w:p>
    <w:p w14:paraId="0927A76C" w14:textId="77777777" w:rsidR="00A82BE7" w:rsidRPr="00EA49FC" w:rsidRDefault="00A82BE7" w:rsidP="00A82BE7">
      <w:pPr>
        <w:pStyle w:val="Prrafodelista"/>
        <w:tabs>
          <w:tab w:val="left" w:pos="360"/>
        </w:tabs>
        <w:spacing w:before="240" w:after="240" w:line="360" w:lineRule="auto"/>
        <w:ind w:left="0" w:right="49"/>
        <w:contextualSpacing/>
        <w:jc w:val="both"/>
        <w:rPr>
          <w:rFonts w:ascii="Palatino Linotype" w:eastAsia="MS Mincho" w:hAnsi="Palatino Linotype"/>
          <w:color w:val="000000"/>
          <w:sz w:val="24"/>
          <w:szCs w:val="24"/>
          <w:lang w:eastAsia="es-ES"/>
        </w:rPr>
      </w:pPr>
    </w:p>
    <w:p w14:paraId="6CBB5D4A" w14:textId="51BC5304" w:rsidR="00DE395A" w:rsidRPr="00EA49FC"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EA49FC">
        <w:rPr>
          <w:rFonts w:ascii="Palatino Linotype" w:hAnsi="Palatino Linotype" w:cs="Tahoma"/>
          <w:sz w:val="24"/>
          <w:szCs w:val="24"/>
          <w:lang w:val="es-MX" w:eastAsia="es-ES"/>
        </w:rPr>
        <w:t xml:space="preserve">Por lo tanto, y en mérito de lo expuesto en líneas anteriores, resultan </w:t>
      </w:r>
      <w:r w:rsidR="002F59F4">
        <w:rPr>
          <w:rFonts w:ascii="Palatino Linotype" w:hAnsi="Palatino Linotype" w:cs="Tahoma"/>
          <w:sz w:val="24"/>
          <w:szCs w:val="24"/>
          <w:lang w:val="es-MX" w:eastAsia="es-ES"/>
        </w:rPr>
        <w:t>parcialmente fundadas</w:t>
      </w:r>
      <w:r w:rsidRPr="00EA49FC">
        <w:rPr>
          <w:rFonts w:ascii="Palatino Linotype" w:hAnsi="Palatino Linotype" w:cs="Tahoma"/>
          <w:sz w:val="24"/>
          <w:szCs w:val="24"/>
          <w:lang w:val="es-MX" w:eastAsia="es-ES"/>
        </w:rPr>
        <w:t xml:space="preserve"> las razones o motivos de inconformidad hechos valer por el </w:t>
      </w:r>
      <w:r w:rsidRPr="00EA49FC">
        <w:rPr>
          <w:rFonts w:ascii="Palatino Linotype" w:hAnsi="Palatino Linotype" w:cs="Tahoma"/>
          <w:b/>
          <w:sz w:val="24"/>
          <w:szCs w:val="24"/>
          <w:lang w:val="es-MX" w:eastAsia="es-ES"/>
        </w:rPr>
        <w:t>RECURRENTE</w:t>
      </w:r>
      <w:r w:rsidRPr="00EA49FC">
        <w:rPr>
          <w:rFonts w:ascii="Palatino Linotype" w:hAnsi="Palatino Linotype" w:cs="Tahoma"/>
          <w:sz w:val="24"/>
          <w:szCs w:val="24"/>
          <w:lang w:val="es-MX" w:eastAsia="es-ES"/>
        </w:rPr>
        <w:t xml:space="preserve"> dentro del recurso de revisión </w:t>
      </w:r>
      <w:r w:rsidR="004A3550">
        <w:rPr>
          <w:rFonts w:ascii="Palatino Linotype" w:hAnsi="Palatino Linotype" w:cs="Tahoma"/>
          <w:b/>
          <w:bCs/>
          <w:sz w:val="24"/>
          <w:szCs w:val="24"/>
          <w:lang w:val="es-MX" w:eastAsia="es-ES"/>
        </w:rPr>
        <w:t>01608/INFOEM/IP/RR/2022</w:t>
      </w:r>
      <w:r w:rsidRPr="00EA49FC">
        <w:rPr>
          <w:rFonts w:ascii="Palatino Linotype" w:hAnsi="Palatino Linotype" w:cs="Tahoma"/>
          <w:sz w:val="24"/>
          <w:szCs w:val="24"/>
          <w:lang w:val="es-MX" w:eastAsia="es-ES"/>
        </w:rPr>
        <w:t>; por ello, y con fundamento en la fracción I</w:t>
      </w:r>
      <w:r w:rsidR="002F59F4">
        <w:rPr>
          <w:rFonts w:ascii="Palatino Linotype" w:hAnsi="Palatino Linotype" w:cs="Tahoma"/>
          <w:sz w:val="24"/>
          <w:szCs w:val="24"/>
          <w:lang w:val="es-MX" w:eastAsia="es-ES"/>
        </w:rPr>
        <w:t>I</w:t>
      </w:r>
      <w:r w:rsidRPr="00EA49FC">
        <w:rPr>
          <w:rFonts w:ascii="Palatino Linotype" w:hAnsi="Palatino Linotype" w:cs="Tahoma"/>
          <w:sz w:val="24"/>
          <w:szCs w:val="24"/>
          <w:lang w:val="es-MX" w:eastAsia="es-ES"/>
        </w:rPr>
        <w:t xml:space="preserve">I del numeral 186 de la Ley de Transparencia y Acceso a la Información Pública del Estado de México y Municipios, se </w:t>
      </w:r>
      <w:r w:rsidR="00742EC6">
        <w:rPr>
          <w:rFonts w:ascii="Palatino Linotype" w:hAnsi="Palatino Linotype" w:cs="Tahoma"/>
          <w:b/>
          <w:sz w:val="24"/>
          <w:szCs w:val="24"/>
          <w:lang w:val="es-MX" w:eastAsia="es-ES"/>
        </w:rPr>
        <w:t>REVOCA</w:t>
      </w:r>
      <w:r w:rsidRPr="00EA49FC">
        <w:rPr>
          <w:rFonts w:ascii="Palatino Linotype" w:hAnsi="Palatino Linotype" w:cs="Tahoma"/>
          <w:sz w:val="24"/>
          <w:szCs w:val="24"/>
          <w:lang w:val="es-MX" w:eastAsia="es-ES"/>
        </w:rPr>
        <w:t xml:space="preserve"> la respuesta a la solicitud de información número </w:t>
      </w:r>
      <w:r w:rsidR="004A3550">
        <w:rPr>
          <w:rFonts w:ascii="Palatino Linotype" w:hAnsi="Palatino Linotype" w:cs="Tahoma"/>
          <w:b/>
          <w:sz w:val="24"/>
          <w:szCs w:val="24"/>
          <w:lang w:val="es-MX" w:eastAsia="es-ES"/>
        </w:rPr>
        <w:t>00327/METEPEC/IP/2022</w:t>
      </w:r>
      <w:r w:rsidRPr="00EA49FC">
        <w:rPr>
          <w:rFonts w:ascii="Palatino Linotype" w:hAnsi="Palatino Linotype" w:cs="Tahoma"/>
          <w:sz w:val="24"/>
          <w:szCs w:val="24"/>
          <w:lang w:val="es-MX" w:eastAsia="es-ES"/>
        </w:rPr>
        <w:t>.</w:t>
      </w:r>
    </w:p>
    <w:p w14:paraId="6AF6D8F7" w14:textId="77777777" w:rsidR="00DE395A" w:rsidRPr="00EA49FC"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1AEE69F4" w14:textId="40C9A54F" w:rsidR="00DE395A" w:rsidRDefault="00DE395A" w:rsidP="00A106A2">
      <w:pPr>
        <w:numPr>
          <w:ilvl w:val="0"/>
          <w:numId w:val="2"/>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EA49FC">
        <w:rPr>
          <w:rFonts w:ascii="Palatino Linotype" w:eastAsia="MS Mincho" w:hAnsi="Palatino Linotype" w:cs="Times New Roman"/>
          <w:color w:val="000000"/>
          <w:sz w:val="24"/>
          <w:szCs w:val="24"/>
          <w:lang w:val="es-ES" w:eastAsia="es-ES"/>
        </w:rPr>
        <w:t xml:space="preserve">Por lo anteriormente expuesto y fundado, este </w:t>
      </w:r>
      <w:r w:rsidRPr="00EA49FC">
        <w:rPr>
          <w:rFonts w:ascii="Palatino Linotype" w:eastAsia="MS Mincho" w:hAnsi="Palatino Linotype" w:cs="Times New Roman"/>
          <w:b/>
          <w:bCs/>
          <w:color w:val="000000"/>
          <w:sz w:val="24"/>
          <w:szCs w:val="24"/>
          <w:lang w:val="es-ES" w:eastAsia="es-ES"/>
        </w:rPr>
        <w:t>ÓRGANO GARANTE</w:t>
      </w:r>
      <w:r w:rsidRPr="00EA49FC">
        <w:rPr>
          <w:rFonts w:ascii="Palatino Linotype" w:eastAsia="MS Mincho" w:hAnsi="Palatino Linotype" w:cs="Times New Roman"/>
          <w:color w:val="000000"/>
          <w:sz w:val="24"/>
          <w:szCs w:val="24"/>
          <w:lang w:val="es-ES" w:eastAsia="es-ES"/>
        </w:rPr>
        <w:t xml:space="preserve"> emite los siguientes:</w:t>
      </w:r>
      <w:bookmarkStart w:id="48" w:name="_Toc495427547"/>
      <w:bookmarkStart w:id="49" w:name="_Toc497905366"/>
      <w:r w:rsidR="00A82BE7" w:rsidRPr="00EA49FC">
        <w:rPr>
          <w:rFonts w:ascii="Palatino Linotype" w:eastAsia="MS Mincho" w:hAnsi="Palatino Linotype" w:cs="Times New Roman"/>
          <w:color w:val="000000"/>
          <w:sz w:val="24"/>
          <w:szCs w:val="24"/>
          <w:lang w:val="es-ES" w:eastAsia="es-ES"/>
        </w:rPr>
        <w:t xml:space="preserve"> -----------------------------------------------------------------------------------------------</w:t>
      </w:r>
      <w:r w:rsidR="002F59F4">
        <w:rPr>
          <w:rFonts w:ascii="Palatino Linotype" w:eastAsia="MS Mincho" w:hAnsi="Palatino Linotype" w:cs="Times New Roman"/>
          <w:color w:val="000000"/>
          <w:sz w:val="24"/>
          <w:szCs w:val="24"/>
          <w:lang w:val="es-ES" w:eastAsia="es-ES"/>
        </w:rPr>
        <w:t>---------------------------------------------------------------------------------------------------------------------------------------------------------------------------------------------------------------------</w:t>
      </w:r>
      <w:r w:rsidR="00742EC6">
        <w:rPr>
          <w:rFonts w:ascii="Palatino Linotype" w:eastAsia="MS Mincho" w:hAnsi="Palatino Linotype" w:cs="Times New Roman"/>
          <w:color w:val="000000"/>
          <w:sz w:val="24"/>
          <w:szCs w:val="24"/>
          <w:lang w:val="es-ES" w:eastAsia="es-ES"/>
        </w:rPr>
        <w:t>-----</w:t>
      </w:r>
    </w:p>
    <w:p w14:paraId="5C665AC9" w14:textId="757A60D4" w:rsidR="002F59F4" w:rsidRDefault="002F59F4">
      <w:pPr>
        <w:rPr>
          <w:rFonts w:ascii="Palatino Linotype" w:eastAsia="MS Mincho" w:hAnsi="Palatino Linotype" w:cs="Times New Roman"/>
          <w:color w:val="000000"/>
          <w:sz w:val="24"/>
          <w:szCs w:val="24"/>
          <w:lang w:val="es-ES" w:eastAsia="es-ES"/>
        </w:rPr>
      </w:pPr>
    </w:p>
    <w:p w14:paraId="4CE3E8A3" w14:textId="77777777" w:rsidR="00DE395A" w:rsidRPr="00EA49FC"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50" w:name="_Toc96617346"/>
      <w:r w:rsidRPr="00EA49FC">
        <w:rPr>
          <w:rFonts w:ascii="Palatino Linotype" w:eastAsia="MS Gothic" w:hAnsi="Palatino Linotype" w:cs="Times New Roman"/>
          <w:b/>
          <w:color w:val="000000"/>
          <w:sz w:val="24"/>
          <w:szCs w:val="24"/>
          <w:lang w:val="es-ES_tradnl" w:eastAsia="es-ES"/>
        </w:rPr>
        <w:t>R E S O L U T I V O S</w:t>
      </w:r>
      <w:bookmarkEnd w:id="43"/>
      <w:bookmarkEnd w:id="44"/>
      <w:bookmarkEnd w:id="48"/>
      <w:bookmarkEnd w:id="49"/>
      <w:bookmarkEnd w:id="50"/>
    </w:p>
    <w:p w14:paraId="5E60987E" w14:textId="77777777" w:rsidR="00DE395A" w:rsidRPr="00EA49FC" w:rsidRDefault="00DE395A" w:rsidP="00AC14BB">
      <w:pPr>
        <w:spacing w:after="0" w:line="360" w:lineRule="auto"/>
        <w:rPr>
          <w:rFonts w:ascii="Palatino Linotype" w:eastAsia="MS Mincho" w:hAnsi="Palatino Linotype" w:cs="Times New Roman"/>
          <w:sz w:val="24"/>
          <w:szCs w:val="24"/>
          <w:lang w:val="es-ES_tradnl" w:eastAsia="es-ES"/>
        </w:rPr>
      </w:pPr>
    </w:p>
    <w:p w14:paraId="170203A2" w14:textId="0707630D" w:rsidR="008D209E" w:rsidRPr="008D209E" w:rsidRDefault="008D209E" w:rsidP="008D209E">
      <w:pPr>
        <w:spacing w:after="0" w:line="360" w:lineRule="auto"/>
        <w:jc w:val="both"/>
        <w:rPr>
          <w:rFonts w:ascii="Palatino Linotype" w:eastAsia="Times New Roman" w:hAnsi="Palatino Linotype" w:cs="Times New Roman"/>
          <w:sz w:val="24"/>
          <w:szCs w:val="24"/>
        </w:rPr>
      </w:pPr>
      <w:r w:rsidRPr="008D209E">
        <w:rPr>
          <w:rFonts w:ascii="Palatino Linotype" w:eastAsia="Times New Roman" w:hAnsi="Palatino Linotype" w:cs="Arial"/>
          <w:b/>
          <w:sz w:val="24"/>
          <w:szCs w:val="24"/>
        </w:rPr>
        <w:t xml:space="preserve">PRIMERO. </w:t>
      </w:r>
      <w:r w:rsidRPr="008D209E">
        <w:rPr>
          <w:rFonts w:ascii="Palatino Linotype" w:eastAsia="Times New Roman" w:hAnsi="Palatino Linotype" w:cs="Arial"/>
          <w:sz w:val="24"/>
          <w:szCs w:val="24"/>
        </w:rPr>
        <w:t>Resultan parcialmente fundadas las</w:t>
      </w:r>
      <w:r w:rsidRPr="008D209E">
        <w:rPr>
          <w:rFonts w:ascii="Palatino Linotype" w:eastAsia="Times New Roman" w:hAnsi="Palatino Linotype" w:cs="Arial"/>
          <w:b/>
          <w:sz w:val="24"/>
          <w:szCs w:val="24"/>
        </w:rPr>
        <w:t xml:space="preserve"> </w:t>
      </w:r>
      <w:r w:rsidRPr="008D209E">
        <w:rPr>
          <w:rFonts w:ascii="Palatino Linotype" w:eastAsia="Times New Roman" w:hAnsi="Palatino Linotype" w:cs="Arial"/>
          <w:sz w:val="24"/>
          <w:szCs w:val="24"/>
          <w:lang w:val="es-ES"/>
        </w:rPr>
        <w:t xml:space="preserve">razones o motivos de inconformidad hechos valer </w:t>
      </w:r>
      <w:r w:rsidRPr="008D209E">
        <w:rPr>
          <w:rFonts w:ascii="Palatino Linotype" w:eastAsia="Calibri" w:hAnsi="Palatino Linotype" w:cs="Arial"/>
          <w:sz w:val="24"/>
          <w:szCs w:val="24"/>
          <w:lang w:val="es-ES"/>
        </w:rPr>
        <w:t xml:space="preserve">en el recurso de revisión </w:t>
      </w:r>
      <w:r w:rsidR="004A3550">
        <w:rPr>
          <w:rFonts w:ascii="Palatino Linotype" w:eastAsia="Times New Roman" w:hAnsi="Palatino Linotype" w:cs="Times New Roman"/>
          <w:b/>
          <w:sz w:val="24"/>
          <w:szCs w:val="24"/>
        </w:rPr>
        <w:t>01608/INFOEM/IP/RR/2022</w:t>
      </w:r>
      <w:r w:rsidRPr="008D209E">
        <w:rPr>
          <w:rFonts w:ascii="Palatino Linotype" w:eastAsia="Times New Roman" w:hAnsi="Palatino Linotype" w:cs="Times New Roman"/>
          <w:b/>
          <w:sz w:val="24"/>
          <w:szCs w:val="24"/>
        </w:rPr>
        <w:t xml:space="preserve"> </w:t>
      </w:r>
      <w:r w:rsidRPr="008D209E">
        <w:rPr>
          <w:rFonts w:ascii="Palatino Linotype" w:eastAsia="Times New Roman" w:hAnsi="Palatino Linotype" w:cs="Times New Roman"/>
          <w:sz w:val="24"/>
          <w:szCs w:val="24"/>
        </w:rPr>
        <w:t>en términos de los</w:t>
      </w:r>
      <w:r w:rsidRPr="008D209E">
        <w:rPr>
          <w:rFonts w:ascii="Palatino Linotype" w:eastAsia="Times New Roman" w:hAnsi="Palatino Linotype" w:cs="Times New Roman"/>
          <w:b/>
          <w:bCs/>
          <w:sz w:val="24"/>
          <w:szCs w:val="24"/>
        </w:rPr>
        <w:t xml:space="preserve"> Considerandos</w:t>
      </w:r>
      <w:r w:rsidRPr="008D209E">
        <w:rPr>
          <w:rFonts w:ascii="Palatino Linotype" w:eastAsia="Times New Roman" w:hAnsi="Palatino Linotype" w:cs="Times New Roman"/>
          <w:sz w:val="24"/>
          <w:szCs w:val="24"/>
        </w:rPr>
        <w:t xml:space="preserve"> </w:t>
      </w:r>
      <w:r w:rsidRPr="008D209E">
        <w:rPr>
          <w:rFonts w:ascii="Palatino Linotype" w:eastAsia="Times New Roman" w:hAnsi="Palatino Linotype" w:cs="Times New Roman"/>
          <w:b/>
          <w:sz w:val="24"/>
          <w:szCs w:val="24"/>
        </w:rPr>
        <w:t>CUARTO</w:t>
      </w:r>
      <w:r w:rsidRPr="008D209E">
        <w:rPr>
          <w:rFonts w:ascii="Palatino Linotype" w:eastAsia="Times New Roman" w:hAnsi="Palatino Linotype" w:cs="Times New Roman"/>
          <w:sz w:val="24"/>
          <w:szCs w:val="24"/>
        </w:rPr>
        <w:t xml:space="preserve"> y </w:t>
      </w:r>
      <w:r w:rsidRPr="008D209E">
        <w:rPr>
          <w:rFonts w:ascii="Palatino Linotype" w:eastAsia="Times New Roman" w:hAnsi="Palatino Linotype" w:cs="Times New Roman"/>
          <w:b/>
          <w:bCs/>
          <w:sz w:val="24"/>
          <w:szCs w:val="24"/>
        </w:rPr>
        <w:t>QUINTO</w:t>
      </w:r>
      <w:r w:rsidRPr="008D209E">
        <w:rPr>
          <w:rFonts w:ascii="Palatino Linotype" w:eastAsia="Times New Roman" w:hAnsi="Palatino Linotype" w:cs="Times New Roman"/>
          <w:sz w:val="24"/>
          <w:szCs w:val="24"/>
        </w:rPr>
        <w:t xml:space="preserve"> de la presente resolución.</w:t>
      </w:r>
    </w:p>
    <w:p w14:paraId="43522B54" w14:textId="77777777" w:rsidR="008D209E" w:rsidRPr="008D209E" w:rsidRDefault="008D209E" w:rsidP="008D209E">
      <w:pPr>
        <w:spacing w:after="0" w:line="360" w:lineRule="auto"/>
        <w:contextualSpacing/>
        <w:jc w:val="both"/>
        <w:rPr>
          <w:rFonts w:ascii="Palatino Linotype" w:eastAsia="Calibri" w:hAnsi="Palatino Linotype" w:cs="Arial"/>
          <w:b/>
          <w:bCs/>
          <w:sz w:val="24"/>
          <w:szCs w:val="24"/>
          <w:lang w:val="es-ES"/>
        </w:rPr>
      </w:pPr>
    </w:p>
    <w:p w14:paraId="42550850" w14:textId="0B41F907" w:rsidR="008D209E" w:rsidRPr="008D209E" w:rsidRDefault="008D209E" w:rsidP="008D209E">
      <w:pPr>
        <w:spacing w:after="0" w:line="360" w:lineRule="auto"/>
        <w:contextualSpacing/>
        <w:jc w:val="both"/>
        <w:rPr>
          <w:rFonts w:ascii="Palatino Linotype" w:eastAsia="Times New Roman" w:hAnsi="Palatino Linotype" w:cs="Arial"/>
          <w:color w:val="000000"/>
          <w:sz w:val="24"/>
          <w:szCs w:val="24"/>
        </w:rPr>
      </w:pPr>
      <w:r w:rsidRPr="008D209E">
        <w:rPr>
          <w:rFonts w:ascii="Palatino Linotype" w:eastAsia="Calibri" w:hAnsi="Palatino Linotype" w:cs="Arial"/>
          <w:b/>
          <w:bCs/>
          <w:sz w:val="24"/>
          <w:szCs w:val="24"/>
          <w:lang w:val="es-ES"/>
        </w:rPr>
        <w:t xml:space="preserve">SEGUNDO. </w:t>
      </w:r>
      <w:r w:rsidRPr="008D209E">
        <w:rPr>
          <w:rFonts w:ascii="Palatino Linotype" w:eastAsia="Calibri" w:hAnsi="Palatino Linotype" w:cs="Arial"/>
          <w:sz w:val="24"/>
          <w:szCs w:val="24"/>
          <w:lang w:val="es-ES"/>
        </w:rPr>
        <w:t xml:space="preserve">Se </w:t>
      </w:r>
      <w:r w:rsidR="00A6132E">
        <w:rPr>
          <w:rFonts w:ascii="Palatino Linotype" w:eastAsia="Calibri" w:hAnsi="Palatino Linotype" w:cs="Arial"/>
          <w:b/>
          <w:sz w:val="24"/>
          <w:szCs w:val="24"/>
          <w:lang w:val="es-ES"/>
        </w:rPr>
        <w:t>REVOCA</w:t>
      </w:r>
      <w:r w:rsidRPr="008D209E">
        <w:rPr>
          <w:rFonts w:ascii="Palatino Linotype" w:eastAsia="Calibri" w:hAnsi="Palatino Linotype" w:cs="Arial"/>
          <w:sz w:val="24"/>
          <w:szCs w:val="24"/>
          <w:lang w:val="es-ES"/>
        </w:rPr>
        <w:t xml:space="preserve"> la respuesta emitida por </w:t>
      </w:r>
      <w:r>
        <w:rPr>
          <w:rFonts w:ascii="Palatino Linotype" w:eastAsia="Calibri" w:hAnsi="Palatino Linotype" w:cs="Arial"/>
          <w:sz w:val="24"/>
          <w:szCs w:val="24"/>
          <w:lang w:val="es-ES"/>
        </w:rPr>
        <w:t>el</w:t>
      </w:r>
      <w:r w:rsidRPr="008D209E">
        <w:rPr>
          <w:rFonts w:ascii="Palatino Linotype" w:eastAsia="Calibri" w:hAnsi="Palatino Linotype" w:cs="Arial"/>
          <w:sz w:val="24"/>
          <w:szCs w:val="24"/>
          <w:lang w:val="es-ES"/>
        </w:rPr>
        <w:t xml:space="preserve"> </w:t>
      </w:r>
      <w:r w:rsidR="004A3550">
        <w:rPr>
          <w:rFonts w:ascii="Palatino Linotype" w:eastAsia="Calibri" w:hAnsi="Palatino Linotype" w:cs="Arial"/>
          <w:b/>
          <w:sz w:val="24"/>
          <w:szCs w:val="24"/>
        </w:rPr>
        <w:t>Sistema Municipal para el Desarrollo Integral de la Familia de Metepec</w:t>
      </w:r>
      <w:r w:rsidRPr="008D209E">
        <w:rPr>
          <w:rFonts w:ascii="Palatino Linotype" w:eastAsia="Calibri" w:hAnsi="Palatino Linotype" w:cs="Arial"/>
          <w:bCs/>
          <w:sz w:val="24"/>
          <w:szCs w:val="24"/>
        </w:rPr>
        <w:t xml:space="preserve"> a la solicitud </w:t>
      </w:r>
      <w:r w:rsidR="004A3550">
        <w:rPr>
          <w:rFonts w:ascii="Palatino Linotype" w:eastAsia="Calibri" w:hAnsi="Palatino Linotype" w:cs="Arial"/>
          <w:b/>
          <w:sz w:val="24"/>
          <w:szCs w:val="24"/>
        </w:rPr>
        <w:t>00327/METEPEC/IP/2022</w:t>
      </w:r>
      <w:r w:rsidRPr="008D209E">
        <w:rPr>
          <w:rFonts w:ascii="Palatino Linotype" w:eastAsia="Calibri" w:hAnsi="Palatino Linotype" w:cs="Arial"/>
          <w:b/>
          <w:sz w:val="24"/>
          <w:szCs w:val="24"/>
        </w:rPr>
        <w:t xml:space="preserve"> </w:t>
      </w:r>
      <w:r w:rsidRPr="008D209E">
        <w:rPr>
          <w:rFonts w:ascii="Palatino Linotype" w:eastAsia="Calibri" w:hAnsi="Palatino Linotype" w:cs="Arial"/>
          <w:sz w:val="24"/>
          <w:szCs w:val="24"/>
        </w:rPr>
        <w:t xml:space="preserve">y se </w:t>
      </w:r>
      <w:r w:rsidRPr="008D209E">
        <w:rPr>
          <w:rFonts w:ascii="Palatino Linotype" w:eastAsia="Calibri" w:hAnsi="Palatino Linotype" w:cs="Arial"/>
          <w:b/>
          <w:sz w:val="24"/>
          <w:szCs w:val="24"/>
        </w:rPr>
        <w:t>ORDENA</w:t>
      </w:r>
      <w:r w:rsidRPr="008D209E">
        <w:rPr>
          <w:rFonts w:ascii="Palatino Linotype" w:eastAsia="Calibri" w:hAnsi="Palatino Linotype" w:cs="Arial"/>
          <w:b/>
          <w:sz w:val="24"/>
          <w:szCs w:val="24"/>
          <w:lang w:val="es-ES"/>
        </w:rPr>
        <w:t xml:space="preserve"> </w:t>
      </w:r>
      <w:r w:rsidRPr="008D209E">
        <w:rPr>
          <w:rFonts w:ascii="Palatino Linotype" w:eastAsia="Calibri" w:hAnsi="Palatino Linotype" w:cs="Arial"/>
          <w:sz w:val="24"/>
          <w:szCs w:val="24"/>
          <w:lang w:val="es-ES"/>
        </w:rPr>
        <w:t xml:space="preserve">entregar, </w:t>
      </w:r>
      <w:bookmarkStart w:id="51" w:name="_Toc460947013"/>
      <w:r w:rsidRPr="008D209E">
        <w:rPr>
          <w:rFonts w:ascii="Palatino Linotype" w:eastAsia="Calibri" w:hAnsi="Palatino Linotype" w:cs="Arial"/>
          <w:sz w:val="24"/>
          <w:szCs w:val="24"/>
          <w:lang w:val="es-ES"/>
        </w:rPr>
        <w:t>a través del Sistema de Acceso a la Información Pública Mexiquense (SAIMEX)</w:t>
      </w:r>
      <w:r w:rsidRPr="008D209E">
        <w:rPr>
          <w:rFonts w:ascii="Palatino Linotype" w:eastAsia="Times New Roman" w:hAnsi="Palatino Linotype" w:cs="Arial"/>
          <w:color w:val="000000"/>
          <w:sz w:val="24"/>
          <w:szCs w:val="24"/>
        </w:rPr>
        <w:t xml:space="preserve">, </w:t>
      </w:r>
      <w:r>
        <w:rPr>
          <w:rFonts w:ascii="Palatino Linotype" w:eastAsia="Times New Roman" w:hAnsi="Palatino Linotype" w:cs="Arial"/>
          <w:color w:val="000000"/>
          <w:sz w:val="24"/>
          <w:szCs w:val="24"/>
        </w:rPr>
        <w:t>previa búsqueda exhaustiva y razonable,</w:t>
      </w:r>
      <w:r w:rsidR="00742EC6">
        <w:rPr>
          <w:rFonts w:ascii="Palatino Linotype" w:eastAsia="Times New Roman" w:hAnsi="Palatino Linotype" w:cs="Arial"/>
          <w:color w:val="000000"/>
          <w:sz w:val="24"/>
          <w:szCs w:val="24"/>
        </w:rPr>
        <w:t xml:space="preserve"> de ser procedente</w:t>
      </w:r>
      <w:r>
        <w:rPr>
          <w:rFonts w:ascii="Palatino Linotype" w:eastAsia="Times New Roman" w:hAnsi="Palatino Linotype" w:cs="Arial"/>
          <w:color w:val="000000"/>
          <w:sz w:val="24"/>
          <w:szCs w:val="24"/>
        </w:rPr>
        <w:t xml:space="preserve"> </w:t>
      </w:r>
      <w:r w:rsidRPr="008D209E">
        <w:rPr>
          <w:rFonts w:ascii="Palatino Linotype" w:eastAsia="Times New Roman" w:hAnsi="Palatino Linotype" w:cs="Arial"/>
          <w:color w:val="000000"/>
          <w:sz w:val="24"/>
          <w:szCs w:val="24"/>
        </w:rPr>
        <w:t xml:space="preserve">en versión pública, </w:t>
      </w:r>
      <w:r w:rsidR="00742EC6">
        <w:rPr>
          <w:rFonts w:ascii="Palatino Linotype" w:eastAsia="Times New Roman" w:hAnsi="Palatino Linotype" w:cs="Arial"/>
          <w:color w:val="000000"/>
          <w:sz w:val="24"/>
          <w:szCs w:val="24"/>
        </w:rPr>
        <w:t xml:space="preserve">los documentos donde conste </w:t>
      </w:r>
      <w:r w:rsidRPr="008D209E">
        <w:rPr>
          <w:rFonts w:ascii="Palatino Linotype" w:eastAsia="Times New Roman" w:hAnsi="Palatino Linotype" w:cs="Arial"/>
          <w:color w:val="000000"/>
          <w:sz w:val="24"/>
          <w:szCs w:val="24"/>
        </w:rPr>
        <w:t xml:space="preserve">la siguiente información: </w:t>
      </w:r>
    </w:p>
    <w:p w14:paraId="532CB3E3" w14:textId="77777777" w:rsidR="008D209E" w:rsidRPr="008D209E" w:rsidRDefault="008D209E" w:rsidP="008D209E">
      <w:pPr>
        <w:spacing w:after="0" w:line="360" w:lineRule="auto"/>
        <w:ind w:right="616"/>
        <w:jc w:val="both"/>
        <w:rPr>
          <w:rFonts w:ascii="Palatino Linotype" w:hAnsi="Palatino Linotype"/>
          <w:b/>
          <w:bCs/>
          <w:sz w:val="24"/>
          <w:szCs w:val="24"/>
        </w:rPr>
      </w:pPr>
      <w:bookmarkStart w:id="52" w:name="_Hlk22229143"/>
    </w:p>
    <w:bookmarkEnd w:id="52"/>
    <w:p w14:paraId="74FDE899" w14:textId="069715E2" w:rsidR="008D209E" w:rsidRPr="002F59F4" w:rsidRDefault="00742EC6" w:rsidP="00A106A2">
      <w:pPr>
        <w:pStyle w:val="Prrafodelista"/>
        <w:numPr>
          <w:ilvl w:val="0"/>
          <w:numId w:val="17"/>
        </w:numPr>
        <w:tabs>
          <w:tab w:val="left" w:pos="993"/>
        </w:tabs>
        <w:spacing w:line="360" w:lineRule="auto"/>
        <w:ind w:left="851" w:right="567" w:hanging="284"/>
        <w:contextualSpacing/>
        <w:jc w:val="both"/>
        <w:rPr>
          <w:rFonts w:ascii="Palatino Linotype" w:hAnsi="Palatino Linotype"/>
          <w:color w:val="000000"/>
          <w:sz w:val="24"/>
          <w:szCs w:val="24"/>
        </w:rPr>
      </w:pPr>
      <w:r>
        <w:rPr>
          <w:rFonts w:ascii="Palatino Linotype" w:hAnsi="Palatino Linotype"/>
          <w:b/>
          <w:bCs/>
          <w:color w:val="000000"/>
          <w:sz w:val="24"/>
          <w:szCs w:val="24"/>
        </w:rPr>
        <w:t>Los gastos generados con motivo del Primer Foro Internacional 2022 “Para la Igualdad de Género en Metepec”, llevado a cabo el treinta y uno (31) de enero de dos mil veintidós.</w:t>
      </w:r>
    </w:p>
    <w:p w14:paraId="4BD12D51" w14:textId="77777777" w:rsidR="008D209E" w:rsidRPr="008D209E" w:rsidRDefault="008D209E" w:rsidP="008D209E">
      <w:pPr>
        <w:spacing w:after="0" w:line="360" w:lineRule="auto"/>
        <w:jc w:val="both"/>
        <w:rPr>
          <w:rFonts w:ascii="Palatino Linotype" w:eastAsia="MS Mincho" w:hAnsi="Palatino Linotype" w:cs="Times New Roman"/>
          <w:b/>
          <w:color w:val="000000"/>
          <w:sz w:val="24"/>
          <w:szCs w:val="24"/>
        </w:rPr>
      </w:pPr>
    </w:p>
    <w:p w14:paraId="32C46075" w14:textId="3E5B06FB" w:rsidR="008D209E" w:rsidRDefault="008D209E" w:rsidP="008D209E">
      <w:pPr>
        <w:tabs>
          <w:tab w:val="left" w:pos="993"/>
        </w:tabs>
        <w:spacing w:after="0" w:line="360" w:lineRule="auto"/>
        <w:jc w:val="both"/>
        <w:rPr>
          <w:rFonts w:ascii="Palatino Linotype" w:eastAsia="Calibri" w:hAnsi="Palatino Linotype" w:cs="Arial"/>
          <w:sz w:val="24"/>
          <w:szCs w:val="24"/>
        </w:rPr>
      </w:pPr>
      <w:r w:rsidRPr="008D209E">
        <w:rPr>
          <w:rFonts w:ascii="Palatino Linotype" w:hAnsi="Palatino Linotype"/>
          <w:color w:val="000000"/>
          <w:sz w:val="24"/>
          <w:szCs w:val="24"/>
        </w:rPr>
        <w:t xml:space="preserve">Para </w:t>
      </w:r>
      <w:r w:rsidRPr="008D209E">
        <w:rPr>
          <w:rFonts w:ascii="Palatino Linotype" w:eastAsia="Calibri" w:hAnsi="Palatino Linotype" w:cs="Arial"/>
          <w:sz w:val="24"/>
          <w:szCs w:val="24"/>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w:t>
      </w:r>
      <w:r w:rsidRPr="008D209E">
        <w:rPr>
          <w:rFonts w:ascii="Palatino Linotype" w:eastAsia="Calibri" w:hAnsi="Palatino Linotype" w:cs="Arial"/>
          <w:sz w:val="24"/>
          <w:szCs w:val="24"/>
        </w:rPr>
        <w:lastRenderedPageBreak/>
        <w:t xml:space="preserve">dentro del soporte documental respectivo objeto de las versiones públicas que se formulen, y se ponga a disposición del </w:t>
      </w:r>
      <w:r w:rsidRPr="008D209E">
        <w:rPr>
          <w:rFonts w:ascii="Palatino Linotype" w:eastAsia="Calibri" w:hAnsi="Palatino Linotype" w:cs="Arial"/>
          <w:b/>
          <w:sz w:val="24"/>
          <w:szCs w:val="24"/>
        </w:rPr>
        <w:t>RECURRENTE</w:t>
      </w:r>
      <w:r w:rsidRPr="008D209E">
        <w:rPr>
          <w:rFonts w:ascii="Palatino Linotype" w:eastAsia="Calibri" w:hAnsi="Palatino Linotype" w:cs="Arial"/>
          <w:sz w:val="24"/>
          <w:szCs w:val="24"/>
        </w:rPr>
        <w:t>.</w:t>
      </w:r>
    </w:p>
    <w:p w14:paraId="01A19E19" w14:textId="77777777" w:rsidR="002F59F4" w:rsidRDefault="002F59F4" w:rsidP="008D209E">
      <w:pPr>
        <w:tabs>
          <w:tab w:val="left" w:pos="993"/>
        </w:tabs>
        <w:spacing w:after="0" w:line="360" w:lineRule="auto"/>
        <w:jc w:val="both"/>
        <w:rPr>
          <w:rFonts w:ascii="Palatino Linotype" w:eastAsia="Calibri" w:hAnsi="Palatino Linotype" w:cs="Arial"/>
          <w:sz w:val="24"/>
          <w:szCs w:val="24"/>
        </w:rPr>
      </w:pPr>
    </w:p>
    <w:p w14:paraId="5F643551" w14:textId="505468D7" w:rsidR="008D209E" w:rsidRPr="008D209E" w:rsidRDefault="008D209E" w:rsidP="008D209E">
      <w:pPr>
        <w:tabs>
          <w:tab w:val="left" w:pos="993"/>
        </w:tabs>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Por otro lado, de ser el </w:t>
      </w:r>
      <w:r w:rsidRPr="008D209E">
        <w:rPr>
          <w:rFonts w:ascii="Palatino Linotype" w:eastAsia="Calibri" w:hAnsi="Palatino Linotype" w:cs="Arial"/>
          <w:sz w:val="24"/>
          <w:szCs w:val="24"/>
        </w:rPr>
        <w:t xml:space="preserve">caso de que la información </w:t>
      </w:r>
      <w:r>
        <w:rPr>
          <w:rFonts w:ascii="Palatino Linotype" w:eastAsia="Calibri" w:hAnsi="Palatino Linotype" w:cs="Arial"/>
          <w:sz w:val="24"/>
          <w:szCs w:val="24"/>
        </w:rPr>
        <w:t>que se ordena entregar</w:t>
      </w:r>
      <w:r w:rsidRPr="008D209E">
        <w:rPr>
          <w:rFonts w:ascii="Palatino Linotype" w:eastAsia="Calibri" w:hAnsi="Palatino Linotype" w:cs="Arial"/>
          <w:sz w:val="24"/>
          <w:szCs w:val="24"/>
        </w:rPr>
        <w:t xml:space="preserve"> no haya sido generada, poseída o administrada, el </w:t>
      </w:r>
      <w:r w:rsidRPr="008D209E">
        <w:rPr>
          <w:rFonts w:ascii="Palatino Linotype" w:eastAsia="Calibri" w:hAnsi="Palatino Linotype" w:cs="Arial"/>
          <w:b/>
          <w:bCs/>
          <w:sz w:val="24"/>
          <w:szCs w:val="24"/>
        </w:rPr>
        <w:t>SUJETO OBLIGADO</w:t>
      </w:r>
      <w:r w:rsidRPr="008D209E">
        <w:rPr>
          <w:rFonts w:ascii="Palatino Linotype" w:eastAsia="Calibri" w:hAnsi="Palatino Linotype" w:cs="Arial"/>
          <w:sz w:val="24"/>
          <w:szCs w:val="24"/>
        </w:rPr>
        <w:t xml:space="preserve"> deberá </w:t>
      </w:r>
      <w:r>
        <w:rPr>
          <w:rFonts w:ascii="Palatino Linotype" w:eastAsia="Calibri" w:hAnsi="Palatino Linotype" w:cs="Arial"/>
          <w:sz w:val="24"/>
          <w:szCs w:val="24"/>
        </w:rPr>
        <w:t xml:space="preserve">informar </w:t>
      </w:r>
      <w:r w:rsidR="00F474CC">
        <w:rPr>
          <w:rFonts w:ascii="Palatino Linotype" w:eastAsia="Calibri" w:hAnsi="Palatino Linotype" w:cs="Arial"/>
          <w:sz w:val="24"/>
          <w:szCs w:val="24"/>
        </w:rPr>
        <w:t xml:space="preserve">al </w:t>
      </w:r>
      <w:r w:rsidR="00F474CC">
        <w:rPr>
          <w:rFonts w:ascii="Palatino Linotype" w:eastAsia="Calibri" w:hAnsi="Palatino Linotype" w:cs="Arial"/>
          <w:b/>
          <w:bCs/>
          <w:sz w:val="24"/>
          <w:szCs w:val="24"/>
        </w:rPr>
        <w:t>RECURRENTE</w:t>
      </w:r>
      <w:r w:rsidR="00F474CC">
        <w:rPr>
          <w:rFonts w:ascii="Palatino Linotype" w:eastAsia="Calibri" w:hAnsi="Palatino Linotype" w:cs="Arial"/>
          <w:sz w:val="24"/>
          <w:szCs w:val="24"/>
        </w:rPr>
        <w:t xml:space="preserve"> </w:t>
      </w:r>
      <w:r>
        <w:rPr>
          <w:rFonts w:ascii="Palatino Linotype" w:eastAsia="Calibri" w:hAnsi="Palatino Linotype" w:cs="Arial"/>
          <w:sz w:val="24"/>
          <w:szCs w:val="24"/>
        </w:rPr>
        <w:t>sobre</w:t>
      </w:r>
      <w:r w:rsidRPr="008D209E">
        <w:rPr>
          <w:rFonts w:ascii="Palatino Linotype" w:eastAsia="Calibri" w:hAnsi="Palatino Linotype" w:cs="Arial"/>
          <w:sz w:val="24"/>
          <w:szCs w:val="24"/>
        </w:rPr>
        <w:t xml:space="preserve"> las </w:t>
      </w:r>
      <w:r>
        <w:rPr>
          <w:rFonts w:ascii="Palatino Linotype" w:eastAsia="Calibri" w:hAnsi="Palatino Linotype" w:cs="Arial"/>
          <w:sz w:val="24"/>
          <w:szCs w:val="24"/>
        </w:rPr>
        <w:t>razones</w:t>
      </w:r>
      <w:r w:rsidRPr="008D209E">
        <w:rPr>
          <w:rFonts w:ascii="Palatino Linotype" w:eastAsia="Calibri" w:hAnsi="Palatino Linotype" w:cs="Arial"/>
          <w:sz w:val="24"/>
          <w:szCs w:val="24"/>
        </w:rPr>
        <w:t xml:space="preserve"> por las que no se cuente con la información requerida</w:t>
      </w:r>
      <w:r w:rsidR="00F474CC">
        <w:rPr>
          <w:rFonts w:ascii="Palatino Linotype" w:eastAsia="Calibri" w:hAnsi="Palatino Linotype" w:cs="Arial"/>
          <w:sz w:val="24"/>
          <w:szCs w:val="24"/>
        </w:rPr>
        <w:t xml:space="preserve"> de manera clara y precisa.</w:t>
      </w:r>
    </w:p>
    <w:p w14:paraId="32B52ECA" w14:textId="77777777" w:rsidR="008D209E" w:rsidRPr="008D209E" w:rsidRDefault="008D209E" w:rsidP="008D209E">
      <w:pPr>
        <w:spacing w:after="0" w:line="360" w:lineRule="auto"/>
        <w:jc w:val="both"/>
        <w:rPr>
          <w:rFonts w:ascii="Palatino Linotype" w:eastAsia="MS Mincho" w:hAnsi="Palatino Linotype" w:cs="Times New Roman"/>
          <w:b/>
          <w:color w:val="000000"/>
          <w:sz w:val="24"/>
          <w:szCs w:val="24"/>
        </w:rPr>
      </w:pPr>
    </w:p>
    <w:p w14:paraId="6BD0BD64" w14:textId="462766C5" w:rsidR="008D209E" w:rsidRPr="008D209E" w:rsidRDefault="008D209E" w:rsidP="008D209E">
      <w:pPr>
        <w:spacing w:after="0" w:line="360" w:lineRule="auto"/>
        <w:jc w:val="both"/>
        <w:rPr>
          <w:rFonts w:ascii="Palatino Linotype" w:eastAsia="MS Mincho" w:hAnsi="Palatino Linotype" w:cs="Times New Roman"/>
          <w:color w:val="000000"/>
          <w:sz w:val="24"/>
          <w:szCs w:val="24"/>
        </w:rPr>
      </w:pPr>
      <w:r w:rsidRPr="008D209E">
        <w:rPr>
          <w:rFonts w:ascii="Palatino Linotype" w:eastAsia="MS Mincho" w:hAnsi="Palatino Linotype" w:cs="Times New Roman"/>
          <w:b/>
          <w:color w:val="000000"/>
          <w:sz w:val="24"/>
          <w:szCs w:val="24"/>
        </w:rPr>
        <w:t>TERCERO.</w:t>
      </w:r>
      <w:r w:rsidRPr="008D209E">
        <w:rPr>
          <w:rFonts w:ascii="Palatino Linotype" w:eastAsia="MS Mincho" w:hAnsi="Palatino Linotype" w:cs="Times New Roman"/>
          <w:color w:val="000000"/>
          <w:sz w:val="24"/>
          <w:szCs w:val="24"/>
        </w:rPr>
        <w:t xml:space="preserve"> Notifíquese al Titular de la Unidad de Transparencia del</w:t>
      </w:r>
      <w:r w:rsidRPr="008D209E">
        <w:rPr>
          <w:rFonts w:ascii="Palatino Linotype" w:eastAsia="MS Mincho" w:hAnsi="Palatino Linotype" w:cs="Times New Roman"/>
          <w:b/>
          <w:color w:val="000000"/>
          <w:sz w:val="24"/>
          <w:szCs w:val="24"/>
        </w:rPr>
        <w:t xml:space="preserve"> SUJETO OBLIGADO</w:t>
      </w:r>
      <w:r w:rsidRPr="008D209E">
        <w:rPr>
          <w:rFonts w:ascii="Palatino Linotype" w:eastAsia="MS Mincho" w:hAnsi="Palatino Linotype" w:cs="Times New Roman"/>
          <w:color w:val="000000"/>
          <w:sz w:val="24"/>
          <w:szCs w:val="24"/>
        </w:rPr>
        <w:t>,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w:t>
      </w:r>
      <w:bookmarkStart w:id="53" w:name="_GoBack"/>
      <w:bookmarkEnd w:id="53"/>
      <w:r w:rsidRPr="008D209E">
        <w:rPr>
          <w:rFonts w:ascii="Palatino Linotype" w:eastAsia="MS Mincho" w:hAnsi="Palatino Linotype" w:cs="Times New Roman"/>
          <w:color w:val="000000"/>
          <w:sz w:val="24"/>
          <w:szCs w:val="24"/>
        </w:rPr>
        <w:t>as hábiles posteriores.</w:t>
      </w:r>
    </w:p>
    <w:p w14:paraId="41FEA681" w14:textId="77777777" w:rsidR="008D209E" w:rsidRPr="008D209E" w:rsidRDefault="008D209E" w:rsidP="008D209E">
      <w:pPr>
        <w:spacing w:after="0" w:line="360" w:lineRule="auto"/>
        <w:jc w:val="both"/>
        <w:rPr>
          <w:rFonts w:ascii="Palatino Linotype" w:eastAsia="MS Mincho" w:hAnsi="Palatino Linotype" w:cs="Times New Roman"/>
          <w:color w:val="000000"/>
          <w:sz w:val="24"/>
          <w:szCs w:val="24"/>
        </w:rPr>
      </w:pPr>
    </w:p>
    <w:p w14:paraId="61468265" w14:textId="77777777" w:rsidR="008D209E" w:rsidRPr="008D209E" w:rsidRDefault="008D209E" w:rsidP="008D209E">
      <w:pPr>
        <w:spacing w:after="0" w:line="360" w:lineRule="auto"/>
        <w:jc w:val="both"/>
        <w:rPr>
          <w:rFonts w:ascii="Palatino Linotype" w:eastAsia="MS Mincho" w:hAnsi="Palatino Linotype" w:cs="Times New Roman"/>
          <w:color w:val="000000"/>
          <w:sz w:val="24"/>
          <w:szCs w:val="24"/>
        </w:rPr>
      </w:pPr>
      <w:r w:rsidRPr="008D209E">
        <w:rPr>
          <w:rFonts w:ascii="Palatino Linotype" w:eastAsia="MS Mincho" w:hAnsi="Palatino Linotype" w:cs="Times New Roman"/>
          <w:b/>
          <w:bCs/>
          <w:color w:val="000000"/>
          <w:sz w:val="24"/>
          <w:szCs w:val="24"/>
        </w:rPr>
        <w:t>CUARTO.</w:t>
      </w:r>
      <w:r w:rsidRPr="008D209E">
        <w:rPr>
          <w:rFonts w:ascii="Palatino Linotype" w:eastAsia="MS Mincho" w:hAnsi="Palatino Linotype" w:cs="Times New Roman"/>
          <w:color w:val="000000"/>
          <w:sz w:val="24"/>
          <w:szCs w:val="24"/>
        </w:rPr>
        <w:t xml:space="preserve"> De </w:t>
      </w:r>
      <w:r w:rsidRPr="008D209E">
        <w:rPr>
          <w:rFonts w:ascii="Palatino Linotype" w:eastAsia="MS Mincho" w:hAnsi="Palatino Linotype" w:cs="Times New Roman"/>
          <w:bCs/>
          <w:color w:val="000000"/>
          <w:sz w:val="24"/>
          <w:szCs w:val="24"/>
        </w:rPr>
        <w:t xml:space="preserve">conformidad con el artículo 198 de la Ley de Transparencia y Acceso a la Información Pública del Estado de México y Municipios, de considerarlo procedente, el </w:t>
      </w:r>
      <w:r w:rsidRPr="008D209E">
        <w:rPr>
          <w:rFonts w:ascii="Palatino Linotype" w:eastAsia="MS Mincho" w:hAnsi="Palatino Linotype" w:cs="Times New Roman"/>
          <w:b/>
          <w:color w:val="000000"/>
          <w:sz w:val="24"/>
          <w:szCs w:val="24"/>
        </w:rPr>
        <w:t>SUJETO OBLIGADO,</w:t>
      </w:r>
      <w:r w:rsidRPr="008D209E">
        <w:rPr>
          <w:rFonts w:ascii="Palatino Linotype" w:eastAsia="MS Mincho" w:hAnsi="Palatino Linotype" w:cs="Times New Roman"/>
          <w:bCs/>
          <w:color w:val="000000"/>
          <w:sz w:val="24"/>
          <w:szCs w:val="24"/>
        </w:rPr>
        <w:t xml:space="preserve"> de manera fundada y motivada, podrá solicitar una ampliación de plazo para el cumplimiento de la presente resolución.</w:t>
      </w:r>
    </w:p>
    <w:p w14:paraId="69054D3B" w14:textId="77777777" w:rsidR="008D209E" w:rsidRPr="008D209E" w:rsidRDefault="008D209E" w:rsidP="008D209E">
      <w:pPr>
        <w:spacing w:after="0" w:line="360" w:lineRule="auto"/>
        <w:jc w:val="both"/>
        <w:rPr>
          <w:rFonts w:ascii="Palatino Linotype" w:eastAsia="MS Mincho" w:hAnsi="Palatino Linotype" w:cs="Times New Roman"/>
          <w:color w:val="000000"/>
          <w:sz w:val="24"/>
          <w:szCs w:val="24"/>
        </w:rPr>
      </w:pPr>
    </w:p>
    <w:p w14:paraId="0B70C9E5" w14:textId="77777777" w:rsidR="008D209E" w:rsidRPr="008D209E" w:rsidRDefault="008D209E" w:rsidP="008D209E">
      <w:pPr>
        <w:spacing w:after="0" w:line="360" w:lineRule="auto"/>
        <w:jc w:val="both"/>
        <w:rPr>
          <w:rFonts w:ascii="Palatino Linotype" w:eastAsia="MS Mincho" w:hAnsi="Palatino Linotype" w:cs="Times New Roman"/>
          <w:color w:val="000000"/>
          <w:sz w:val="24"/>
          <w:szCs w:val="24"/>
        </w:rPr>
      </w:pPr>
      <w:r w:rsidRPr="008D209E">
        <w:rPr>
          <w:rFonts w:ascii="Palatino Linotype" w:eastAsia="MS Mincho" w:hAnsi="Palatino Linotype" w:cs="Times New Roman"/>
          <w:b/>
          <w:color w:val="000000"/>
          <w:sz w:val="24"/>
          <w:szCs w:val="24"/>
        </w:rPr>
        <w:t xml:space="preserve">QUINTO. </w:t>
      </w:r>
      <w:r w:rsidRPr="008D209E">
        <w:rPr>
          <w:rFonts w:ascii="Palatino Linotype" w:eastAsia="MS Mincho" w:hAnsi="Palatino Linotype" w:cs="Times New Roman"/>
          <w:color w:val="000000"/>
          <w:sz w:val="24"/>
          <w:szCs w:val="24"/>
        </w:rPr>
        <w:t xml:space="preserve">Notifíquese al </w:t>
      </w:r>
      <w:r w:rsidRPr="008D209E">
        <w:rPr>
          <w:rFonts w:ascii="Palatino Linotype" w:eastAsia="MS Mincho" w:hAnsi="Palatino Linotype" w:cs="Times New Roman"/>
          <w:b/>
          <w:bCs/>
          <w:color w:val="000000"/>
          <w:sz w:val="24"/>
          <w:szCs w:val="24"/>
        </w:rPr>
        <w:t>RECURRENTE</w:t>
      </w:r>
      <w:r w:rsidRPr="008D209E">
        <w:rPr>
          <w:rFonts w:ascii="Palatino Linotype" w:eastAsia="MS Mincho" w:hAnsi="Palatino Linotype" w:cs="Times New Roman"/>
          <w:color w:val="000000"/>
          <w:sz w:val="24"/>
          <w:szCs w:val="24"/>
        </w:rPr>
        <w:t xml:space="preserve"> la presente resolución, vía Sistema de Acceso a la Información Mexiquense (SAIMEX).</w:t>
      </w:r>
    </w:p>
    <w:p w14:paraId="00FE1A88" w14:textId="77777777" w:rsidR="008D209E" w:rsidRPr="008D209E" w:rsidRDefault="008D209E" w:rsidP="008D209E">
      <w:pPr>
        <w:spacing w:after="0" w:line="360" w:lineRule="auto"/>
        <w:jc w:val="both"/>
        <w:rPr>
          <w:rFonts w:ascii="Palatino Linotype" w:hAnsi="Palatino Linotype"/>
          <w:b/>
          <w:sz w:val="24"/>
          <w:szCs w:val="24"/>
        </w:rPr>
      </w:pPr>
    </w:p>
    <w:p w14:paraId="2F4C79B2" w14:textId="48D26FDB" w:rsidR="008D209E" w:rsidRPr="008D209E" w:rsidRDefault="008D209E" w:rsidP="008D209E">
      <w:pPr>
        <w:spacing w:after="0" w:line="360" w:lineRule="auto"/>
        <w:jc w:val="both"/>
        <w:rPr>
          <w:rFonts w:ascii="Palatino Linotype" w:eastAsia="MS Mincho" w:hAnsi="Palatino Linotype" w:cs="Times New Roman"/>
          <w:color w:val="000000"/>
          <w:sz w:val="24"/>
          <w:szCs w:val="24"/>
          <w:lang w:val="es-ES"/>
        </w:rPr>
      </w:pPr>
      <w:r w:rsidRPr="008D209E">
        <w:rPr>
          <w:rFonts w:ascii="Palatino Linotype" w:eastAsia="MS Mincho" w:hAnsi="Palatino Linotype" w:cs="Times New Roman"/>
          <w:b/>
          <w:sz w:val="24"/>
          <w:szCs w:val="24"/>
        </w:rPr>
        <w:lastRenderedPageBreak/>
        <w:t>SEXTO</w:t>
      </w:r>
      <w:r w:rsidRPr="008D209E">
        <w:rPr>
          <w:rFonts w:ascii="Palatino Linotype" w:eastAsia="MS Mincho" w:hAnsi="Palatino Linotype" w:cs="Times New Roman"/>
          <w:b/>
          <w:color w:val="000000"/>
          <w:sz w:val="24"/>
          <w:szCs w:val="24"/>
        </w:rPr>
        <w:t xml:space="preserve">. </w:t>
      </w:r>
      <w:r w:rsidRPr="008D209E">
        <w:rPr>
          <w:rFonts w:ascii="Palatino Linotype" w:eastAsia="MS Mincho" w:hAnsi="Palatino Linotype" w:cs="Times New Roman"/>
          <w:color w:val="000000"/>
          <w:sz w:val="24"/>
          <w:szCs w:val="24"/>
        </w:rPr>
        <w:t xml:space="preserve">Se </w:t>
      </w:r>
      <w:bookmarkEnd w:id="51"/>
      <w:r w:rsidR="00742EC6" w:rsidRPr="00742EC6">
        <w:rPr>
          <w:rFonts w:ascii="Palatino Linotype" w:eastAsia="MS Mincho" w:hAnsi="Palatino Linotype" w:cs="Times New Roman"/>
          <w:color w:val="000000"/>
          <w:sz w:val="24"/>
          <w:szCs w:val="24"/>
        </w:rPr>
        <w:t xml:space="preserve">hace del conocimiento del </w:t>
      </w:r>
      <w:r w:rsidR="00742EC6" w:rsidRPr="00742EC6">
        <w:rPr>
          <w:rFonts w:ascii="Palatino Linotype" w:eastAsia="MS Mincho" w:hAnsi="Palatino Linotype" w:cs="Times New Roman"/>
          <w:b/>
          <w:bCs/>
          <w:color w:val="000000"/>
          <w:sz w:val="24"/>
          <w:szCs w:val="24"/>
        </w:rPr>
        <w:t>RECURRENTE</w:t>
      </w:r>
      <w:r w:rsidR="00742EC6" w:rsidRPr="00742EC6">
        <w:rPr>
          <w:rFonts w:ascii="Palatino Linotype" w:eastAsia="MS Mincho" w:hAnsi="Palatino Linotype" w:cs="Times New Roman"/>
          <w:b/>
          <w:color w:val="000000"/>
          <w:sz w:val="24"/>
          <w:szCs w:val="24"/>
        </w:rPr>
        <w:t xml:space="preserve"> </w:t>
      </w:r>
      <w:r w:rsidR="00742EC6" w:rsidRPr="00742EC6">
        <w:rPr>
          <w:rFonts w:ascii="Palatino Linotype" w:eastAsia="MS Mincho" w:hAnsi="Palatino Linotype" w:cs="Times New Roman"/>
          <w:color w:val="000000"/>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w:t>
      </w:r>
      <w:r w:rsidR="00742EC6" w:rsidRPr="00742EC6">
        <w:rPr>
          <w:rFonts w:ascii="Palatino Linotype" w:eastAsia="MS Mincho" w:hAnsi="Palatino Linotype" w:cs="Times New Roman"/>
          <w:bCs/>
          <w:color w:val="000000"/>
          <w:sz w:val="24"/>
          <w:szCs w:val="24"/>
          <w:lang w:val="es-ES"/>
        </w:rPr>
        <w:t xml:space="preserve">juicio de amparo </w:t>
      </w:r>
      <w:r w:rsidR="00742EC6" w:rsidRPr="00742EC6">
        <w:rPr>
          <w:rFonts w:ascii="Palatino Linotype" w:eastAsia="MS Mincho" w:hAnsi="Palatino Linotype" w:cs="Times New Roman"/>
          <w:color w:val="000000"/>
          <w:sz w:val="24"/>
          <w:szCs w:val="24"/>
          <w:lang w:val="es-ES"/>
        </w:rPr>
        <w:t>en los términos de las Leyes aplicables.</w:t>
      </w:r>
    </w:p>
    <w:p w14:paraId="05FCF196" w14:textId="77777777" w:rsidR="006C5C09" w:rsidRPr="00EA49FC" w:rsidRDefault="006C5C09" w:rsidP="00A82BE7">
      <w:pPr>
        <w:spacing w:line="360" w:lineRule="auto"/>
        <w:jc w:val="both"/>
        <w:rPr>
          <w:rFonts w:ascii="Palatino Linotype" w:eastAsia="MS Mincho" w:hAnsi="Palatino Linotype" w:cs="Times New Roman"/>
          <w:lang w:val="es-ES"/>
        </w:rPr>
      </w:pPr>
    </w:p>
    <w:p w14:paraId="27761F83" w14:textId="77777777" w:rsidR="00FE2DF9" w:rsidRDefault="00FE2DF9" w:rsidP="00FE2DF9">
      <w:pPr>
        <w:spacing w:before="240" w:after="240" w:line="360" w:lineRule="auto"/>
        <w:ind w:firstLine="1"/>
        <w:jc w:val="both"/>
        <w:rPr>
          <w:rFonts w:ascii="Palatino Linotype" w:hAnsi="Palatino Linotype"/>
        </w:rPr>
      </w:pPr>
      <w:bookmarkStart w:id="54" w:name="_Hlk99014733"/>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VEINTICINCO (25)</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30251711" w14:textId="4ABF4991" w:rsidR="002F59F4" w:rsidRDefault="002F59F4" w:rsidP="002F59F4">
      <w:pPr>
        <w:spacing w:before="240" w:after="240" w:line="360" w:lineRule="auto"/>
        <w:ind w:firstLine="1"/>
        <w:jc w:val="both"/>
        <w:rPr>
          <w:rFonts w:ascii="Palatino Linotype" w:hAnsi="Palatino Linotype"/>
        </w:rPr>
      </w:pPr>
      <w:r>
        <w:rPr>
          <w:rFonts w:ascii="Palatino Linotype" w:hAnsi="Palatino Linotype"/>
        </w:rPr>
        <w:br w:type="page"/>
      </w:r>
    </w:p>
    <w:bookmarkEnd w:id="54"/>
    <w:p w14:paraId="6D38574A" w14:textId="77777777" w:rsidR="009962A0" w:rsidRPr="00566603" w:rsidRDefault="009962A0" w:rsidP="00AC14BB">
      <w:pPr>
        <w:spacing w:line="360" w:lineRule="auto"/>
        <w:rPr>
          <w:rFonts w:ascii="Palatino Linotype" w:hAnsi="Palatino Linotype"/>
          <w:sz w:val="24"/>
          <w:szCs w:val="24"/>
          <w:lang w:val="es-ES_tradnl"/>
        </w:rPr>
      </w:pPr>
    </w:p>
    <w:sectPr w:rsidR="009962A0" w:rsidRPr="00566603" w:rsidSect="00C5646D">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B5E9D" w14:textId="77777777" w:rsidR="00616672" w:rsidRDefault="00616672" w:rsidP="00DE395A">
      <w:pPr>
        <w:spacing w:after="0" w:line="240" w:lineRule="auto"/>
      </w:pPr>
      <w:r>
        <w:separator/>
      </w:r>
    </w:p>
  </w:endnote>
  <w:endnote w:type="continuationSeparator" w:id="0">
    <w:p w14:paraId="0C0848DD" w14:textId="77777777" w:rsidR="00616672" w:rsidRDefault="00616672"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421" w14:textId="77777777" w:rsidR="00221BE4" w:rsidRPr="00817AAB" w:rsidRDefault="00221BE4"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E2DF9">
      <w:rPr>
        <w:rFonts w:ascii="Palatino Linotype" w:hAnsi="Palatino Linotype" w:cs="Arial"/>
        <w:b/>
        <w:bCs/>
        <w:noProof/>
      </w:rPr>
      <w:t>50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E2DF9">
      <w:rPr>
        <w:rFonts w:ascii="Palatino Linotype" w:hAnsi="Palatino Linotype" w:cs="Arial"/>
        <w:b/>
        <w:bCs/>
        <w:noProof/>
      </w:rPr>
      <w:t>51</w:t>
    </w:r>
    <w:r w:rsidRPr="00817AAB">
      <w:rPr>
        <w:rFonts w:ascii="Palatino Linotype" w:hAnsi="Palatino Linotype" w:cs="Arial"/>
        <w:b/>
        <w:bCs/>
      </w:rPr>
      <w:fldChar w:fldCharType="end"/>
    </w:r>
  </w:p>
  <w:p w14:paraId="2B1A1B7D" w14:textId="77777777" w:rsidR="00221BE4" w:rsidRDefault="00221BE4" w:rsidP="00C5646D">
    <w:pPr>
      <w:pStyle w:val="Piedepgina1"/>
      <w:rPr>
        <w:rFonts w:ascii="Times New Roman" w:hAnsi="Times New Roman" w:cs="Times New Roman"/>
      </w:rPr>
    </w:pPr>
  </w:p>
  <w:p w14:paraId="239D586A" w14:textId="77777777" w:rsidR="00221BE4" w:rsidRDefault="00221BE4" w:rsidP="00C5646D">
    <w:pPr>
      <w:pStyle w:val="Piedepgina1"/>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7459" w14:textId="77777777" w:rsidR="00221BE4" w:rsidRDefault="00221BE4"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2DF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2DF9">
      <w:rPr>
        <w:rFonts w:ascii="Arial" w:hAnsi="Arial" w:cs="Arial"/>
        <w:b/>
        <w:bCs/>
        <w:noProof/>
        <w:sz w:val="20"/>
        <w:szCs w:val="20"/>
      </w:rPr>
      <w:t>51</w:t>
    </w:r>
    <w:r>
      <w:rPr>
        <w:rFonts w:ascii="Arial" w:hAnsi="Arial" w:cs="Arial"/>
        <w:b/>
        <w:bCs/>
        <w:sz w:val="20"/>
        <w:szCs w:val="20"/>
      </w:rPr>
      <w:fldChar w:fldCharType="end"/>
    </w:r>
  </w:p>
  <w:p w14:paraId="41496601" w14:textId="77777777" w:rsidR="00221BE4" w:rsidRDefault="00221BE4">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6E273" w14:textId="77777777" w:rsidR="00616672" w:rsidRDefault="00616672" w:rsidP="00DE395A">
      <w:pPr>
        <w:spacing w:after="0" w:line="240" w:lineRule="auto"/>
      </w:pPr>
      <w:r>
        <w:separator/>
      </w:r>
    </w:p>
  </w:footnote>
  <w:footnote w:type="continuationSeparator" w:id="0">
    <w:p w14:paraId="615FD051" w14:textId="77777777" w:rsidR="00616672" w:rsidRDefault="00616672" w:rsidP="00DE395A">
      <w:pPr>
        <w:spacing w:after="0" w:line="240" w:lineRule="auto"/>
      </w:pPr>
      <w:r>
        <w:continuationSeparator/>
      </w:r>
    </w:p>
  </w:footnote>
  <w:footnote w:id="1">
    <w:p w14:paraId="40806CB7" w14:textId="77777777" w:rsidR="00221BE4" w:rsidRDefault="00221BE4" w:rsidP="00386FDB">
      <w:pPr>
        <w:pStyle w:val="ADB1"/>
        <w:jc w:val="both"/>
        <w:rPr>
          <w:lang w:val="es-ES"/>
        </w:rPr>
      </w:pPr>
      <w:r>
        <w:rPr>
          <w:rStyle w:val="Refdenotaalpie"/>
        </w:rPr>
        <w:footnoteRef/>
      </w:r>
      <w:r>
        <w:t xml:space="preserve"> “</w:t>
      </w:r>
      <w:r w:rsidRPr="00386FDB">
        <w:rPr>
          <w:b/>
          <w:lang w:val="es-ES"/>
        </w:rPr>
        <w:t>Artículo 179.</w:t>
      </w:r>
      <w:r w:rsidRPr="009C4F62">
        <w:rPr>
          <w:lang w:val="es-ES"/>
        </w:rPr>
        <w:t xml:space="preserve"> El recurso de revisión es un medio de protección que la Ley otorga a los particulares, para hacer valer su derecho de acceso a la información pública, y procederá en contra de las siguientes causas:</w:t>
      </w:r>
      <w:r>
        <w:rPr>
          <w:lang w:val="es-ES"/>
        </w:rPr>
        <w:t xml:space="preserve"> </w:t>
      </w:r>
    </w:p>
    <w:p w14:paraId="19D777FB" w14:textId="77777777" w:rsidR="00221BE4" w:rsidRDefault="00221BE4" w:rsidP="00386FDB">
      <w:pPr>
        <w:pStyle w:val="ADB1"/>
        <w:jc w:val="both"/>
        <w:rPr>
          <w:lang w:val="es-ES"/>
        </w:rPr>
      </w:pPr>
      <w:r>
        <w:rPr>
          <w:lang w:val="es-ES"/>
        </w:rPr>
        <w:t>(…)</w:t>
      </w:r>
    </w:p>
    <w:p w14:paraId="7A22A74E" w14:textId="77777777" w:rsidR="00221BE4" w:rsidRPr="00061AEC" w:rsidRDefault="00221BE4" w:rsidP="00386FDB">
      <w:pPr>
        <w:pStyle w:val="Textonotapie"/>
        <w:jc w:val="both"/>
        <w:rPr>
          <w:lang w:val="es-ES"/>
        </w:rPr>
      </w:pPr>
      <w:r w:rsidRPr="00386FDB">
        <w:rPr>
          <w:b/>
          <w:lang w:val="es-ES"/>
        </w:rPr>
        <w:t>I.</w:t>
      </w:r>
      <w:r w:rsidRPr="00061AEC">
        <w:rPr>
          <w:lang w:val="es-ES"/>
        </w:rPr>
        <w:t xml:space="preserve"> La negativa a la información solicitada;</w:t>
      </w:r>
    </w:p>
    <w:p w14:paraId="1E795459" w14:textId="77777777" w:rsidR="00221BE4" w:rsidRDefault="00221BE4" w:rsidP="00386FDB">
      <w:pPr>
        <w:pStyle w:val="ADB1"/>
        <w:jc w:val="both"/>
        <w:rPr>
          <w:lang w:val="es-ES"/>
        </w:rPr>
      </w:pPr>
      <w:r>
        <w:rPr>
          <w:lang w:val="es-ES"/>
        </w:rPr>
        <w:t>(…)</w:t>
      </w:r>
    </w:p>
    <w:p w14:paraId="2FA59B4C" w14:textId="4CD88E5B" w:rsidR="00221BE4" w:rsidRDefault="00221BE4" w:rsidP="00386FDB">
      <w:pPr>
        <w:pStyle w:val="ADB1"/>
        <w:jc w:val="both"/>
      </w:pPr>
      <w:r>
        <w:rPr>
          <w:b/>
        </w:rPr>
        <w:t>IV.</w:t>
      </w:r>
      <w:r w:rsidRPr="00061AEC">
        <w:t xml:space="preserve"> </w:t>
      </w:r>
      <w:r>
        <w:t>La declaración de incompetencia por el sujeto oblgado;</w:t>
      </w:r>
    </w:p>
    <w:p w14:paraId="7F437897" w14:textId="77777777" w:rsidR="00221BE4" w:rsidRPr="00386FDB" w:rsidRDefault="00221BE4" w:rsidP="00386FDB">
      <w:pPr>
        <w:pStyle w:val="Textonotapie"/>
      </w:pPr>
      <w:r>
        <w:t>(…)”</w:t>
      </w:r>
    </w:p>
  </w:footnote>
  <w:footnote w:id="2">
    <w:p w14:paraId="769F61CE" w14:textId="77777777" w:rsidR="00221BE4" w:rsidRPr="009C43C2" w:rsidRDefault="00221BE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3">
    <w:p w14:paraId="5B78075B" w14:textId="77777777" w:rsidR="00221BE4" w:rsidRPr="009C43C2" w:rsidRDefault="00221BE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4">
    <w:p w14:paraId="26BF2113" w14:textId="77777777" w:rsidR="00221BE4" w:rsidRPr="009C43C2" w:rsidRDefault="00221BE4"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D64A8C7" w14:textId="77777777" w:rsidR="00221BE4" w:rsidRDefault="00221BE4" w:rsidP="0019353E">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6">
    <w:p w14:paraId="4C0C165A" w14:textId="77777777" w:rsidR="00221BE4" w:rsidRDefault="00221BE4" w:rsidP="00221BE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2B53B195" w14:textId="77777777" w:rsidR="00221BE4" w:rsidRDefault="00221BE4" w:rsidP="00221BE4">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2D5501BA" w14:textId="77777777" w:rsidR="00221BE4" w:rsidRDefault="00221BE4" w:rsidP="00221BE4">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3130058E" w14:textId="77777777" w:rsidR="00221BE4" w:rsidRDefault="00221BE4" w:rsidP="00221BE4">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A51DFEC" w14:textId="77777777" w:rsidR="00221BE4" w:rsidRDefault="00221BE4" w:rsidP="00221BE4">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52081136" w14:textId="77777777" w:rsidR="00221BE4" w:rsidRDefault="00221BE4" w:rsidP="00221BE4">
      <w:pPr>
        <w:pBdr>
          <w:top w:val="nil"/>
          <w:left w:val="nil"/>
          <w:bottom w:val="nil"/>
          <w:right w:val="nil"/>
          <w:between w:val="nil"/>
        </w:pBdr>
        <w:spacing w:after="0"/>
        <w:rPr>
          <w:color w:val="000000"/>
          <w:sz w:val="20"/>
          <w:szCs w:val="20"/>
        </w:rPr>
      </w:pPr>
      <w:r>
        <w:rPr>
          <w:color w:val="000000"/>
          <w:sz w:val="20"/>
          <w:szCs w:val="20"/>
        </w:rPr>
        <w:t>(…)”</w:t>
      </w:r>
    </w:p>
  </w:footnote>
  <w:footnote w:id="9">
    <w:p w14:paraId="4DA283F1" w14:textId="0F45324F" w:rsidR="002C6E18" w:rsidRDefault="002C6E18">
      <w:pPr>
        <w:pStyle w:val="Textonotapie"/>
      </w:pPr>
      <w:r>
        <w:rPr>
          <w:rStyle w:val="Refdenotaalpie"/>
        </w:rPr>
        <w:footnoteRef/>
      </w:r>
      <w:r>
        <w:t xml:space="preserve"> Consultable en </w:t>
      </w:r>
      <w:r w:rsidRPr="002C6E18">
        <w:t>https://www.gem.gob.mx/medios/w2LsBus.aspx</w:t>
      </w:r>
    </w:p>
  </w:footnote>
  <w:footnote w:id="10">
    <w:p w14:paraId="60ECB061" w14:textId="77777777" w:rsidR="00221BE4" w:rsidRDefault="00221BE4" w:rsidP="00274AE3">
      <w:pPr>
        <w:pStyle w:val="Textonotapie"/>
      </w:pPr>
      <w:r>
        <w:rPr>
          <w:rStyle w:val="Refdenotaalpie"/>
        </w:rPr>
        <w:footnoteRef/>
      </w:r>
      <w:r>
        <w:t xml:space="preserve"> Artículo 50, Ley de Transparencia y Acceso a la Información Pública del Estado de México y Municipios.</w:t>
      </w:r>
    </w:p>
  </w:footnote>
  <w:footnote w:id="11">
    <w:p w14:paraId="733762F6" w14:textId="77777777" w:rsidR="00221BE4" w:rsidRDefault="00221BE4" w:rsidP="00274AE3">
      <w:pPr>
        <w:pStyle w:val="Textonotapie"/>
      </w:pPr>
      <w:r>
        <w:rPr>
          <w:rStyle w:val="Refdenotaalpie"/>
        </w:rPr>
        <w:footnoteRef/>
      </w:r>
      <w:r>
        <w:t xml:space="preserve"> Artículo 51, Ídem.</w:t>
      </w:r>
    </w:p>
  </w:footnote>
  <w:footnote w:id="12">
    <w:p w14:paraId="2EDC6AE8" w14:textId="77777777" w:rsidR="00221BE4" w:rsidRDefault="00221BE4" w:rsidP="00274AE3">
      <w:pPr>
        <w:pStyle w:val="Textonotapie"/>
      </w:pPr>
      <w:r>
        <w:rPr>
          <w:rStyle w:val="Refdenotaalpie"/>
        </w:rPr>
        <w:footnoteRef/>
      </w:r>
      <w:r>
        <w:t xml:space="preserve"> Artículo 58, Ley de Transparencia y Acceso a la Información Pública del Estado de México y Municipios.</w:t>
      </w:r>
    </w:p>
  </w:footnote>
  <w:footnote w:id="13">
    <w:p w14:paraId="58FE23B7" w14:textId="77777777" w:rsidR="00221BE4" w:rsidRDefault="00221BE4" w:rsidP="00274AE3">
      <w:pPr>
        <w:pStyle w:val="Textonotapie"/>
      </w:pPr>
      <w:r>
        <w:rPr>
          <w:rStyle w:val="Refdenotaalpie"/>
        </w:rPr>
        <w:footnoteRef/>
      </w:r>
      <w:r>
        <w:t xml:space="preserve"> Artículo 59, Ídem.</w:t>
      </w:r>
    </w:p>
  </w:footnote>
  <w:footnote w:id="14">
    <w:p w14:paraId="3B3B1D14" w14:textId="14E45512" w:rsidR="00E029E0" w:rsidRDefault="00E029E0">
      <w:pPr>
        <w:pStyle w:val="Textonotapie"/>
      </w:pPr>
      <w:r>
        <w:rPr>
          <w:rStyle w:val="Refdenotaalpie"/>
        </w:rPr>
        <w:footnoteRef/>
      </w:r>
      <w:r>
        <w:t xml:space="preserve"> Consultable en </w:t>
      </w:r>
      <w:r w:rsidRPr="00E029E0">
        <w:t>https://www.ipomex.org.mx/ipo3/lgt/indice/DIFMETEPEC.web</w:t>
      </w:r>
    </w:p>
  </w:footnote>
  <w:footnote w:id="15">
    <w:p w14:paraId="19972CEB" w14:textId="5C9508A5" w:rsidR="00E029E0" w:rsidRDefault="00E029E0">
      <w:pPr>
        <w:pStyle w:val="Textonotapie"/>
      </w:pPr>
      <w:r>
        <w:rPr>
          <w:rStyle w:val="Refdenotaalpie"/>
        </w:rPr>
        <w:footnoteRef/>
      </w:r>
      <w:r>
        <w:t xml:space="preserve"> Consultable en </w:t>
      </w:r>
      <w:r w:rsidRPr="00E029E0">
        <w:t>https://www.ipomex.org.mx/ipo3/lgt/indice/DIFMETEPEC/organigramas.web</w:t>
      </w:r>
    </w:p>
  </w:footnote>
  <w:footnote w:id="16">
    <w:p w14:paraId="58455F4A" w14:textId="3407428D" w:rsidR="00E029E0" w:rsidRDefault="00E029E0">
      <w:pPr>
        <w:pStyle w:val="Textonotapie"/>
      </w:pPr>
      <w:r>
        <w:rPr>
          <w:rStyle w:val="Refdenotaalpie"/>
        </w:rPr>
        <w:footnoteRef/>
      </w:r>
      <w:r>
        <w:t xml:space="preserve"> Manual General de Organización del Sistema Municipal para el Desarrollo Integral de la Familia de Metepec.</w:t>
      </w:r>
    </w:p>
  </w:footnote>
  <w:footnote w:id="17">
    <w:p w14:paraId="7A888625" w14:textId="77777777" w:rsidR="00221BE4" w:rsidRDefault="00221BE4" w:rsidP="00BE3A72">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67" w:type="dxa"/>
      <w:tblInd w:w="2964" w:type="dxa"/>
      <w:tblLayout w:type="fixed"/>
      <w:tblLook w:val="04A0" w:firstRow="1" w:lastRow="0" w:firstColumn="1" w:lastColumn="0" w:noHBand="0" w:noVBand="1"/>
    </w:tblPr>
    <w:tblGrid>
      <w:gridCol w:w="2701"/>
      <w:gridCol w:w="3266"/>
    </w:tblGrid>
    <w:tr w:rsidR="00221BE4" w14:paraId="7A1531B8" w14:textId="77777777" w:rsidTr="004A3550">
      <w:tc>
        <w:tcPr>
          <w:tcW w:w="2701" w:type="dxa"/>
          <w:vAlign w:val="center"/>
          <w:hideMark/>
        </w:tcPr>
        <w:p w14:paraId="33573A8D" w14:textId="77777777" w:rsidR="00221BE4" w:rsidRPr="00B4299A" w:rsidRDefault="00221BE4" w:rsidP="009F169D">
          <w:pPr>
            <w:spacing w:after="0"/>
            <w:rPr>
              <w:rFonts w:ascii="Palatino Linotype" w:hAnsi="Palatino Linotype"/>
              <w:b/>
              <w:lang w:val="es-ES_tradnl"/>
            </w:rPr>
          </w:pPr>
          <w:r w:rsidRPr="00B4299A">
            <w:rPr>
              <w:rFonts w:ascii="Palatino Linotype" w:hAnsi="Palatino Linotype"/>
              <w:b/>
              <w:lang w:val="es-ES_tradnl"/>
            </w:rPr>
            <w:t>Recurso de Revisión:</w:t>
          </w:r>
        </w:p>
      </w:tc>
      <w:tc>
        <w:tcPr>
          <w:tcW w:w="3266" w:type="dxa"/>
          <w:vAlign w:val="center"/>
          <w:hideMark/>
        </w:tcPr>
        <w:p w14:paraId="346DF9CE" w14:textId="56EC57E3" w:rsidR="00221BE4" w:rsidRPr="00B4299A" w:rsidRDefault="00221BE4" w:rsidP="009F169D">
          <w:pPr>
            <w:spacing w:after="0"/>
            <w:rPr>
              <w:rFonts w:ascii="Palatino Linotype" w:hAnsi="Palatino Linotype"/>
              <w:b/>
              <w:lang w:val="es-ES_tradnl"/>
            </w:rPr>
          </w:pPr>
          <w:r>
            <w:rPr>
              <w:rFonts w:ascii="Palatino Linotype" w:hAnsi="Palatino Linotype"/>
              <w:b/>
              <w:lang w:val="es-ES_tradnl"/>
            </w:rPr>
            <w:t>01608</w:t>
          </w:r>
          <w:r w:rsidRPr="00364503">
            <w:rPr>
              <w:rFonts w:ascii="Palatino Linotype" w:hAnsi="Palatino Linotype"/>
              <w:b/>
              <w:lang w:val="es-ES_tradnl"/>
            </w:rPr>
            <w:t>/INFOEM/IP/RR/2022</w:t>
          </w:r>
        </w:p>
      </w:tc>
    </w:tr>
    <w:tr w:rsidR="00221BE4" w14:paraId="37F632EE" w14:textId="77777777" w:rsidTr="004A3550">
      <w:trPr>
        <w:trHeight w:val="228"/>
      </w:trPr>
      <w:tc>
        <w:tcPr>
          <w:tcW w:w="2701" w:type="dxa"/>
          <w:vAlign w:val="center"/>
          <w:hideMark/>
        </w:tcPr>
        <w:p w14:paraId="1A21508A" w14:textId="77777777" w:rsidR="00221BE4" w:rsidRPr="00B4299A" w:rsidRDefault="00221BE4" w:rsidP="00EE4DDE">
          <w:pPr>
            <w:spacing w:after="0"/>
            <w:rPr>
              <w:rFonts w:ascii="Palatino Linotype" w:hAnsi="Palatino Linotype"/>
              <w:b/>
              <w:lang w:val="es-ES_tradnl"/>
            </w:rPr>
          </w:pPr>
          <w:r w:rsidRPr="00B4299A">
            <w:rPr>
              <w:rFonts w:ascii="Palatino Linotype" w:hAnsi="Palatino Linotype"/>
              <w:b/>
              <w:lang w:val="es-ES_tradnl"/>
            </w:rPr>
            <w:t>Sujeto Obligado:</w:t>
          </w:r>
        </w:p>
      </w:tc>
      <w:tc>
        <w:tcPr>
          <w:tcW w:w="3266" w:type="dxa"/>
          <w:vAlign w:val="center"/>
          <w:hideMark/>
        </w:tcPr>
        <w:p w14:paraId="0B1B78CE" w14:textId="4B4EE026" w:rsidR="00221BE4" w:rsidRPr="00B4299A" w:rsidRDefault="00221BE4" w:rsidP="00EE4DDE">
          <w:pPr>
            <w:spacing w:after="0"/>
            <w:jc w:val="both"/>
            <w:rPr>
              <w:rFonts w:ascii="Palatino Linotype" w:hAnsi="Palatino Linotype"/>
              <w:b/>
              <w:lang w:val="es-ES_tradnl"/>
            </w:rPr>
          </w:pPr>
          <w:r>
            <w:rPr>
              <w:rFonts w:ascii="Palatino Linotype" w:eastAsia="Calibri" w:hAnsi="Palatino Linotype"/>
              <w:b/>
            </w:rPr>
            <w:t>Sistema Municipal para el Desarrollo Integral de la Familia de Metepec</w:t>
          </w:r>
        </w:p>
      </w:tc>
    </w:tr>
    <w:tr w:rsidR="00221BE4" w:rsidRPr="00F07BFC" w14:paraId="5A42967B" w14:textId="77777777" w:rsidTr="004A3550">
      <w:tc>
        <w:tcPr>
          <w:tcW w:w="2701" w:type="dxa"/>
          <w:vAlign w:val="center"/>
          <w:hideMark/>
        </w:tcPr>
        <w:p w14:paraId="7B0CA1DC" w14:textId="77777777" w:rsidR="00221BE4" w:rsidRPr="00B4299A" w:rsidRDefault="00221BE4" w:rsidP="009F169D">
          <w:pPr>
            <w:spacing w:after="0"/>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266" w:type="dxa"/>
          <w:vAlign w:val="center"/>
          <w:hideMark/>
        </w:tcPr>
        <w:p w14:paraId="2EAA671D" w14:textId="77777777" w:rsidR="00221BE4" w:rsidRPr="00B4299A" w:rsidRDefault="00221BE4" w:rsidP="009F169D">
          <w:pPr>
            <w:spacing w:after="0"/>
            <w:ind w:right="-533"/>
            <w:rPr>
              <w:rFonts w:ascii="Palatino Linotype" w:hAnsi="Palatino Linotype"/>
              <w:b/>
              <w:lang w:val="es-ES_tradnl"/>
            </w:rPr>
          </w:pPr>
          <w:r w:rsidRPr="00DE395A">
            <w:rPr>
              <w:rFonts w:ascii="Palatino Linotype" w:hAnsi="Palatino Linotype"/>
              <w:b/>
            </w:rPr>
            <w:t xml:space="preserve">María del Rosario Mejía Ayala  </w:t>
          </w:r>
        </w:p>
      </w:tc>
    </w:tr>
  </w:tbl>
  <w:p w14:paraId="4793C972" w14:textId="77777777" w:rsidR="00221BE4" w:rsidRPr="00DE395A" w:rsidRDefault="00221BE4" w:rsidP="00C5646D">
    <w:pPr>
      <w:pStyle w:val="Encabezado1"/>
      <w:tabs>
        <w:tab w:val="clear" w:pos="4252"/>
        <w:tab w:val="clear" w:pos="8504"/>
        <w:tab w:val="left" w:pos="2326"/>
      </w:tabs>
    </w:pPr>
    <w:r>
      <w:rPr>
        <w:noProof/>
        <w:lang w:eastAsia="es-MX"/>
      </w:rPr>
      <w:drawing>
        <wp:anchor distT="0" distB="0" distL="114300" distR="114300" simplePos="0" relativeHeight="251660288" behindDoc="1" locked="0" layoutInCell="1" allowOverlap="1" wp14:anchorId="6794D0B7" wp14:editId="174E56BD">
          <wp:simplePos x="0" y="0"/>
          <wp:positionH relativeFrom="margin">
            <wp:align>center</wp:align>
          </wp:positionH>
          <wp:positionV relativeFrom="paragraph">
            <wp:posOffset>-1406602</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tab/>
    </w:r>
  </w:p>
  <w:p w14:paraId="0BA3EF50" w14:textId="77777777" w:rsidR="00221BE4" w:rsidRPr="00DE395A" w:rsidRDefault="00221BE4" w:rsidP="00C5646D">
    <w:pPr>
      <w:pStyle w:val="Encabezado1"/>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552" w:type="dxa"/>
      <w:tblLayout w:type="fixed"/>
      <w:tblLook w:val="04A0" w:firstRow="1" w:lastRow="0" w:firstColumn="1" w:lastColumn="0" w:noHBand="0" w:noVBand="1"/>
    </w:tblPr>
    <w:tblGrid>
      <w:gridCol w:w="2551"/>
      <w:gridCol w:w="3828"/>
    </w:tblGrid>
    <w:tr w:rsidR="00221BE4" w14:paraId="201938C8" w14:textId="77777777" w:rsidTr="004A3550">
      <w:trPr>
        <w:trHeight w:val="277"/>
      </w:trPr>
      <w:tc>
        <w:tcPr>
          <w:tcW w:w="2551" w:type="dxa"/>
          <w:vAlign w:val="center"/>
          <w:hideMark/>
        </w:tcPr>
        <w:p w14:paraId="1638B0D1" w14:textId="05EC71DE" w:rsidR="00221BE4" w:rsidRPr="009B3353" w:rsidRDefault="00221BE4" w:rsidP="004A3550">
          <w:pPr>
            <w:spacing w:after="0"/>
            <w:rPr>
              <w:rFonts w:ascii="Palatino Linotype" w:hAnsi="Palatino Linotype"/>
              <w:b/>
              <w:lang w:val="es-ES_tradnl"/>
            </w:rPr>
          </w:pPr>
          <w:r w:rsidRPr="009B3353">
            <w:rPr>
              <w:rFonts w:ascii="Palatino Linotype" w:hAnsi="Palatino Linotype"/>
              <w:b/>
              <w:lang w:val="es-ES_tradnl"/>
            </w:rPr>
            <w:t>Recurso de Revisión:</w:t>
          </w:r>
        </w:p>
      </w:tc>
      <w:tc>
        <w:tcPr>
          <w:tcW w:w="3828" w:type="dxa"/>
          <w:vAlign w:val="center"/>
          <w:hideMark/>
        </w:tcPr>
        <w:p w14:paraId="17E3FACD" w14:textId="7C3351D0" w:rsidR="00221BE4" w:rsidRPr="009B3353" w:rsidRDefault="00221BE4" w:rsidP="009F169D">
          <w:pPr>
            <w:spacing w:after="0"/>
            <w:rPr>
              <w:rFonts w:ascii="Palatino Linotype" w:hAnsi="Palatino Linotype"/>
              <w:b/>
              <w:lang w:val="es-ES_tradnl"/>
            </w:rPr>
          </w:pPr>
          <w:r>
            <w:rPr>
              <w:rFonts w:ascii="Palatino Linotype" w:hAnsi="Palatino Linotype"/>
              <w:b/>
              <w:lang w:val="es-ES_tradnl"/>
            </w:rPr>
            <w:t>01608</w:t>
          </w:r>
          <w:r w:rsidRPr="00364503">
            <w:rPr>
              <w:rFonts w:ascii="Palatino Linotype" w:hAnsi="Palatino Linotype"/>
              <w:b/>
              <w:lang w:val="es-ES_tradnl"/>
            </w:rPr>
            <w:t>/INFOEM/IP/RR/2022</w:t>
          </w:r>
        </w:p>
      </w:tc>
    </w:tr>
    <w:tr w:rsidR="00221BE4" w14:paraId="3EC8AB5C" w14:textId="77777777" w:rsidTr="004A3550">
      <w:tc>
        <w:tcPr>
          <w:tcW w:w="2551" w:type="dxa"/>
          <w:vAlign w:val="center"/>
          <w:hideMark/>
        </w:tcPr>
        <w:p w14:paraId="02A40DE0" w14:textId="77777777" w:rsidR="00221BE4" w:rsidRPr="009B3353" w:rsidRDefault="00221BE4" w:rsidP="009F169D">
          <w:pPr>
            <w:spacing w:after="0"/>
            <w:rPr>
              <w:rFonts w:ascii="Palatino Linotype" w:hAnsi="Palatino Linotype"/>
              <w:b/>
              <w:lang w:val="es-ES_tradnl"/>
            </w:rPr>
          </w:pPr>
          <w:r w:rsidRPr="009B3353">
            <w:rPr>
              <w:rFonts w:ascii="Palatino Linotype" w:hAnsi="Palatino Linotype"/>
              <w:b/>
              <w:lang w:val="es-ES_tradnl"/>
            </w:rPr>
            <w:t>Recurrente:</w:t>
          </w:r>
        </w:p>
      </w:tc>
      <w:tc>
        <w:tcPr>
          <w:tcW w:w="3828" w:type="dxa"/>
          <w:vAlign w:val="center"/>
          <w:hideMark/>
        </w:tcPr>
        <w:p w14:paraId="6AB50D35" w14:textId="77777777" w:rsidR="00221BE4" w:rsidRPr="0006775F" w:rsidRDefault="00221BE4" w:rsidP="009F169D">
          <w:pPr>
            <w:spacing w:after="0"/>
            <w:rPr>
              <w:rFonts w:ascii="Palatino Linotype" w:hAnsi="Palatino Linotype"/>
              <w:b/>
              <w:lang w:val="es-ES_tradnl"/>
            </w:rPr>
          </w:pPr>
          <w:r>
            <w:rPr>
              <w:rFonts w:ascii="Palatino Linotype" w:hAnsi="Palatino Linotype"/>
              <w:b/>
              <w:lang w:val="es-ES_tradnl"/>
            </w:rPr>
            <w:t>RECURRENTE</w:t>
          </w:r>
        </w:p>
      </w:tc>
    </w:tr>
    <w:tr w:rsidR="00221BE4" w14:paraId="35B7B6C1" w14:textId="77777777" w:rsidTr="004A3550">
      <w:trPr>
        <w:trHeight w:val="228"/>
      </w:trPr>
      <w:tc>
        <w:tcPr>
          <w:tcW w:w="2551" w:type="dxa"/>
          <w:vAlign w:val="center"/>
          <w:hideMark/>
        </w:tcPr>
        <w:p w14:paraId="3362B1A1" w14:textId="77777777" w:rsidR="00221BE4" w:rsidRPr="009B3353" w:rsidRDefault="00221BE4" w:rsidP="009F169D">
          <w:pPr>
            <w:spacing w:after="0"/>
            <w:rPr>
              <w:rFonts w:ascii="Palatino Linotype" w:hAnsi="Palatino Linotype"/>
              <w:b/>
              <w:lang w:val="es-ES_tradnl"/>
            </w:rPr>
          </w:pPr>
          <w:r w:rsidRPr="009B3353">
            <w:rPr>
              <w:rFonts w:ascii="Palatino Linotype" w:hAnsi="Palatino Linotype"/>
              <w:b/>
              <w:lang w:val="es-ES_tradnl"/>
            </w:rPr>
            <w:t>Sujeto Obligado:</w:t>
          </w:r>
        </w:p>
      </w:tc>
      <w:tc>
        <w:tcPr>
          <w:tcW w:w="3828" w:type="dxa"/>
          <w:vAlign w:val="center"/>
          <w:hideMark/>
        </w:tcPr>
        <w:p w14:paraId="6C4532B8" w14:textId="15A9F8BB" w:rsidR="00221BE4" w:rsidRPr="009B3353" w:rsidRDefault="00221BE4" w:rsidP="008A08A1">
          <w:pPr>
            <w:spacing w:after="0"/>
            <w:jc w:val="both"/>
            <w:rPr>
              <w:rFonts w:ascii="Palatino Linotype" w:eastAsia="Calibri" w:hAnsi="Palatino Linotype"/>
              <w:b/>
            </w:rPr>
          </w:pPr>
          <w:r>
            <w:rPr>
              <w:rFonts w:ascii="Palatino Linotype" w:eastAsia="Calibri" w:hAnsi="Palatino Linotype"/>
              <w:b/>
            </w:rPr>
            <w:t>Sistema Municipal para el Desarrollo Integral de la Familia de Metepec</w:t>
          </w:r>
        </w:p>
      </w:tc>
    </w:tr>
    <w:tr w:rsidR="00221BE4" w:rsidRPr="00F07BFC" w14:paraId="289565B2" w14:textId="77777777" w:rsidTr="004A3550">
      <w:tc>
        <w:tcPr>
          <w:tcW w:w="2551" w:type="dxa"/>
          <w:vAlign w:val="center"/>
          <w:hideMark/>
        </w:tcPr>
        <w:p w14:paraId="63EAD1F8" w14:textId="77777777" w:rsidR="00221BE4" w:rsidRPr="009B3353" w:rsidRDefault="00221BE4" w:rsidP="009F169D">
          <w:pPr>
            <w:spacing w:after="0"/>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828" w:type="dxa"/>
          <w:vAlign w:val="center"/>
          <w:hideMark/>
        </w:tcPr>
        <w:p w14:paraId="4285F85A" w14:textId="77777777" w:rsidR="00221BE4" w:rsidRPr="009B3353" w:rsidRDefault="00221BE4" w:rsidP="009F169D">
          <w:pPr>
            <w:spacing w:after="0"/>
            <w:ind w:right="-533"/>
            <w:rPr>
              <w:rFonts w:ascii="Palatino Linotype" w:hAnsi="Palatino Linotype"/>
              <w:b/>
              <w:lang w:val="es-ES_tradnl"/>
            </w:rPr>
          </w:pPr>
          <w:r w:rsidRPr="00DE395A">
            <w:rPr>
              <w:rFonts w:ascii="Palatino Linotype" w:hAnsi="Palatino Linotype"/>
              <w:b/>
            </w:rPr>
            <w:t>María del Rosario Mejía Ayala</w:t>
          </w:r>
        </w:p>
      </w:tc>
    </w:tr>
  </w:tbl>
  <w:p w14:paraId="066B1EB5" w14:textId="1EFEC71E" w:rsidR="00221BE4" w:rsidRPr="00DE395A" w:rsidRDefault="00221BE4" w:rsidP="00C5646D">
    <w:pPr>
      <w:pStyle w:val="Encabezado1"/>
    </w:pPr>
    <w:r>
      <w:rPr>
        <w:noProof/>
        <w:lang w:eastAsia="es-MX"/>
      </w:rPr>
      <w:drawing>
        <wp:anchor distT="0" distB="0" distL="114300" distR="114300" simplePos="0" relativeHeight="251659264" behindDoc="1" locked="0" layoutInCell="1" allowOverlap="1" wp14:anchorId="59096578" wp14:editId="4569FFE9">
          <wp:simplePos x="0" y="0"/>
          <wp:positionH relativeFrom="margin">
            <wp:align>center</wp:align>
          </wp:positionH>
          <wp:positionV relativeFrom="paragraph">
            <wp:posOffset>-1614145</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2D6420E3"/>
    <w:multiLevelType w:val="hybridMultilevel"/>
    <w:tmpl w:val="1E3A07B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3A213A52"/>
    <w:multiLevelType w:val="hybridMultilevel"/>
    <w:tmpl w:val="4B4611B0"/>
    <w:lvl w:ilvl="0" w:tplc="4A029FF2">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A76122C"/>
    <w:multiLevelType w:val="hybridMultilevel"/>
    <w:tmpl w:val="BB6EFB7A"/>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EA2075C"/>
    <w:multiLevelType w:val="hybridMultilevel"/>
    <w:tmpl w:val="158ACE52"/>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6A6099A"/>
    <w:multiLevelType w:val="hybridMultilevel"/>
    <w:tmpl w:val="B9BA8B5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35519E3"/>
    <w:multiLevelType w:val="hybridMultilevel"/>
    <w:tmpl w:val="82022308"/>
    <w:lvl w:ilvl="0" w:tplc="4A029FF2">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5D63A16"/>
    <w:multiLevelType w:val="hybridMultilevel"/>
    <w:tmpl w:val="64D8363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A0B212C"/>
    <w:multiLevelType w:val="hybridMultilevel"/>
    <w:tmpl w:val="05FCF704"/>
    <w:lvl w:ilvl="0" w:tplc="4A029FF2">
      <w:start w:val="1"/>
      <w:numFmt w:val="decimal"/>
      <w:lvlText w:val="%1."/>
      <w:lvlJc w:val="left"/>
      <w:pPr>
        <w:ind w:left="720" w:hanging="360"/>
      </w:pPr>
      <w:rPr>
        <w:rFonts w:hint="default"/>
        <w:b/>
        <w:i w:val="0"/>
      </w:rPr>
    </w:lvl>
    <w:lvl w:ilvl="1" w:tplc="E17CD350">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37A1A77"/>
    <w:multiLevelType w:val="hybridMultilevel"/>
    <w:tmpl w:val="FA760FA4"/>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6CE466D"/>
    <w:multiLevelType w:val="hybridMultilevel"/>
    <w:tmpl w:val="288E492C"/>
    <w:lvl w:ilvl="0" w:tplc="FFFFFFFF">
      <w:start w:val="1"/>
      <w:numFmt w:val="decimal"/>
      <w:lvlText w:val="%1."/>
      <w:lvlJc w:val="left"/>
      <w:pPr>
        <w:ind w:left="720" w:hanging="360"/>
      </w:pPr>
      <w:rPr>
        <w:rFonts w:hint="default"/>
        <w:b/>
        <w:i w:val="0"/>
      </w:rPr>
    </w:lvl>
    <w:lvl w:ilvl="1" w:tplc="B2E0CC6A">
      <w:start w:val="1"/>
      <w:numFmt w:val="upperRoman"/>
      <w:lvlText w:val="%2."/>
      <w:lvlJc w:val="righ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C647B2B"/>
    <w:multiLevelType w:val="hybridMultilevel"/>
    <w:tmpl w:val="25BC0B42"/>
    <w:lvl w:ilvl="0" w:tplc="4A029FF2">
      <w:start w:val="1"/>
      <w:numFmt w:val="decimal"/>
      <w:lvlText w:val="%1."/>
      <w:lvlJc w:val="left"/>
      <w:pPr>
        <w:ind w:left="720" w:hanging="360"/>
      </w:pPr>
      <w:rPr>
        <w:rFonts w:hint="default"/>
        <w:b/>
        <w:i w:val="0"/>
      </w:rPr>
    </w:lvl>
    <w:lvl w:ilvl="1" w:tplc="42262A9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0948E6"/>
    <w:multiLevelType w:val="hybridMultilevel"/>
    <w:tmpl w:val="307EBA10"/>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D300ED"/>
    <w:multiLevelType w:val="hybridMultilevel"/>
    <w:tmpl w:val="F81E5B10"/>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74020F8"/>
    <w:multiLevelType w:val="hybridMultilevel"/>
    <w:tmpl w:val="046E5BE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79A134B"/>
    <w:multiLevelType w:val="hybridMultilevel"/>
    <w:tmpl w:val="9E1C4688"/>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C022B82"/>
    <w:multiLevelType w:val="hybridMultilevel"/>
    <w:tmpl w:val="994A44B0"/>
    <w:lvl w:ilvl="0" w:tplc="4A029FF2">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3"/>
  </w:num>
  <w:num w:numId="5">
    <w:abstractNumId w:val="9"/>
  </w:num>
  <w:num w:numId="6">
    <w:abstractNumId w:val="12"/>
  </w:num>
  <w:num w:numId="7">
    <w:abstractNumId w:val="6"/>
  </w:num>
  <w:num w:numId="8">
    <w:abstractNumId w:val="10"/>
  </w:num>
  <w:num w:numId="9">
    <w:abstractNumId w:val="5"/>
  </w:num>
  <w:num w:numId="10">
    <w:abstractNumId w:val="4"/>
  </w:num>
  <w:num w:numId="11">
    <w:abstractNumId w:val="1"/>
  </w:num>
  <w:num w:numId="12">
    <w:abstractNumId w:val="15"/>
  </w:num>
  <w:num w:numId="13">
    <w:abstractNumId w:val="16"/>
  </w:num>
  <w:num w:numId="14">
    <w:abstractNumId w:val="8"/>
  </w:num>
  <w:num w:numId="15">
    <w:abstractNumId w:val="11"/>
  </w:num>
  <w:num w:numId="16">
    <w:abstractNumId w:val="17"/>
  </w:num>
  <w:num w:numId="17">
    <w:abstractNumId w:val="2"/>
  </w:num>
  <w:num w:numId="18">
    <w:abstractNumId w:val="18"/>
  </w:num>
  <w:num w:numId="1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352D3"/>
    <w:rsid w:val="0006199F"/>
    <w:rsid w:val="00061AEC"/>
    <w:rsid w:val="000839A5"/>
    <w:rsid w:val="00087736"/>
    <w:rsid w:val="000909E6"/>
    <w:rsid w:val="000955C1"/>
    <w:rsid w:val="00097C27"/>
    <w:rsid w:val="000B3851"/>
    <w:rsid w:val="000C1C5A"/>
    <w:rsid w:val="000C698A"/>
    <w:rsid w:val="000D1522"/>
    <w:rsid w:val="00117B09"/>
    <w:rsid w:val="00120769"/>
    <w:rsid w:val="0012499E"/>
    <w:rsid w:val="00150125"/>
    <w:rsid w:val="0015146B"/>
    <w:rsid w:val="00173C9C"/>
    <w:rsid w:val="00175190"/>
    <w:rsid w:val="00182524"/>
    <w:rsid w:val="001867A5"/>
    <w:rsid w:val="0019337E"/>
    <w:rsid w:val="0019353E"/>
    <w:rsid w:val="001B585C"/>
    <w:rsid w:val="001B76B6"/>
    <w:rsid w:val="001D1F46"/>
    <w:rsid w:val="001F7E8E"/>
    <w:rsid w:val="0020714E"/>
    <w:rsid w:val="0020741A"/>
    <w:rsid w:val="00221BE4"/>
    <w:rsid w:val="002263C7"/>
    <w:rsid w:val="00235B58"/>
    <w:rsid w:val="00257F86"/>
    <w:rsid w:val="00274AE3"/>
    <w:rsid w:val="002B6F8E"/>
    <w:rsid w:val="002C6E18"/>
    <w:rsid w:val="002D58B2"/>
    <w:rsid w:val="002E71B4"/>
    <w:rsid w:val="002F190A"/>
    <w:rsid w:val="002F45E3"/>
    <w:rsid w:val="002F59F4"/>
    <w:rsid w:val="00306765"/>
    <w:rsid w:val="00306975"/>
    <w:rsid w:val="003130CF"/>
    <w:rsid w:val="00320D52"/>
    <w:rsid w:val="00352167"/>
    <w:rsid w:val="003804B0"/>
    <w:rsid w:val="00386FDB"/>
    <w:rsid w:val="00387D28"/>
    <w:rsid w:val="0039184D"/>
    <w:rsid w:val="003A468B"/>
    <w:rsid w:val="003D620C"/>
    <w:rsid w:val="00425AA6"/>
    <w:rsid w:val="00436CC6"/>
    <w:rsid w:val="0044231B"/>
    <w:rsid w:val="00443EE0"/>
    <w:rsid w:val="0046188E"/>
    <w:rsid w:val="00462602"/>
    <w:rsid w:val="00483A9F"/>
    <w:rsid w:val="00484482"/>
    <w:rsid w:val="004A3550"/>
    <w:rsid w:val="004A65A1"/>
    <w:rsid w:val="004D476B"/>
    <w:rsid w:val="004F09B1"/>
    <w:rsid w:val="004F6855"/>
    <w:rsid w:val="004F7D89"/>
    <w:rsid w:val="0051780D"/>
    <w:rsid w:val="005227B5"/>
    <w:rsid w:val="00535477"/>
    <w:rsid w:val="00543BFF"/>
    <w:rsid w:val="00566603"/>
    <w:rsid w:val="005A4DD6"/>
    <w:rsid w:val="005A7C47"/>
    <w:rsid w:val="005D6101"/>
    <w:rsid w:val="005F2D26"/>
    <w:rsid w:val="005F6E94"/>
    <w:rsid w:val="00616672"/>
    <w:rsid w:val="00626CCA"/>
    <w:rsid w:val="00633998"/>
    <w:rsid w:val="00637E53"/>
    <w:rsid w:val="00664FE5"/>
    <w:rsid w:val="00680701"/>
    <w:rsid w:val="0068075B"/>
    <w:rsid w:val="006861C2"/>
    <w:rsid w:val="006C5C09"/>
    <w:rsid w:val="006F6121"/>
    <w:rsid w:val="00742EC6"/>
    <w:rsid w:val="00753842"/>
    <w:rsid w:val="007605F8"/>
    <w:rsid w:val="00773D08"/>
    <w:rsid w:val="00781344"/>
    <w:rsid w:val="00790C21"/>
    <w:rsid w:val="00792E58"/>
    <w:rsid w:val="007D4C21"/>
    <w:rsid w:val="007D5EF5"/>
    <w:rsid w:val="007D719D"/>
    <w:rsid w:val="007F61A0"/>
    <w:rsid w:val="008304C3"/>
    <w:rsid w:val="00844CC7"/>
    <w:rsid w:val="0087249A"/>
    <w:rsid w:val="00886D9C"/>
    <w:rsid w:val="008908B6"/>
    <w:rsid w:val="008A08A1"/>
    <w:rsid w:val="008B0B9B"/>
    <w:rsid w:val="008D209E"/>
    <w:rsid w:val="008D3F60"/>
    <w:rsid w:val="008D4FB0"/>
    <w:rsid w:val="008E73F2"/>
    <w:rsid w:val="008F1343"/>
    <w:rsid w:val="0090303C"/>
    <w:rsid w:val="00903D99"/>
    <w:rsid w:val="00907CD9"/>
    <w:rsid w:val="00910655"/>
    <w:rsid w:val="009129B5"/>
    <w:rsid w:val="00920739"/>
    <w:rsid w:val="00924986"/>
    <w:rsid w:val="00945DA1"/>
    <w:rsid w:val="00946A71"/>
    <w:rsid w:val="009550A1"/>
    <w:rsid w:val="00987DB6"/>
    <w:rsid w:val="00993B9F"/>
    <w:rsid w:val="009962A0"/>
    <w:rsid w:val="009F169D"/>
    <w:rsid w:val="009F4E8B"/>
    <w:rsid w:val="00A106A2"/>
    <w:rsid w:val="00A25351"/>
    <w:rsid w:val="00A25F7D"/>
    <w:rsid w:val="00A54713"/>
    <w:rsid w:val="00A6132E"/>
    <w:rsid w:val="00A82AE2"/>
    <w:rsid w:val="00A82BE7"/>
    <w:rsid w:val="00AC14BB"/>
    <w:rsid w:val="00AF7A94"/>
    <w:rsid w:val="00B027EC"/>
    <w:rsid w:val="00B0285B"/>
    <w:rsid w:val="00B114D2"/>
    <w:rsid w:val="00B21DA2"/>
    <w:rsid w:val="00B4516E"/>
    <w:rsid w:val="00B534C1"/>
    <w:rsid w:val="00B60568"/>
    <w:rsid w:val="00B6069C"/>
    <w:rsid w:val="00B610F8"/>
    <w:rsid w:val="00B7344D"/>
    <w:rsid w:val="00B75388"/>
    <w:rsid w:val="00B93C85"/>
    <w:rsid w:val="00BA229E"/>
    <w:rsid w:val="00BB601E"/>
    <w:rsid w:val="00BC3467"/>
    <w:rsid w:val="00BE3A72"/>
    <w:rsid w:val="00BF1974"/>
    <w:rsid w:val="00C036BF"/>
    <w:rsid w:val="00C07BF3"/>
    <w:rsid w:val="00C160CC"/>
    <w:rsid w:val="00C332E4"/>
    <w:rsid w:val="00C5646D"/>
    <w:rsid w:val="00C60E00"/>
    <w:rsid w:val="00C711BA"/>
    <w:rsid w:val="00C84E69"/>
    <w:rsid w:val="00C8743A"/>
    <w:rsid w:val="00CB3CCC"/>
    <w:rsid w:val="00CC33EE"/>
    <w:rsid w:val="00CC61D4"/>
    <w:rsid w:val="00D12A3B"/>
    <w:rsid w:val="00D1300D"/>
    <w:rsid w:val="00D20FD7"/>
    <w:rsid w:val="00D5336A"/>
    <w:rsid w:val="00D55F26"/>
    <w:rsid w:val="00D77732"/>
    <w:rsid w:val="00D91778"/>
    <w:rsid w:val="00DA64C4"/>
    <w:rsid w:val="00DD1822"/>
    <w:rsid w:val="00DD5725"/>
    <w:rsid w:val="00DD6C32"/>
    <w:rsid w:val="00DE0CD7"/>
    <w:rsid w:val="00DE395A"/>
    <w:rsid w:val="00E01CD6"/>
    <w:rsid w:val="00E029E0"/>
    <w:rsid w:val="00E12AE2"/>
    <w:rsid w:val="00E138E9"/>
    <w:rsid w:val="00E27477"/>
    <w:rsid w:val="00E30D98"/>
    <w:rsid w:val="00E3225B"/>
    <w:rsid w:val="00E40F40"/>
    <w:rsid w:val="00E57BCE"/>
    <w:rsid w:val="00EA1C6B"/>
    <w:rsid w:val="00EA49FC"/>
    <w:rsid w:val="00EB7277"/>
    <w:rsid w:val="00EB7484"/>
    <w:rsid w:val="00EC6BB8"/>
    <w:rsid w:val="00ED643C"/>
    <w:rsid w:val="00EE1BF6"/>
    <w:rsid w:val="00EE4DDE"/>
    <w:rsid w:val="00EF1034"/>
    <w:rsid w:val="00EF6A6D"/>
    <w:rsid w:val="00F078D5"/>
    <w:rsid w:val="00F07BFC"/>
    <w:rsid w:val="00F12A45"/>
    <w:rsid w:val="00F12C79"/>
    <w:rsid w:val="00F4085B"/>
    <w:rsid w:val="00F474CC"/>
    <w:rsid w:val="00F52F55"/>
    <w:rsid w:val="00F66386"/>
    <w:rsid w:val="00FA35F6"/>
    <w:rsid w:val="00FA3C97"/>
    <w:rsid w:val="00FB23FF"/>
    <w:rsid w:val="00FB4DFE"/>
    <w:rsid w:val="00FC6D9A"/>
    <w:rsid w:val="00FD7B9E"/>
    <w:rsid w:val="00FE2DF9"/>
    <w:rsid w:val="00FE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589B1"/>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paragraph" w:styleId="Ttulo3">
    <w:name w:val="heading 3"/>
    <w:basedOn w:val="Normal"/>
    <w:next w:val="Normal"/>
    <w:link w:val="Ttulo3Car"/>
    <w:uiPriority w:val="9"/>
    <w:semiHidden/>
    <w:unhideWhenUsed/>
    <w:qFormat/>
    <w:rsid w:val="001B7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1B76B6"/>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BA229E"/>
    <w:rPr>
      <w:sz w:val="16"/>
      <w:szCs w:val="16"/>
    </w:rPr>
  </w:style>
  <w:style w:type="paragraph" w:styleId="Textocomentario">
    <w:name w:val="annotation text"/>
    <w:basedOn w:val="Normal"/>
    <w:link w:val="TextocomentarioCar"/>
    <w:uiPriority w:val="99"/>
    <w:semiHidden/>
    <w:unhideWhenUsed/>
    <w:rsid w:val="00BA2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229E"/>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BA229E"/>
    <w:rPr>
      <w:b/>
      <w:bCs/>
    </w:rPr>
  </w:style>
  <w:style w:type="character" w:customStyle="1" w:styleId="AsuntodelcomentarioCar">
    <w:name w:val="Asunto del comentario Car"/>
    <w:basedOn w:val="TextocomentarioCar"/>
    <w:link w:val="Asuntodelcomentario"/>
    <w:uiPriority w:val="99"/>
    <w:semiHidden/>
    <w:rsid w:val="00BA229E"/>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50944">
      <w:bodyDiv w:val="1"/>
      <w:marLeft w:val="0"/>
      <w:marRight w:val="0"/>
      <w:marTop w:val="0"/>
      <w:marBottom w:val="0"/>
      <w:divBdr>
        <w:top w:val="none" w:sz="0" w:space="0" w:color="auto"/>
        <w:left w:val="none" w:sz="0" w:space="0" w:color="auto"/>
        <w:bottom w:val="none" w:sz="0" w:space="0" w:color="auto"/>
        <w:right w:val="none" w:sz="0" w:space="0" w:color="auto"/>
      </w:divBdr>
    </w:div>
    <w:div w:id="309600745">
      <w:bodyDiv w:val="1"/>
      <w:marLeft w:val="0"/>
      <w:marRight w:val="0"/>
      <w:marTop w:val="0"/>
      <w:marBottom w:val="0"/>
      <w:divBdr>
        <w:top w:val="none" w:sz="0" w:space="0" w:color="auto"/>
        <w:left w:val="none" w:sz="0" w:space="0" w:color="auto"/>
        <w:bottom w:val="none" w:sz="0" w:space="0" w:color="auto"/>
        <w:right w:val="none" w:sz="0" w:space="0" w:color="auto"/>
      </w:divBdr>
    </w:div>
    <w:div w:id="312878103">
      <w:bodyDiv w:val="1"/>
      <w:marLeft w:val="0"/>
      <w:marRight w:val="0"/>
      <w:marTop w:val="0"/>
      <w:marBottom w:val="0"/>
      <w:divBdr>
        <w:top w:val="none" w:sz="0" w:space="0" w:color="auto"/>
        <w:left w:val="none" w:sz="0" w:space="0" w:color="auto"/>
        <w:bottom w:val="none" w:sz="0" w:space="0" w:color="auto"/>
        <w:right w:val="none" w:sz="0" w:space="0" w:color="auto"/>
      </w:divBdr>
    </w:div>
    <w:div w:id="334580338">
      <w:bodyDiv w:val="1"/>
      <w:marLeft w:val="0"/>
      <w:marRight w:val="0"/>
      <w:marTop w:val="0"/>
      <w:marBottom w:val="0"/>
      <w:divBdr>
        <w:top w:val="none" w:sz="0" w:space="0" w:color="auto"/>
        <w:left w:val="none" w:sz="0" w:space="0" w:color="auto"/>
        <w:bottom w:val="none" w:sz="0" w:space="0" w:color="auto"/>
        <w:right w:val="none" w:sz="0" w:space="0" w:color="auto"/>
      </w:divBdr>
    </w:div>
    <w:div w:id="594175237">
      <w:bodyDiv w:val="1"/>
      <w:marLeft w:val="0"/>
      <w:marRight w:val="0"/>
      <w:marTop w:val="0"/>
      <w:marBottom w:val="0"/>
      <w:divBdr>
        <w:top w:val="none" w:sz="0" w:space="0" w:color="auto"/>
        <w:left w:val="none" w:sz="0" w:space="0" w:color="auto"/>
        <w:bottom w:val="none" w:sz="0" w:space="0" w:color="auto"/>
        <w:right w:val="none" w:sz="0" w:space="0" w:color="auto"/>
      </w:divBdr>
    </w:div>
    <w:div w:id="870384711">
      <w:bodyDiv w:val="1"/>
      <w:marLeft w:val="0"/>
      <w:marRight w:val="0"/>
      <w:marTop w:val="0"/>
      <w:marBottom w:val="0"/>
      <w:divBdr>
        <w:top w:val="none" w:sz="0" w:space="0" w:color="auto"/>
        <w:left w:val="none" w:sz="0" w:space="0" w:color="auto"/>
        <w:bottom w:val="none" w:sz="0" w:space="0" w:color="auto"/>
        <w:right w:val="none" w:sz="0" w:space="0" w:color="auto"/>
      </w:divBdr>
    </w:div>
    <w:div w:id="1151293140">
      <w:bodyDiv w:val="1"/>
      <w:marLeft w:val="0"/>
      <w:marRight w:val="0"/>
      <w:marTop w:val="0"/>
      <w:marBottom w:val="0"/>
      <w:divBdr>
        <w:top w:val="none" w:sz="0" w:space="0" w:color="auto"/>
        <w:left w:val="none" w:sz="0" w:space="0" w:color="auto"/>
        <w:bottom w:val="none" w:sz="0" w:space="0" w:color="auto"/>
        <w:right w:val="none" w:sz="0" w:space="0" w:color="auto"/>
      </w:divBdr>
    </w:div>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78F9A-F88A-4D6B-AEBA-4CCCCB13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51</Pages>
  <Words>10460</Words>
  <Characters>57531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Usuario</cp:lastModifiedBy>
  <cp:revision>6</cp:revision>
  <cp:lastPrinted>2022-05-19T16:40:00Z</cp:lastPrinted>
  <dcterms:created xsi:type="dcterms:W3CDTF">2022-05-19T16:36:00Z</dcterms:created>
  <dcterms:modified xsi:type="dcterms:W3CDTF">2022-05-24T23:28:00Z</dcterms:modified>
</cp:coreProperties>
</file>